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B2D39" w14:textId="77777777" w:rsidR="0022503D" w:rsidRPr="00F23CDB" w:rsidRDefault="0022503D">
      <w:pPr>
        <w:overflowPunct/>
        <w:autoSpaceDE/>
        <w:autoSpaceDN/>
        <w:adjustRightInd/>
        <w:textAlignment w:val="auto"/>
        <w:rPr>
          <w:rFonts w:ascii="Calibri" w:hAnsi="Calibri" w:cs="Calibri"/>
        </w:rPr>
      </w:pPr>
    </w:p>
    <w:p w14:paraId="2F129EE7" w14:textId="77777777" w:rsidR="0022503D" w:rsidRPr="00F23CDB" w:rsidRDefault="0022503D">
      <w:pPr>
        <w:overflowPunct/>
        <w:autoSpaceDE/>
        <w:autoSpaceDN/>
        <w:adjustRightInd/>
        <w:textAlignment w:val="auto"/>
        <w:rPr>
          <w:rFonts w:ascii="Calibri" w:hAnsi="Calibri" w:cs="Calibri"/>
        </w:rPr>
      </w:pPr>
    </w:p>
    <w:p w14:paraId="7866CA6C" w14:textId="77777777" w:rsidR="0022503D" w:rsidRPr="00F23CDB" w:rsidRDefault="0022503D">
      <w:pPr>
        <w:overflowPunct/>
        <w:autoSpaceDE/>
        <w:autoSpaceDN/>
        <w:adjustRightInd/>
        <w:textAlignment w:val="auto"/>
        <w:rPr>
          <w:rFonts w:ascii="Calibri" w:hAnsi="Calibri" w:cs="Calibri"/>
        </w:rPr>
      </w:pPr>
    </w:p>
    <w:p w14:paraId="1A708E84" w14:textId="77777777" w:rsidR="0022503D" w:rsidRDefault="0022503D">
      <w:pPr>
        <w:overflowPunct/>
        <w:autoSpaceDE/>
        <w:autoSpaceDN/>
        <w:adjustRightInd/>
        <w:textAlignment w:val="auto"/>
        <w:rPr>
          <w:rFonts w:ascii="Calibri" w:hAnsi="Calibri" w:cs="Calibri"/>
        </w:rPr>
      </w:pPr>
    </w:p>
    <w:p w14:paraId="6B182C67" w14:textId="77777777" w:rsidR="00A86EB3" w:rsidRPr="00F23CDB" w:rsidRDefault="00A86EB3">
      <w:pPr>
        <w:overflowPunct/>
        <w:autoSpaceDE/>
        <w:autoSpaceDN/>
        <w:adjustRightInd/>
        <w:textAlignment w:val="auto"/>
        <w:rPr>
          <w:rFonts w:ascii="Calibri" w:hAnsi="Calibri" w:cs="Calibri"/>
        </w:rPr>
      </w:pPr>
    </w:p>
    <w:p w14:paraId="196C4C14" w14:textId="77777777" w:rsidR="0022503D" w:rsidRPr="00F23CDB" w:rsidRDefault="0022503D">
      <w:pPr>
        <w:overflowPunct/>
        <w:autoSpaceDE/>
        <w:autoSpaceDN/>
        <w:adjustRightInd/>
        <w:textAlignment w:val="auto"/>
        <w:rPr>
          <w:rFonts w:ascii="Calibri" w:hAnsi="Calibri" w:cs="Calibri"/>
        </w:rPr>
      </w:pPr>
    </w:p>
    <w:p w14:paraId="6AAF5B07" w14:textId="77777777" w:rsidR="0022503D" w:rsidRPr="00F23CDB" w:rsidRDefault="0022503D">
      <w:pPr>
        <w:overflowPunct/>
        <w:autoSpaceDE/>
        <w:autoSpaceDN/>
        <w:adjustRightInd/>
        <w:textAlignment w:val="auto"/>
        <w:rPr>
          <w:rFonts w:ascii="Calibri" w:hAnsi="Calibri" w:cs="Calibri"/>
        </w:rPr>
      </w:pPr>
    </w:p>
    <w:p w14:paraId="64440B7C" w14:textId="77777777" w:rsidR="0022503D" w:rsidRPr="00F23CDB" w:rsidRDefault="0022503D">
      <w:pPr>
        <w:overflowPunct/>
        <w:autoSpaceDE/>
        <w:autoSpaceDN/>
        <w:adjustRightInd/>
        <w:textAlignment w:val="auto"/>
        <w:rPr>
          <w:rFonts w:ascii="Calibri" w:hAnsi="Calibri" w:cs="Calibri"/>
        </w:rPr>
      </w:pPr>
    </w:p>
    <w:p w14:paraId="21797C20" w14:textId="77777777" w:rsidR="0022503D" w:rsidRPr="00DD47DF" w:rsidRDefault="0022503D" w:rsidP="0022503D">
      <w:pPr>
        <w:overflowPunct/>
        <w:autoSpaceDE/>
        <w:autoSpaceDN/>
        <w:adjustRightInd/>
        <w:jc w:val="center"/>
        <w:textAlignment w:val="auto"/>
        <w:rPr>
          <w:rFonts w:ascii="Calibri" w:hAnsi="Calibri" w:cs="Calibri"/>
          <w:b/>
          <w:caps/>
          <w:sz w:val="36"/>
        </w:rPr>
      </w:pPr>
      <w:r w:rsidRPr="00DD47DF">
        <w:rPr>
          <w:rFonts w:ascii="Calibri" w:hAnsi="Calibri" w:cs="Calibri"/>
          <w:b/>
          <w:caps/>
          <w:sz w:val="36"/>
        </w:rPr>
        <w:t>Ministerstvo průmyslu a obchodu</w:t>
      </w:r>
    </w:p>
    <w:p w14:paraId="4C9B9690" w14:textId="77777777" w:rsidR="0022503D" w:rsidRPr="00DD47DF" w:rsidRDefault="0022503D" w:rsidP="0022503D">
      <w:pPr>
        <w:overflowPunct/>
        <w:autoSpaceDE/>
        <w:autoSpaceDN/>
        <w:adjustRightInd/>
        <w:jc w:val="center"/>
        <w:textAlignment w:val="auto"/>
        <w:rPr>
          <w:rFonts w:ascii="Calibri" w:hAnsi="Calibri" w:cs="Calibri"/>
          <w:b/>
          <w:caps/>
          <w:sz w:val="36"/>
        </w:rPr>
      </w:pPr>
      <w:r w:rsidRPr="00DD47DF">
        <w:rPr>
          <w:rFonts w:ascii="Calibri" w:hAnsi="Calibri" w:cs="Calibri"/>
          <w:b/>
          <w:caps/>
          <w:sz w:val="36"/>
        </w:rPr>
        <w:t>České republiky</w:t>
      </w:r>
    </w:p>
    <w:p w14:paraId="07EC0256" w14:textId="77777777" w:rsidR="0022503D" w:rsidRPr="00DD47DF" w:rsidRDefault="0022503D">
      <w:pPr>
        <w:overflowPunct/>
        <w:autoSpaceDE/>
        <w:autoSpaceDN/>
        <w:adjustRightInd/>
        <w:textAlignment w:val="auto"/>
        <w:rPr>
          <w:rFonts w:ascii="Calibri" w:hAnsi="Calibri" w:cs="Calibri"/>
        </w:rPr>
      </w:pPr>
    </w:p>
    <w:p w14:paraId="04223F90" w14:textId="77777777" w:rsidR="0022503D" w:rsidRPr="00DD47DF" w:rsidRDefault="0022503D">
      <w:pPr>
        <w:overflowPunct/>
        <w:autoSpaceDE/>
        <w:autoSpaceDN/>
        <w:adjustRightInd/>
        <w:textAlignment w:val="auto"/>
        <w:rPr>
          <w:rFonts w:ascii="Calibri" w:hAnsi="Calibri" w:cs="Calibri"/>
        </w:rPr>
      </w:pPr>
    </w:p>
    <w:p w14:paraId="30ED3222" w14:textId="77777777" w:rsidR="0022503D" w:rsidRPr="00DD47DF" w:rsidRDefault="0022503D">
      <w:pPr>
        <w:overflowPunct/>
        <w:autoSpaceDE/>
        <w:autoSpaceDN/>
        <w:adjustRightInd/>
        <w:textAlignment w:val="auto"/>
        <w:rPr>
          <w:rFonts w:ascii="Calibri" w:hAnsi="Calibri" w:cs="Calibri"/>
        </w:rPr>
      </w:pPr>
    </w:p>
    <w:p w14:paraId="16A90C62" w14:textId="77777777" w:rsidR="0022503D" w:rsidRPr="00DD47DF" w:rsidRDefault="0022503D">
      <w:pPr>
        <w:overflowPunct/>
        <w:autoSpaceDE/>
        <w:autoSpaceDN/>
        <w:adjustRightInd/>
        <w:textAlignment w:val="auto"/>
        <w:rPr>
          <w:rFonts w:ascii="Calibri" w:hAnsi="Calibri" w:cs="Calibri"/>
        </w:rPr>
      </w:pPr>
    </w:p>
    <w:p w14:paraId="6E4CD0C2" w14:textId="77777777" w:rsidR="0022503D" w:rsidRPr="00DD47DF" w:rsidRDefault="0022503D">
      <w:pPr>
        <w:overflowPunct/>
        <w:autoSpaceDE/>
        <w:autoSpaceDN/>
        <w:adjustRightInd/>
        <w:textAlignment w:val="auto"/>
        <w:rPr>
          <w:rFonts w:ascii="Calibri" w:hAnsi="Calibri" w:cs="Calibri"/>
        </w:rPr>
      </w:pPr>
    </w:p>
    <w:p w14:paraId="13F1956B" w14:textId="77777777" w:rsidR="0022503D" w:rsidRPr="00DD47DF" w:rsidRDefault="0022503D">
      <w:pPr>
        <w:overflowPunct/>
        <w:autoSpaceDE/>
        <w:autoSpaceDN/>
        <w:adjustRightInd/>
        <w:textAlignment w:val="auto"/>
        <w:rPr>
          <w:rFonts w:ascii="Calibri" w:hAnsi="Calibri" w:cs="Calibri"/>
        </w:rPr>
      </w:pPr>
    </w:p>
    <w:p w14:paraId="35FDF5ED" w14:textId="77777777" w:rsidR="0022503D" w:rsidRPr="00DD47DF" w:rsidRDefault="0022503D">
      <w:pPr>
        <w:overflowPunct/>
        <w:autoSpaceDE/>
        <w:autoSpaceDN/>
        <w:adjustRightInd/>
        <w:textAlignment w:val="auto"/>
        <w:rPr>
          <w:rFonts w:ascii="Calibri" w:hAnsi="Calibri" w:cs="Calibri"/>
        </w:rPr>
      </w:pPr>
    </w:p>
    <w:p w14:paraId="6AD04695" w14:textId="77777777" w:rsidR="0022503D" w:rsidRPr="00DD47DF" w:rsidRDefault="0022503D">
      <w:pPr>
        <w:overflowPunct/>
        <w:autoSpaceDE/>
        <w:autoSpaceDN/>
        <w:adjustRightInd/>
        <w:textAlignment w:val="auto"/>
        <w:rPr>
          <w:rFonts w:ascii="Calibri" w:hAnsi="Calibri" w:cs="Calibri"/>
        </w:rPr>
      </w:pPr>
    </w:p>
    <w:p w14:paraId="5330B8E4" w14:textId="77777777" w:rsidR="0022503D" w:rsidRPr="00DD47DF" w:rsidRDefault="0022503D">
      <w:pPr>
        <w:overflowPunct/>
        <w:autoSpaceDE/>
        <w:autoSpaceDN/>
        <w:adjustRightInd/>
        <w:textAlignment w:val="auto"/>
        <w:rPr>
          <w:rFonts w:ascii="Calibri" w:hAnsi="Calibri" w:cs="Calibri"/>
        </w:rPr>
      </w:pPr>
    </w:p>
    <w:p w14:paraId="0F31D8ED" w14:textId="77777777" w:rsidR="0022503D" w:rsidRPr="00DD47DF" w:rsidRDefault="0022503D">
      <w:pPr>
        <w:overflowPunct/>
        <w:autoSpaceDE/>
        <w:autoSpaceDN/>
        <w:adjustRightInd/>
        <w:textAlignment w:val="auto"/>
        <w:rPr>
          <w:rFonts w:ascii="Calibri" w:hAnsi="Calibri" w:cs="Calibri"/>
        </w:rPr>
      </w:pPr>
    </w:p>
    <w:p w14:paraId="065BA443" w14:textId="77777777" w:rsidR="0022503D" w:rsidRPr="00DD47DF" w:rsidRDefault="0022503D">
      <w:pPr>
        <w:overflowPunct/>
        <w:autoSpaceDE/>
        <w:autoSpaceDN/>
        <w:adjustRightInd/>
        <w:textAlignment w:val="auto"/>
        <w:rPr>
          <w:rFonts w:ascii="Calibri" w:hAnsi="Calibri" w:cs="Calibri"/>
        </w:rPr>
      </w:pPr>
    </w:p>
    <w:p w14:paraId="04B95F9B" w14:textId="77777777" w:rsidR="0022503D" w:rsidRPr="00DD47DF" w:rsidRDefault="00495B3E" w:rsidP="0022503D">
      <w:pPr>
        <w:overflowPunct/>
        <w:autoSpaceDE/>
        <w:autoSpaceDN/>
        <w:adjustRightInd/>
        <w:jc w:val="center"/>
        <w:textAlignment w:val="auto"/>
        <w:rPr>
          <w:rFonts w:ascii="Calibri" w:hAnsi="Calibri" w:cs="Calibri"/>
          <w:b/>
          <w:sz w:val="36"/>
        </w:rPr>
      </w:pPr>
      <w:r w:rsidRPr="00DD47DF">
        <w:rPr>
          <w:rFonts w:ascii="Calibri" w:hAnsi="Calibri" w:cs="Calibri"/>
          <w:b/>
          <w:sz w:val="36"/>
        </w:rPr>
        <w:t>Operačn</w:t>
      </w:r>
      <w:r w:rsidR="0022503D" w:rsidRPr="00DD47DF">
        <w:rPr>
          <w:rFonts w:ascii="Calibri" w:hAnsi="Calibri" w:cs="Calibri"/>
          <w:b/>
          <w:sz w:val="36"/>
        </w:rPr>
        <w:t>í program Podnikání a inovace pro konkurenceschopnost 2014 – 2020</w:t>
      </w:r>
    </w:p>
    <w:p w14:paraId="569578CD" w14:textId="77777777" w:rsidR="0022503D" w:rsidRPr="00DD47DF" w:rsidRDefault="0022503D" w:rsidP="0022503D">
      <w:pPr>
        <w:overflowPunct/>
        <w:autoSpaceDE/>
        <w:autoSpaceDN/>
        <w:adjustRightInd/>
        <w:jc w:val="center"/>
        <w:textAlignment w:val="auto"/>
        <w:rPr>
          <w:rFonts w:ascii="Calibri" w:hAnsi="Calibri" w:cs="Calibri"/>
          <w:b/>
          <w:sz w:val="36"/>
        </w:rPr>
      </w:pPr>
    </w:p>
    <w:p w14:paraId="3F4832DB" w14:textId="77777777" w:rsidR="00FF1575" w:rsidRPr="00DD47DF" w:rsidRDefault="00FF1575" w:rsidP="00FE0012">
      <w:pPr>
        <w:overflowPunct/>
        <w:autoSpaceDE/>
        <w:autoSpaceDN/>
        <w:adjustRightInd/>
        <w:jc w:val="center"/>
        <w:textAlignment w:val="auto"/>
        <w:rPr>
          <w:rFonts w:ascii="Calibri" w:hAnsi="Calibri" w:cs="Calibri"/>
          <w:i/>
          <w:strike/>
          <w:sz w:val="32"/>
          <w:szCs w:val="32"/>
        </w:rPr>
      </w:pPr>
    </w:p>
    <w:p w14:paraId="4FD3C1FE" w14:textId="77777777" w:rsidR="00896EDF" w:rsidRPr="00DD47DF" w:rsidRDefault="00896EDF" w:rsidP="00FE0012">
      <w:pPr>
        <w:overflowPunct/>
        <w:autoSpaceDE/>
        <w:autoSpaceDN/>
        <w:adjustRightInd/>
        <w:jc w:val="center"/>
        <w:textAlignment w:val="auto"/>
        <w:rPr>
          <w:rFonts w:ascii="Calibri" w:hAnsi="Calibri" w:cs="Calibri"/>
          <w:i/>
          <w:sz w:val="32"/>
          <w:szCs w:val="32"/>
        </w:rPr>
      </w:pPr>
    </w:p>
    <w:p w14:paraId="09C5FD3A" w14:textId="77777777" w:rsidR="0022503D" w:rsidRPr="00DD47DF" w:rsidRDefault="0022503D" w:rsidP="00FE0012">
      <w:pPr>
        <w:overflowPunct/>
        <w:autoSpaceDE/>
        <w:autoSpaceDN/>
        <w:adjustRightInd/>
        <w:jc w:val="center"/>
        <w:textAlignment w:val="auto"/>
        <w:rPr>
          <w:rFonts w:ascii="Calibri" w:hAnsi="Calibri" w:cs="Calibri"/>
          <w:i/>
          <w:sz w:val="32"/>
          <w:szCs w:val="32"/>
        </w:rPr>
      </w:pPr>
    </w:p>
    <w:p w14:paraId="0B904648" w14:textId="77777777" w:rsidR="0022503D" w:rsidRPr="00DD47DF" w:rsidRDefault="0022503D">
      <w:pPr>
        <w:overflowPunct/>
        <w:autoSpaceDE/>
        <w:autoSpaceDN/>
        <w:adjustRightInd/>
        <w:textAlignment w:val="auto"/>
        <w:rPr>
          <w:rFonts w:ascii="Calibri" w:hAnsi="Calibri" w:cs="Calibri"/>
        </w:rPr>
      </w:pPr>
    </w:p>
    <w:p w14:paraId="38E4F214" w14:textId="77777777" w:rsidR="0022503D" w:rsidRPr="00DD47DF" w:rsidRDefault="0022503D">
      <w:pPr>
        <w:overflowPunct/>
        <w:autoSpaceDE/>
        <w:autoSpaceDN/>
        <w:adjustRightInd/>
        <w:textAlignment w:val="auto"/>
        <w:rPr>
          <w:rFonts w:ascii="Calibri" w:hAnsi="Calibri" w:cs="Calibri"/>
        </w:rPr>
      </w:pPr>
    </w:p>
    <w:p w14:paraId="4227AC67" w14:textId="77777777" w:rsidR="0022503D" w:rsidRPr="00DD47DF" w:rsidRDefault="0022503D">
      <w:pPr>
        <w:overflowPunct/>
        <w:autoSpaceDE/>
        <w:autoSpaceDN/>
        <w:adjustRightInd/>
        <w:textAlignment w:val="auto"/>
        <w:rPr>
          <w:rFonts w:ascii="Calibri" w:hAnsi="Calibri" w:cs="Calibri"/>
        </w:rPr>
      </w:pPr>
    </w:p>
    <w:p w14:paraId="070DBBAC" w14:textId="77777777" w:rsidR="0022503D" w:rsidRPr="00DD47DF" w:rsidRDefault="0022503D" w:rsidP="00B4010A">
      <w:pPr>
        <w:overflowPunct/>
        <w:autoSpaceDE/>
        <w:autoSpaceDN/>
        <w:adjustRightInd/>
        <w:jc w:val="center"/>
        <w:textAlignment w:val="auto"/>
        <w:rPr>
          <w:rFonts w:ascii="Calibri" w:hAnsi="Calibri" w:cs="Calibri"/>
        </w:rPr>
      </w:pPr>
    </w:p>
    <w:p w14:paraId="34E55734" w14:textId="77777777" w:rsidR="0022503D" w:rsidRPr="00DD47DF" w:rsidRDefault="0022503D">
      <w:pPr>
        <w:overflowPunct/>
        <w:autoSpaceDE/>
        <w:autoSpaceDN/>
        <w:adjustRightInd/>
        <w:textAlignment w:val="auto"/>
        <w:rPr>
          <w:rFonts w:ascii="Calibri" w:hAnsi="Calibri" w:cs="Calibri"/>
        </w:rPr>
      </w:pPr>
    </w:p>
    <w:p w14:paraId="5D4F35B0" w14:textId="77777777" w:rsidR="0022503D" w:rsidRPr="00DD47DF" w:rsidRDefault="0022503D">
      <w:pPr>
        <w:overflowPunct/>
        <w:autoSpaceDE/>
        <w:autoSpaceDN/>
        <w:adjustRightInd/>
        <w:textAlignment w:val="auto"/>
        <w:rPr>
          <w:rFonts w:ascii="Calibri" w:hAnsi="Calibri" w:cs="Calibri"/>
        </w:rPr>
      </w:pPr>
    </w:p>
    <w:p w14:paraId="42CB8BEF" w14:textId="77777777" w:rsidR="0022503D" w:rsidRPr="00DD47DF" w:rsidRDefault="0022503D">
      <w:pPr>
        <w:overflowPunct/>
        <w:autoSpaceDE/>
        <w:autoSpaceDN/>
        <w:adjustRightInd/>
        <w:textAlignment w:val="auto"/>
        <w:rPr>
          <w:rFonts w:ascii="Calibri" w:hAnsi="Calibri" w:cs="Calibri"/>
        </w:rPr>
      </w:pPr>
    </w:p>
    <w:p w14:paraId="15C4385A" w14:textId="77777777" w:rsidR="0022503D" w:rsidRPr="00DD47DF" w:rsidRDefault="0022503D">
      <w:pPr>
        <w:overflowPunct/>
        <w:autoSpaceDE/>
        <w:autoSpaceDN/>
        <w:adjustRightInd/>
        <w:textAlignment w:val="auto"/>
        <w:rPr>
          <w:rFonts w:ascii="Calibri" w:hAnsi="Calibri" w:cs="Calibri"/>
        </w:rPr>
      </w:pPr>
    </w:p>
    <w:p w14:paraId="23B29715" w14:textId="77777777" w:rsidR="0022503D" w:rsidRPr="00DD47DF" w:rsidRDefault="0022503D">
      <w:pPr>
        <w:overflowPunct/>
        <w:autoSpaceDE/>
        <w:autoSpaceDN/>
        <w:adjustRightInd/>
        <w:textAlignment w:val="auto"/>
        <w:rPr>
          <w:rFonts w:ascii="Calibri" w:hAnsi="Calibri" w:cs="Calibri"/>
        </w:rPr>
      </w:pPr>
    </w:p>
    <w:p w14:paraId="155AD7EC" w14:textId="77777777" w:rsidR="0022503D" w:rsidRPr="00DD47DF" w:rsidRDefault="0022503D">
      <w:pPr>
        <w:overflowPunct/>
        <w:autoSpaceDE/>
        <w:autoSpaceDN/>
        <w:adjustRightInd/>
        <w:textAlignment w:val="auto"/>
        <w:rPr>
          <w:rFonts w:ascii="Calibri" w:hAnsi="Calibri" w:cs="Calibri"/>
        </w:rPr>
      </w:pPr>
    </w:p>
    <w:p w14:paraId="591A43A9" w14:textId="77777777" w:rsidR="0022503D" w:rsidRPr="00DD47DF" w:rsidRDefault="0022503D">
      <w:pPr>
        <w:overflowPunct/>
        <w:autoSpaceDE/>
        <w:autoSpaceDN/>
        <w:adjustRightInd/>
        <w:textAlignment w:val="auto"/>
        <w:rPr>
          <w:rFonts w:ascii="Calibri" w:hAnsi="Calibri" w:cs="Calibri"/>
        </w:rPr>
      </w:pPr>
    </w:p>
    <w:p w14:paraId="5FA29CCF" w14:textId="77777777" w:rsidR="0022503D" w:rsidRPr="00DD47DF" w:rsidRDefault="0022503D">
      <w:pPr>
        <w:overflowPunct/>
        <w:autoSpaceDE/>
        <w:autoSpaceDN/>
        <w:adjustRightInd/>
        <w:textAlignment w:val="auto"/>
        <w:rPr>
          <w:rFonts w:ascii="Calibri" w:hAnsi="Calibri" w:cs="Calibri"/>
        </w:rPr>
      </w:pPr>
    </w:p>
    <w:p w14:paraId="7C66990C" w14:textId="77777777" w:rsidR="00D369D8" w:rsidRPr="00DD47DF" w:rsidRDefault="00D369D8">
      <w:pPr>
        <w:overflowPunct/>
        <w:autoSpaceDE/>
        <w:autoSpaceDN/>
        <w:adjustRightInd/>
        <w:textAlignment w:val="auto"/>
        <w:rPr>
          <w:rFonts w:ascii="Calibri" w:hAnsi="Calibri" w:cs="Calibri"/>
        </w:rPr>
      </w:pPr>
    </w:p>
    <w:p w14:paraId="070A5820" w14:textId="77777777" w:rsidR="00D369D8" w:rsidRPr="00DD47DF" w:rsidRDefault="00D369D8">
      <w:pPr>
        <w:overflowPunct/>
        <w:autoSpaceDE/>
        <w:autoSpaceDN/>
        <w:adjustRightInd/>
        <w:textAlignment w:val="auto"/>
        <w:rPr>
          <w:rFonts w:ascii="Calibri" w:hAnsi="Calibri" w:cs="Calibri"/>
        </w:rPr>
      </w:pPr>
    </w:p>
    <w:p w14:paraId="32E3735B" w14:textId="77777777" w:rsidR="0022503D" w:rsidRPr="00DD47DF" w:rsidRDefault="0022503D">
      <w:pPr>
        <w:overflowPunct/>
        <w:autoSpaceDE/>
        <w:autoSpaceDN/>
        <w:adjustRightInd/>
        <w:textAlignment w:val="auto"/>
        <w:rPr>
          <w:rFonts w:ascii="Calibri" w:hAnsi="Calibri" w:cs="Calibri"/>
        </w:rPr>
      </w:pPr>
    </w:p>
    <w:p w14:paraId="5ACD3895" w14:textId="77777777" w:rsidR="0022503D" w:rsidRPr="00DD47DF" w:rsidRDefault="0022503D">
      <w:pPr>
        <w:overflowPunct/>
        <w:autoSpaceDE/>
        <w:autoSpaceDN/>
        <w:adjustRightInd/>
        <w:textAlignment w:val="auto"/>
        <w:rPr>
          <w:rFonts w:ascii="Calibri" w:hAnsi="Calibri" w:cs="Calibri"/>
        </w:rPr>
      </w:pPr>
    </w:p>
    <w:p w14:paraId="0E0093C2" w14:textId="5F1F0645" w:rsidR="009B3FA2" w:rsidRPr="00DD47DF" w:rsidRDefault="00522A58" w:rsidP="0022503D">
      <w:pPr>
        <w:overflowPunct/>
        <w:autoSpaceDE/>
        <w:autoSpaceDN/>
        <w:adjustRightInd/>
        <w:jc w:val="center"/>
        <w:textAlignment w:val="auto"/>
        <w:rPr>
          <w:rFonts w:ascii="Calibri" w:hAnsi="Calibri" w:cs="Calibri"/>
          <w:b/>
          <w:sz w:val="28"/>
        </w:rPr>
        <w:sectPr w:rsidR="009B3FA2" w:rsidRPr="00DD47DF" w:rsidSect="00926525">
          <w:headerReference w:type="default" r:id="rId8"/>
          <w:footerReference w:type="default" r:id="rId9"/>
          <w:headerReference w:type="first" r:id="rId10"/>
          <w:footerReference w:type="first" r:id="rId11"/>
          <w:pgSz w:w="11906" w:h="16838"/>
          <w:pgMar w:top="1418" w:right="1276" w:bottom="1276" w:left="1418" w:header="709" w:footer="709" w:gutter="0"/>
          <w:cols w:space="708"/>
          <w:titlePg/>
          <w:docGrid w:linePitch="272"/>
        </w:sectPr>
      </w:pPr>
      <w:r>
        <w:rPr>
          <w:rFonts w:ascii="Calibri" w:hAnsi="Calibri" w:cs="Calibri"/>
          <w:b/>
          <w:sz w:val="28"/>
        </w:rPr>
        <w:t>březen</w:t>
      </w:r>
      <w:r w:rsidR="00E0634C">
        <w:rPr>
          <w:rFonts w:ascii="Calibri" w:hAnsi="Calibri" w:cs="Calibri"/>
          <w:b/>
          <w:sz w:val="28"/>
        </w:rPr>
        <w:t xml:space="preserve"> </w:t>
      </w:r>
      <w:r w:rsidR="00B45935">
        <w:rPr>
          <w:rFonts w:ascii="Calibri" w:hAnsi="Calibri" w:cs="Calibri"/>
          <w:b/>
          <w:sz w:val="28"/>
        </w:rPr>
        <w:t>202</w:t>
      </w:r>
      <w:r>
        <w:rPr>
          <w:rFonts w:ascii="Calibri" w:hAnsi="Calibri" w:cs="Calibri"/>
          <w:b/>
          <w:sz w:val="28"/>
        </w:rPr>
        <w:t>3</w:t>
      </w:r>
    </w:p>
    <w:p w14:paraId="473134F8" w14:textId="77777777" w:rsidR="0022503D" w:rsidRPr="00DD47DF" w:rsidRDefault="00CF0F84" w:rsidP="00300283">
      <w:pPr>
        <w:overflowPunct/>
        <w:autoSpaceDE/>
        <w:autoSpaceDN/>
        <w:adjustRightInd/>
        <w:spacing w:before="120" w:after="60"/>
        <w:textAlignment w:val="auto"/>
        <w:rPr>
          <w:rFonts w:ascii="Calibri" w:hAnsi="Calibri" w:cs="Calibri"/>
          <w:b/>
          <w:caps/>
          <w:spacing w:val="20"/>
          <w:sz w:val="28"/>
          <w:szCs w:val="28"/>
        </w:rPr>
      </w:pPr>
      <w:r w:rsidRPr="00DD47DF">
        <w:rPr>
          <w:rFonts w:ascii="Calibri" w:hAnsi="Calibri" w:cs="Calibri"/>
          <w:b/>
          <w:caps/>
          <w:spacing w:val="20"/>
          <w:sz w:val="28"/>
          <w:szCs w:val="28"/>
        </w:rPr>
        <w:lastRenderedPageBreak/>
        <w:t>Obsah</w:t>
      </w:r>
    </w:p>
    <w:p w14:paraId="45C9F079" w14:textId="77777777" w:rsidR="00F23DF3" w:rsidRPr="00DD47DF" w:rsidRDefault="00F23DF3" w:rsidP="00300283">
      <w:pPr>
        <w:overflowPunct/>
        <w:autoSpaceDE/>
        <w:autoSpaceDN/>
        <w:adjustRightInd/>
        <w:spacing w:before="120" w:after="60"/>
        <w:textAlignment w:val="auto"/>
        <w:rPr>
          <w:rFonts w:ascii="Calibri" w:hAnsi="Calibri" w:cs="Calibri"/>
          <w:b/>
          <w:caps/>
          <w:sz w:val="28"/>
          <w:szCs w:val="28"/>
        </w:rPr>
      </w:pPr>
    </w:p>
    <w:p w14:paraId="4B681113" w14:textId="7C2215A6" w:rsidR="00013622" w:rsidRDefault="002756E7">
      <w:pPr>
        <w:pStyle w:val="Obsah1"/>
        <w:tabs>
          <w:tab w:val="left" w:pos="1320"/>
          <w:tab w:val="right" w:leader="dot" w:pos="9202"/>
        </w:tabs>
        <w:rPr>
          <w:rFonts w:asciiTheme="minorHAnsi" w:eastAsiaTheme="minorEastAsia" w:hAnsiTheme="minorHAnsi" w:cstheme="minorBidi"/>
          <w:b w:val="0"/>
          <w:noProof/>
          <w:sz w:val="22"/>
          <w:szCs w:val="22"/>
        </w:rPr>
      </w:pPr>
      <w:r w:rsidRPr="00DD47DF">
        <w:rPr>
          <w:rFonts w:cs="Calibri"/>
          <w:b w:val="0"/>
          <w:caps/>
          <w:sz w:val="28"/>
          <w:szCs w:val="28"/>
        </w:rPr>
        <w:fldChar w:fldCharType="begin"/>
      </w:r>
      <w:r w:rsidR="002E4CA7" w:rsidRPr="00DD47DF">
        <w:rPr>
          <w:rFonts w:cs="Calibri"/>
          <w:b w:val="0"/>
          <w:caps/>
          <w:sz w:val="28"/>
          <w:szCs w:val="28"/>
        </w:rPr>
        <w:instrText xml:space="preserve"> TOC \o "1-3" \h \z \u </w:instrText>
      </w:r>
      <w:r w:rsidRPr="00DD47DF">
        <w:rPr>
          <w:rFonts w:cs="Calibri"/>
          <w:b w:val="0"/>
          <w:caps/>
          <w:sz w:val="28"/>
          <w:szCs w:val="28"/>
        </w:rPr>
        <w:fldChar w:fldCharType="separate"/>
      </w:r>
      <w:hyperlink w:anchor="_Toc129005359" w:history="1">
        <w:r w:rsidR="00013622" w:rsidRPr="00145391">
          <w:rPr>
            <w:rStyle w:val="Hypertextovodkaz"/>
            <w:noProof/>
            <w:spacing w:val="20"/>
          </w:rPr>
          <w:t>ODDÍL 1</w:t>
        </w:r>
        <w:r w:rsidR="00013622">
          <w:rPr>
            <w:rFonts w:asciiTheme="minorHAnsi" w:eastAsiaTheme="minorEastAsia" w:hAnsiTheme="minorHAnsi" w:cstheme="minorBidi"/>
            <w:b w:val="0"/>
            <w:noProof/>
            <w:sz w:val="22"/>
            <w:szCs w:val="22"/>
          </w:rPr>
          <w:tab/>
        </w:r>
        <w:r w:rsidR="00013622" w:rsidRPr="00145391">
          <w:rPr>
            <w:rStyle w:val="Hypertextovodkaz"/>
            <w:noProof/>
          </w:rPr>
          <w:t>Strategie, na jejímž základě bude operační program přispívat ke strategii Unie pro inteligentní a udržitelný růst podporující začlenění a k dosažení hospodářské, sociální a územní soudržnosti</w:t>
        </w:r>
        <w:r w:rsidR="00013622">
          <w:rPr>
            <w:noProof/>
            <w:webHidden/>
          </w:rPr>
          <w:tab/>
        </w:r>
        <w:r w:rsidR="00013622">
          <w:rPr>
            <w:noProof/>
            <w:webHidden/>
          </w:rPr>
          <w:fldChar w:fldCharType="begin"/>
        </w:r>
        <w:r w:rsidR="00013622">
          <w:rPr>
            <w:noProof/>
            <w:webHidden/>
          </w:rPr>
          <w:instrText xml:space="preserve"> PAGEREF _Toc129005359 \h </w:instrText>
        </w:r>
        <w:r w:rsidR="00013622">
          <w:rPr>
            <w:noProof/>
            <w:webHidden/>
          </w:rPr>
        </w:r>
        <w:r w:rsidR="00013622">
          <w:rPr>
            <w:noProof/>
            <w:webHidden/>
          </w:rPr>
          <w:fldChar w:fldCharType="separate"/>
        </w:r>
        <w:r w:rsidR="00013622">
          <w:rPr>
            <w:noProof/>
            <w:webHidden/>
          </w:rPr>
          <w:t>12</w:t>
        </w:r>
        <w:r w:rsidR="00013622">
          <w:rPr>
            <w:noProof/>
            <w:webHidden/>
          </w:rPr>
          <w:fldChar w:fldCharType="end"/>
        </w:r>
      </w:hyperlink>
    </w:p>
    <w:p w14:paraId="7263F146" w14:textId="4EAD1A32"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360" w:history="1">
        <w:r w:rsidRPr="00145391">
          <w:rPr>
            <w:rStyle w:val="Hypertextovodkaz"/>
            <w:rFonts w:cs="Calibri"/>
            <w:noProof/>
          </w:rPr>
          <w:t>1.1</w:t>
        </w:r>
        <w:r>
          <w:rPr>
            <w:rFonts w:asciiTheme="minorHAnsi" w:eastAsiaTheme="minorEastAsia" w:hAnsiTheme="minorHAnsi" w:cstheme="minorBidi"/>
            <w:noProof/>
            <w:sz w:val="22"/>
            <w:szCs w:val="22"/>
          </w:rPr>
          <w:tab/>
        </w:r>
        <w:r w:rsidRPr="00145391">
          <w:rPr>
            <w:rStyle w:val="Hypertextovodkaz"/>
            <w:rFonts w:cs="Calibri"/>
            <w:noProof/>
          </w:rPr>
          <w:t>Strategie, na jejímž základě bude operační program přispívat ke strategii Unie pro inteligentní a udržitelný růst podporující začlenění a k dosažení hospodářské, sociální a územní soudržnosti</w:t>
        </w:r>
        <w:r>
          <w:rPr>
            <w:noProof/>
            <w:webHidden/>
          </w:rPr>
          <w:tab/>
        </w:r>
        <w:r>
          <w:rPr>
            <w:noProof/>
            <w:webHidden/>
          </w:rPr>
          <w:fldChar w:fldCharType="begin"/>
        </w:r>
        <w:r>
          <w:rPr>
            <w:noProof/>
            <w:webHidden/>
          </w:rPr>
          <w:instrText xml:space="preserve"> PAGEREF _Toc129005360 \h </w:instrText>
        </w:r>
        <w:r>
          <w:rPr>
            <w:noProof/>
            <w:webHidden/>
          </w:rPr>
        </w:r>
        <w:r>
          <w:rPr>
            <w:noProof/>
            <w:webHidden/>
          </w:rPr>
          <w:fldChar w:fldCharType="separate"/>
        </w:r>
        <w:r>
          <w:rPr>
            <w:noProof/>
            <w:webHidden/>
          </w:rPr>
          <w:t>12</w:t>
        </w:r>
        <w:r>
          <w:rPr>
            <w:noProof/>
            <w:webHidden/>
          </w:rPr>
          <w:fldChar w:fldCharType="end"/>
        </w:r>
      </w:hyperlink>
    </w:p>
    <w:p w14:paraId="7F2BEF6E" w14:textId="01AF7C27" w:rsidR="00013622" w:rsidRDefault="00013622">
      <w:pPr>
        <w:pStyle w:val="Obsah3"/>
        <w:rPr>
          <w:rFonts w:asciiTheme="minorHAnsi" w:eastAsiaTheme="minorEastAsia" w:hAnsiTheme="minorHAnsi" w:cstheme="minorBidi"/>
          <w:i w:val="0"/>
          <w:sz w:val="22"/>
          <w:szCs w:val="22"/>
        </w:rPr>
      </w:pPr>
      <w:hyperlink w:anchor="_Toc129005361" w:history="1">
        <w:r w:rsidRPr="00145391">
          <w:rPr>
            <w:rStyle w:val="Hypertextovodkaz"/>
            <w:rFonts w:cs="Calibri"/>
          </w:rPr>
          <w:t>1.1.1</w:t>
        </w:r>
        <w:r>
          <w:rPr>
            <w:rFonts w:asciiTheme="minorHAnsi" w:eastAsiaTheme="minorEastAsia" w:hAnsiTheme="minorHAnsi" w:cstheme="minorBidi"/>
            <w:i w:val="0"/>
            <w:sz w:val="22"/>
            <w:szCs w:val="22"/>
          </w:rPr>
          <w:tab/>
        </w:r>
        <w:r w:rsidRPr="00145391">
          <w:rPr>
            <w:rStyle w:val="Hypertextovodkaz"/>
            <w:rFonts w:cs="Calibri"/>
          </w:rPr>
          <w:t>Popis strategie programu, pokud jde o jeho příspěvek k plnění strategie Unie pro inteligentní a udržitelný růst podporující začlenění a k dosažení hospodářské, sociální a územní soudržnosti.</w:t>
        </w:r>
        <w:r>
          <w:rPr>
            <w:webHidden/>
          </w:rPr>
          <w:tab/>
        </w:r>
        <w:r>
          <w:rPr>
            <w:webHidden/>
          </w:rPr>
          <w:fldChar w:fldCharType="begin"/>
        </w:r>
        <w:r>
          <w:rPr>
            <w:webHidden/>
          </w:rPr>
          <w:instrText xml:space="preserve"> PAGEREF _Toc129005361 \h </w:instrText>
        </w:r>
        <w:r>
          <w:rPr>
            <w:webHidden/>
          </w:rPr>
        </w:r>
        <w:r>
          <w:rPr>
            <w:webHidden/>
          </w:rPr>
          <w:fldChar w:fldCharType="separate"/>
        </w:r>
        <w:r>
          <w:rPr>
            <w:webHidden/>
          </w:rPr>
          <w:t>12</w:t>
        </w:r>
        <w:r>
          <w:rPr>
            <w:webHidden/>
          </w:rPr>
          <w:fldChar w:fldCharType="end"/>
        </w:r>
      </w:hyperlink>
    </w:p>
    <w:p w14:paraId="538D4978" w14:textId="118526D6" w:rsidR="00013622" w:rsidRDefault="00013622">
      <w:pPr>
        <w:pStyle w:val="Obsah3"/>
        <w:rPr>
          <w:rFonts w:asciiTheme="minorHAnsi" w:eastAsiaTheme="minorEastAsia" w:hAnsiTheme="minorHAnsi" w:cstheme="minorBidi"/>
          <w:i w:val="0"/>
          <w:sz w:val="22"/>
          <w:szCs w:val="22"/>
        </w:rPr>
      </w:pPr>
      <w:hyperlink w:anchor="_Toc129005362" w:history="1">
        <w:r w:rsidRPr="00145391">
          <w:rPr>
            <w:rStyle w:val="Hypertextovodkaz"/>
            <w:rFonts w:cs="Calibri"/>
          </w:rPr>
          <w:t>1.1.2</w:t>
        </w:r>
        <w:r>
          <w:rPr>
            <w:rFonts w:asciiTheme="minorHAnsi" w:eastAsiaTheme="minorEastAsia" w:hAnsiTheme="minorHAnsi" w:cstheme="minorBidi"/>
            <w:i w:val="0"/>
            <w:sz w:val="22"/>
            <w:szCs w:val="22"/>
          </w:rPr>
          <w:tab/>
        </w:r>
        <w:r w:rsidRPr="00145391">
          <w:rPr>
            <w:rStyle w:val="Hypertextovodkaz"/>
            <w:rFonts w:cs="Calibri"/>
          </w:rPr>
          <w:t xml:space="preserve">Odůvodnění výběru tematických cílů a odpovídajících investičních priorit s ohledem na dohodu o partnerství na základě určení regionálních a případně </w:t>
        </w:r>
        <w:bookmarkStart w:id="0" w:name="_GoBack"/>
        <w:bookmarkEnd w:id="0"/>
        <w:r w:rsidRPr="00145391">
          <w:rPr>
            <w:rStyle w:val="Hypertextovodkaz"/>
            <w:rFonts w:cs="Calibri"/>
          </w:rPr>
          <w:t>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r>
          <w:rPr>
            <w:webHidden/>
          </w:rPr>
          <w:tab/>
        </w:r>
        <w:r>
          <w:rPr>
            <w:webHidden/>
          </w:rPr>
          <w:fldChar w:fldCharType="begin"/>
        </w:r>
        <w:r>
          <w:rPr>
            <w:webHidden/>
          </w:rPr>
          <w:instrText xml:space="preserve"> PAGEREF _Toc129005362 \h </w:instrText>
        </w:r>
        <w:r>
          <w:rPr>
            <w:webHidden/>
          </w:rPr>
        </w:r>
        <w:r>
          <w:rPr>
            <w:webHidden/>
          </w:rPr>
          <w:fldChar w:fldCharType="separate"/>
        </w:r>
        <w:r>
          <w:rPr>
            <w:webHidden/>
          </w:rPr>
          <w:t>42</w:t>
        </w:r>
        <w:r>
          <w:rPr>
            <w:webHidden/>
          </w:rPr>
          <w:fldChar w:fldCharType="end"/>
        </w:r>
      </w:hyperlink>
    </w:p>
    <w:p w14:paraId="6E4859D5" w14:textId="0D86CF93"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363" w:history="1">
        <w:r w:rsidRPr="00145391">
          <w:rPr>
            <w:rStyle w:val="Hypertextovodkaz"/>
            <w:rFonts w:cs="Calibri"/>
            <w:noProof/>
          </w:rPr>
          <w:t>1.2</w:t>
        </w:r>
        <w:r>
          <w:rPr>
            <w:rFonts w:asciiTheme="minorHAnsi" w:eastAsiaTheme="minorEastAsia" w:hAnsiTheme="minorHAnsi" w:cstheme="minorBidi"/>
            <w:noProof/>
            <w:sz w:val="22"/>
            <w:szCs w:val="22"/>
          </w:rPr>
          <w:tab/>
        </w:r>
        <w:r w:rsidRPr="00145391">
          <w:rPr>
            <w:rStyle w:val="Hypertextovodkaz"/>
            <w:rFonts w:cs="Calibri"/>
            <w:noProof/>
          </w:rPr>
          <w:t>Odůvodnění přidělení finančních alokací</w:t>
        </w:r>
        <w:r>
          <w:rPr>
            <w:noProof/>
            <w:webHidden/>
          </w:rPr>
          <w:tab/>
        </w:r>
        <w:r>
          <w:rPr>
            <w:noProof/>
            <w:webHidden/>
          </w:rPr>
          <w:fldChar w:fldCharType="begin"/>
        </w:r>
        <w:r>
          <w:rPr>
            <w:noProof/>
            <w:webHidden/>
          </w:rPr>
          <w:instrText xml:space="preserve"> PAGEREF _Toc129005363 \h </w:instrText>
        </w:r>
        <w:r>
          <w:rPr>
            <w:noProof/>
            <w:webHidden/>
          </w:rPr>
        </w:r>
        <w:r>
          <w:rPr>
            <w:noProof/>
            <w:webHidden/>
          </w:rPr>
          <w:fldChar w:fldCharType="separate"/>
        </w:r>
        <w:r>
          <w:rPr>
            <w:noProof/>
            <w:webHidden/>
          </w:rPr>
          <w:t>49</w:t>
        </w:r>
        <w:r>
          <w:rPr>
            <w:noProof/>
            <w:webHidden/>
          </w:rPr>
          <w:fldChar w:fldCharType="end"/>
        </w:r>
      </w:hyperlink>
    </w:p>
    <w:p w14:paraId="68AB2707" w14:textId="488CED7B"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364" w:history="1">
        <w:r w:rsidRPr="00145391">
          <w:rPr>
            <w:rStyle w:val="Hypertextovodkaz"/>
            <w:noProof/>
            <w:spacing w:val="20"/>
          </w:rPr>
          <w:t>ODDÍL 2</w:t>
        </w:r>
        <w:r>
          <w:rPr>
            <w:rFonts w:asciiTheme="minorHAnsi" w:eastAsiaTheme="minorEastAsia" w:hAnsiTheme="minorHAnsi" w:cstheme="minorBidi"/>
            <w:b w:val="0"/>
            <w:noProof/>
            <w:sz w:val="22"/>
            <w:szCs w:val="22"/>
          </w:rPr>
          <w:tab/>
        </w:r>
        <w:r w:rsidRPr="00145391">
          <w:rPr>
            <w:rStyle w:val="Hypertextovodkaz"/>
            <w:noProof/>
          </w:rPr>
          <w:t>Prioritní osy</w:t>
        </w:r>
        <w:r>
          <w:rPr>
            <w:noProof/>
            <w:webHidden/>
          </w:rPr>
          <w:tab/>
        </w:r>
        <w:r>
          <w:rPr>
            <w:noProof/>
            <w:webHidden/>
          </w:rPr>
          <w:fldChar w:fldCharType="begin"/>
        </w:r>
        <w:r>
          <w:rPr>
            <w:noProof/>
            <w:webHidden/>
          </w:rPr>
          <w:instrText xml:space="preserve"> PAGEREF _Toc129005364 \h </w:instrText>
        </w:r>
        <w:r>
          <w:rPr>
            <w:noProof/>
            <w:webHidden/>
          </w:rPr>
        </w:r>
        <w:r>
          <w:rPr>
            <w:noProof/>
            <w:webHidden/>
          </w:rPr>
          <w:fldChar w:fldCharType="separate"/>
        </w:r>
        <w:r>
          <w:rPr>
            <w:noProof/>
            <w:webHidden/>
          </w:rPr>
          <w:t>56</w:t>
        </w:r>
        <w:r>
          <w:rPr>
            <w:noProof/>
            <w:webHidden/>
          </w:rPr>
          <w:fldChar w:fldCharType="end"/>
        </w:r>
      </w:hyperlink>
    </w:p>
    <w:p w14:paraId="0905320E" w14:textId="1612E6D7" w:rsidR="00013622" w:rsidRDefault="00013622">
      <w:pPr>
        <w:pStyle w:val="Obsah1"/>
        <w:tabs>
          <w:tab w:val="left" w:pos="600"/>
          <w:tab w:val="right" w:leader="dot" w:pos="9202"/>
        </w:tabs>
        <w:rPr>
          <w:rFonts w:asciiTheme="minorHAnsi" w:eastAsiaTheme="minorEastAsia" w:hAnsiTheme="minorHAnsi" w:cstheme="minorBidi"/>
          <w:b w:val="0"/>
          <w:noProof/>
          <w:sz w:val="22"/>
          <w:szCs w:val="22"/>
        </w:rPr>
      </w:pPr>
      <w:hyperlink w:anchor="_Toc129005365" w:history="1">
        <w:r w:rsidRPr="00145391">
          <w:rPr>
            <w:rStyle w:val="Hypertextovodkaz"/>
            <w:noProof/>
          </w:rPr>
          <w:t>2.A</w:t>
        </w:r>
        <w:r>
          <w:rPr>
            <w:rFonts w:asciiTheme="minorHAnsi" w:eastAsiaTheme="minorEastAsia" w:hAnsiTheme="minorHAnsi" w:cstheme="minorBidi"/>
            <w:b w:val="0"/>
            <w:noProof/>
            <w:sz w:val="22"/>
            <w:szCs w:val="22"/>
          </w:rPr>
          <w:tab/>
        </w:r>
        <w:r w:rsidRPr="00145391">
          <w:rPr>
            <w:rStyle w:val="Hypertextovodkaz"/>
            <w:noProof/>
          </w:rPr>
          <w:t>Popis prioritních os jiných než technická pomoc</w:t>
        </w:r>
        <w:r>
          <w:rPr>
            <w:noProof/>
            <w:webHidden/>
          </w:rPr>
          <w:tab/>
        </w:r>
        <w:r>
          <w:rPr>
            <w:noProof/>
            <w:webHidden/>
          </w:rPr>
          <w:fldChar w:fldCharType="begin"/>
        </w:r>
        <w:r>
          <w:rPr>
            <w:noProof/>
            <w:webHidden/>
          </w:rPr>
          <w:instrText xml:space="preserve"> PAGEREF _Toc129005365 \h </w:instrText>
        </w:r>
        <w:r>
          <w:rPr>
            <w:noProof/>
            <w:webHidden/>
          </w:rPr>
        </w:r>
        <w:r>
          <w:rPr>
            <w:noProof/>
            <w:webHidden/>
          </w:rPr>
          <w:fldChar w:fldCharType="separate"/>
        </w:r>
        <w:r>
          <w:rPr>
            <w:noProof/>
            <w:webHidden/>
          </w:rPr>
          <w:t>56</w:t>
        </w:r>
        <w:r>
          <w:rPr>
            <w:noProof/>
            <w:webHidden/>
          </w:rPr>
          <w:fldChar w:fldCharType="end"/>
        </w:r>
      </w:hyperlink>
    </w:p>
    <w:p w14:paraId="275DF5E4" w14:textId="7E59FAA5" w:rsidR="00013622" w:rsidRDefault="00013622">
      <w:pPr>
        <w:pStyle w:val="Obsah3"/>
        <w:rPr>
          <w:rFonts w:asciiTheme="minorHAnsi" w:eastAsiaTheme="minorEastAsia" w:hAnsiTheme="minorHAnsi" w:cstheme="minorBidi"/>
          <w:i w:val="0"/>
          <w:sz w:val="22"/>
          <w:szCs w:val="22"/>
        </w:rPr>
      </w:pPr>
      <w:hyperlink w:anchor="_Toc129005366" w:history="1">
        <w:r w:rsidRPr="00145391">
          <w:rPr>
            <w:rStyle w:val="Hypertextovodkaz"/>
          </w:rPr>
          <w:t>2.A.1</w:t>
        </w:r>
        <w:r>
          <w:rPr>
            <w:rFonts w:asciiTheme="minorHAnsi" w:eastAsiaTheme="minorEastAsia" w:hAnsiTheme="minorHAnsi" w:cstheme="minorBidi"/>
            <w:i w:val="0"/>
            <w:sz w:val="22"/>
            <w:szCs w:val="22"/>
          </w:rPr>
          <w:tab/>
        </w:r>
        <w:r w:rsidRPr="00145391">
          <w:rPr>
            <w:rStyle w:val="Hypertextovodkaz"/>
          </w:rPr>
          <w:t>PRIORITNÍ OSA 1: Rozvoj výzkumu a vývoje pro inovace</w:t>
        </w:r>
        <w:r>
          <w:rPr>
            <w:webHidden/>
          </w:rPr>
          <w:tab/>
        </w:r>
        <w:r>
          <w:rPr>
            <w:webHidden/>
          </w:rPr>
          <w:fldChar w:fldCharType="begin"/>
        </w:r>
        <w:r>
          <w:rPr>
            <w:webHidden/>
          </w:rPr>
          <w:instrText xml:space="preserve"> PAGEREF _Toc129005366 \h </w:instrText>
        </w:r>
        <w:r>
          <w:rPr>
            <w:webHidden/>
          </w:rPr>
        </w:r>
        <w:r>
          <w:rPr>
            <w:webHidden/>
          </w:rPr>
          <w:fldChar w:fldCharType="separate"/>
        </w:r>
        <w:r>
          <w:rPr>
            <w:webHidden/>
          </w:rPr>
          <w:t>56</w:t>
        </w:r>
        <w:r>
          <w:rPr>
            <w:webHidden/>
          </w:rPr>
          <w:fldChar w:fldCharType="end"/>
        </w:r>
      </w:hyperlink>
    </w:p>
    <w:p w14:paraId="5AAEE526" w14:textId="39C479F2" w:rsidR="00013622" w:rsidRDefault="00013622">
      <w:pPr>
        <w:pStyle w:val="Obsah3"/>
        <w:rPr>
          <w:rFonts w:asciiTheme="minorHAnsi" w:eastAsiaTheme="minorEastAsia" w:hAnsiTheme="minorHAnsi" w:cstheme="minorBidi"/>
          <w:i w:val="0"/>
          <w:sz w:val="22"/>
          <w:szCs w:val="22"/>
        </w:rPr>
      </w:pPr>
      <w:hyperlink w:anchor="_Toc129005367" w:history="1">
        <w:r w:rsidRPr="00145391">
          <w:rPr>
            <w:rStyle w:val="Hypertextovodkaz"/>
          </w:rPr>
          <w:t>2.A.2</w:t>
        </w:r>
        <w:r>
          <w:rPr>
            <w:rFonts w:asciiTheme="minorHAnsi" w:eastAsiaTheme="minorEastAsia" w:hAnsiTheme="minorHAnsi" w:cstheme="minorBidi"/>
            <w:i w:val="0"/>
            <w:sz w:val="22"/>
            <w:szCs w:val="22"/>
          </w:rPr>
          <w:tab/>
        </w:r>
        <w:r w:rsidRPr="00145391">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_Toc129005367 \h </w:instrText>
        </w:r>
        <w:r>
          <w:rPr>
            <w:webHidden/>
          </w:rPr>
        </w:r>
        <w:r>
          <w:rPr>
            <w:webHidden/>
          </w:rPr>
          <w:fldChar w:fldCharType="separate"/>
        </w:r>
        <w:r>
          <w:rPr>
            <w:webHidden/>
          </w:rPr>
          <w:t>56</w:t>
        </w:r>
        <w:r>
          <w:rPr>
            <w:webHidden/>
          </w:rPr>
          <w:fldChar w:fldCharType="end"/>
        </w:r>
      </w:hyperlink>
    </w:p>
    <w:p w14:paraId="0299BAED" w14:textId="37D839D2" w:rsidR="00013622" w:rsidRDefault="00013622">
      <w:pPr>
        <w:pStyle w:val="Obsah3"/>
        <w:rPr>
          <w:rFonts w:asciiTheme="minorHAnsi" w:eastAsiaTheme="minorEastAsia" w:hAnsiTheme="minorHAnsi" w:cstheme="minorBidi"/>
          <w:i w:val="0"/>
          <w:sz w:val="22"/>
          <w:szCs w:val="22"/>
        </w:rPr>
      </w:pPr>
      <w:hyperlink w:anchor="_Toc129005368" w:history="1">
        <w:r w:rsidRPr="00145391">
          <w:rPr>
            <w:rStyle w:val="Hypertextovodkaz"/>
          </w:rPr>
          <w:t>2.A.3</w:t>
        </w:r>
        <w:r>
          <w:rPr>
            <w:rFonts w:asciiTheme="minorHAnsi" w:eastAsiaTheme="minorEastAsia" w:hAnsiTheme="minorHAnsi" w:cstheme="minorBidi"/>
            <w:i w:val="0"/>
            <w:sz w:val="22"/>
            <w:szCs w:val="22"/>
          </w:rPr>
          <w:tab/>
        </w:r>
        <w:r w:rsidRPr="00145391">
          <w:rPr>
            <w:rStyle w:val="Hypertextovodkaz"/>
          </w:rPr>
          <w:t>Fond, kategorie regionů a základ pro výpočet podpory Unie</w:t>
        </w:r>
        <w:r>
          <w:rPr>
            <w:webHidden/>
          </w:rPr>
          <w:tab/>
        </w:r>
        <w:r>
          <w:rPr>
            <w:webHidden/>
          </w:rPr>
          <w:fldChar w:fldCharType="begin"/>
        </w:r>
        <w:r>
          <w:rPr>
            <w:webHidden/>
          </w:rPr>
          <w:instrText xml:space="preserve"> PAGEREF _Toc129005368 \h </w:instrText>
        </w:r>
        <w:r>
          <w:rPr>
            <w:webHidden/>
          </w:rPr>
        </w:r>
        <w:r>
          <w:rPr>
            <w:webHidden/>
          </w:rPr>
          <w:fldChar w:fldCharType="separate"/>
        </w:r>
        <w:r>
          <w:rPr>
            <w:webHidden/>
          </w:rPr>
          <w:t>56</w:t>
        </w:r>
        <w:r>
          <w:rPr>
            <w:webHidden/>
          </w:rPr>
          <w:fldChar w:fldCharType="end"/>
        </w:r>
      </w:hyperlink>
    </w:p>
    <w:p w14:paraId="5EA4BA96" w14:textId="5E09E9C1" w:rsidR="00013622" w:rsidRDefault="00013622">
      <w:pPr>
        <w:pStyle w:val="Obsah3"/>
        <w:rPr>
          <w:rFonts w:asciiTheme="minorHAnsi" w:eastAsiaTheme="minorEastAsia" w:hAnsiTheme="minorHAnsi" w:cstheme="minorBidi"/>
          <w:i w:val="0"/>
          <w:sz w:val="22"/>
          <w:szCs w:val="22"/>
        </w:rPr>
      </w:pPr>
      <w:hyperlink w:anchor="_Toc129005369"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1 prioritní osy 1: Podpora podnikových investic do výzkumu a inovací a vytváření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r>
          <w:rPr>
            <w:webHidden/>
          </w:rPr>
          <w:tab/>
        </w:r>
        <w:r>
          <w:rPr>
            <w:webHidden/>
          </w:rPr>
          <w:fldChar w:fldCharType="begin"/>
        </w:r>
        <w:r>
          <w:rPr>
            <w:webHidden/>
          </w:rPr>
          <w:instrText xml:space="preserve"> PAGEREF _Toc129005369 \h </w:instrText>
        </w:r>
        <w:r>
          <w:rPr>
            <w:webHidden/>
          </w:rPr>
        </w:r>
        <w:r>
          <w:rPr>
            <w:webHidden/>
          </w:rPr>
          <w:fldChar w:fldCharType="separate"/>
        </w:r>
        <w:r>
          <w:rPr>
            <w:webHidden/>
          </w:rPr>
          <w:t>56</w:t>
        </w:r>
        <w:r>
          <w:rPr>
            <w:webHidden/>
          </w:rPr>
          <w:fldChar w:fldCharType="end"/>
        </w:r>
      </w:hyperlink>
    </w:p>
    <w:p w14:paraId="7096F7F0" w14:textId="4F5EFA53" w:rsidR="00013622" w:rsidRDefault="00013622">
      <w:pPr>
        <w:pStyle w:val="Obsah3"/>
        <w:rPr>
          <w:rFonts w:asciiTheme="minorHAnsi" w:eastAsiaTheme="minorEastAsia" w:hAnsiTheme="minorHAnsi" w:cstheme="minorBidi"/>
          <w:i w:val="0"/>
          <w:sz w:val="22"/>
          <w:szCs w:val="22"/>
        </w:rPr>
      </w:pPr>
      <w:hyperlink w:anchor="_Toc129005370"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_Toc129005370 \h </w:instrText>
        </w:r>
        <w:r>
          <w:rPr>
            <w:webHidden/>
          </w:rPr>
        </w:r>
        <w:r>
          <w:rPr>
            <w:webHidden/>
          </w:rPr>
          <w:fldChar w:fldCharType="separate"/>
        </w:r>
        <w:r>
          <w:rPr>
            <w:webHidden/>
          </w:rPr>
          <w:t>56</w:t>
        </w:r>
        <w:r>
          <w:rPr>
            <w:webHidden/>
          </w:rPr>
          <w:fldChar w:fldCharType="end"/>
        </w:r>
      </w:hyperlink>
    </w:p>
    <w:p w14:paraId="6AB2B529" w14:textId="1EA1F4F3" w:rsidR="00013622" w:rsidRDefault="00013622">
      <w:pPr>
        <w:pStyle w:val="Obsah3"/>
        <w:rPr>
          <w:rFonts w:asciiTheme="minorHAnsi" w:eastAsiaTheme="minorEastAsia" w:hAnsiTheme="minorHAnsi" w:cstheme="minorBidi"/>
          <w:i w:val="0"/>
          <w:sz w:val="22"/>
          <w:szCs w:val="22"/>
        </w:rPr>
      </w:pPr>
      <w:hyperlink w:anchor="_Toc129005371"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_Toc129005371 \h </w:instrText>
        </w:r>
        <w:r>
          <w:rPr>
            <w:webHidden/>
          </w:rPr>
        </w:r>
        <w:r>
          <w:rPr>
            <w:webHidden/>
          </w:rPr>
          <w:fldChar w:fldCharType="separate"/>
        </w:r>
        <w:r>
          <w:rPr>
            <w:webHidden/>
          </w:rPr>
          <w:t>58</w:t>
        </w:r>
        <w:r>
          <w:rPr>
            <w:webHidden/>
          </w:rPr>
          <w:fldChar w:fldCharType="end"/>
        </w:r>
      </w:hyperlink>
    </w:p>
    <w:p w14:paraId="64DCD337" w14:textId="5F6A04A8" w:rsidR="00013622" w:rsidRDefault="00013622">
      <w:pPr>
        <w:pStyle w:val="Obsah3"/>
        <w:rPr>
          <w:rFonts w:asciiTheme="minorHAnsi" w:eastAsiaTheme="minorEastAsia" w:hAnsiTheme="minorHAnsi" w:cstheme="minorBidi"/>
          <w:i w:val="0"/>
          <w:sz w:val="22"/>
          <w:szCs w:val="22"/>
        </w:rPr>
      </w:pPr>
      <w:hyperlink w:anchor="_Toc129005372"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_Toc129005372 \h </w:instrText>
        </w:r>
        <w:r>
          <w:rPr>
            <w:webHidden/>
          </w:rPr>
        </w:r>
        <w:r>
          <w:rPr>
            <w:webHidden/>
          </w:rPr>
          <w:fldChar w:fldCharType="separate"/>
        </w:r>
        <w:r>
          <w:rPr>
            <w:webHidden/>
          </w:rPr>
          <w:t>60</w:t>
        </w:r>
        <w:r>
          <w:rPr>
            <w:webHidden/>
          </w:rPr>
          <w:fldChar w:fldCharType="end"/>
        </w:r>
      </w:hyperlink>
    </w:p>
    <w:p w14:paraId="069FBF59" w14:textId="0EC010C5" w:rsidR="00013622" w:rsidRDefault="00013622">
      <w:pPr>
        <w:pStyle w:val="Obsah3"/>
        <w:rPr>
          <w:rFonts w:asciiTheme="minorHAnsi" w:eastAsiaTheme="minorEastAsia" w:hAnsiTheme="minorHAnsi" w:cstheme="minorBidi"/>
          <w:i w:val="0"/>
          <w:sz w:val="22"/>
          <w:szCs w:val="22"/>
        </w:rPr>
      </w:pPr>
      <w:hyperlink w:anchor="_Toc129005373"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_Toc129005373 \h </w:instrText>
        </w:r>
        <w:r>
          <w:rPr>
            <w:webHidden/>
          </w:rPr>
        </w:r>
        <w:r>
          <w:rPr>
            <w:webHidden/>
          </w:rPr>
          <w:fldChar w:fldCharType="separate"/>
        </w:r>
        <w:r>
          <w:rPr>
            <w:webHidden/>
          </w:rPr>
          <w:t>62</w:t>
        </w:r>
        <w:r>
          <w:rPr>
            <w:webHidden/>
          </w:rPr>
          <w:fldChar w:fldCharType="end"/>
        </w:r>
      </w:hyperlink>
    </w:p>
    <w:p w14:paraId="397C6F0E" w14:textId="75AB3DFD" w:rsidR="00013622" w:rsidRDefault="00013622">
      <w:pPr>
        <w:pStyle w:val="Obsah3"/>
        <w:rPr>
          <w:rFonts w:asciiTheme="minorHAnsi" w:eastAsiaTheme="minorEastAsia" w:hAnsiTheme="minorHAnsi" w:cstheme="minorBidi"/>
          <w:i w:val="0"/>
          <w:sz w:val="22"/>
          <w:szCs w:val="22"/>
        </w:rPr>
      </w:pPr>
      <w:hyperlink w:anchor="_Toc129005374" w:history="1">
        <w:r w:rsidRPr="00145391">
          <w:rPr>
            <w:rStyle w:val="Hypertextovodkaz"/>
          </w:rPr>
          <w:t>2.A.7</w:t>
        </w:r>
        <w:r>
          <w:rPr>
            <w:rFonts w:asciiTheme="minorHAnsi" w:eastAsiaTheme="minorEastAsia" w:hAnsiTheme="minorHAnsi" w:cstheme="minorBidi"/>
            <w:i w:val="0"/>
            <w:sz w:val="22"/>
            <w:szCs w:val="22"/>
          </w:rPr>
          <w:tab/>
        </w:r>
        <w:r w:rsidRPr="00145391">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_Toc129005374 \h </w:instrText>
        </w:r>
        <w:r>
          <w:rPr>
            <w:webHidden/>
          </w:rPr>
        </w:r>
        <w:r>
          <w:rPr>
            <w:webHidden/>
          </w:rPr>
          <w:fldChar w:fldCharType="separate"/>
        </w:r>
        <w:r>
          <w:rPr>
            <w:webHidden/>
          </w:rPr>
          <w:t>68</w:t>
        </w:r>
        <w:r>
          <w:rPr>
            <w:webHidden/>
          </w:rPr>
          <w:fldChar w:fldCharType="end"/>
        </w:r>
      </w:hyperlink>
    </w:p>
    <w:p w14:paraId="75BD4EFD" w14:textId="16A966B2" w:rsidR="00013622" w:rsidRDefault="00013622">
      <w:pPr>
        <w:pStyle w:val="Obsah3"/>
        <w:rPr>
          <w:rFonts w:asciiTheme="minorHAnsi" w:eastAsiaTheme="minorEastAsia" w:hAnsiTheme="minorHAnsi" w:cstheme="minorBidi"/>
          <w:i w:val="0"/>
          <w:sz w:val="22"/>
          <w:szCs w:val="22"/>
        </w:rPr>
      </w:pPr>
      <w:hyperlink w:anchor="_Toc129005375" w:history="1">
        <w:r w:rsidRPr="00145391">
          <w:rPr>
            <w:rStyle w:val="Hypertextovodkaz"/>
          </w:rPr>
          <w:t>2.A.8</w:t>
        </w:r>
        <w:r>
          <w:rPr>
            <w:rFonts w:asciiTheme="minorHAnsi" w:eastAsiaTheme="minorEastAsia" w:hAnsiTheme="minorHAnsi" w:cstheme="minorBidi"/>
            <w:i w:val="0"/>
            <w:sz w:val="22"/>
            <w:szCs w:val="22"/>
          </w:rPr>
          <w:tab/>
        </w:r>
        <w:r w:rsidRPr="00145391">
          <w:rPr>
            <w:rStyle w:val="Hypertextovodkaz"/>
          </w:rPr>
          <w:t>Výkonnostní rámec</w:t>
        </w:r>
        <w:r>
          <w:rPr>
            <w:webHidden/>
          </w:rPr>
          <w:tab/>
        </w:r>
        <w:r>
          <w:rPr>
            <w:webHidden/>
          </w:rPr>
          <w:fldChar w:fldCharType="begin"/>
        </w:r>
        <w:r>
          <w:rPr>
            <w:webHidden/>
          </w:rPr>
          <w:instrText xml:space="preserve"> PAGEREF _Toc129005375 \h </w:instrText>
        </w:r>
        <w:r>
          <w:rPr>
            <w:webHidden/>
          </w:rPr>
        </w:r>
        <w:r>
          <w:rPr>
            <w:webHidden/>
          </w:rPr>
          <w:fldChar w:fldCharType="separate"/>
        </w:r>
        <w:r>
          <w:rPr>
            <w:webHidden/>
          </w:rPr>
          <w:t>69</w:t>
        </w:r>
        <w:r>
          <w:rPr>
            <w:webHidden/>
          </w:rPr>
          <w:fldChar w:fldCharType="end"/>
        </w:r>
      </w:hyperlink>
    </w:p>
    <w:p w14:paraId="7A8C371E" w14:textId="7E5E5A17" w:rsidR="00013622" w:rsidRDefault="00013622">
      <w:pPr>
        <w:pStyle w:val="Obsah3"/>
        <w:rPr>
          <w:rFonts w:asciiTheme="minorHAnsi" w:eastAsiaTheme="minorEastAsia" w:hAnsiTheme="minorHAnsi" w:cstheme="minorBidi"/>
          <w:i w:val="0"/>
          <w:sz w:val="22"/>
          <w:szCs w:val="22"/>
        </w:rPr>
      </w:pPr>
      <w:hyperlink w:anchor="_Toc129005376" w:history="1">
        <w:r w:rsidRPr="00145391">
          <w:rPr>
            <w:rStyle w:val="Hypertextovodkaz"/>
          </w:rPr>
          <w:t>2.A.9</w:t>
        </w:r>
        <w:r>
          <w:rPr>
            <w:rFonts w:asciiTheme="minorHAnsi" w:eastAsiaTheme="minorEastAsia" w:hAnsiTheme="minorHAnsi" w:cstheme="minorBidi"/>
            <w:i w:val="0"/>
            <w:sz w:val="22"/>
            <w:szCs w:val="22"/>
          </w:rPr>
          <w:tab/>
        </w:r>
        <w:r w:rsidRPr="00145391">
          <w:rPr>
            <w:rStyle w:val="Hypertextovodkaz"/>
          </w:rPr>
          <w:t>Kategorie zásahů</w:t>
        </w:r>
        <w:r>
          <w:rPr>
            <w:webHidden/>
          </w:rPr>
          <w:tab/>
        </w:r>
        <w:r>
          <w:rPr>
            <w:webHidden/>
          </w:rPr>
          <w:fldChar w:fldCharType="begin"/>
        </w:r>
        <w:r>
          <w:rPr>
            <w:webHidden/>
          </w:rPr>
          <w:instrText xml:space="preserve"> PAGEREF _Toc129005376 \h </w:instrText>
        </w:r>
        <w:r>
          <w:rPr>
            <w:webHidden/>
          </w:rPr>
        </w:r>
        <w:r>
          <w:rPr>
            <w:webHidden/>
          </w:rPr>
          <w:fldChar w:fldCharType="separate"/>
        </w:r>
        <w:r>
          <w:rPr>
            <w:webHidden/>
          </w:rPr>
          <w:t>72</w:t>
        </w:r>
        <w:r>
          <w:rPr>
            <w:webHidden/>
          </w:rPr>
          <w:fldChar w:fldCharType="end"/>
        </w:r>
      </w:hyperlink>
    </w:p>
    <w:p w14:paraId="702B79CC" w14:textId="1C63360F" w:rsidR="00013622" w:rsidRDefault="00013622">
      <w:pPr>
        <w:pStyle w:val="Obsah3"/>
        <w:rPr>
          <w:rFonts w:asciiTheme="minorHAnsi" w:eastAsiaTheme="minorEastAsia" w:hAnsiTheme="minorHAnsi" w:cstheme="minorBidi"/>
          <w:i w:val="0"/>
          <w:sz w:val="22"/>
          <w:szCs w:val="22"/>
        </w:rPr>
      </w:pPr>
      <w:hyperlink w:anchor="_Toc129005377" w:history="1">
        <w:r w:rsidRPr="00145391">
          <w:rPr>
            <w:rStyle w:val="Hypertextovodkaz"/>
          </w:rPr>
          <w:t>2.A.10</w:t>
        </w:r>
        <w:r>
          <w:rPr>
            <w:rFonts w:asciiTheme="minorHAnsi" w:eastAsiaTheme="minorEastAsia" w:hAnsiTheme="minorHAnsi" w:cstheme="minorBidi"/>
            <w:i w:val="0"/>
            <w:sz w:val="22"/>
            <w:szCs w:val="22"/>
          </w:rPr>
          <w:tab/>
        </w:r>
        <w:r w:rsidRPr="00145391">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_Toc129005377 \h </w:instrText>
        </w:r>
        <w:r>
          <w:rPr>
            <w:webHidden/>
          </w:rPr>
        </w:r>
        <w:r>
          <w:rPr>
            <w:webHidden/>
          </w:rPr>
          <w:fldChar w:fldCharType="separate"/>
        </w:r>
        <w:r>
          <w:rPr>
            <w:webHidden/>
          </w:rPr>
          <w:t>72</w:t>
        </w:r>
        <w:r>
          <w:rPr>
            <w:webHidden/>
          </w:rPr>
          <w:fldChar w:fldCharType="end"/>
        </w:r>
      </w:hyperlink>
    </w:p>
    <w:p w14:paraId="4EEC89B5" w14:textId="7118B7E4" w:rsidR="00013622" w:rsidRDefault="00013622">
      <w:pPr>
        <w:pStyle w:val="Obsah3"/>
        <w:rPr>
          <w:rFonts w:asciiTheme="minorHAnsi" w:eastAsiaTheme="minorEastAsia" w:hAnsiTheme="minorHAnsi" w:cstheme="minorBidi"/>
          <w:i w:val="0"/>
          <w:sz w:val="22"/>
          <w:szCs w:val="22"/>
        </w:rPr>
      </w:pPr>
      <w:hyperlink w:anchor="_Toc129005378" w:history="1">
        <w:r w:rsidRPr="00145391">
          <w:rPr>
            <w:rStyle w:val="Hypertextovodkaz"/>
          </w:rPr>
          <w:t>2.A.1</w:t>
        </w:r>
        <w:r>
          <w:rPr>
            <w:rFonts w:asciiTheme="minorHAnsi" w:eastAsiaTheme="minorEastAsia" w:hAnsiTheme="minorHAnsi" w:cstheme="minorBidi"/>
            <w:i w:val="0"/>
            <w:sz w:val="22"/>
            <w:szCs w:val="22"/>
          </w:rPr>
          <w:tab/>
        </w:r>
        <w:r w:rsidRPr="00145391">
          <w:rPr>
            <w:rStyle w:val="Hypertextovodkaz"/>
          </w:rPr>
          <w:t>PRIORITNÍ OSA 2: Rozvoj podnikání a konkurenceschopnosti malých a středních podniků</w:t>
        </w:r>
        <w:r>
          <w:rPr>
            <w:webHidden/>
          </w:rPr>
          <w:tab/>
        </w:r>
        <w:r>
          <w:rPr>
            <w:webHidden/>
          </w:rPr>
          <w:fldChar w:fldCharType="begin"/>
        </w:r>
        <w:r>
          <w:rPr>
            <w:webHidden/>
          </w:rPr>
          <w:instrText xml:space="preserve"> PAGEREF _Toc129005378 \h </w:instrText>
        </w:r>
        <w:r>
          <w:rPr>
            <w:webHidden/>
          </w:rPr>
        </w:r>
        <w:r>
          <w:rPr>
            <w:webHidden/>
          </w:rPr>
          <w:fldChar w:fldCharType="separate"/>
        </w:r>
        <w:r>
          <w:rPr>
            <w:webHidden/>
          </w:rPr>
          <w:t>73</w:t>
        </w:r>
        <w:r>
          <w:rPr>
            <w:webHidden/>
          </w:rPr>
          <w:fldChar w:fldCharType="end"/>
        </w:r>
      </w:hyperlink>
    </w:p>
    <w:p w14:paraId="636BD5AB" w14:textId="78026BE6" w:rsidR="00013622" w:rsidRDefault="00013622">
      <w:pPr>
        <w:pStyle w:val="Obsah3"/>
        <w:rPr>
          <w:rFonts w:asciiTheme="minorHAnsi" w:eastAsiaTheme="minorEastAsia" w:hAnsiTheme="minorHAnsi" w:cstheme="minorBidi"/>
          <w:i w:val="0"/>
          <w:sz w:val="22"/>
          <w:szCs w:val="22"/>
        </w:rPr>
      </w:pPr>
      <w:hyperlink w:anchor="_Toc129005379" w:history="1">
        <w:r w:rsidRPr="00145391">
          <w:rPr>
            <w:rStyle w:val="Hypertextovodkaz"/>
          </w:rPr>
          <w:t>2.A.2</w:t>
        </w:r>
        <w:r>
          <w:rPr>
            <w:rFonts w:asciiTheme="minorHAnsi" w:eastAsiaTheme="minorEastAsia" w:hAnsiTheme="minorHAnsi" w:cstheme="minorBidi"/>
            <w:i w:val="0"/>
            <w:sz w:val="22"/>
            <w:szCs w:val="22"/>
          </w:rPr>
          <w:tab/>
        </w:r>
        <w:r w:rsidRPr="00145391">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_Toc129005379 \h </w:instrText>
        </w:r>
        <w:r>
          <w:rPr>
            <w:webHidden/>
          </w:rPr>
        </w:r>
        <w:r>
          <w:rPr>
            <w:webHidden/>
          </w:rPr>
          <w:fldChar w:fldCharType="separate"/>
        </w:r>
        <w:r>
          <w:rPr>
            <w:webHidden/>
          </w:rPr>
          <w:t>73</w:t>
        </w:r>
        <w:r>
          <w:rPr>
            <w:webHidden/>
          </w:rPr>
          <w:fldChar w:fldCharType="end"/>
        </w:r>
      </w:hyperlink>
    </w:p>
    <w:p w14:paraId="3AF0F70F" w14:textId="4D1AA66B" w:rsidR="00013622" w:rsidRDefault="00013622">
      <w:pPr>
        <w:pStyle w:val="Obsah3"/>
        <w:rPr>
          <w:rFonts w:asciiTheme="minorHAnsi" w:eastAsiaTheme="minorEastAsia" w:hAnsiTheme="minorHAnsi" w:cstheme="minorBidi"/>
          <w:i w:val="0"/>
          <w:sz w:val="22"/>
          <w:szCs w:val="22"/>
        </w:rPr>
      </w:pPr>
      <w:hyperlink w:anchor="_Toc129005380" w:history="1">
        <w:r w:rsidRPr="00145391">
          <w:rPr>
            <w:rStyle w:val="Hypertextovodkaz"/>
          </w:rPr>
          <w:t>2.A.3</w:t>
        </w:r>
        <w:r>
          <w:rPr>
            <w:rFonts w:asciiTheme="minorHAnsi" w:eastAsiaTheme="minorEastAsia" w:hAnsiTheme="minorHAnsi" w:cstheme="minorBidi"/>
            <w:i w:val="0"/>
            <w:sz w:val="22"/>
            <w:szCs w:val="22"/>
          </w:rPr>
          <w:tab/>
        </w:r>
        <w:r w:rsidRPr="00145391">
          <w:rPr>
            <w:rStyle w:val="Hypertextovodkaz"/>
          </w:rPr>
          <w:t>Fond, kategorie regionů a základ pro výpočet podpory Unie</w:t>
        </w:r>
        <w:r>
          <w:rPr>
            <w:webHidden/>
          </w:rPr>
          <w:tab/>
        </w:r>
        <w:r>
          <w:rPr>
            <w:webHidden/>
          </w:rPr>
          <w:fldChar w:fldCharType="begin"/>
        </w:r>
        <w:r>
          <w:rPr>
            <w:webHidden/>
          </w:rPr>
          <w:instrText xml:space="preserve"> PAGEREF _Toc129005380 \h </w:instrText>
        </w:r>
        <w:r>
          <w:rPr>
            <w:webHidden/>
          </w:rPr>
        </w:r>
        <w:r>
          <w:rPr>
            <w:webHidden/>
          </w:rPr>
          <w:fldChar w:fldCharType="separate"/>
        </w:r>
        <w:r>
          <w:rPr>
            <w:webHidden/>
          </w:rPr>
          <w:t>73</w:t>
        </w:r>
        <w:r>
          <w:rPr>
            <w:webHidden/>
          </w:rPr>
          <w:fldChar w:fldCharType="end"/>
        </w:r>
      </w:hyperlink>
    </w:p>
    <w:p w14:paraId="4942D08B" w14:textId="1CCBCBA9" w:rsidR="00013622" w:rsidRDefault="00013622">
      <w:pPr>
        <w:pStyle w:val="Obsah3"/>
        <w:rPr>
          <w:rFonts w:asciiTheme="minorHAnsi" w:eastAsiaTheme="minorEastAsia" w:hAnsiTheme="minorHAnsi" w:cstheme="minorBidi"/>
          <w:i w:val="0"/>
          <w:sz w:val="22"/>
          <w:szCs w:val="22"/>
        </w:rPr>
      </w:pPr>
      <w:hyperlink w:anchor="_Toc129005381"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1 prioritní osy 2: Podpora podnikání, zejména usnadněním hospodářského využívání nových myšlenek a podporou zakládání nových firem, mimo jiné prostřednictvím podnikatelských inkubátorů</w:t>
        </w:r>
        <w:r>
          <w:rPr>
            <w:webHidden/>
          </w:rPr>
          <w:tab/>
        </w:r>
        <w:r>
          <w:rPr>
            <w:webHidden/>
          </w:rPr>
          <w:fldChar w:fldCharType="begin"/>
        </w:r>
        <w:r>
          <w:rPr>
            <w:webHidden/>
          </w:rPr>
          <w:instrText xml:space="preserve"> PAGEREF _Toc129005381 \h </w:instrText>
        </w:r>
        <w:r>
          <w:rPr>
            <w:webHidden/>
          </w:rPr>
        </w:r>
        <w:r>
          <w:rPr>
            <w:webHidden/>
          </w:rPr>
          <w:fldChar w:fldCharType="separate"/>
        </w:r>
        <w:r>
          <w:rPr>
            <w:webHidden/>
          </w:rPr>
          <w:t>73</w:t>
        </w:r>
        <w:r>
          <w:rPr>
            <w:webHidden/>
          </w:rPr>
          <w:fldChar w:fldCharType="end"/>
        </w:r>
      </w:hyperlink>
    </w:p>
    <w:p w14:paraId="23473306" w14:textId="6AF23EFC" w:rsidR="00013622" w:rsidRDefault="00013622">
      <w:pPr>
        <w:pStyle w:val="Obsah3"/>
        <w:rPr>
          <w:rFonts w:asciiTheme="minorHAnsi" w:eastAsiaTheme="minorEastAsia" w:hAnsiTheme="minorHAnsi" w:cstheme="minorBidi"/>
          <w:i w:val="0"/>
          <w:sz w:val="22"/>
          <w:szCs w:val="22"/>
        </w:rPr>
      </w:pPr>
      <w:hyperlink w:anchor="_Toc129005382"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_Toc129005382 \h </w:instrText>
        </w:r>
        <w:r>
          <w:rPr>
            <w:webHidden/>
          </w:rPr>
        </w:r>
        <w:r>
          <w:rPr>
            <w:webHidden/>
          </w:rPr>
          <w:fldChar w:fldCharType="separate"/>
        </w:r>
        <w:r>
          <w:rPr>
            <w:webHidden/>
          </w:rPr>
          <w:t>73</w:t>
        </w:r>
        <w:r>
          <w:rPr>
            <w:webHidden/>
          </w:rPr>
          <w:fldChar w:fldCharType="end"/>
        </w:r>
      </w:hyperlink>
    </w:p>
    <w:p w14:paraId="7D7D2E70" w14:textId="4DC05C74" w:rsidR="00013622" w:rsidRDefault="00013622">
      <w:pPr>
        <w:pStyle w:val="Obsah3"/>
        <w:rPr>
          <w:rFonts w:asciiTheme="minorHAnsi" w:eastAsiaTheme="minorEastAsia" w:hAnsiTheme="minorHAnsi" w:cstheme="minorBidi"/>
          <w:i w:val="0"/>
          <w:sz w:val="22"/>
          <w:szCs w:val="22"/>
        </w:rPr>
      </w:pPr>
      <w:hyperlink w:anchor="_Toc129005383"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_Toc129005383 \h </w:instrText>
        </w:r>
        <w:r>
          <w:rPr>
            <w:webHidden/>
          </w:rPr>
        </w:r>
        <w:r>
          <w:rPr>
            <w:webHidden/>
          </w:rPr>
          <w:fldChar w:fldCharType="separate"/>
        </w:r>
        <w:r>
          <w:rPr>
            <w:webHidden/>
          </w:rPr>
          <w:t>74</w:t>
        </w:r>
        <w:r>
          <w:rPr>
            <w:webHidden/>
          </w:rPr>
          <w:fldChar w:fldCharType="end"/>
        </w:r>
      </w:hyperlink>
    </w:p>
    <w:p w14:paraId="466B86E8" w14:textId="6F92C15E" w:rsidR="00013622" w:rsidRDefault="00013622">
      <w:pPr>
        <w:pStyle w:val="Obsah3"/>
        <w:rPr>
          <w:rFonts w:asciiTheme="minorHAnsi" w:eastAsiaTheme="minorEastAsia" w:hAnsiTheme="minorHAnsi" w:cstheme="minorBidi"/>
          <w:i w:val="0"/>
          <w:sz w:val="22"/>
          <w:szCs w:val="22"/>
        </w:rPr>
      </w:pPr>
      <w:hyperlink w:anchor="_Toc129005384"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2 prioritní osy 2: Vyvíjení a provádění nových obchodních modelů pro MSP, zejména pro oblast mezinárodního obchodu</w:t>
        </w:r>
        <w:r>
          <w:rPr>
            <w:webHidden/>
          </w:rPr>
          <w:tab/>
        </w:r>
        <w:r>
          <w:rPr>
            <w:webHidden/>
          </w:rPr>
          <w:fldChar w:fldCharType="begin"/>
        </w:r>
        <w:r>
          <w:rPr>
            <w:webHidden/>
          </w:rPr>
          <w:instrText xml:space="preserve"> PAGEREF _Toc129005384 \h </w:instrText>
        </w:r>
        <w:r>
          <w:rPr>
            <w:webHidden/>
          </w:rPr>
        </w:r>
        <w:r>
          <w:rPr>
            <w:webHidden/>
          </w:rPr>
          <w:fldChar w:fldCharType="separate"/>
        </w:r>
        <w:r>
          <w:rPr>
            <w:webHidden/>
          </w:rPr>
          <w:t>79</w:t>
        </w:r>
        <w:r>
          <w:rPr>
            <w:webHidden/>
          </w:rPr>
          <w:fldChar w:fldCharType="end"/>
        </w:r>
      </w:hyperlink>
    </w:p>
    <w:p w14:paraId="262354D0" w14:textId="411A575A" w:rsidR="00013622" w:rsidRDefault="00013622">
      <w:pPr>
        <w:pStyle w:val="Obsah3"/>
        <w:rPr>
          <w:rFonts w:asciiTheme="minorHAnsi" w:eastAsiaTheme="minorEastAsia" w:hAnsiTheme="minorHAnsi" w:cstheme="minorBidi"/>
          <w:i w:val="0"/>
          <w:sz w:val="22"/>
          <w:szCs w:val="22"/>
        </w:rPr>
      </w:pPr>
      <w:hyperlink w:anchor="_Toc129005385"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_Toc129005385 \h </w:instrText>
        </w:r>
        <w:r>
          <w:rPr>
            <w:webHidden/>
          </w:rPr>
        </w:r>
        <w:r>
          <w:rPr>
            <w:webHidden/>
          </w:rPr>
          <w:fldChar w:fldCharType="separate"/>
        </w:r>
        <w:r>
          <w:rPr>
            <w:webHidden/>
          </w:rPr>
          <w:t>79</w:t>
        </w:r>
        <w:r>
          <w:rPr>
            <w:webHidden/>
          </w:rPr>
          <w:fldChar w:fldCharType="end"/>
        </w:r>
      </w:hyperlink>
    </w:p>
    <w:p w14:paraId="347983EF" w14:textId="0B8E3D7B" w:rsidR="00013622" w:rsidRDefault="00013622">
      <w:pPr>
        <w:pStyle w:val="Obsah3"/>
        <w:rPr>
          <w:rFonts w:asciiTheme="minorHAnsi" w:eastAsiaTheme="minorEastAsia" w:hAnsiTheme="minorHAnsi" w:cstheme="minorBidi"/>
          <w:i w:val="0"/>
          <w:sz w:val="22"/>
          <w:szCs w:val="22"/>
        </w:rPr>
      </w:pPr>
      <w:hyperlink w:anchor="_Toc129005386"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_Toc129005386 \h </w:instrText>
        </w:r>
        <w:r>
          <w:rPr>
            <w:webHidden/>
          </w:rPr>
        </w:r>
        <w:r>
          <w:rPr>
            <w:webHidden/>
          </w:rPr>
          <w:fldChar w:fldCharType="separate"/>
        </w:r>
        <w:r>
          <w:rPr>
            <w:webHidden/>
          </w:rPr>
          <w:t>80</w:t>
        </w:r>
        <w:r>
          <w:rPr>
            <w:webHidden/>
          </w:rPr>
          <w:fldChar w:fldCharType="end"/>
        </w:r>
      </w:hyperlink>
    </w:p>
    <w:p w14:paraId="34C72F88" w14:textId="756CD95A" w:rsidR="00013622" w:rsidRDefault="00013622">
      <w:pPr>
        <w:pStyle w:val="Obsah3"/>
        <w:rPr>
          <w:rFonts w:asciiTheme="minorHAnsi" w:eastAsiaTheme="minorEastAsia" w:hAnsiTheme="minorHAnsi" w:cstheme="minorBidi"/>
          <w:i w:val="0"/>
          <w:sz w:val="22"/>
          <w:szCs w:val="22"/>
        </w:rPr>
      </w:pPr>
      <w:hyperlink w:anchor="_Toc129005387"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3 prioritní osy 2: Podpora vytváření a rozšiřování vyspělých kapacit pro rozvoj produktů a služeb</w:t>
        </w:r>
        <w:r>
          <w:rPr>
            <w:webHidden/>
          </w:rPr>
          <w:tab/>
        </w:r>
        <w:r>
          <w:rPr>
            <w:webHidden/>
          </w:rPr>
          <w:fldChar w:fldCharType="begin"/>
        </w:r>
        <w:r>
          <w:rPr>
            <w:webHidden/>
          </w:rPr>
          <w:instrText xml:space="preserve"> PAGEREF _Toc129005387 \h </w:instrText>
        </w:r>
        <w:r>
          <w:rPr>
            <w:webHidden/>
          </w:rPr>
        </w:r>
        <w:r>
          <w:rPr>
            <w:webHidden/>
          </w:rPr>
          <w:fldChar w:fldCharType="separate"/>
        </w:r>
        <w:r>
          <w:rPr>
            <w:webHidden/>
          </w:rPr>
          <w:t>83</w:t>
        </w:r>
        <w:r>
          <w:rPr>
            <w:webHidden/>
          </w:rPr>
          <w:fldChar w:fldCharType="end"/>
        </w:r>
      </w:hyperlink>
    </w:p>
    <w:p w14:paraId="587747BA" w14:textId="0D830511" w:rsidR="00013622" w:rsidRDefault="00013622">
      <w:pPr>
        <w:pStyle w:val="Obsah3"/>
        <w:rPr>
          <w:rFonts w:asciiTheme="minorHAnsi" w:eastAsiaTheme="minorEastAsia" w:hAnsiTheme="minorHAnsi" w:cstheme="minorBidi"/>
          <w:i w:val="0"/>
          <w:sz w:val="22"/>
          <w:szCs w:val="22"/>
        </w:rPr>
      </w:pPr>
      <w:hyperlink w:anchor="_Toc129005388"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_Toc129005388 \h </w:instrText>
        </w:r>
        <w:r>
          <w:rPr>
            <w:webHidden/>
          </w:rPr>
        </w:r>
        <w:r>
          <w:rPr>
            <w:webHidden/>
          </w:rPr>
          <w:fldChar w:fldCharType="separate"/>
        </w:r>
        <w:r>
          <w:rPr>
            <w:webHidden/>
          </w:rPr>
          <w:t>83</w:t>
        </w:r>
        <w:r>
          <w:rPr>
            <w:webHidden/>
          </w:rPr>
          <w:fldChar w:fldCharType="end"/>
        </w:r>
      </w:hyperlink>
    </w:p>
    <w:p w14:paraId="730783CF" w14:textId="5680B289" w:rsidR="00013622" w:rsidRDefault="00013622">
      <w:pPr>
        <w:pStyle w:val="Obsah3"/>
        <w:rPr>
          <w:rFonts w:asciiTheme="minorHAnsi" w:eastAsiaTheme="minorEastAsia" w:hAnsiTheme="minorHAnsi" w:cstheme="minorBidi"/>
          <w:i w:val="0"/>
          <w:sz w:val="22"/>
          <w:szCs w:val="22"/>
        </w:rPr>
      </w:pPr>
      <w:hyperlink w:anchor="_Toc129005389"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_Toc129005389 \h </w:instrText>
        </w:r>
        <w:r>
          <w:rPr>
            <w:webHidden/>
          </w:rPr>
        </w:r>
        <w:r>
          <w:rPr>
            <w:webHidden/>
          </w:rPr>
          <w:fldChar w:fldCharType="separate"/>
        </w:r>
        <w:r>
          <w:rPr>
            <w:webHidden/>
          </w:rPr>
          <w:t>84</w:t>
        </w:r>
        <w:r>
          <w:rPr>
            <w:webHidden/>
          </w:rPr>
          <w:fldChar w:fldCharType="end"/>
        </w:r>
      </w:hyperlink>
    </w:p>
    <w:p w14:paraId="025882DB" w14:textId="5678FBF8" w:rsidR="00013622" w:rsidRDefault="00013622">
      <w:pPr>
        <w:pStyle w:val="Obsah3"/>
        <w:rPr>
          <w:rFonts w:asciiTheme="minorHAnsi" w:eastAsiaTheme="minorEastAsia" w:hAnsiTheme="minorHAnsi" w:cstheme="minorBidi"/>
          <w:i w:val="0"/>
          <w:sz w:val="22"/>
          <w:szCs w:val="22"/>
        </w:rPr>
      </w:pPr>
      <w:hyperlink w:anchor="_Toc129005390"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_Toc129005390 \h </w:instrText>
        </w:r>
        <w:r>
          <w:rPr>
            <w:webHidden/>
          </w:rPr>
        </w:r>
        <w:r>
          <w:rPr>
            <w:webHidden/>
          </w:rPr>
          <w:fldChar w:fldCharType="separate"/>
        </w:r>
        <w:r>
          <w:rPr>
            <w:webHidden/>
          </w:rPr>
          <w:t>86</w:t>
        </w:r>
        <w:r>
          <w:rPr>
            <w:webHidden/>
          </w:rPr>
          <w:fldChar w:fldCharType="end"/>
        </w:r>
      </w:hyperlink>
    </w:p>
    <w:p w14:paraId="18A0B958" w14:textId="00D37338" w:rsidR="00013622" w:rsidRDefault="00013622">
      <w:pPr>
        <w:pStyle w:val="Obsah3"/>
        <w:rPr>
          <w:rFonts w:asciiTheme="minorHAnsi" w:eastAsiaTheme="minorEastAsia" w:hAnsiTheme="minorHAnsi" w:cstheme="minorBidi"/>
          <w:i w:val="0"/>
          <w:sz w:val="22"/>
          <w:szCs w:val="22"/>
        </w:rPr>
      </w:pPr>
      <w:hyperlink w:anchor="_Toc129005391"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_Toc129005391 \h </w:instrText>
        </w:r>
        <w:r>
          <w:rPr>
            <w:webHidden/>
          </w:rPr>
        </w:r>
        <w:r>
          <w:rPr>
            <w:webHidden/>
          </w:rPr>
          <w:fldChar w:fldCharType="separate"/>
        </w:r>
        <w:r>
          <w:rPr>
            <w:webHidden/>
          </w:rPr>
          <w:t>87</w:t>
        </w:r>
        <w:r>
          <w:rPr>
            <w:webHidden/>
          </w:rPr>
          <w:fldChar w:fldCharType="end"/>
        </w:r>
      </w:hyperlink>
    </w:p>
    <w:p w14:paraId="68F317C5" w14:textId="55E8E281" w:rsidR="00013622" w:rsidRDefault="00013622">
      <w:pPr>
        <w:pStyle w:val="Obsah3"/>
        <w:rPr>
          <w:rFonts w:asciiTheme="minorHAnsi" w:eastAsiaTheme="minorEastAsia" w:hAnsiTheme="minorHAnsi" w:cstheme="minorBidi"/>
          <w:i w:val="0"/>
          <w:sz w:val="22"/>
          <w:szCs w:val="22"/>
        </w:rPr>
      </w:pPr>
      <w:hyperlink w:anchor="_Toc129005392" w:history="1">
        <w:r w:rsidRPr="00145391">
          <w:rPr>
            <w:rStyle w:val="Hypertextovodkaz"/>
          </w:rPr>
          <w:t>2.A.7</w:t>
        </w:r>
        <w:r>
          <w:rPr>
            <w:rFonts w:asciiTheme="minorHAnsi" w:eastAsiaTheme="minorEastAsia" w:hAnsiTheme="minorHAnsi" w:cstheme="minorBidi"/>
            <w:i w:val="0"/>
            <w:sz w:val="22"/>
            <w:szCs w:val="22"/>
          </w:rPr>
          <w:tab/>
        </w:r>
        <w:r w:rsidRPr="00145391">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_Toc129005392 \h </w:instrText>
        </w:r>
        <w:r>
          <w:rPr>
            <w:webHidden/>
          </w:rPr>
        </w:r>
        <w:r>
          <w:rPr>
            <w:webHidden/>
          </w:rPr>
          <w:fldChar w:fldCharType="separate"/>
        </w:r>
        <w:r>
          <w:rPr>
            <w:webHidden/>
          </w:rPr>
          <w:t>91</w:t>
        </w:r>
        <w:r>
          <w:rPr>
            <w:webHidden/>
          </w:rPr>
          <w:fldChar w:fldCharType="end"/>
        </w:r>
      </w:hyperlink>
    </w:p>
    <w:p w14:paraId="50E3D741" w14:textId="1FCBF53F" w:rsidR="00013622" w:rsidRDefault="00013622">
      <w:pPr>
        <w:pStyle w:val="Obsah3"/>
        <w:rPr>
          <w:rFonts w:asciiTheme="minorHAnsi" w:eastAsiaTheme="minorEastAsia" w:hAnsiTheme="minorHAnsi" w:cstheme="minorBidi"/>
          <w:i w:val="0"/>
          <w:sz w:val="22"/>
          <w:szCs w:val="22"/>
        </w:rPr>
      </w:pPr>
      <w:hyperlink w:anchor="_Toc129005393" w:history="1">
        <w:r w:rsidRPr="00145391">
          <w:rPr>
            <w:rStyle w:val="Hypertextovodkaz"/>
          </w:rPr>
          <w:t>2.A.8</w:t>
        </w:r>
        <w:r>
          <w:rPr>
            <w:rFonts w:asciiTheme="minorHAnsi" w:eastAsiaTheme="minorEastAsia" w:hAnsiTheme="minorHAnsi" w:cstheme="minorBidi"/>
            <w:i w:val="0"/>
            <w:sz w:val="22"/>
            <w:szCs w:val="22"/>
          </w:rPr>
          <w:tab/>
        </w:r>
        <w:r w:rsidRPr="00145391">
          <w:rPr>
            <w:rStyle w:val="Hypertextovodkaz"/>
          </w:rPr>
          <w:t>Výkonnostní rámec</w:t>
        </w:r>
        <w:r>
          <w:rPr>
            <w:webHidden/>
          </w:rPr>
          <w:tab/>
        </w:r>
        <w:r>
          <w:rPr>
            <w:webHidden/>
          </w:rPr>
          <w:fldChar w:fldCharType="begin"/>
        </w:r>
        <w:r>
          <w:rPr>
            <w:webHidden/>
          </w:rPr>
          <w:instrText xml:space="preserve"> PAGEREF _Toc129005393 \h </w:instrText>
        </w:r>
        <w:r>
          <w:rPr>
            <w:webHidden/>
          </w:rPr>
        </w:r>
        <w:r>
          <w:rPr>
            <w:webHidden/>
          </w:rPr>
          <w:fldChar w:fldCharType="separate"/>
        </w:r>
        <w:r>
          <w:rPr>
            <w:webHidden/>
          </w:rPr>
          <w:t>92</w:t>
        </w:r>
        <w:r>
          <w:rPr>
            <w:webHidden/>
          </w:rPr>
          <w:fldChar w:fldCharType="end"/>
        </w:r>
      </w:hyperlink>
    </w:p>
    <w:p w14:paraId="4FC5A7A9" w14:textId="32EFE2D2" w:rsidR="00013622" w:rsidRDefault="00013622">
      <w:pPr>
        <w:pStyle w:val="Obsah3"/>
        <w:rPr>
          <w:rFonts w:asciiTheme="minorHAnsi" w:eastAsiaTheme="minorEastAsia" w:hAnsiTheme="minorHAnsi" w:cstheme="minorBidi"/>
          <w:i w:val="0"/>
          <w:sz w:val="22"/>
          <w:szCs w:val="22"/>
        </w:rPr>
      </w:pPr>
      <w:hyperlink w:anchor="_Toc129005394" w:history="1">
        <w:r w:rsidRPr="00145391">
          <w:rPr>
            <w:rStyle w:val="Hypertextovodkaz"/>
          </w:rPr>
          <w:t>2.A.9</w:t>
        </w:r>
        <w:r>
          <w:rPr>
            <w:rFonts w:asciiTheme="minorHAnsi" w:eastAsiaTheme="minorEastAsia" w:hAnsiTheme="minorHAnsi" w:cstheme="minorBidi"/>
            <w:i w:val="0"/>
            <w:sz w:val="22"/>
            <w:szCs w:val="22"/>
          </w:rPr>
          <w:tab/>
        </w:r>
        <w:r w:rsidRPr="00145391">
          <w:rPr>
            <w:rStyle w:val="Hypertextovodkaz"/>
          </w:rPr>
          <w:t>Kategorie zásahů</w:t>
        </w:r>
        <w:r>
          <w:rPr>
            <w:webHidden/>
          </w:rPr>
          <w:tab/>
        </w:r>
        <w:r>
          <w:rPr>
            <w:webHidden/>
          </w:rPr>
          <w:fldChar w:fldCharType="begin"/>
        </w:r>
        <w:r>
          <w:rPr>
            <w:webHidden/>
          </w:rPr>
          <w:instrText xml:space="preserve"> PAGEREF _Toc129005394 \h </w:instrText>
        </w:r>
        <w:r>
          <w:rPr>
            <w:webHidden/>
          </w:rPr>
        </w:r>
        <w:r>
          <w:rPr>
            <w:webHidden/>
          </w:rPr>
          <w:fldChar w:fldCharType="separate"/>
        </w:r>
        <w:r>
          <w:rPr>
            <w:webHidden/>
          </w:rPr>
          <w:t>95</w:t>
        </w:r>
        <w:r>
          <w:rPr>
            <w:webHidden/>
          </w:rPr>
          <w:fldChar w:fldCharType="end"/>
        </w:r>
      </w:hyperlink>
    </w:p>
    <w:p w14:paraId="6CBDF06F" w14:textId="52C10806" w:rsidR="00013622" w:rsidRDefault="00013622">
      <w:pPr>
        <w:pStyle w:val="Obsah3"/>
        <w:rPr>
          <w:rFonts w:asciiTheme="minorHAnsi" w:eastAsiaTheme="minorEastAsia" w:hAnsiTheme="minorHAnsi" w:cstheme="minorBidi"/>
          <w:i w:val="0"/>
          <w:sz w:val="22"/>
          <w:szCs w:val="22"/>
        </w:rPr>
      </w:pPr>
      <w:hyperlink w:anchor="_Toc129005395" w:history="1">
        <w:r w:rsidRPr="00145391">
          <w:rPr>
            <w:rStyle w:val="Hypertextovodkaz"/>
          </w:rPr>
          <w:t>2.A.10</w:t>
        </w:r>
        <w:r>
          <w:rPr>
            <w:rFonts w:asciiTheme="minorHAnsi" w:eastAsiaTheme="minorEastAsia" w:hAnsiTheme="minorHAnsi" w:cstheme="minorBidi"/>
            <w:i w:val="0"/>
            <w:sz w:val="22"/>
            <w:szCs w:val="22"/>
          </w:rPr>
          <w:tab/>
        </w:r>
        <w:r w:rsidRPr="00145391">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_Toc129005395 \h </w:instrText>
        </w:r>
        <w:r>
          <w:rPr>
            <w:webHidden/>
          </w:rPr>
        </w:r>
        <w:r>
          <w:rPr>
            <w:webHidden/>
          </w:rPr>
          <w:fldChar w:fldCharType="separate"/>
        </w:r>
        <w:r>
          <w:rPr>
            <w:webHidden/>
          </w:rPr>
          <w:t>95</w:t>
        </w:r>
        <w:r>
          <w:rPr>
            <w:webHidden/>
          </w:rPr>
          <w:fldChar w:fldCharType="end"/>
        </w:r>
      </w:hyperlink>
    </w:p>
    <w:p w14:paraId="4DBDBDB2" w14:textId="17FD0566" w:rsidR="00013622" w:rsidRDefault="00013622">
      <w:pPr>
        <w:pStyle w:val="Obsah3"/>
        <w:rPr>
          <w:rFonts w:asciiTheme="minorHAnsi" w:eastAsiaTheme="minorEastAsia" w:hAnsiTheme="minorHAnsi" w:cstheme="minorBidi"/>
          <w:i w:val="0"/>
          <w:sz w:val="22"/>
          <w:szCs w:val="22"/>
        </w:rPr>
      </w:pPr>
      <w:hyperlink w:anchor="_Toc129005396" w:history="1">
        <w:r w:rsidRPr="00145391">
          <w:rPr>
            <w:rStyle w:val="Hypertextovodkaz"/>
          </w:rPr>
          <w:t>2.A.1</w:t>
        </w:r>
        <w:r>
          <w:rPr>
            <w:rFonts w:asciiTheme="minorHAnsi" w:eastAsiaTheme="minorEastAsia" w:hAnsiTheme="minorHAnsi" w:cstheme="minorBidi"/>
            <w:i w:val="0"/>
            <w:sz w:val="22"/>
            <w:szCs w:val="22"/>
          </w:rPr>
          <w:tab/>
        </w:r>
        <w:r w:rsidRPr="00145391">
          <w:rPr>
            <w:rStyle w:val="Hypertextovodkaz"/>
          </w:rPr>
          <w:t>PRIORITNÍ OSA 3: Účinné nakládání energií, rozvoj energetické infrastruktury a obnovitelných zdrojů energie, podpora zavádění nových technologií v oblasti nakládání energií a druhotných surovin</w:t>
        </w:r>
        <w:r>
          <w:rPr>
            <w:webHidden/>
          </w:rPr>
          <w:tab/>
        </w:r>
        <w:r>
          <w:rPr>
            <w:webHidden/>
          </w:rPr>
          <w:fldChar w:fldCharType="begin"/>
        </w:r>
        <w:r>
          <w:rPr>
            <w:webHidden/>
          </w:rPr>
          <w:instrText xml:space="preserve"> PAGEREF _Toc129005396 \h </w:instrText>
        </w:r>
        <w:r>
          <w:rPr>
            <w:webHidden/>
          </w:rPr>
        </w:r>
        <w:r>
          <w:rPr>
            <w:webHidden/>
          </w:rPr>
          <w:fldChar w:fldCharType="separate"/>
        </w:r>
        <w:r>
          <w:rPr>
            <w:webHidden/>
          </w:rPr>
          <w:t>96</w:t>
        </w:r>
        <w:r>
          <w:rPr>
            <w:webHidden/>
          </w:rPr>
          <w:fldChar w:fldCharType="end"/>
        </w:r>
      </w:hyperlink>
    </w:p>
    <w:p w14:paraId="03233ABF" w14:textId="3C60320A" w:rsidR="00013622" w:rsidRDefault="00013622">
      <w:pPr>
        <w:pStyle w:val="Obsah3"/>
        <w:rPr>
          <w:rFonts w:asciiTheme="minorHAnsi" w:eastAsiaTheme="minorEastAsia" w:hAnsiTheme="minorHAnsi" w:cstheme="minorBidi"/>
          <w:i w:val="0"/>
          <w:sz w:val="22"/>
          <w:szCs w:val="22"/>
        </w:rPr>
      </w:pPr>
      <w:hyperlink w:anchor="_Toc129005397" w:history="1">
        <w:r w:rsidRPr="00145391">
          <w:rPr>
            <w:rStyle w:val="Hypertextovodkaz"/>
          </w:rPr>
          <w:t>2.A.2</w:t>
        </w:r>
        <w:r>
          <w:rPr>
            <w:rFonts w:asciiTheme="minorHAnsi" w:eastAsiaTheme="minorEastAsia" w:hAnsiTheme="minorHAnsi" w:cstheme="minorBidi"/>
            <w:i w:val="0"/>
            <w:sz w:val="22"/>
            <w:szCs w:val="22"/>
          </w:rPr>
          <w:tab/>
        </w:r>
        <w:r w:rsidRPr="00145391">
          <w:rPr>
            <w:rStyle w:val="Hypertextovodkaz"/>
          </w:rPr>
          <w:t>Odůvodnění pro vytvoření prioritní osy, která zahrnuje více než jednu kategorii regionů nebo více než jeden tematický cíl či fond</w:t>
        </w:r>
        <w:r>
          <w:rPr>
            <w:webHidden/>
          </w:rPr>
          <w:tab/>
        </w:r>
        <w:r>
          <w:rPr>
            <w:webHidden/>
          </w:rPr>
          <w:fldChar w:fldCharType="begin"/>
        </w:r>
        <w:r>
          <w:rPr>
            <w:webHidden/>
          </w:rPr>
          <w:instrText xml:space="preserve"> PAGEREF _Toc129005397 \h </w:instrText>
        </w:r>
        <w:r>
          <w:rPr>
            <w:webHidden/>
          </w:rPr>
        </w:r>
        <w:r>
          <w:rPr>
            <w:webHidden/>
          </w:rPr>
          <w:fldChar w:fldCharType="separate"/>
        </w:r>
        <w:r>
          <w:rPr>
            <w:webHidden/>
          </w:rPr>
          <w:t>96</w:t>
        </w:r>
        <w:r>
          <w:rPr>
            <w:webHidden/>
          </w:rPr>
          <w:fldChar w:fldCharType="end"/>
        </w:r>
      </w:hyperlink>
    </w:p>
    <w:p w14:paraId="79916622" w14:textId="2C3ACC77" w:rsidR="00013622" w:rsidRDefault="00013622">
      <w:pPr>
        <w:pStyle w:val="Obsah3"/>
        <w:rPr>
          <w:rFonts w:asciiTheme="minorHAnsi" w:eastAsiaTheme="minorEastAsia" w:hAnsiTheme="minorHAnsi" w:cstheme="minorBidi"/>
          <w:i w:val="0"/>
          <w:sz w:val="22"/>
          <w:szCs w:val="22"/>
        </w:rPr>
      </w:pPr>
      <w:hyperlink w:anchor="_Toc129005398" w:history="1">
        <w:r w:rsidRPr="00145391">
          <w:rPr>
            <w:rStyle w:val="Hypertextovodkaz"/>
          </w:rPr>
          <w:t>2.A.3</w:t>
        </w:r>
        <w:r>
          <w:rPr>
            <w:rFonts w:asciiTheme="minorHAnsi" w:eastAsiaTheme="minorEastAsia" w:hAnsiTheme="minorHAnsi" w:cstheme="minorBidi"/>
            <w:i w:val="0"/>
            <w:sz w:val="22"/>
            <w:szCs w:val="22"/>
          </w:rPr>
          <w:tab/>
        </w:r>
        <w:r w:rsidRPr="00145391">
          <w:rPr>
            <w:rStyle w:val="Hypertextovodkaz"/>
          </w:rPr>
          <w:t>Fond, kategorie regionů a základ pro výpočet podpory Unie</w:t>
        </w:r>
        <w:r>
          <w:rPr>
            <w:webHidden/>
          </w:rPr>
          <w:tab/>
        </w:r>
        <w:r>
          <w:rPr>
            <w:webHidden/>
          </w:rPr>
          <w:fldChar w:fldCharType="begin"/>
        </w:r>
        <w:r>
          <w:rPr>
            <w:webHidden/>
          </w:rPr>
          <w:instrText xml:space="preserve"> PAGEREF _Toc129005398 \h </w:instrText>
        </w:r>
        <w:r>
          <w:rPr>
            <w:webHidden/>
          </w:rPr>
        </w:r>
        <w:r>
          <w:rPr>
            <w:webHidden/>
          </w:rPr>
          <w:fldChar w:fldCharType="separate"/>
        </w:r>
        <w:r>
          <w:rPr>
            <w:webHidden/>
          </w:rPr>
          <w:t>96</w:t>
        </w:r>
        <w:r>
          <w:rPr>
            <w:webHidden/>
          </w:rPr>
          <w:fldChar w:fldCharType="end"/>
        </w:r>
      </w:hyperlink>
    </w:p>
    <w:p w14:paraId="5A0821C2" w14:textId="2733CBCE" w:rsidR="00013622" w:rsidRDefault="00013622">
      <w:pPr>
        <w:pStyle w:val="Obsah3"/>
        <w:rPr>
          <w:rFonts w:asciiTheme="minorHAnsi" w:eastAsiaTheme="minorEastAsia" w:hAnsiTheme="minorHAnsi" w:cstheme="minorBidi"/>
          <w:i w:val="0"/>
          <w:sz w:val="22"/>
          <w:szCs w:val="22"/>
        </w:rPr>
      </w:pPr>
      <w:hyperlink w:anchor="_Toc129005399"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1 prioritní osy 3: Podpora výroby a distribuce energie pocházející z obnovitelných zdrojů</w:t>
        </w:r>
        <w:r>
          <w:rPr>
            <w:webHidden/>
          </w:rPr>
          <w:tab/>
        </w:r>
        <w:r>
          <w:rPr>
            <w:webHidden/>
          </w:rPr>
          <w:fldChar w:fldCharType="begin"/>
        </w:r>
        <w:r>
          <w:rPr>
            <w:webHidden/>
          </w:rPr>
          <w:instrText xml:space="preserve"> PAGEREF _Toc129005399 \h </w:instrText>
        </w:r>
        <w:r>
          <w:rPr>
            <w:webHidden/>
          </w:rPr>
        </w:r>
        <w:r>
          <w:rPr>
            <w:webHidden/>
          </w:rPr>
          <w:fldChar w:fldCharType="separate"/>
        </w:r>
        <w:r>
          <w:rPr>
            <w:webHidden/>
          </w:rPr>
          <w:t>96</w:t>
        </w:r>
        <w:r>
          <w:rPr>
            <w:webHidden/>
          </w:rPr>
          <w:fldChar w:fldCharType="end"/>
        </w:r>
      </w:hyperlink>
    </w:p>
    <w:p w14:paraId="0504068B" w14:textId="24A80FEA" w:rsidR="00013622" w:rsidRDefault="00013622">
      <w:pPr>
        <w:pStyle w:val="Obsah3"/>
        <w:rPr>
          <w:rFonts w:asciiTheme="minorHAnsi" w:eastAsiaTheme="minorEastAsia" w:hAnsiTheme="minorHAnsi" w:cstheme="minorBidi"/>
          <w:i w:val="0"/>
          <w:sz w:val="22"/>
          <w:szCs w:val="22"/>
        </w:rPr>
      </w:pPr>
      <w:hyperlink w:anchor="_Toc129005400"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_Toc129005400 \h </w:instrText>
        </w:r>
        <w:r>
          <w:rPr>
            <w:webHidden/>
          </w:rPr>
        </w:r>
        <w:r>
          <w:rPr>
            <w:webHidden/>
          </w:rPr>
          <w:fldChar w:fldCharType="separate"/>
        </w:r>
        <w:r>
          <w:rPr>
            <w:webHidden/>
          </w:rPr>
          <w:t>96</w:t>
        </w:r>
        <w:r>
          <w:rPr>
            <w:webHidden/>
          </w:rPr>
          <w:fldChar w:fldCharType="end"/>
        </w:r>
      </w:hyperlink>
    </w:p>
    <w:p w14:paraId="067BA7AA" w14:textId="129EC47A" w:rsidR="00013622" w:rsidRDefault="00013622">
      <w:pPr>
        <w:pStyle w:val="Obsah3"/>
        <w:rPr>
          <w:rFonts w:asciiTheme="minorHAnsi" w:eastAsiaTheme="minorEastAsia" w:hAnsiTheme="minorHAnsi" w:cstheme="minorBidi"/>
          <w:i w:val="0"/>
          <w:sz w:val="22"/>
          <w:szCs w:val="22"/>
        </w:rPr>
      </w:pPr>
      <w:hyperlink w:anchor="_Toc129005401"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_Toc129005401 \h </w:instrText>
        </w:r>
        <w:r>
          <w:rPr>
            <w:webHidden/>
          </w:rPr>
        </w:r>
        <w:r>
          <w:rPr>
            <w:webHidden/>
          </w:rPr>
          <w:fldChar w:fldCharType="separate"/>
        </w:r>
        <w:r>
          <w:rPr>
            <w:webHidden/>
          </w:rPr>
          <w:t>97</w:t>
        </w:r>
        <w:r>
          <w:rPr>
            <w:webHidden/>
          </w:rPr>
          <w:fldChar w:fldCharType="end"/>
        </w:r>
      </w:hyperlink>
    </w:p>
    <w:p w14:paraId="50DBDBD4" w14:textId="2830B637" w:rsidR="00013622" w:rsidRDefault="00013622">
      <w:pPr>
        <w:pStyle w:val="Obsah3"/>
        <w:rPr>
          <w:rFonts w:asciiTheme="minorHAnsi" w:eastAsiaTheme="minorEastAsia" w:hAnsiTheme="minorHAnsi" w:cstheme="minorBidi"/>
          <w:i w:val="0"/>
          <w:sz w:val="22"/>
          <w:szCs w:val="22"/>
        </w:rPr>
      </w:pPr>
      <w:hyperlink w:anchor="_Toc129005402"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2 prioritní osy 3: Podpora energetické účinnosti a využívání energie z obnovitelných zdrojů v podnicích</w:t>
        </w:r>
        <w:r>
          <w:rPr>
            <w:webHidden/>
          </w:rPr>
          <w:tab/>
        </w:r>
        <w:r>
          <w:rPr>
            <w:webHidden/>
          </w:rPr>
          <w:fldChar w:fldCharType="begin"/>
        </w:r>
        <w:r>
          <w:rPr>
            <w:webHidden/>
          </w:rPr>
          <w:instrText xml:space="preserve"> PAGEREF _Toc129005402 \h </w:instrText>
        </w:r>
        <w:r>
          <w:rPr>
            <w:webHidden/>
          </w:rPr>
        </w:r>
        <w:r>
          <w:rPr>
            <w:webHidden/>
          </w:rPr>
          <w:fldChar w:fldCharType="separate"/>
        </w:r>
        <w:r>
          <w:rPr>
            <w:webHidden/>
          </w:rPr>
          <w:t>101</w:t>
        </w:r>
        <w:r>
          <w:rPr>
            <w:webHidden/>
          </w:rPr>
          <w:fldChar w:fldCharType="end"/>
        </w:r>
      </w:hyperlink>
    </w:p>
    <w:p w14:paraId="1D8D4143" w14:textId="12908ACF" w:rsidR="00013622" w:rsidRDefault="00013622">
      <w:pPr>
        <w:pStyle w:val="Obsah3"/>
        <w:rPr>
          <w:rFonts w:asciiTheme="minorHAnsi" w:eastAsiaTheme="minorEastAsia" w:hAnsiTheme="minorHAnsi" w:cstheme="minorBidi"/>
          <w:i w:val="0"/>
          <w:sz w:val="22"/>
          <w:szCs w:val="22"/>
        </w:rPr>
      </w:pPr>
      <w:hyperlink w:anchor="_Toc129005403"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_Toc129005403 \h </w:instrText>
        </w:r>
        <w:r>
          <w:rPr>
            <w:webHidden/>
          </w:rPr>
        </w:r>
        <w:r>
          <w:rPr>
            <w:webHidden/>
          </w:rPr>
          <w:fldChar w:fldCharType="separate"/>
        </w:r>
        <w:r>
          <w:rPr>
            <w:webHidden/>
          </w:rPr>
          <w:t>102</w:t>
        </w:r>
        <w:r>
          <w:rPr>
            <w:webHidden/>
          </w:rPr>
          <w:fldChar w:fldCharType="end"/>
        </w:r>
      </w:hyperlink>
    </w:p>
    <w:p w14:paraId="4F0D7ABC" w14:textId="0CAB351A" w:rsidR="00013622" w:rsidRDefault="00013622">
      <w:pPr>
        <w:pStyle w:val="Obsah3"/>
        <w:rPr>
          <w:rFonts w:asciiTheme="minorHAnsi" w:eastAsiaTheme="minorEastAsia" w:hAnsiTheme="minorHAnsi" w:cstheme="minorBidi"/>
          <w:i w:val="0"/>
          <w:sz w:val="22"/>
          <w:szCs w:val="22"/>
        </w:rPr>
      </w:pPr>
      <w:hyperlink w:anchor="_Toc129005404"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_Toc129005404 \h </w:instrText>
        </w:r>
        <w:r>
          <w:rPr>
            <w:webHidden/>
          </w:rPr>
        </w:r>
        <w:r>
          <w:rPr>
            <w:webHidden/>
          </w:rPr>
          <w:fldChar w:fldCharType="separate"/>
        </w:r>
        <w:r>
          <w:rPr>
            <w:webHidden/>
          </w:rPr>
          <w:t>103</w:t>
        </w:r>
        <w:r>
          <w:rPr>
            <w:webHidden/>
          </w:rPr>
          <w:fldChar w:fldCharType="end"/>
        </w:r>
      </w:hyperlink>
    </w:p>
    <w:p w14:paraId="532A5E81" w14:textId="0A4676A5" w:rsidR="00013622" w:rsidRDefault="00013622">
      <w:pPr>
        <w:pStyle w:val="Obsah3"/>
        <w:rPr>
          <w:rFonts w:asciiTheme="minorHAnsi" w:eastAsiaTheme="minorEastAsia" w:hAnsiTheme="minorHAnsi" w:cstheme="minorBidi"/>
          <w:i w:val="0"/>
          <w:sz w:val="22"/>
          <w:szCs w:val="22"/>
        </w:rPr>
      </w:pPr>
      <w:hyperlink w:anchor="_Toc129005405"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3 prioritní osy 3: Rozvoj a zavádění inteligentních distribučních soustav, jež fungují na hladině nízkého a středního napětí</w:t>
        </w:r>
        <w:r>
          <w:rPr>
            <w:webHidden/>
          </w:rPr>
          <w:tab/>
        </w:r>
        <w:r>
          <w:rPr>
            <w:webHidden/>
          </w:rPr>
          <w:fldChar w:fldCharType="begin"/>
        </w:r>
        <w:r>
          <w:rPr>
            <w:webHidden/>
          </w:rPr>
          <w:instrText xml:space="preserve"> PAGEREF _Toc129005405 \h </w:instrText>
        </w:r>
        <w:r>
          <w:rPr>
            <w:webHidden/>
          </w:rPr>
        </w:r>
        <w:r>
          <w:rPr>
            <w:webHidden/>
          </w:rPr>
          <w:fldChar w:fldCharType="separate"/>
        </w:r>
        <w:r>
          <w:rPr>
            <w:webHidden/>
          </w:rPr>
          <w:t>111</w:t>
        </w:r>
        <w:r>
          <w:rPr>
            <w:webHidden/>
          </w:rPr>
          <w:fldChar w:fldCharType="end"/>
        </w:r>
      </w:hyperlink>
    </w:p>
    <w:p w14:paraId="1B785D66" w14:textId="1A97BD33" w:rsidR="00013622" w:rsidRDefault="00013622">
      <w:pPr>
        <w:pStyle w:val="Obsah3"/>
        <w:rPr>
          <w:rFonts w:asciiTheme="minorHAnsi" w:eastAsiaTheme="minorEastAsia" w:hAnsiTheme="minorHAnsi" w:cstheme="minorBidi"/>
          <w:i w:val="0"/>
          <w:sz w:val="22"/>
          <w:szCs w:val="22"/>
        </w:rPr>
      </w:pPr>
      <w:hyperlink w:anchor="_Toc129005406"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_Toc129005406 \h </w:instrText>
        </w:r>
        <w:r>
          <w:rPr>
            <w:webHidden/>
          </w:rPr>
        </w:r>
        <w:r>
          <w:rPr>
            <w:webHidden/>
          </w:rPr>
          <w:fldChar w:fldCharType="separate"/>
        </w:r>
        <w:r>
          <w:rPr>
            <w:webHidden/>
          </w:rPr>
          <w:t>111</w:t>
        </w:r>
        <w:r>
          <w:rPr>
            <w:webHidden/>
          </w:rPr>
          <w:fldChar w:fldCharType="end"/>
        </w:r>
      </w:hyperlink>
    </w:p>
    <w:p w14:paraId="73A3C00F" w14:textId="12235BE2" w:rsidR="00013622" w:rsidRDefault="00013622">
      <w:pPr>
        <w:pStyle w:val="Obsah3"/>
        <w:rPr>
          <w:rFonts w:asciiTheme="minorHAnsi" w:eastAsiaTheme="minorEastAsia" w:hAnsiTheme="minorHAnsi" w:cstheme="minorBidi"/>
          <w:i w:val="0"/>
          <w:sz w:val="22"/>
          <w:szCs w:val="22"/>
        </w:rPr>
      </w:pPr>
      <w:hyperlink w:anchor="_Toc129005407"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_Toc129005407 \h </w:instrText>
        </w:r>
        <w:r>
          <w:rPr>
            <w:webHidden/>
          </w:rPr>
        </w:r>
        <w:r>
          <w:rPr>
            <w:webHidden/>
          </w:rPr>
          <w:fldChar w:fldCharType="separate"/>
        </w:r>
        <w:r>
          <w:rPr>
            <w:webHidden/>
          </w:rPr>
          <w:t>112</w:t>
        </w:r>
        <w:r>
          <w:rPr>
            <w:webHidden/>
          </w:rPr>
          <w:fldChar w:fldCharType="end"/>
        </w:r>
      </w:hyperlink>
    </w:p>
    <w:p w14:paraId="6C0BED84" w14:textId="2D8C155E" w:rsidR="00013622" w:rsidRDefault="00013622">
      <w:pPr>
        <w:pStyle w:val="Obsah3"/>
        <w:rPr>
          <w:rFonts w:asciiTheme="minorHAnsi" w:eastAsiaTheme="minorEastAsia" w:hAnsiTheme="minorHAnsi" w:cstheme="minorBidi"/>
          <w:i w:val="0"/>
          <w:sz w:val="22"/>
          <w:szCs w:val="22"/>
        </w:rPr>
      </w:pPr>
      <w:hyperlink w:anchor="_Toc129005408"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4 prioritní osy 3: Podpora výzkumu a inovací a zavádění nízkouhlíkových technologií</w:t>
        </w:r>
        <w:r>
          <w:rPr>
            <w:webHidden/>
          </w:rPr>
          <w:tab/>
        </w:r>
        <w:r>
          <w:rPr>
            <w:webHidden/>
          </w:rPr>
          <w:fldChar w:fldCharType="begin"/>
        </w:r>
        <w:r>
          <w:rPr>
            <w:webHidden/>
          </w:rPr>
          <w:instrText xml:space="preserve"> PAGEREF _Toc129005408 \h </w:instrText>
        </w:r>
        <w:r>
          <w:rPr>
            <w:webHidden/>
          </w:rPr>
        </w:r>
        <w:r>
          <w:rPr>
            <w:webHidden/>
          </w:rPr>
          <w:fldChar w:fldCharType="separate"/>
        </w:r>
        <w:r>
          <w:rPr>
            <w:webHidden/>
          </w:rPr>
          <w:t>115</w:t>
        </w:r>
        <w:r>
          <w:rPr>
            <w:webHidden/>
          </w:rPr>
          <w:fldChar w:fldCharType="end"/>
        </w:r>
      </w:hyperlink>
    </w:p>
    <w:p w14:paraId="20A3DAB7" w14:textId="546A8C65" w:rsidR="00013622" w:rsidRDefault="00013622">
      <w:pPr>
        <w:pStyle w:val="Obsah3"/>
        <w:rPr>
          <w:rFonts w:asciiTheme="minorHAnsi" w:eastAsiaTheme="minorEastAsia" w:hAnsiTheme="minorHAnsi" w:cstheme="minorBidi"/>
          <w:i w:val="0"/>
          <w:sz w:val="22"/>
          <w:szCs w:val="22"/>
        </w:rPr>
      </w:pPr>
      <w:hyperlink w:anchor="_Toc129005409"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_Toc129005409 \h </w:instrText>
        </w:r>
        <w:r>
          <w:rPr>
            <w:webHidden/>
          </w:rPr>
        </w:r>
        <w:r>
          <w:rPr>
            <w:webHidden/>
          </w:rPr>
          <w:fldChar w:fldCharType="separate"/>
        </w:r>
        <w:r>
          <w:rPr>
            <w:webHidden/>
          </w:rPr>
          <w:t>115</w:t>
        </w:r>
        <w:r>
          <w:rPr>
            <w:webHidden/>
          </w:rPr>
          <w:fldChar w:fldCharType="end"/>
        </w:r>
      </w:hyperlink>
    </w:p>
    <w:p w14:paraId="490A5866" w14:textId="3FAF32B8" w:rsidR="00013622" w:rsidRDefault="00013622">
      <w:pPr>
        <w:pStyle w:val="Obsah3"/>
        <w:rPr>
          <w:rFonts w:asciiTheme="minorHAnsi" w:eastAsiaTheme="minorEastAsia" w:hAnsiTheme="minorHAnsi" w:cstheme="minorBidi"/>
          <w:i w:val="0"/>
          <w:sz w:val="22"/>
          <w:szCs w:val="22"/>
        </w:rPr>
      </w:pPr>
      <w:hyperlink w:anchor="_Toc129005410"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_Toc129005410 \h </w:instrText>
        </w:r>
        <w:r>
          <w:rPr>
            <w:webHidden/>
          </w:rPr>
        </w:r>
        <w:r>
          <w:rPr>
            <w:webHidden/>
          </w:rPr>
          <w:fldChar w:fldCharType="separate"/>
        </w:r>
        <w:r>
          <w:rPr>
            <w:webHidden/>
          </w:rPr>
          <w:t>116</w:t>
        </w:r>
        <w:r>
          <w:rPr>
            <w:webHidden/>
          </w:rPr>
          <w:fldChar w:fldCharType="end"/>
        </w:r>
      </w:hyperlink>
    </w:p>
    <w:p w14:paraId="2CEE2A8E" w14:textId="11E8E079" w:rsidR="00013622" w:rsidRDefault="00013622">
      <w:pPr>
        <w:pStyle w:val="Obsah3"/>
        <w:rPr>
          <w:rFonts w:asciiTheme="minorHAnsi" w:eastAsiaTheme="minorEastAsia" w:hAnsiTheme="minorHAnsi" w:cstheme="minorBidi"/>
          <w:i w:val="0"/>
          <w:sz w:val="22"/>
          <w:szCs w:val="22"/>
        </w:rPr>
      </w:pPr>
      <w:hyperlink w:anchor="_Toc129005411"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5 prioritní osy 3: Podpora využívání vysoce účinné kombinované výroby tepla a elektřiny na základě poptávky po užitečném teple</w:t>
        </w:r>
        <w:r>
          <w:rPr>
            <w:webHidden/>
          </w:rPr>
          <w:tab/>
        </w:r>
        <w:r>
          <w:rPr>
            <w:webHidden/>
          </w:rPr>
          <w:fldChar w:fldCharType="begin"/>
        </w:r>
        <w:r>
          <w:rPr>
            <w:webHidden/>
          </w:rPr>
          <w:instrText xml:space="preserve"> PAGEREF _Toc129005411 \h </w:instrText>
        </w:r>
        <w:r>
          <w:rPr>
            <w:webHidden/>
          </w:rPr>
        </w:r>
        <w:r>
          <w:rPr>
            <w:webHidden/>
          </w:rPr>
          <w:fldChar w:fldCharType="separate"/>
        </w:r>
        <w:r>
          <w:rPr>
            <w:webHidden/>
          </w:rPr>
          <w:t>120</w:t>
        </w:r>
        <w:r>
          <w:rPr>
            <w:webHidden/>
          </w:rPr>
          <w:fldChar w:fldCharType="end"/>
        </w:r>
      </w:hyperlink>
    </w:p>
    <w:p w14:paraId="47E359D5" w14:textId="3EA83AD5" w:rsidR="00013622" w:rsidRDefault="00013622">
      <w:pPr>
        <w:pStyle w:val="Obsah3"/>
        <w:rPr>
          <w:rFonts w:asciiTheme="minorHAnsi" w:eastAsiaTheme="minorEastAsia" w:hAnsiTheme="minorHAnsi" w:cstheme="minorBidi"/>
          <w:i w:val="0"/>
          <w:sz w:val="22"/>
          <w:szCs w:val="22"/>
        </w:rPr>
      </w:pPr>
      <w:hyperlink w:anchor="_Toc129005412"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_Toc129005412 \h </w:instrText>
        </w:r>
        <w:r>
          <w:rPr>
            <w:webHidden/>
          </w:rPr>
        </w:r>
        <w:r>
          <w:rPr>
            <w:webHidden/>
          </w:rPr>
          <w:fldChar w:fldCharType="separate"/>
        </w:r>
        <w:r>
          <w:rPr>
            <w:webHidden/>
          </w:rPr>
          <w:t>120</w:t>
        </w:r>
        <w:r>
          <w:rPr>
            <w:webHidden/>
          </w:rPr>
          <w:fldChar w:fldCharType="end"/>
        </w:r>
      </w:hyperlink>
    </w:p>
    <w:p w14:paraId="77FA2ED2" w14:textId="52FD69DA" w:rsidR="00013622" w:rsidRDefault="00013622">
      <w:pPr>
        <w:pStyle w:val="Obsah3"/>
        <w:rPr>
          <w:rFonts w:asciiTheme="minorHAnsi" w:eastAsiaTheme="minorEastAsia" w:hAnsiTheme="minorHAnsi" w:cstheme="minorBidi"/>
          <w:i w:val="0"/>
          <w:sz w:val="22"/>
          <w:szCs w:val="22"/>
        </w:rPr>
      </w:pPr>
      <w:hyperlink w:anchor="_Toc129005413"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_Toc129005413 \h </w:instrText>
        </w:r>
        <w:r>
          <w:rPr>
            <w:webHidden/>
          </w:rPr>
        </w:r>
        <w:r>
          <w:rPr>
            <w:webHidden/>
          </w:rPr>
          <w:fldChar w:fldCharType="separate"/>
        </w:r>
        <w:r>
          <w:rPr>
            <w:webHidden/>
          </w:rPr>
          <w:t>121</w:t>
        </w:r>
        <w:r>
          <w:rPr>
            <w:webHidden/>
          </w:rPr>
          <w:fldChar w:fldCharType="end"/>
        </w:r>
      </w:hyperlink>
    </w:p>
    <w:p w14:paraId="53E32473" w14:textId="02CE1889" w:rsidR="00013622" w:rsidRDefault="00013622">
      <w:pPr>
        <w:pStyle w:val="Obsah3"/>
        <w:rPr>
          <w:rFonts w:asciiTheme="minorHAnsi" w:eastAsiaTheme="minorEastAsia" w:hAnsiTheme="minorHAnsi" w:cstheme="minorBidi"/>
          <w:i w:val="0"/>
          <w:sz w:val="22"/>
          <w:szCs w:val="22"/>
        </w:rPr>
      </w:pPr>
      <w:hyperlink w:anchor="_Toc129005414"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r>
          <w:rPr>
            <w:webHidden/>
          </w:rPr>
          <w:tab/>
        </w:r>
        <w:r>
          <w:rPr>
            <w:webHidden/>
          </w:rPr>
          <w:fldChar w:fldCharType="begin"/>
        </w:r>
        <w:r>
          <w:rPr>
            <w:webHidden/>
          </w:rPr>
          <w:instrText xml:space="preserve"> PAGEREF _Toc129005414 \h </w:instrText>
        </w:r>
        <w:r>
          <w:rPr>
            <w:webHidden/>
          </w:rPr>
        </w:r>
        <w:r>
          <w:rPr>
            <w:webHidden/>
          </w:rPr>
          <w:fldChar w:fldCharType="separate"/>
        </w:r>
        <w:r>
          <w:rPr>
            <w:webHidden/>
          </w:rPr>
          <w:t>125</w:t>
        </w:r>
        <w:r>
          <w:rPr>
            <w:webHidden/>
          </w:rPr>
          <w:fldChar w:fldCharType="end"/>
        </w:r>
      </w:hyperlink>
    </w:p>
    <w:p w14:paraId="4BFA3AD9" w14:textId="5D440E70" w:rsidR="00013622" w:rsidRDefault="00013622">
      <w:pPr>
        <w:pStyle w:val="Obsah3"/>
        <w:rPr>
          <w:rFonts w:asciiTheme="minorHAnsi" w:eastAsiaTheme="minorEastAsia" w:hAnsiTheme="minorHAnsi" w:cstheme="minorBidi"/>
          <w:i w:val="0"/>
          <w:sz w:val="22"/>
          <w:szCs w:val="22"/>
        </w:rPr>
      </w:pPr>
      <w:hyperlink w:anchor="_Toc129005415"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_Toc129005415 \h </w:instrText>
        </w:r>
        <w:r>
          <w:rPr>
            <w:webHidden/>
          </w:rPr>
        </w:r>
        <w:r>
          <w:rPr>
            <w:webHidden/>
          </w:rPr>
          <w:fldChar w:fldCharType="separate"/>
        </w:r>
        <w:r>
          <w:rPr>
            <w:webHidden/>
          </w:rPr>
          <w:t>125</w:t>
        </w:r>
        <w:r>
          <w:rPr>
            <w:webHidden/>
          </w:rPr>
          <w:fldChar w:fldCharType="end"/>
        </w:r>
      </w:hyperlink>
    </w:p>
    <w:p w14:paraId="59B08653" w14:textId="28F17F3E" w:rsidR="00013622" w:rsidRDefault="00013622">
      <w:pPr>
        <w:pStyle w:val="Obsah3"/>
        <w:rPr>
          <w:rFonts w:asciiTheme="minorHAnsi" w:eastAsiaTheme="minorEastAsia" w:hAnsiTheme="minorHAnsi" w:cstheme="minorBidi"/>
          <w:i w:val="0"/>
          <w:sz w:val="22"/>
          <w:szCs w:val="22"/>
        </w:rPr>
      </w:pPr>
      <w:hyperlink w:anchor="_Toc129005416"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_Toc129005416 \h </w:instrText>
        </w:r>
        <w:r>
          <w:rPr>
            <w:webHidden/>
          </w:rPr>
        </w:r>
        <w:r>
          <w:rPr>
            <w:webHidden/>
          </w:rPr>
          <w:fldChar w:fldCharType="separate"/>
        </w:r>
        <w:r>
          <w:rPr>
            <w:webHidden/>
          </w:rPr>
          <w:t>126</w:t>
        </w:r>
        <w:r>
          <w:rPr>
            <w:webHidden/>
          </w:rPr>
          <w:fldChar w:fldCharType="end"/>
        </w:r>
      </w:hyperlink>
    </w:p>
    <w:p w14:paraId="641E02C7" w14:textId="4E810BD7" w:rsidR="00013622" w:rsidRDefault="00013622">
      <w:pPr>
        <w:pStyle w:val="Obsah3"/>
        <w:rPr>
          <w:rFonts w:asciiTheme="minorHAnsi" w:eastAsiaTheme="minorEastAsia" w:hAnsiTheme="minorHAnsi" w:cstheme="minorBidi"/>
          <w:i w:val="0"/>
          <w:sz w:val="22"/>
          <w:szCs w:val="22"/>
        </w:rPr>
      </w:pPr>
      <w:hyperlink w:anchor="_Toc129005417" w:history="1">
        <w:r w:rsidRPr="00145391">
          <w:rPr>
            <w:rStyle w:val="Hypertextovodkaz"/>
          </w:rPr>
          <w:t>2.A.7</w:t>
        </w:r>
        <w:r>
          <w:rPr>
            <w:rFonts w:asciiTheme="minorHAnsi" w:eastAsiaTheme="minorEastAsia" w:hAnsiTheme="minorHAnsi" w:cstheme="minorBidi"/>
            <w:i w:val="0"/>
            <w:sz w:val="22"/>
            <w:szCs w:val="22"/>
          </w:rPr>
          <w:tab/>
        </w:r>
        <w:r w:rsidRPr="00145391">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_Toc129005417 \h </w:instrText>
        </w:r>
        <w:r>
          <w:rPr>
            <w:webHidden/>
          </w:rPr>
        </w:r>
        <w:r>
          <w:rPr>
            <w:webHidden/>
          </w:rPr>
          <w:fldChar w:fldCharType="separate"/>
        </w:r>
        <w:r>
          <w:rPr>
            <w:webHidden/>
          </w:rPr>
          <w:t>130</w:t>
        </w:r>
        <w:r>
          <w:rPr>
            <w:webHidden/>
          </w:rPr>
          <w:fldChar w:fldCharType="end"/>
        </w:r>
      </w:hyperlink>
    </w:p>
    <w:p w14:paraId="6E5D8A52" w14:textId="6857BB40" w:rsidR="00013622" w:rsidRDefault="00013622">
      <w:pPr>
        <w:pStyle w:val="Obsah3"/>
        <w:rPr>
          <w:rFonts w:asciiTheme="minorHAnsi" w:eastAsiaTheme="minorEastAsia" w:hAnsiTheme="minorHAnsi" w:cstheme="minorBidi"/>
          <w:i w:val="0"/>
          <w:sz w:val="22"/>
          <w:szCs w:val="22"/>
        </w:rPr>
      </w:pPr>
      <w:hyperlink w:anchor="_Toc129005418" w:history="1">
        <w:r w:rsidRPr="00145391">
          <w:rPr>
            <w:rStyle w:val="Hypertextovodkaz"/>
          </w:rPr>
          <w:t>2.A.8</w:t>
        </w:r>
        <w:r>
          <w:rPr>
            <w:rFonts w:asciiTheme="minorHAnsi" w:eastAsiaTheme="minorEastAsia" w:hAnsiTheme="minorHAnsi" w:cstheme="minorBidi"/>
            <w:i w:val="0"/>
            <w:sz w:val="22"/>
            <w:szCs w:val="22"/>
          </w:rPr>
          <w:tab/>
        </w:r>
        <w:r w:rsidRPr="00145391">
          <w:rPr>
            <w:rStyle w:val="Hypertextovodkaz"/>
          </w:rPr>
          <w:t>Výkonnostní rámec</w:t>
        </w:r>
        <w:r>
          <w:rPr>
            <w:webHidden/>
          </w:rPr>
          <w:tab/>
        </w:r>
        <w:r>
          <w:rPr>
            <w:webHidden/>
          </w:rPr>
          <w:fldChar w:fldCharType="begin"/>
        </w:r>
        <w:r>
          <w:rPr>
            <w:webHidden/>
          </w:rPr>
          <w:instrText xml:space="preserve"> PAGEREF _Toc129005418 \h </w:instrText>
        </w:r>
        <w:r>
          <w:rPr>
            <w:webHidden/>
          </w:rPr>
        </w:r>
        <w:r>
          <w:rPr>
            <w:webHidden/>
          </w:rPr>
          <w:fldChar w:fldCharType="separate"/>
        </w:r>
        <w:r>
          <w:rPr>
            <w:webHidden/>
          </w:rPr>
          <w:t>131</w:t>
        </w:r>
        <w:r>
          <w:rPr>
            <w:webHidden/>
          </w:rPr>
          <w:fldChar w:fldCharType="end"/>
        </w:r>
      </w:hyperlink>
    </w:p>
    <w:p w14:paraId="15905990" w14:textId="2C7484DE" w:rsidR="00013622" w:rsidRDefault="00013622">
      <w:pPr>
        <w:pStyle w:val="Obsah3"/>
        <w:rPr>
          <w:rFonts w:asciiTheme="minorHAnsi" w:eastAsiaTheme="minorEastAsia" w:hAnsiTheme="minorHAnsi" w:cstheme="minorBidi"/>
          <w:i w:val="0"/>
          <w:sz w:val="22"/>
          <w:szCs w:val="22"/>
        </w:rPr>
      </w:pPr>
      <w:hyperlink w:anchor="_Toc129005419" w:history="1">
        <w:r w:rsidRPr="00145391">
          <w:rPr>
            <w:rStyle w:val="Hypertextovodkaz"/>
          </w:rPr>
          <w:t>2.A.9</w:t>
        </w:r>
        <w:r>
          <w:rPr>
            <w:rFonts w:asciiTheme="minorHAnsi" w:eastAsiaTheme="minorEastAsia" w:hAnsiTheme="minorHAnsi" w:cstheme="minorBidi"/>
            <w:i w:val="0"/>
            <w:sz w:val="22"/>
            <w:szCs w:val="22"/>
          </w:rPr>
          <w:tab/>
        </w:r>
        <w:r w:rsidRPr="00145391">
          <w:rPr>
            <w:rStyle w:val="Hypertextovodkaz"/>
          </w:rPr>
          <w:t>Kategorie zásahů</w:t>
        </w:r>
        <w:r>
          <w:rPr>
            <w:webHidden/>
          </w:rPr>
          <w:tab/>
        </w:r>
        <w:r>
          <w:rPr>
            <w:webHidden/>
          </w:rPr>
          <w:fldChar w:fldCharType="begin"/>
        </w:r>
        <w:r>
          <w:rPr>
            <w:webHidden/>
          </w:rPr>
          <w:instrText xml:space="preserve"> PAGEREF _Toc129005419 \h </w:instrText>
        </w:r>
        <w:r>
          <w:rPr>
            <w:webHidden/>
          </w:rPr>
        </w:r>
        <w:r>
          <w:rPr>
            <w:webHidden/>
          </w:rPr>
          <w:fldChar w:fldCharType="separate"/>
        </w:r>
        <w:r>
          <w:rPr>
            <w:webHidden/>
          </w:rPr>
          <w:t>134</w:t>
        </w:r>
        <w:r>
          <w:rPr>
            <w:webHidden/>
          </w:rPr>
          <w:fldChar w:fldCharType="end"/>
        </w:r>
      </w:hyperlink>
    </w:p>
    <w:p w14:paraId="5DC8A0D5" w14:textId="1F4F5883" w:rsidR="00013622" w:rsidRDefault="00013622">
      <w:pPr>
        <w:pStyle w:val="Obsah3"/>
        <w:rPr>
          <w:rFonts w:asciiTheme="minorHAnsi" w:eastAsiaTheme="minorEastAsia" w:hAnsiTheme="minorHAnsi" w:cstheme="minorBidi"/>
          <w:i w:val="0"/>
          <w:sz w:val="22"/>
          <w:szCs w:val="22"/>
        </w:rPr>
      </w:pPr>
      <w:hyperlink w:anchor="_Toc129005420" w:history="1">
        <w:r w:rsidRPr="00145391">
          <w:rPr>
            <w:rStyle w:val="Hypertextovodkaz"/>
          </w:rPr>
          <w:t>2.A.10</w:t>
        </w:r>
        <w:r>
          <w:rPr>
            <w:rFonts w:asciiTheme="minorHAnsi" w:eastAsiaTheme="minorEastAsia" w:hAnsiTheme="minorHAnsi" w:cstheme="minorBidi"/>
            <w:i w:val="0"/>
            <w:sz w:val="22"/>
            <w:szCs w:val="22"/>
          </w:rPr>
          <w:tab/>
        </w:r>
        <w:r w:rsidRPr="00145391">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_Toc129005420 \h </w:instrText>
        </w:r>
        <w:r>
          <w:rPr>
            <w:webHidden/>
          </w:rPr>
        </w:r>
        <w:r>
          <w:rPr>
            <w:webHidden/>
          </w:rPr>
          <w:fldChar w:fldCharType="separate"/>
        </w:r>
        <w:r>
          <w:rPr>
            <w:webHidden/>
          </w:rPr>
          <w:t>134</w:t>
        </w:r>
        <w:r>
          <w:rPr>
            <w:webHidden/>
          </w:rPr>
          <w:fldChar w:fldCharType="end"/>
        </w:r>
      </w:hyperlink>
    </w:p>
    <w:p w14:paraId="74CEFC11" w14:textId="274A86CE" w:rsidR="00013622" w:rsidRDefault="00013622">
      <w:pPr>
        <w:pStyle w:val="Obsah3"/>
        <w:rPr>
          <w:rFonts w:asciiTheme="minorHAnsi" w:eastAsiaTheme="minorEastAsia" w:hAnsiTheme="minorHAnsi" w:cstheme="minorBidi"/>
          <w:i w:val="0"/>
          <w:sz w:val="22"/>
          <w:szCs w:val="22"/>
        </w:rPr>
      </w:pPr>
      <w:hyperlink w:anchor="_Toc129005421" w:history="1">
        <w:r w:rsidRPr="00145391">
          <w:rPr>
            <w:rStyle w:val="Hypertextovodkaz"/>
          </w:rPr>
          <w:t>2.A.1</w:t>
        </w:r>
        <w:r>
          <w:rPr>
            <w:rFonts w:asciiTheme="minorHAnsi" w:eastAsiaTheme="minorEastAsia" w:hAnsiTheme="minorHAnsi" w:cstheme="minorBidi"/>
            <w:i w:val="0"/>
            <w:sz w:val="22"/>
            <w:szCs w:val="22"/>
          </w:rPr>
          <w:tab/>
        </w:r>
        <w:r w:rsidRPr="00145391">
          <w:rPr>
            <w:rStyle w:val="Hypertextovodkaz"/>
          </w:rPr>
          <w:t>PRIORITNÍ OSA 4: Rozvoj vysokorychlostních přístupových sítí k internetu a informačních a komunikačních technologií</w:t>
        </w:r>
        <w:r>
          <w:rPr>
            <w:webHidden/>
          </w:rPr>
          <w:tab/>
        </w:r>
        <w:r>
          <w:rPr>
            <w:webHidden/>
          </w:rPr>
          <w:fldChar w:fldCharType="begin"/>
        </w:r>
        <w:r>
          <w:rPr>
            <w:webHidden/>
          </w:rPr>
          <w:instrText xml:space="preserve"> PAGEREF _Toc129005421 \h </w:instrText>
        </w:r>
        <w:r>
          <w:rPr>
            <w:webHidden/>
          </w:rPr>
        </w:r>
        <w:r>
          <w:rPr>
            <w:webHidden/>
          </w:rPr>
          <w:fldChar w:fldCharType="separate"/>
        </w:r>
        <w:r>
          <w:rPr>
            <w:webHidden/>
          </w:rPr>
          <w:t>135</w:t>
        </w:r>
        <w:r>
          <w:rPr>
            <w:webHidden/>
          </w:rPr>
          <w:fldChar w:fldCharType="end"/>
        </w:r>
      </w:hyperlink>
    </w:p>
    <w:p w14:paraId="43A91F92" w14:textId="0C78D456" w:rsidR="00013622" w:rsidRDefault="00013622">
      <w:pPr>
        <w:pStyle w:val="Obsah3"/>
        <w:rPr>
          <w:rFonts w:asciiTheme="minorHAnsi" w:eastAsiaTheme="minorEastAsia" w:hAnsiTheme="minorHAnsi" w:cstheme="minorBidi"/>
          <w:i w:val="0"/>
          <w:sz w:val="22"/>
          <w:szCs w:val="22"/>
        </w:rPr>
      </w:pPr>
      <w:hyperlink w:anchor="_Toc129005422" w:history="1">
        <w:r w:rsidRPr="00145391">
          <w:rPr>
            <w:rStyle w:val="Hypertextovodkaz"/>
          </w:rPr>
          <w:t>2.A.2</w:t>
        </w:r>
        <w:r>
          <w:rPr>
            <w:rFonts w:asciiTheme="minorHAnsi" w:eastAsiaTheme="minorEastAsia" w:hAnsiTheme="minorHAnsi" w:cstheme="minorBidi"/>
            <w:i w:val="0"/>
            <w:sz w:val="22"/>
            <w:szCs w:val="22"/>
          </w:rPr>
          <w:tab/>
        </w:r>
        <w:r w:rsidRPr="00145391">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_Toc129005422 \h </w:instrText>
        </w:r>
        <w:r>
          <w:rPr>
            <w:webHidden/>
          </w:rPr>
        </w:r>
        <w:r>
          <w:rPr>
            <w:webHidden/>
          </w:rPr>
          <w:fldChar w:fldCharType="separate"/>
        </w:r>
        <w:r>
          <w:rPr>
            <w:webHidden/>
          </w:rPr>
          <w:t>135</w:t>
        </w:r>
        <w:r>
          <w:rPr>
            <w:webHidden/>
          </w:rPr>
          <w:fldChar w:fldCharType="end"/>
        </w:r>
      </w:hyperlink>
    </w:p>
    <w:p w14:paraId="4A2D0692" w14:textId="3C62DB45" w:rsidR="00013622" w:rsidRDefault="00013622">
      <w:pPr>
        <w:pStyle w:val="Obsah3"/>
        <w:rPr>
          <w:rFonts w:asciiTheme="minorHAnsi" w:eastAsiaTheme="minorEastAsia" w:hAnsiTheme="minorHAnsi" w:cstheme="minorBidi"/>
          <w:i w:val="0"/>
          <w:sz w:val="22"/>
          <w:szCs w:val="22"/>
        </w:rPr>
      </w:pPr>
      <w:hyperlink w:anchor="_Toc129005423" w:history="1">
        <w:r w:rsidRPr="00145391">
          <w:rPr>
            <w:rStyle w:val="Hypertextovodkaz"/>
          </w:rPr>
          <w:t>2.A.3</w:t>
        </w:r>
        <w:r>
          <w:rPr>
            <w:rFonts w:asciiTheme="minorHAnsi" w:eastAsiaTheme="minorEastAsia" w:hAnsiTheme="minorHAnsi" w:cstheme="minorBidi"/>
            <w:i w:val="0"/>
            <w:sz w:val="22"/>
            <w:szCs w:val="22"/>
          </w:rPr>
          <w:tab/>
        </w:r>
        <w:r w:rsidRPr="00145391">
          <w:rPr>
            <w:rStyle w:val="Hypertextovodkaz"/>
          </w:rPr>
          <w:t>Fond, kategorie regionů a základ pro výpočet podpory Unie</w:t>
        </w:r>
        <w:r>
          <w:rPr>
            <w:webHidden/>
          </w:rPr>
          <w:tab/>
        </w:r>
        <w:r>
          <w:rPr>
            <w:webHidden/>
          </w:rPr>
          <w:fldChar w:fldCharType="begin"/>
        </w:r>
        <w:r>
          <w:rPr>
            <w:webHidden/>
          </w:rPr>
          <w:instrText xml:space="preserve"> PAGEREF _Toc129005423 \h </w:instrText>
        </w:r>
        <w:r>
          <w:rPr>
            <w:webHidden/>
          </w:rPr>
        </w:r>
        <w:r>
          <w:rPr>
            <w:webHidden/>
          </w:rPr>
          <w:fldChar w:fldCharType="separate"/>
        </w:r>
        <w:r>
          <w:rPr>
            <w:webHidden/>
          </w:rPr>
          <w:t>135</w:t>
        </w:r>
        <w:r>
          <w:rPr>
            <w:webHidden/>
          </w:rPr>
          <w:fldChar w:fldCharType="end"/>
        </w:r>
      </w:hyperlink>
    </w:p>
    <w:p w14:paraId="3C61E369" w14:textId="602B29BB" w:rsidR="00013622" w:rsidRDefault="00013622">
      <w:pPr>
        <w:pStyle w:val="Obsah3"/>
        <w:rPr>
          <w:rFonts w:asciiTheme="minorHAnsi" w:eastAsiaTheme="minorEastAsia" w:hAnsiTheme="minorHAnsi" w:cstheme="minorBidi"/>
          <w:i w:val="0"/>
          <w:sz w:val="22"/>
          <w:szCs w:val="22"/>
        </w:rPr>
      </w:pPr>
      <w:hyperlink w:anchor="_Toc129005424"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1 prioritní osy 4: Rozšiřování širokopásmového připojení a zavádění vysokorychlostních sítí a podpora zavádění vznikajících technologií a sítí pro digitální hospodářství</w:t>
        </w:r>
        <w:r>
          <w:rPr>
            <w:webHidden/>
          </w:rPr>
          <w:tab/>
        </w:r>
        <w:r>
          <w:rPr>
            <w:webHidden/>
          </w:rPr>
          <w:fldChar w:fldCharType="begin"/>
        </w:r>
        <w:r>
          <w:rPr>
            <w:webHidden/>
          </w:rPr>
          <w:instrText xml:space="preserve"> PAGEREF _Toc129005424 \h </w:instrText>
        </w:r>
        <w:r>
          <w:rPr>
            <w:webHidden/>
          </w:rPr>
        </w:r>
        <w:r>
          <w:rPr>
            <w:webHidden/>
          </w:rPr>
          <w:fldChar w:fldCharType="separate"/>
        </w:r>
        <w:r>
          <w:rPr>
            <w:webHidden/>
          </w:rPr>
          <w:t>135</w:t>
        </w:r>
        <w:r>
          <w:rPr>
            <w:webHidden/>
          </w:rPr>
          <w:fldChar w:fldCharType="end"/>
        </w:r>
      </w:hyperlink>
    </w:p>
    <w:p w14:paraId="125DFADB" w14:textId="58BC0978" w:rsidR="00013622" w:rsidRDefault="00013622">
      <w:pPr>
        <w:pStyle w:val="Obsah3"/>
        <w:rPr>
          <w:rFonts w:asciiTheme="minorHAnsi" w:eastAsiaTheme="minorEastAsia" w:hAnsiTheme="minorHAnsi" w:cstheme="minorBidi"/>
          <w:i w:val="0"/>
          <w:sz w:val="22"/>
          <w:szCs w:val="22"/>
        </w:rPr>
      </w:pPr>
      <w:hyperlink w:anchor="_Toc129005425"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_Toc129005425 \h </w:instrText>
        </w:r>
        <w:r>
          <w:rPr>
            <w:webHidden/>
          </w:rPr>
        </w:r>
        <w:r>
          <w:rPr>
            <w:webHidden/>
          </w:rPr>
          <w:fldChar w:fldCharType="separate"/>
        </w:r>
        <w:r>
          <w:rPr>
            <w:webHidden/>
          </w:rPr>
          <w:t>135</w:t>
        </w:r>
        <w:r>
          <w:rPr>
            <w:webHidden/>
          </w:rPr>
          <w:fldChar w:fldCharType="end"/>
        </w:r>
      </w:hyperlink>
    </w:p>
    <w:p w14:paraId="3A6D5084" w14:textId="6A164008" w:rsidR="00013622" w:rsidRDefault="00013622">
      <w:pPr>
        <w:pStyle w:val="Obsah3"/>
        <w:rPr>
          <w:rFonts w:asciiTheme="minorHAnsi" w:eastAsiaTheme="minorEastAsia" w:hAnsiTheme="minorHAnsi" w:cstheme="minorBidi"/>
          <w:i w:val="0"/>
          <w:sz w:val="22"/>
          <w:szCs w:val="22"/>
        </w:rPr>
      </w:pPr>
      <w:hyperlink w:anchor="_Toc129005426"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_Toc129005426 \h </w:instrText>
        </w:r>
        <w:r>
          <w:rPr>
            <w:webHidden/>
          </w:rPr>
        </w:r>
        <w:r>
          <w:rPr>
            <w:webHidden/>
          </w:rPr>
          <w:fldChar w:fldCharType="separate"/>
        </w:r>
        <w:r>
          <w:rPr>
            <w:webHidden/>
          </w:rPr>
          <w:t>136</w:t>
        </w:r>
        <w:r>
          <w:rPr>
            <w:webHidden/>
          </w:rPr>
          <w:fldChar w:fldCharType="end"/>
        </w:r>
      </w:hyperlink>
    </w:p>
    <w:p w14:paraId="0EB6B132" w14:textId="555AE6F7" w:rsidR="00013622" w:rsidRDefault="00013622">
      <w:pPr>
        <w:pStyle w:val="Obsah3"/>
        <w:rPr>
          <w:rFonts w:asciiTheme="minorHAnsi" w:eastAsiaTheme="minorEastAsia" w:hAnsiTheme="minorHAnsi" w:cstheme="minorBidi"/>
          <w:i w:val="0"/>
          <w:sz w:val="22"/>
          <w:szCs w:val="22"/>
        </w:rPr>
      </w:pPr>
      <w:hyperlink w:anchor="_Toc129005427" w:history="1">
        <w:r w:rsidRPr="00145391">
          <w:rPr>
            <w:rStyle w:val="Hypertextovodkaz"/>
          </w:rPr>
          <w:t>2.A.4</w:t>
        </w:r>
        <w:r>
          <w:rPr>
            <w:rFonts w:asciiTheme="minorHAnsi" w:eastAsiaTheme="minorEastAsia" w:hAnsiTheme="minorHAnsi" w:cstheme="minorBidi"/>
            <w:i w:val="0"/>
            <w:sz w:val="22"/>
            <w:szCs w:val="22"/>
          </w:rPr>
          <w:tab/>
        </w:r>
        <w:r w:rsidRPr="00145391">
          <w:rPr>
            <w:rStyle w:val="Hypertextovodkaz"/>
          </w:rPr>
          <w:t>INVESTIČNÍ PRIORITA 2 prioritní osy 4: Vyvíjení produktů a služeb v oblasti IKT, elektronický obchod a zvyšování poptávky po IKT</w:t>
        </w:r>
        <w:r>
          <w:rPr>
            <w:webHidden/>
          </w:rPr>
          <w:tab/>
        </w:r>
        <w:r>
          <w:rPr>
            <w:webHidden/>
          </w:rPr>
          <w:fldChar w:fldCharType="begin"/>
        </w:r>
        <w:r>
          <w:rPr>
            <w:webHidden/>
          </w:rPr>
          <w:instrText xml:space="preserve"> PAGEREF _Toc129005427 \h </w:instrText>
        </w:r>
        <w:r>
          <w:rPr>
            <w:webHidden/>
          </w:rPr>
        </w:r>
        <w:r>
          <w:rPr>
            <w:webHidden/>
          </w:rPr>
          <w:fldChar w:fldCharType="separate"/>
        </w:r>
        <w:r>
          <w:rPr>
            <w:webHidden/>
          </w:rPr>
          <w:t>140</w:t>
        </w:r>
        <w:r>
          <w:rPr>
            <w:webHidden/>
          </w:rPr>
          <w:fldChar w:fldCharType="end"/>
        </w:r>
      </w:hyperlink>
    </w:p>
    <w:p w14:paraId="11B88B75" w14:textId="35DEF6D4" w:rsidR="00013622" w:rsidRDefault="00013622">
      <w:pPr>
        <w:pStyle w:val="Obsah3"/>
        <w:rPr>
          <w:rFonts w:asciiTheme="minorHAnsi" w:eastAsiaTheme="minorEastAsia" w:hAnsiTheme="minorHAnsi" w:cstheme="minorBidi"/>
          <w:i w:val="0"/>
          <w:sz w:val="22"/>
          <w:szCs w:val="22"/>
        </w:rPr>
      </w:pPr>
      <w:hyperlink w:anchor="_Toc129005428" w:history="1">
        <w:r w:rsidRPr="00145391">
          <w:rPr>
            <w:rStyle w:val="Hypertextovodkaz"/>
          </w:rPr>
          <w:t>2.A.5</w:t>
        </w:r>
        <w:r>
          <w:rPr>
            <w:rFonts w:asciiTheme="minorHAnsi" w:eastAsiaTheme="minorEastAsia" w:hAnsiTheme="minorHAnsi" w:cstheme="minorBidi"/>
            <w:i w:val="0"/>
            <w:sz w:val="22"/>
            <w:szCs w:val="22"/>
          </w:rPr>
          <w:tab/>
        </w:r>
        <w:r w:rsidRPr="00145391">
          <w:rPr>
            <w:rStyle w:val="Hypertextovodkaz"/>
          </w:rPr>
          <w:t>Specifické cíle odpovídající investiční prioritě a očekávané výsledky</w:t>
        </w:r>
        <w:r>
          <w:rPr>
            <w:webHidden/>
          </w:rPr>
          <w:tab/>
        </w:r>
        <w:r>
          <w:rPr>
            <w:webHidden/>
          </w:rPr>
          <w:fldChar w:fldCharType="begin"/>
        </w:r>
        <w:r>
          <w:rPr>
            <w:webHidden/>
          </w:rPr>
          <w:instrText xml:space="preserve"> PAGEREF _Toc129005428 \h </w:instrText>
        </w:r>
        <w:r>
          <w:rPr>
            <w:webHidden/>
          </w:rPr>
        </w:r>
        <w:r>
          <w:rPr>
            <w:webHidden/>
          </w:rPr>
          <w:fldChar w:fldCharType="separate"/>
        </w:r>
        <w:r>
          <w:rPr>
            <w:webHidden/>
          </w:rPr>
          <w:t>140</w:t>
        </w:r>
        <w:r>
          <w:rPr>
            <w:webHidden/>
          </w:rPr>
          <w:fldChar w:fldCharType="end"/>
        </w:r>
      </w:hyperlink>
    </w:p>
    <w:p w14:paraId="6FCAB522" w14:textId="28857CC5" w:rsidR="00013622" w:rsidRDefault="00013622">
      <w:pPr>
        <w:pStyle w:val="Obsah3"/>
        <w:rPr>
          <w:rFonts w:asciiTheme="minorHAnsi" w:eastAsiaTheme="minorEastAsia" w:hAnsiTheme="minorHAnsi" w:cstheme="minorBidi"/>
          <w:i w:val="0"/>
          <w:sz w:val="22"/>
          <w:szCs w:val="22"/>
        </w:rPr>
      </w:pPr>
      <w:hyperlink w:anchor="_Toc129005429" w:history="1">
        <w:r w:rsidRPr="00145391">
          <w:rPr>
            <w:rStyle w:val="Hypertextovodkaz"/>
          </w:rPr>
          <w:t>2.A.6</w:t>
        </w:r>
        <w:r>
          <w:rPr>
            <w:rFonts w:asciiTheme="minorHAnsi" w:eastAsiaTheme="minorEastAsia" w:hAnsiTheme="minorHAnsi" w:cstheme="minorBidi"/>
            <w:i w:val="0"/>
            <w:sz w:val="22"/>
            <w:szCs w:val="22"/>
          </w:rPr>
          <w:tab/>
        </w:r>
        <w:r w:rsidRPr="00145391">
          <w:rPr>
            <w:rStyle w:val="Hypertextovodkaz"/>
          </w:rPr>
          <w:t>Opatření, jež má být podpořeno v rámci investiční priority</w:t>
        </w:r>
        <w:r>
          <w:rPr>
            <w:webHidden/>
          </w:rPr>
          <w:tab/>
        </w:r>
        <w:r>
          <w:rPr>
            <w:webHidden/>
          </w:rPr>
          <w:fldChar w:fldCharType="begin"/>
        </w:r>
        <w:r>
          <w:rPr>
            <w:webHidden/>
          </w:rPr>
          <w:instrText xml:space="preserve"> PAGEREF _Toc129005429 \h </w:instrText>
        </w:r>
        <w:r>
          <w:rPr>
            <w:webHidden/>
          </w:rPr>
        </w:r>
        <w:r>
          <w:rPr>
            <w:webHidden/>
          </w:rPr>
          <w:fldChar w:fldCharType="separate"/>
        </w:r>
        <w:r>
          <w:rPr>
            <w:webHidden/>
          </w:rPr>
          <w:t>141</w:t>
        </w:r>
        <w:r>
          <w:rPr>
            <w:webHidden/>
          </w:rPr>
          <w:fldChar w:fldCharType="end"/>
        </w:r>
      </w:hyperlink>
    </w:p>
    <w:p w14:paraId="4E93CAF1" w14:textId="15514FC3" w:rsidR="00013622" w:rsidRDefault="00013622">
      <w:pPr>
        <w:pStyle w:val="Obsah3"/>
        <w:rPr>
          <w:rFonts w:asciiTheme="minorHAnsi" w:eastAsiaTheme="minorEastAsia" w:hAnsiTheme="minorHAnsi" w:cstheme="minorBidi"/>
          <w:i w:val="0"/>
          <w:sz w:val="22"/>
          <w:szCs w:val="22"/>
        </w:rPr>
      </w:pPr>
      <w:hyperlink w:anchor="_Toc129005430" w:history="1">
        <w:r w:rsidRPr="00145391">
          <w:rPr>
            <w:rStyle w:val="Hypertextovodkaz"/>
          </w:rPr>
          <w:t>2.A.7</w:t>
        </w:r>
        <w:r>
          <w:rPr>
            <w:rFonts w:asciiTheme="minorHAnsi" w:eastAsiaTheme="minorEastAsia" w:hAnsiTheme="minorHAnsi" w:cstheme="minorBidi"/>
            <w:i w:val="0"/>
            <w:sz w:val="22"/>
            <w:szCs w:val="22"/>
          </w:rPr>
          <w:tab/>
        </w:r>
        <w:r w:rsidRPr="00145391">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_Toc129005430 \h </w:instrText>
        </w:r>
        <w:r>
          <w:rPr>
            <w:webHidden/>
          </w:rPr>
        </w:r>
        <w:r>
          <w:rPr>
            <w:webHidden/>
          </w:rPr>
          <w:fldChar w:fldCharType="separate"/>
        </w:r>
        <w:r>
          <w:rPr>
            <w:webHidden/>
          </w:rPr>
          <w:t>144</w:t>
        </w:r>
        <w:r>
          <w:rPr>
            <w:webHidden/>
          </w:rPr>
          <w:fldChar w:fldCharType="end"/>
        </w:r>
      </w:hyperlink>
    </w:p>
    <w:p w14:paraId="16DD677B" w14:textId="66CD9511" w:rsidR="00013622" w:rsidRDefault="00013622">
      <w:pPr>
        <w:pStyle w:val="Obsah3"/>
        <w:rPr>
          <w:rFonts w:asciiTheme="minorHAnsi" w:eastAsiaTheme="minorEastAsia" w:hAnsiTheme="minorHAnsi" w:cstheme="minorBidi"/>
          <w:i w:val="0"/>
          <w:sz w:val="22"/>
          <w:szCs w:val="22"/>
        </w:rPr>
      </w:pPr>
      <w:hyperlink w:anchor="_Toc129005431" w:history="1">
        <w:r w:rsidRPr="00145391">
          <w:rPr>
            <w:rStyle w:val="Hypertextovodkaz"/>
          </w:rPr>
          <w:t>2.A.8</w:t>
        </w:r>
        <w:r>
          <w:rPr>
            <w:rFonts w:asciiTheme="minorHAnsi" w:eastAsiaTheme="minorEastAsia" w:hAnsiTheme="minorHAnsi" w:cstheme="minorBidi"/>
            <w:i w:val="0"/>
            <w:sz w:val="22"/>
            <w:szCs w:val="22"/>
          </w:rPr>
          <w:tab/>
        </w:r>
        <w:r w:rsidRPr="00145391">
          <w:rPr>
            <w:rStyle w:val="Hypertextovodkaz"/>
          </w:rPr>
          <w:t>Výkonnostní rámec</w:t>
        </w:r>
        <w:r>
          <w:rPr>
            <w:webHidden/>
          </w:rPr>
          <w:tab/>
        </w:r>
        <w:r>
          <w:rPr>
            <w:webHidden/>
          </w:rPr>
          <w:fldChar w:fldCharType="begin"/>
        </w:r>
        <w:r>
          <w:rPr>
            <w:webHidden/>
          </w:rPr>
          <w:instrText xml:space="preserve"> PAGEREF _Toc129005431 \h </w:instrText>
        </w:r>
        <w:r>
          <w:rPr>
            <w:webHidden/>
          </w:rPr>
        </w:r>
        <w:r>
          <w:rPr>
            <w:webHidden/>
          </w:rPr>
          <w:fldChar w:fldCharType="separate"/>
        </w:r>
        <w:r>
          <w:rPr>
            <w:webHidden/>
          </w:rPr>
          <w:t>145</w:t>
        </w:r>
        <w:r>
          <w:rPr>
            <w:webHidden/>
          </w:rPr>
          <w:fldChar w:fldCharType="end"/>
        </w:r>
      </w:hyperlink>
    </w:p>
    <w:p w14:paraId="46D78AB0" w14:textId="5DEAA884" w:rsidR="00013622" w:rsidRDefault="00013622">
      <w:pPr>
        <w:pStyle w:val="Obsah3"/>
        <w:rPr>
          <w:rFonts w:asciiTheme="minorHAnsi" w:eastAsiaTheme="minorEastAsia" w:hAnsiTheme="minorHAnsi" w:cstheme="minorBidi"/>
          <w:i w:val="0"/>
          <w:sz w:val="22"/>
          <w:szCs w:val="22"/>
        </w:rPr>
      </w:pPr>
      <w:hyperlink w:anchor="_Toc129005432" w:history="1">
        <w:r w:rsidRPr="00145391">
          <w:rPr>
            <w:rStyle w:val="Hypertextovodkaz"/>
          </w:rPr>
          <w:t>2.A.9</w:t>
        </w:r>
        <w:r>
          <w:rPr>
            <w:rFonts w:asciiTheme="minorHAnsi" w:eastAsiaTheme="minorEastAsia" w:hAnsiTheme="minorHAnsi" w:cstheme="minorBidi"/>
            <w:i w:val="0"/>
            <w:sz w:val="22"/>
            <w:szCs w:val="22"/>
          </w:rPr>
          <w:tab/>
        </w:r>
        <w:r w:rsidRPr="00145391">
          <w:rPr>
            <w:rStyle w:val="Hypertextovodkaz"/>
          </w:rPr>
          <w:t>Kategorie zásahů</w:t>
        </w:r>
        <w:r>
          <w:rPr>
            <w:webHidden/>
          </w:rPr>
          <w:tab/>
        </w:r>
        <w:r>
          <w:rPr>
            <w:webHidden/>
          </w:rPr>
          <w:fldChar w:fldCharType="begin"/>
        </w:r>
        <w:r>
          <w:rPr>
            <w:webHidden/>
          </w:rPr>
          <w:instrText xml:space="preserve"> PAGEREF _Toc129005432 \h </w:instrText>
        </w:r>
        <w:r>
          <w:rPr>
            <w:webHidden/>
          </w:rPr>
        </w:r>
        <w:r>
          <w:rPr>
            <w:webHidden/>
          </w:rPr>
          <w:fldChar w:fldCharType="separate"/>
        </w:r>
        <w:r>
          <w:rPr>
            <w:webHidden/>
          </w:rPr>
          <w:t>148</w:t>
        </w:r>
        <w:r>
          <w:rPr>
            <w:webHidden/>
          </w:rPr>
          <w:fldChar w:fldCharType="end"/>
        </w:r>
      </w:hyperlink>
    </w:p>
    <w:p w14:paraId="55F053D5" w14:textId="31F47E03" w:rsidR="00013622" w:rsidRDefault="00013622">
      <w:pPr>
        <w:pStyle w:val="Obsah3"/>
        <w:rPr>
          <w:rFonts w:asciiTheme="minorHAnsi" w:eastAsiaTheme="minorEastAsia" w:hAnsiTheme="minorHAnsi" w:cstheme="minorBidi"/>
          <w:i w:val="0"/>
          <w:sz w:val="22"/>
          <w:szCs w:val="22"/>
        </w:rPr>
      </w:pPr>
      <w:hyperlink w:anchor="_Toc129005433" w:history="1">
        <w:r w:rsidRPr="00145391">
          <w:rPr>
            <w:rStyle w:val="Hypertextovodkaz"/>
          </w:rPr>
          <w:t>2.A.10</w:t>
        </w:r>
        <w:r>
          <w:rPr>
            <w:rFonts w:asciiTheme="minorHAnsi" w:eastAsiaTheme="minorEastAsia" w:hAnsiTheme="minorHAnsi" w:cstheme="minorBidi"/>
            <w:i w:val="0"/>
            <w:sz w:val="22"/>
            <w:szCs w:val="22"/>
          </w:rPr>
          <w:tab/>
        </w:r>
        <w:r w:rsidRPr="00145391">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_Toc129005433 \h </w:instrText>
        </w:r>
        <w:r>
          <w:rPr>
            <w:webHidden/>
          </w:rPr>
        </w:r>
        <w:r>
          <w:rPr>
            <w:webHidden/>
          </w:rPr>
          <w:fldChar w:fldCharType="separate"/>
        </w:r>
        <w:r>
          <w:rPr>
            <w:webHidden/>
          </w:rPr>
          <w:t>148</w:t>
        </w:r>
        <w:r>
          <w:rPr>
            <w:webHidden/>
          </w:rPr>
          <w:fldChar w:fldCharType="end"/>
        </w:r>
      </w:hyperlink>
    </w:p>
    <w:p w14:paraId="7FCD00AB" w14:textId="49D05C20" w:rsidR="00013622" w:rsidRDefault="00013622">
      <w:pPr>
        <w:pStyle w:val="Obsah1"/>
        <w:tabs>
          <w:tab w:val="left" w:pos="600"/>
          <w:tab w:val="right" w:leader="dot" w:pos="9202"/>
        </w:tabs>
        <w:rPr>
          <w:rFonts w:asciiTheme="minorHAnsi" w:eastAsiaTheme="minorEastAsia" w:hAnsiTheme="minorHAnsi" w:cstheme="minorBidi"/>
          <w:b w:val="0"/>
          <w:noProof/>
          <w:sz w:val="22"/>
          <w:szCs w:val="22"/>
        </w:rPr>
      </w:pPr>
      <w:hyperlink w:anchor="_Toc129005434" w:history="1">
        <w:r w:rsidRPr="00145391">
          <w:rPr>
            <w:rStyle w:val="Hypertextovodkaz"/>
            <w:noProof/>
          </w:rPr>
          <w:t>2.B</w:t>
        </w:r>
        <w:r>
          <w:rPr>
            <w:rFonts w:asciiTheme="minorHAnsi" w:eastAsiaTheme="minorEastAsia" w:hAnsiTheme="minorHAnsi" w:cstheme="minorBidi"/>
            <w:b w:val="0"/>
            <w:noProof/>
            <w:sz w:val="22"/>
            <w:szCs w:val="22"/>
          </w:rPr>
          <w:tab/>
        </w:r>
        <w:r w:rsidRPr="00145391">
          <w:rPr>
            <w:rStyle w:val="Hypertextovodkaz"/>
            <w:noProof/>
          </w:rPr>
          <w:t>Popis prioritních os pro technickou pomoc</w:t>
        </w:r>
        <w:r>
          <w:rPr>
            <w:noProof/>
            <w:webHidden/>
          </w:rPr>
          <w:tab/>
        </w:r>
        <w:r>
          <w:rPr>
            <w:noProof/>
            <w:webHidden/>
          </w:rPr>
          <w:fldChar w:fldCharType="begin"/>
        </w:r>
        <w:r>
          <w:rPr>
            <w:noProof/>
            <w:webHidden/>
          </w:rPr>
          <w:instrText xml:space="preserve"> PAGEREF _Toc129005434 \h </w:instrText>
        </w:r>
        <w:r>
          <w:rPr>
            <w:noProof/>
            <w:webHidden/>
          </w:rPr>
        </w:r>
        <w:r>
          <w:rPr>
            <w:noProof/>
            <w:webHidden/>
          </w:rPr>
          <w:fldChar w:fldCharType="separate"/>
        </w:r>
        <w:r>
          <w:rPr>
            <w:noProof/>
            <w:webHidden/>
          </w:rPr>
          <w:t>149</w:t>
        </w:r>
        <w:r>
          <w:rPr>
            <w:noProof/>
            <w:webHidden/>
          </w:rPr>
          <w:fldChar w:fldCharType="end"/>
        </w:r>
      </w:hyperlink>
    </w:p>
    <w:p w14:paraId="769FAEB5" w14:textId="004E14A8" w:rsidR="00013622" w:rsidRDefault="00013622">
      <w:pPr>
        <w:pStyle w:val="Obsah3"/>
        <w:rPr>
          <w:rFonts w:asciiTheme="minorHAnsi" w:eastAsiaTheme="minorEastAsia" w:hAnsiTheme="minorHAnsi" w:cstheme="minorBidi"/>
          <w:i w:val="0"/>
          <w:sz w:val="22"/>
          <w:szCs w:val="22"/>
        </w:rPr>
      </w:pPr>
      <w:hyperlink w:anchor="_Toc129005435" w:history="1">
        <w:r w:rsidRPr="00145391">
          <w:rPr>
            <w:rStyle w:val="Hypertextovodkaz"/>
          </w:rPr>
          <w:t>2.B.1</w:t>
        </w:r>
        <w:r>
          <w:rPr>
            <w:rFonts w:asciiTheme="minorHAnsi" w:eastAsiaTheme="minorEastAsia" w:hAnsiTheme="minorHAnsi" w:cstheme="minorBidi"/>
            <w:i w:val="0"/>
            <w:sz w:val="22"/>
            <w:szCs w:val="22"/>
          </w:rPr>
          <w:tab/>
        </w:r>
        <w:r w:rsidRPr="00145391">
          <w:rPr>
            <w:rStyle w:val="Hypertextovodkaz"/>
          </w:rPr>
          <w:t>PRIORITNÍ OSA 5: Technická pomoc</w:t>
        </w:r>
        <w:r>
          <w:rPr>
            <w:webHidden/>
          </w:rPr>
          <w:tab/>
        </w:r>
        <w:r>
          <w:rPr>
            <w:webHidden/>
          </w:rPr>
          <w:fldChar w:fldCharType="begin"/>
        </w:r>
        <w:r>
          <w:rPr>
            <w:webHidden/>
          </w:rPr>
          <w:instrText xml:space="preserve"> PAGEREF _Toc129005435 \h </w:instrText>
        </w:r>
        <w:r>
          <w:rPr>
            <w:webHidden/>
          </w:rPr>
        </w:r>
        <w:r>
          <w:rPr>
            <w:webHidden/>
          </w:rPr>
          <w:fldChar w:fldCharType="separate"/>
        </w:r>
        <w:r>
          <w:rPr>
            <w:webHidden/>
          </w:rPr>
          <w:t>149</w:t>
        </w:r>
        <w:r>
          <w:rPr>
            <w:webHidden/>
          </w:rPr>
          <w:fldChar w:fldCharType="end"/>
        </w:r>
      </w:hyperlink>
    </w:p>
    <w:p w14:paraId="66FE4911" w14:textId="3E43B8AE" w:rsidR="00013622" w:rsidRDefault="00013622">
      <w:pPr>
        <w:pStyle w:val="Obsah3"/>
        <w:rPr>
          <w:rFonts w:asciiTheme="minorHAnsi" w:eastAsiaTheme="minorEastAsia" w:hAnsiTheme="minorHAnsi" w:cstheme="minorBidi"/>
          <w:i w:val="0"/>
          <w:sz w:val="22"/>
          <w:szCs w:val="22"/>
        </w:rPr>
      </w:pPr>
      <w:hyperlink w:anchor="_Toc129005436" w:history="1">
        <w:r w:rsidRPr="00145391">
          <w:rPr>
            <w:rStyle w:val="Hypertextovodkaz"/>
          </w:rPr>
          <w:t>2.B.2</w:t>
        </w:r>
        <w:r>
          <w:rPr>
            <w:rFonts w:asciiTheme="minorHAnsi" w:eastAsiaTheme="minorEastAsia" w:hAnsiTheme="minorHAnsi" w:cstheme="minorBidi"/>
            <w:i w:val="0"/>
            <w:sz w:val="22"/>
            <w:szCs w:val="22"/>
          </w:rPr>
          <w:tab/>
        </w:r>
        <w:r w:rsidRPr="00145391">
          <w:rPr>
            <w:rStyle w:val="Hypertextovodkaz"/>
          </w:rPr>
          <w:t>Odůvodnění stanovení prioritní osy, jež zahrnuje více než jednu kategorii regionů (použije-li se)</w:t>
        </w:r>
        <w:r>
          <w:rPr>
            <w:webHidden/>
          </w:rPr>
          <w:tab/>
        </w:r>
        <w:r>
          <w:rPr>
            <w:webHidden/>
          </w:rPr>
          <w:fldChar w:fldCharType="begin"/>
        </w:r>
        <w:r>
          <w:rPr>
            <w:webHidden/>
          </w:rPr>
          <w:instrText xml:space="preserve"> PAGEREF _Toc129005436 \h </w:instrText>
        </w:r>
        <w:r>
          <w:rPr>
            <w:webHidden/>
          </w:rPr>
        </w:r>
        <w:r>
          <w:rPr>
            <w:webHidden/>
          </w:rPr>
          <w:fldChar w:fldCharType="separate"/>
        </w:r>
        <w:r>
          <w:rPr>
            <w:webHidden/>
          </w:rPr>
          <w:t>149</w:t>
        </w:r>
        <w:r>
          <w:rPr>
            <w:webHidden/>
          </w:rPr>
          <w:fldChar w:fldCharType="end"/>
        </w:r>
      </w:hyperlink>
    </w:p>
    <w:p w14:paraId="4445FFFF" w14:textId="5724621A" w:rsidR="00013622" w:rsidRDefault="00013622">
      <w:pPr>
        <w:pStyle w:val="Obsah3"/>
        <w:rPr>
          <w:rFonts w:asciiTheme="minorHAnsi" w:eastAsiaTheme="minorEastAsia" w:hAnsiTheme="minorHAnsi" w:cstheme="minorBidi"/>
          <w:i w:val="0"/>
          <w:sz w:val="22"/>
          <w:szCs w:val="22"/>
        </w:rPr>
      </w:pPr>
      <w:hyperlink w:anchor="_Toc129005437" w:history="1">
        <w:r w:rsidRPr="00145391">
          <w:rPr>
            <w:rStyle w:val="Hypertextovodkaz"/>
          </w:rPr>
          <w:t>2.B.3</w:t>
        </w:r>
        <w:r>
          <w:rPr>
            <w:rFonts w:asciiTheme="minorHAnsi" w:eastAsiaTheme="minorEastAsia" w:hAnsiTheme="minorHAnsi" w:cstheme="minorBidi"/>
            <w:i w:val="0"/>
            <w:sz w:val="22"/>
            <w:szCs w:val="22"/>
          </w:rPr>
          <w:tab/>
        </w:r>
        <w:r w:rsidRPr="00145391">
          <w:rPr>
            <w:rStyle w:val="Hypertextovodkaz"/>
          </w:rPr>
          <w:t>Fond a kategorie regionů</w:t>
        </w:r>
        <w:r>
          <w:rPr>
            <w:webHidden/>
          </w:rPr>
          <w:tab/>
        </w:r>
        <w:r>
          <w:rPr>
            <w:webHidden/>
          </w:rPr>
          <w:fldChar w:fldCharType="begin"/>
        </w:r>
        <w:r>
          <w:rPr>
            <w:webHidden/>
          </w:rPr>
          <w:instrText xml:space="preserve"> PAGEREF _Toc129005437 \h </w:instrText>
        </w:r>
        <w:r>
          <w:rPr>
            <w:webHidden/>
          </w:rPr>
        </w:r>
        <w:r>
          <w:rPr>
            <w:webHidden/>
          </w:rPr>
          <w:fldChar w:fldCharType="separate"/>
        </w:r>
        <w:r>
          <w:rPr>
            <w:webHidden/>
          </w:rPr>
          <w:t>149</w:t>
        </w:r>
        <w:r>
          <w:rPr>
            <w:webHidden/>
          </w:rPr>
          <w:fldChar w:fldCharType="end"/>
        </w:r>
      </w:hyperlink>
    </w:p>
    <w:p w14:paraId="4C7AA5EA" w14:textId="4C2E3DEF" w:rsidR="00013622" w:rsidRDefault="00013622">
      <w:pPr>
        <w:pStyle w:val="Obsah3"/>
        <w:rPr>
          <w:rFonts w:asciiTheme="minorHAnsi" w:eastAsiaTheme="minorEastAsia" w:hAnsiTheme="minorHAnsi" w:cstheme="minorBidi"/>
          <w:i w:val="0"/>
          <w:sz w:val="22"/>
          <w:szCs w:val="22"/>
        </w:rPr>
      </w:pPr>
      <w:hyperlink w:anchor="_Toc129005438" w:history="1">
        <w:r w:rsidRPr="00145391">
          <w:rPr>
            <w:rStyle w:val="Hypertextovodkaz"/>
          </w:rPr>
          <w:t>2.B.4</w:t>
        </w:r>
        <w:r>
          <w:rPr>
            <w:rFonts w:asciiTheme="minorHAnsi" w:eastAsiaTheme="minorEastAsia" w:hAnsiTheme="minorHAnsi" w:cstheme="minorBidi"/>
            <w:i w:val="0"/>
            <w:sz w:val="22"/>
            <w:szCs w:val="22"/>
          </w:rPr>
          <w:tab/>
        </w:r>
        <w:r w:rsidRPr="00145391">
          <w:rPr>
            <w:rStyle w:val="Hypertextovodkaz"/>
          </w:rPr>
          <w:t>Specifické cíle a očekávané výsledky</w:t>
        </w:r>
        <w:r>
          <w:rPr>
            <w:webHidden/>
          </w:rPr>
          <w:tab/>
        </w:r>
        <w:r>
          <w:rPr>
            <w:webHidden/>
          </w:rPr>
          <w:fldChar w:fldCharType="begin"/>
        </w:r>
        <w:r>
          <w:rPr>
            <w:webHidden/>
          </w:rPr>
          <w:instrText xml:space="preserve"> PAGEREF _Toc129005438 \h </w:instrText>
        </w:r>
        <w:r>
          <w:rPr>
            <w:webHidden/>
          </w:rPr>
        </w:r>
        <w:r>
          <w:rPr>
            <w:webHidden/>
          </w:rPr>
          <w:fldChar w:fldCharType="separate"/>
        </w:r>
        <w:r>
          <w:rPr>
            <w:webHidden/>
          </w:rPr>
          <w:t>149</w:t>
        </w:r>
        <w:r>
          <w:rPr>
            <w:webHidden/>
          </w:rPr>
          <w:fldChar w:fldCharType="end"/>
        </w:r>
      </w:hyperlink>
    </w:p>
    <w:p w14:paraId="183BD867" w14:textId="38CE86F8" w:rsidR="00013622" w:rsidRDefault="00013622">
      <w:pPr>
        <w:pStyle w:val="Obsah3"/>
        <w:rPr>
          <w:rFonts w:asciiTheme="minorHAnsi" w:eastAsiaTheme="minorEastAsia" w:hAnsiTheme="minorHAnsi" w:cstheme="minorBidi"/>
          <w:i w:val="0"/>
          <w:sz w:val="22"/>
          <w:szCs w:val="22"/>
        </w:rPr>
      </w:pPr>
      <w:hyperlink w:anchor="_Toc129005439" w:history="1">
        <w:r w:rsidRPr="00145391">
          <w:rPr>
            <w:rStyle w:val="Hypertextovodkaz"/>
          </w:rPr>
          <w:t>2.B.5</w:t>
        </w:r>
        <w:r>
          <w:rPr>
            <w:rFonts w:asciiTheme="minorHAnsi" w:eastAsiaTheme="minorEastAsia" w:hAnsiTheme="minorHAnsi" w:cstheme="minorBidi"/>
            <w:i w:val="0"/>
            <w:sz w:val="22"/>
            <w:szCs w:val="22"/>
          </w:rPr>
          <w:tab/>
        </w:r>
        <w:r w:rsidRPr="00145391">
          <w:rPr>
            <w:rStyle w:val="Hypertextovodkaz"/>
          </w:rPr>
          <w:t>Ukazatele výsledků</w:t>
        </w:r>
        <w:r>
          <w:rPr>
            <w:webHidden/>
          </w:rPr>
          <w:tab/>
        </w:r>
        <w:r>
          <w:rPr>
            <w:webHidden/>
          </w:rPr>
          <w:fldChar w:fldCharType="begin"/>
        </w:r>
        <w:r>
          <w:rPr>
            <w:webHidden/>
          </w:rPr>
          <w:instrText xml:space="preserve"> PAGEREF _Toc129005439 \h </w:instrText>
        </w:r>
        <w:r>
          <w:rPr>
            <w:webHidden/>
          </w:rPr>
        </w:r>
        <w:r>
          <w:rPr>
            <w:webHidden/>
          </w:rPr>
          <w:fldChar w:fldCharType="separate"/>
        </w:r>
        <w:r>
          <w:rPr>
            <w:webHidden/>
          </w:rPr>
          <w:t>150</w:t>
        </w:r>
        <w:r>
          <w:rPr>
            <w:webHidden/>
          </w:rPr>
          <w:fldChar w:fldCharType="end"/>
        </w:r>
      </w:hyperlink>
    </w:p>
    <w:p w14:paraId="4AE9AB74" w14:textId="60C3F56C" w:rsidR="00013622" w:rsidRDefault="00013622">
      <w:pPr>
        <w:pStyle w:val="Obsah3"/>
        <w:rPr>
          <w:rFonts w:asciiTheme="minorHAnsi" w:eastAsiaTheme="minorEastAsia" w:hAnsiTheme="minorHAnsi" w:cstheme="minorBidi"/>
          <w:i w:val="0"/>
          <w:sz w:val="22"/>
          <w:szCs w:val="22"/>
        </w:rPr>
      </w:pPr>
      <w:hyperlink w:anchor="_Toc129005440" w:history="1">
        <w:r w:rsidRPr="00145391">
          <w:rPr>
            <w:rStyle w:val="Hypertextovodkaz"/>
          </w:rPr>
          <w:t>2.B.6</w:t>
        </w:r>
        <w:r>
          <w:rPr>
            <w:rFonts w:asciiTheme="minorHAnsi" w:eastAsiaTheme="minorEastAsia" w:hAnsiTheme="minorHAnsi" w:cstheme="minorBidi"/>
            <w:i w:val="0"/>
            <w:sz w:val="22"/>
            <w:szCs w:val="22"/>
          </w:rPr>
          <w:tab/>
        </w:r>
        <w:r w:rsidRPr="00145391">
          <w:rPr>
            <w:rStyle w:val="Hypertextovodkaz"/>
          </w:rPr>
          <w:t>Opatření, která mají být podpořena, a jejich očekávaný přínos ke specifickým cílům</w:t>
        </w:r>
        <w:r>
          <w:rPr>
            <w:webHidden/>
          </w:rPr>
          <w:tab/>
        </w:r>
        <w:r>
          <w:rPr>
            <w:webHidden/>
          </w:rPr>
          <w:fldChar w:fldCharType="begin"/>
        </w:r>
        <w:r>
          <w:rPr>
            <w:webHidden/>
          </w:rPr>
          <w:instrText xml:space="preserve"> PAGEREF _Toc129005440 \h </w:instrText>
        </w:r>
        <w:r>
          <w:rPr>
            <w:webHidden/>
          </w:rPr>
        </w:r>
        <w:r>
          <w:rPr>
            <w:webHidden/>
          </w:rPr>
          <w:fldChar w:fldCharType="separate"/>
        </w:r>
        <w:r>
          <w:rPr>
            <w:webHidden/>
          </w:rPr>
          <w:t>151</w:t>
        </w:r>
        <w:r>
          <w:rPr>
            <w:webHidden/>
          </w:rPr>
          <w:fldChar w:fldCharType="end"/>
        </w:r>
      </w:hyperlink>
    </w:p>
    <w:p w14:paraId="01635849" w14:textId="6A378F6A" w:rsidR="00013622" w:rsidRDefault="00013622">
      <w:pPr>
        <w:pStyle w:val="Obsah3"/>
        <w:rPr>
          <w:rFonts w:asciiTheme="minorHAnsi" w:eastAsiaTheme="minorEastAsia" w:hAnsiTheme="minorHAnsi" w:cstheme="minorBidi"/>
          <w:i w:val="0"/>
          <w:sz w:val="22"/>
          <w:szCs w:val="22"/>
        </w:rPr>
      </w:pPr>
      <w:hyperlink w:anchor="_Toc129005441" w:history="1">
        <w:r w:rsidRPr="00145391">
          <w:rPr>
            <w:rStyle w:val="Hypertextovodkaz"/>
          </w:rPr>
          <w:t>2.B.7</w:t>
        </w:r>
        <w:r>
          <w:rPr>
            <w:rFonts w:asciiTheme="minorHAnsi" w:eastAsiaTheme="minorEastAsia" w:hAnsiTheme="minorHAnsi" w:cstheme="minorBidi"/>
            <w:i w:val="0"/>
            <w:sz w:val="22"/>
            <w:szCs w:val="22"/>
          </w:rPr>
          <w:tab/>
        </w:r>
        <w:r w:rsidRPr="00145391">
          <w:rPr>
            <w:rStyle w:val="Hypertextovodkaz"/>
          </w:rPr>
          <w:t>Kategorie zásahů</w:t>
        </w:r>
        <w:r>
          <w:rPr>
            <w:webHidden/>
          </w:rPr>
          <w:tab/>
        </w:r>
        <w:r>
          <w:rPr>
            <w:webHidden/>
          </w:rPr>
          <w:fldChar w:fldCharType="begin"/>
        </w:r>
        <w:r>
          <w:rPr>
            <w:webHidden/>
          </w:rPr>
          <w:instrText xml:space="preserve"> PAGEREF _Toc129005441 \h </w:instrText>
        </w:r>
        <w:r>
          <w:rPr>
            <w:webHidden/>
          </w:rPr>
        </w:r>
        <w:r>
          <w:rPr>
            <w:webHidden/>
          </w:rPr>
          <w:fldChar w:fldCharType="separate"/>
        </w:r>
        <w:r>
          <w:rPr>
            <w:webHidden/>
          </w:rPr>
          <w:t>155</w:t>
        </w:r>
        <w:r>
          <w:rPr>
            <w:webHidden/>
          </w:rPr>
          <w:fldChar w:fldCharType="end"/>
        </w:r>
      </w:hyperlink>
    </w:p>
    <w:p w14:paraId="5B3EA583" w14:textId="0D59EC92"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42" w:history="1">
        <w:r w:rsidRPr="00145391">
          <w:rPr>
            <w:rStyle w:val="Hypertextovodkaz"/>
            <w:noProof/>
            <w:spacing w:val="20"/>
          </w:rPr>
          <w:t>ODDÍL 3</w:t>
        </w:r>
        <w:r>
          <w:rPr>
            <w:rFonts w:asciiTheme="minorHAnsi" w:eastAsiaTheme="minorEastAsia" w:hAnsiTheme="minorHAnsi" w:cstheme="minorBidi"/>
            <w:b w:val="0"/>
            <w:noProof/>
            <w:sz w:val="22"/>
            <w:szCs w:val="22"/>
          </w:rPr>
          <w:tab/>
        </w:r>
        <w:r w:rsidRPr="00145391">
          <w:rPr>
            <w:rStyle w:val="Hypertextovodkaz"/>
            <w:noProof/>
          </w:rPr>
          <w:t>Plán financování</w:t>
        </w:r>
        <w:r>
          <w:rPr>
            <w:noProof/>
            <w:webHidden/>
          </w:rPr>
          <w:tab/>
        </w:r>
        <w:r>
          <w:rPr>
            <w:noProof/>
            <w:webHidden/>
          </w:rPr>
          <w:fldChar w:fldCharType="begin"/>
        </w:r>
        <w:r>
          <w:rPr>
            <w:noProof/>
            <w:webHidden/>
          </w:rPr>
          <w:instrText xml:space="preserve"> PAGEREF _Toc129005442 \h </w:instrText>
        </w:r>
        <w:r>
          <w:rPr>
            <w:noProof/>
            <w:webHidden/>
          </w:rPr>
        </w:r>
        <w:r>
          <w:rPr>
            <w:noProof/>
            <w:webHidden/>
          </w:rPr>
          <w:fldChar w:fldCharType="separate"/>
        </w:r>
        <w:r>
          <w:rPr>
            <w:noProof/>
            <w:webHidden/>
          </w:rPr>
          <w:t>156</w:t>
        </w:r>
        <w:r>
          <w:rPr>
            <w:noProof/>
            <w:webHidden/>
          </w:rPr>
          <w:fldChar w:fldCharType="end"/>
        </w:r>
      </w:hyperlink>
    </w:p>
    <w:p w14:paraId="0D6066E4" w14:textId="241E77BA"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43" w:history="1">
        <w:r w:rsidRPr="00145391">
          <w:rPr>
            <w:rStyle w:val="Hypertextovodkaz"/>
            <w:rFonts w:cs="Calibri"/>
            <w:noProof/>
          </w:rPr>
          <w:t>3.1</w:t>
        </w:r>
        <w:r>
          <w:rPr>
            <w:rFonts w:asciiTheme="minorHAnsi" w:eastAsiaTheme="minorEastAsia" w:hAnsiTheme="minorHAnsi" w:cstheme="minorBidi"/>
            <w:noProof/>
            <w:sz w:val="22"/>
            <w:szCs w:val="22"/>
          </w:rPr>
          <w:tab/>
        </w:r>
        <w:r w:rsidRPr="00145391">
          <w:rPr>
            <w:rStyle w:val="Hypertextovodkaz"/>
            <w:rFonts w:cs="Calibri"/>
            <w:noProof/>
          </w:rPr>
          <w:t>Finanční podpora z každého fondu a částky týkající se výkonnostní rezervy</w:t>
        </w:r>
        <w:r>
          <w:rPr>
            <w:noProof/>
            <w:webHidden/>
          </w:rPr>
          <w:tab/>
        </w:r>
        <w:r>
          <w:rPr>
            <w:noProof/>
            <w:webHidden/>
          </w:rPr>
          <w:fldChar w:fldCharType="begin"/>
        </w:r>
        <w:r>
          <w:rPr>
            <w:noProof/>
            <w:webHidden/>
          </w:rPr>
          <w:instrText xml:space="preserve"> PAGEREF _Toc129005443 \h </w:instrText>
        </w:r>
        <w:r>
          <w:rPr>
            <w:noProof/>
            <w:webHidden/>
          </w:rPr>
        </w:r>
        <w:r>
          <w:rPr>
            <w:noProof/>
            <w:webHidden/>
          </w:rPr>
          <w:fldChar w:fldCharType="separate"/>
        </w:r>
        <w:r>
          <w:rPr>
            <w:noProof/>
            <w:webHidden/>
          </w:rPr>
          <w:t>156</w:t>
        </w:r>
        <w:r>
          <w:rPr>
            <w:noProof/>
            <w:webHidden/>
          </w:rPr>
          <w:fldChar w:fldCharType="end"/>
        </w:r>
      </w:hyperlink>
    </w:p>
    <w:p w14:paraId="4657DEAB" w14:textId="4C096C2D"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44" w:history="1">
        <w:r w:rsidRPr="00145391">
          <w:rPr>
            <w:rStyle w:val="Hypertextovodkaz"/>
            <w:noProof/>
          </w:rPr>
          <w:t>3.2</w:t>
        </w:r>
        <w:r>
          <w:rPr>
            <w:rFonts w:asciiTheme="minorHAnsi" w:eastAsiaTheme="minorEastAsia" w:hAnsiTheme="minorHAnsi" w:cstheme="minorBidi"/>
            <w:noProof/>
            <w:sz w:val="22"/>
            <w:szCs w:val="22"/>
          </w:rPr>
          <w:tab/>
        </w:r>
        <w:r w:rsidRPr="00145391">
          <w:rPr>
            <w:rStyle w:val="Hypertextovodkaz"/>
            <w:noProof/>
          </w:rPr>
          <w:t>Celková výše finanční podpory z každého fondu a vnitrostátního spolufinancování (v EUR)</w:t>
        </w:r>
        <w:r>
          <w:rPr>
            <w:noProof/>
            <w:webHidden/>
          </w:rPr>
          <w:tab/>
        </w:r>
        <w:r>
          <w:rPr>
            <w:noProof/>
            <w:webHidden/>
          </w:rPr>
          <w:fldChar w:fldCharType="begin"/>
        </w:r>
        <w:r>
          <w:rPr>
            <w:noProof/>
            <w:webHidden/>
          </w:rPr>
          <w:instrText xml:space="preserve"> PAGEREF _Toc129005444 \h </w:instrText>
        </w:r>
        <w:r>
          <w:rPr>
            <w:noProof/>
            <w:webHidden/>
          </w:rPr>
        </w:r>
        <w:r>
          <w:rPr>
            <w:noProof/>
            <w:webHidden/>
          </w:rPr>
          <w:fldChar w:fldCharType="separate"/>
        </w:r>
        <w:r>
          <w:rPr>
            <w:noProof/>
            <w:webHidden/>
          </w:rPr>
          <w:t>157</w:t>
        </w:r>
        <w:r>
          <w:rPr>
            <w:noProof/>
            <w:webHidden/>
          </w:rPr>
          <w:fldChar w:fldCharType="end"/>
        </w:r>
      </w:hyperlink>
    </w:p>
    <w:p w14:paraId="3406158C" w14:textId="52979A0F"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45" w:history="1">
        <w:r w:rsidRPr="00145391">
          <w:rPr>
            <w:rStyle w:val="Hypertextovodkaz"/>
            <w:noProof/>
            <w:spacing w:val="20"/>
          </w:rPr>
          <w:t>ODDÍL 4</w:t>
        </w:r>
        <w:r>
          <w:rPr>
            <w:rFonts w:asciiTheme="minorHAnsi" w:eastAsiaTheme="minorEastAsia" w:hAnsiTheme="minorHAnsi" w:cstheme="minorBidi"/>
            <w:b w:val="0"/>
            <w:noProof/>
            <w:sz w:val="22"/>
            <w:szCs w:val="22"/>
          </w:rPr>
          <w:tab/>
        </w:r>
        <w:r w:rsidRPr="00145391">
          <w:rPr>
            <w:rStyle w:val="Hypertextovodkaz"/>
            <w:noProof/>
          </w:rPr>
          <w:t>Integrovaný přístup k územnímu rozvoji</w:t>
        </w:r>
        <w:r>
          <w:rPr>
            <w:noProof/>
            <w:webHidden/>
          </w:rPr>
          <w:tab/>
        </w:r>
        <w:r>
          <w:rPr>
            <w:noProof/>
            <w:webHidden/>
          </w:rPr>
          <w:fldChar w:fldCharType="begin"/>
        </w:r>
        <w:r>
          <w:rPr>
            <w:noProof/>
            <w:webHidden/>
          </w:rPr>
          <w:instrText xml:space="preserve"> PAGEREF _Toc129005445 \h </w:instrText>
        </w:r>
        <w:r>
          <w:rPr>
            <w:noProof/>
            <w:webHidden/>
          </w:rPr>
        </w:r>
        <w:r>
          <w:rPr>
            <w:noProof/>
            <w:webHidden/>
          </w:rPr>
          <w:fldChar w:fldCharType="separate"/>
        </w:r>
        <w:r>
          <w:rPr>
            <w:noProof/>
            <w:webHidden/>
          </w:rPr>
          <w:t>159</w:t>
        </w:r>
        <w:r>
          <w:rPr>
            <w:noProof/>
            <w:webHidden/>
          </w:rPr>
          <w:fldChar w:fldCharType="end"/>
        </w:r>
      </w:hyperlink>
    </w:p>
    <w:p w14:paraId="68756403" w14:textId="3D8040A3"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46" w:history="1">
        <w:r w:rsidRPr="00145391">
          <w:rPr>
            <w:rStyle w:val="Hypertextovodkaz"/>
            <w:rFonts w:cs="Calibri"/>
            <w:noProof/>
          </w:rPr>
          <w:t>4.1</w:t>
        </w:r>
        <w:r>
          <w:rPr>
            <w:rFonts w:asciiTheme="minorHAnsi" w:eastAsiaTheme="minorEastAsia" w:hAnsiTheme="minorHAnsi" w:cstheme="minorBidi"/>
            <w:noProof/>
            <w:sz w:val="22"/>
            <w:szCs w:val="22"/>
          </w:rPr>
          <w:tab/>
        </w:r>
        <w:r w:rsidRPr="00145391">
          <w:rPr>
            <w:rStyle w:val="Hypertextovodkaz"/>
            <w:rFonts w:cs="Calibri"/>
            <w:noProof/>
          </w:rPr>
          <w:t>Nástroje k zajištění komunitně vedeného místního rozvoje</w:t>
        </w:r>
        <w:r>
          <w:rPr>
            <w:noProof/>
            <w:webHidden/>
          </w:rPr>
          <w:tab/>
        </w:r>
        <w:r>
          <w:rPr>
            <w:noProof/>
            <w:webHidden/>
          </w:rPr>
          <w:fldChar w:fldCharType="begin"/>
        </w:r>
        <w:r>
          <w:rPr>
            <w:noProof/>
            <w:webHidden/>
          </w:rPr>
          <w:instrText xml:space="preserve"> PAGEREF _Toc129005446 \h </w:instrText>
        </w:r>
        <w:r>
          <w:rPr>
            <w:noProof/>
            <w:webHidden/>
          </w:rPr>
        </w:r>
        <w:r>
          <w:rPr>
            <w:noProof/>
            <w:webHidden/>
          </w:rPr>
          <w:fldChar w:fldCharType="separate"/>
        </w:r>
        <w:r>
          <w:rPr>
            <w:noProof/>
            <w:webHidden/>
          </w:rPr>
          <w:t>160</w:t>
        </w:r>
        <w:r>
          <w:rPr>
            <w:noProof/>
            <w:webHidden/>
          </w:rPr>
          <w:fldChar w:fldCharType="end"/>
        </w:r>
      </w:hyperlink>
    </w:p>
    <w:p w14:paraId="7A8AC438" w14:textId="238D4BBA"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47" w:history="1">
        <w:r w:rsidRPr="00145391">
          <w:rPr>
            <w:rStyle w:val="Hypertextovodkaz"/>
            <w:rFonts w:cs="Calibri"/>
            <w:noProof/>
          </w:rPr>
          <w:t>4.2</w:t>
        </w:r>
        <w:r>
          <w:rPr>
            <w:rFonts w:asciiTheme="minorHAnsi" w:eastAsiaTheme="minorEastAsia" w:hAnsiTheme="minorHAnsi" w:cstheme="minorBidi"/>
            <w:noProof/>
            <w:sz w:val="22"/>
            <w:szCs w:val="22"/>
          </w:rPr>
          <w:tab/>
        </w:r>
        <w:r w:rsidRPr="00145391">
          <w:rPr>
            <w:rStyle w:val="Hypertextovodkaz"/>
            <w:rFonts w:cs="Calibri"/>
            <w:noProof/>
          </w:rPr>
          <w:t>Integrovaná opatření pro udržitelný rozvoj měst</w:t>
        </w:r>
        <w:r>
          <w:rPr>
            <w:noProof/>
            <w:webHidden/>
          </w:rPr>
          <w:tab/>
        </w:r>
        <w:r>
          <w:rPr>
            <w:noProof/>
            <w:webHidden/>
          </w:rPr>
          <w:fldChar w:fldCharType="begin"/>
        </w:r>
        <w:r>
          <w:rPr>
            <w:noProof/>
            <w:webHidden/>
          </w:rPr>
          <w:instrText xml:space="preserve"> PAGEREF _Toc129005447 \h </w:instrText>
        </w:r>
        <w:r>
          <w:rPr>
            <w:noProof/>
            <w:webHidden/>
          </w:rPr>
        </w:r>
        <w:r>
          <w:rPr>
            <w:noProof/>
            <w:webHidden/>
          </w:rPr>
          <w:fldChar w:fldCharType="separate"/>
        </w:r>
        <w:r>
          <w:rPr>
            <w:noProof/>
            <w:webHidden/>
          </w:rPr>
          <w:t>160</w:t>
        </w:r>
        <w:r>
          <w:rPr>
            <w:noProof/>
            <w:webHidden/>
          </w:rPr>
          <w:fldChar w:fldCharType="end"/>
        </w:r>
      </w:hyperlink>
    </w:p>
    <w:p w14:paraId="38967F39" w14:textId="35A63104"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48" w:history="1">
        <w:r w:rsidRPr="00145391">
          <w:rPr>
            <w:rStyle w:val="Hypertextovodkaz"/>
            <w:noProof/>
          </w:rPr>
          <w:t>4.3</w:t>
        </w:r>
        <w:r>
          <w:rPr>
            <w:rFonts w:asciiTheme="minorHAnsi" w:eastAsiaTheme="minorEastAsia" w:hAnsiTheme="minorHAnsi" w:cstheme="minorBidi"/>
            <w:noProof/>
            <w:sz w:val="22"/>
            <w:szCs w:val="22"/>
          </w:rPr>
          <w:tab/>
        </w:r>
        <w:r w:rsidRPr="00145391">
          <w:rPr>
            <w:rStyle w:val="Hypertextovodkaz"/>
            <w:rFonts w:cs="Calibri"/>
            <w:noProof/>
          </w:rPr>
          <w:t>Integrované územní investice</w:t>
        </w:r>
        <w:r>
          <w:rPr>
            <w:noProof/>
            <w:webHidden/>
          </w:rPr>
          <w:tab/>
        </w:r>
        <w:r>
          <w:rPr>
            <w:noProof/>
            <w:webHidden/>
          </w:rPr>
          <w:fldChar w:fldCharType="begin"/>
        </w:r>
        <w:r>
          <w:rPr>
            <w:noProof/>
            <w:webHidden/>
          </w:rPr>
          <w:instrText xml:space="preserve"> PAGEREF _Toc129005448 \h </w:instrText>
        </w:r>
        <w:r>
          <w:rPr>
            <w:noProof/>
            <w:webHidden/>
          </w:rPr>
        </w:r>
        <w:r>
          <w:rPr>
            <w:noProof/>
            <w:webHidden/>
          </w:rPr>
          <w:fldChar w:fldCharType="separate"/>
        </w:r>
        <w:r>
          <w:rPr>
            <w:noProof/>
            <w:webHidden/>
          </w:rPr>
          <w:t>161</w:t>
        </w:r>
        <w:r>
          <w:rPr>
            <w:noProof/>
            <w:webHidden/>
          </w:rPr>
          <w:fldChar w:fldCharType="end"/>
        </w:r>
      </w:hyperlink>
    </w:p>
    <w:p w14:paraId="009B7053" w14:textId="3119E4FC"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49" w:history="1">
        <w:r w:rsidRPr="00145391">
          <w:rPr>
            <w:rStyle w:val="Hypertextovodkaz"/>
            <w:rFonts w:cs="Calibri"/>
            <w:noProof/>
          </w:rPr>
          <w:t>4.4</w:t>
        </w:r>
        <w:r>
          <w:rPr>
            <w:rFonts w:asciiTheme="minorHAnsi" w:eastAsiaTheme="minorEastAsia" w:hAnsiTheme="minorHAnsi" w:cstheme="minorBidi"/>
            <w:noProof/>
            <w:sz w:val="22"/>
            <w:szCs w:val="22"/>
          </w:rPr>
          <w:tab/>
        </w:r>
        <w:r w:rsidRPr="00145391">
          <w:rPr>
            <w:rStyle w:val="Hypertextovodkaz"/>
            <w:rFonts w:cs="Calibri"/>
            <w:noProof/>
          </w:rPr>
          <w:t>Ujednání pro meziregionální a nadnárodní opatření v rámci operačního programu s příjemci, kteří se nacházejí alespoň v jednom dalším členském státu</w:t>
        </w:r>
        <w:r>
          <w:rPr>
            <w:noProof/>
            <w:webHidden/>
          </w:rPr>
          <w:tab/>
        </w:r>
        <w:r>
          <w:rPr>
            <w:noProof/>
            <w:webHidden/>
          </w:rPr>
          <w:fldChar w:fldCharType="begin"/>
        </w:r>
        <w:r>
          <w:rPr>
            <w:noProof/>
            <w:webHidden/>
          </w:rPr>
          <w:instrText xml:space="preserve"> PAGEREF _Toc129005449 \h </w:instrText>
        </w:r>
        <w:r>
          <w:rPr>
            <w:noProof/>
            <w:webHidden/>
          </w:rPr>
        </w:r>
        <w:r>
          <w:rPr>
            <w:noProof/>
            <w:webHidden/>
          </w:rPr>
          <w:fldChar w:fldCharType="separate"/>
        </w:r>
        <w:r>
          <w:rPr>
            <w:noProof/>
            <w:webHidden/>
          </w:rPr>
          <w:t>162</w:t>
        </w:r>
        <w:r>
          <w:rPr>
            <w:noProof/>
            <w:webHidden/>
          </w:rPr>
          <w:fldChar w:fldCharType="end"/>
        </w:r>
      </w:hyperlink>
    </w:p>
    <w:p w14:paraId="6630BF9F" w14:textId="351CD133"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50" w:history="1">
        <w:r w:rsidRPr="00145391">
          <w:rPr>
            <w:rStyle w:val="Hypertextovodkaz"/>
            <w:rFonts w:cs="Calibri"/>
            <w:noProof/>
          </w:rPr>
          <w:t>4.5</w:t>
        </w:r>
        <w:r>
          <w:rPr>
            <w:rFonts w:asciiTheme="minorHAnsi" w:eastAsiaTheme="minorEastAsia" w:hAnsiTheme="minorHAnsi" w:cstheme="minorBidi"/>
            <w:noProof/>
            <w:sz w:val="22"/>
            <w:szCs w:val="22"/>
          </w:rPr>
          <w:tab/>
        </w:r>
        <w:r w:rsidRPr="00145391">
          <w:rPr>
            <w:rStyle w:val="Hypertextovodkaz"/>
            <w:rFonts w:cs="Calibri"/>
            <w:noProof/>
          </w:rPr>
          <w:t>Přínos plánovaných opatření programu k realizaci makroregionálních strategií a strategií pro přímořské oblasti v závislosti na potřebách programové oblasti určených příslušným členským státem</w:t>
        </w:r>
        <w:r>
          <w:rPr>
            <w:noProof/>
            <w:webHidden/>
          </w:rPr>
          <w:tab/>
        </w:r>
        <w:r>
          <w:rPr>
            <w:noProof/>
            <w:webHidden/>
          </w:rPr>
          <w:fldChar w:fldCharType="begin"/>
        </w:r>
        <w:r>
          <w:rPr>
            <w:noProof/>
            <w:webHidden/>
          </w:rPr>
          <w:instrText xml:space="preserve"> PAGEREF _Toc129005450 \h </w:instrText>
        </w:r>
        <w:r>
          <w:rPr>
            <w:noProof/>
            <w:webHidden/>
          </w:rPr>
        </w:r>
        <w:r>
          <w:rPr>
            <w:noProof/>
            <w:webHidden/>
          </w:rPr>
          <w:fldChar w:fldCharType="separate"/>
        </w:r>
        <w:r>
          <w:rPr>
            <w:noProof/>
            <w:webHidden/>
          </w:rPr>
          <w:t>162</w:t>
        </w:r>
        <w:r>
          <w:rPr>
            <w:noProof/>
            <w:webHidden/>
          </w:rPr>
          <w:fldChar w:fldCharType="end"/>
        </w:r>
      </w:hyperlink>
    </w:p>
    <w:p w14:paraId="77341BB0" w14:textId="7E8AECD5"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51" w:history="1">
        <w:r w:rsidRPr="00145391">
          <w:rPr>
            <w:rStyle w:val="Hypertextovodkaz"/>
            <w:noProof/>
            <w:spacing w:val="20"/>
          </w:rPr>
          <w:t>ODDÍL 5</w:t>
        </w:r>
        <w:r>
          <w:rPr>
            <w:rFonts w:asciiTheme="minorHAnsi" w:eastAsiaTheme="minorEastAsia" w:hAnsiTheme="minorHAnsi" w:cstheme="minorBidi"/>
            <w:b w:val="0"/>
            <w:noProof/>
            <w:sz w:val="22"/>
            <w:szCs w:val="22"/>
          </w:rPr>
          <w:tab/>
        </w:r>
        <w:r w:rsidRPr="00145391">
          <w:rPr>
            <w:rStyle w:val="Hypertextovodkaz"/>
            <w:noProof/>
          </w:rPr>
          <w:t>Specifické potřeby zeměpisných oblastí nejvíce postižených chudobou nebo cílových skupin, jimž nejvíce hrozí diskriminace nebo sociální vyloučení</w:t>
        </w:r>
        <w:r>
          <w:rPr>
            <w:noProof/>
            <w:webHidden/>
          </w:rPr>
          <w:tab/>
        </w:r>
        <w:r>
          <w:rPr>
            <w:noProof/>
            <w:webHidden/>
          </w:rPr>
          <w:fldChar w:fldCharType="begin"/>
        </w:r>
        <w:r>
          <w:rPr>
            <w:noProof/>
            <w:webHidden/>
          </w:rPr>
          <w:instrText xml:space="preserve"> PAGEREF _Toc129005451 \h </w:instrText>
        </w:r>
        <w:r>
          <w:rPr>
            <w:noProof/>
            <w:webHidden/>
          </w:rPr>
        </w:r>
        <w:r>
          <w:rPr>
            <w:noProof/>
            <w:webHidden/>
          </w:rPr>
          <w:fldChar w:fldCharType="separate"/>
        </w:r>
        <w:r>
          <w:rPr>
            <w:noProof/>
            <w:webHidden/>
          </w:rPr>
          <w:t>164</w:t>
        </w:r>
        <w:r>
          <w:rPr>
            <w:noProof/>
            <w:webHidden/>
          </w:rPr>
          <w:fldChar w:fldCharType="end"/>
        </w:r>
      </w:hyperlink>
    </w:p>
    <w:p w14:paraId="25172DF1" w14:textId="32D19F1F"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52" w:history="1">
        <w:r w:rsidRPr="00145391">
          <w:rPr>
            <w:rStyle w:val="Hypertextovodkaz"/>
            <w:noProof/>
          </w:rPr>
          <w:t>5.1</w:t>
        </w:r>
        <w:r>
          <w:rPr>
            <w:rFonts w:asciiTheme="minorHAnsi" w:eastAsiaTheme="minorEastAsia" w:hAnsiTheme="minorHAnsi" w:cstheme="minorBidi"/>
            <w:noProof/>
            <w:sz w:val="22"/>
            <w:szCs w:val="22"/>
          </w:rPr>
          <w:tab/>
        </w:r>
        <w:r w:rsidRPr="00145391">
          <w:rPr>
            <w:rStyle w:val="Hypertextovodkaz"/>
            <w:noProof/>
          </w:rPr>
          <w:t>Zeměpisné oblasti nejvíce postižené chudobou / cílové skupiny, jimž nejvíce hrozí diskriminace nebo sociální vyloučení</w:t>
        </w:r>
        <w:r>
          <w:rPr>
            <w:noProof/>
            <w:webHidden/>
          </w:rPr>
          <w:tab/>
        </w:r>
        <w:r>
          <w:rPr>
            <w:noProof/>
            <w:webHidden/>
          </w:rPr>
          <w:fldChar w:fldCharType="begin"/>
        </w:r>
        <w:r>
          <w:rPr>
            <w:noProof/>
            <w:webHidden/>
          </w:rPr>
          <w:instrText xml:space="preserve"> PAGEREF _Toc129005452 \h </w:instrText>
        </w:r>
        <w:r>
          <w:rPr>
            <w:noProof/>
            <w:webHidden/>
          </w:rPr>
        </w:r>
        <w:r>
          <w:rPr>
            <w:noProof/>
            <w:webHidden/>
          </w:rPr>
          <w:fldChar w:fldCharType="separate"/>
        </w:r>
        <w:r>
          <w:rPr>
            <w:noProof/>
            <w:webHidden/>
          </w:rPr>
          <w:t>164</w:t>
        </w:r>
        <w:r>
          <w:rPr>
            <w:noProof/>
            <w:webHidden/>
          </w:rPr>
          <w:fldChar w:fldCharType="end"/>
        </w:r>
      </w:hyperlink>
    </w:p>
    <w:p w14:paraId="054A4BE6" w14:textId="2603D897"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53" w:history="1">
        <w:r w:rsidRPr="00145391">
          <w:rPr>
            <w:rStyle w:val="Hypertextovodkaz"/>
            <w:noProof/>
          </w:rPr>
          <w:t>5.2</w:t>
        </w:r>
        <w:r>
          <w:rPr>
            <w:rFonts w:asciiTheme="minorHAnsi" w:eastAsiaTheme="minorEastAsia" w:hAnsiTheme="minorHAnsi" w:cstheme="minorBidi"/>
            <w:noProof/>
            <w:sz w:val="22"/>
            <w:szCs w:val="22"/>
          </w:rPr>
          <w:tab/>
        </w:r>
        <w:r w:rsidRPr="00145391">
          <w:rPr>
            <w:rStyle w:val="Hypertextovodkaz"/>
            <w:noProof/>
          </w:rPr>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r>
          <w:rPr>
            <w:noProof/>
            <w:webHidden/>
          </w:rPr>
          <w:tab/>
        </w:r>
        <w:r>
          <w:rPr>
            <w:noProof/>
            <w:webHidden/>
          </w:rPr>
          <w:fldChar w:fldCharType="begin"/>
        </w:r>
        <w:r>
          <w:rPr>
            <w:noProof/>
            <w:webHidden/>
          </w:rPr>
          <w:instrText xml:space="preserve"> PAGEREF _Toc129005453 \h </w:instrText>
        </w:r>
        <w:r>
          <w:rPr>
            <w:noProof/>
            <w:webHidden/>
          </w:rPr>
        </w:r>
        <w:r>
          <w:rPr>
            <w:noProof/>
            <w:webHidden/>
          </w:rPr>
          <w:fldChar w:fldCharType="separate"/>
        </w:r>
        <w:r>
          <w:rPr>
            <w:noProof/>
            <w:webHidden/>
          </w:rPr>
          <w:t>166</w:t>
        </w:r>
        <w:r>
          <w:rPr>
            <w:noProof/>
            <w:webHidden/>
          </w:rPr>
          <w:fldChar w:fldCharType="end"/>
        </w:r>
      </w:hyperlink>
    </w:p>
    <w:p w14:paraId="0E4E65C3" w14:textId="51E87125"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54" w:history="1">
        <w:r w:rsidRPr="00145391">
          <w:rPr>
            <w:rStyle w:val="Hypertextovodkaz"/>
            <w:noProof/>
            <w:spacing w:val="20"/>
          </w:rPr>
          <w:t>ODDÍL 6</w:t>
        </w:r>
        <w:r>
          <w:rPr>
            <w:rFonts w:asciiTheme="minorHAnsi" w:eastAsiaTheme="minorEastAsia" w:hAnsiTheme="minorHAnsi" w:cstheme="minorBidi"/>
            <w:b w:val="0"/>
            <w:noProof/>
            <w:sz w:val="22"/>
            <w:szCs w:val="22"/>
          </w:rPr>
          <w:tab/>
        </w:r>
        <w:r w:rsidRPr="00145391">
          <w:rPr>
            <w:rStyle w:val="Hypertextovodkaz"/>
            <w:noProof/>
          </w:rPr>
          <w:t>Specifické potřeby zeměpisných oblastí, které jsou závažně a trvale znevýhodněny přírodními nebo demografickými podmínkami</w:t>
        </w:r>
        <w:r>
          <w:rPr>
            <w:noProof/>
            <w:webHidden/>
          </w:rPr>
          <w:tab/>
        </w:r>
        <w:r>
          <w:rPr>
            <w:noProof/>
            <w:webHidden/>
          </w:rPr>
          <w:fldChar w:fldCharType="begin"/>
        </w:r>
        <w:r>
          <w:rPr>
            <w:noProof/>
            <w:webHidden/>
          </w:rPr>
          <w:instrText xml:space="preserve"> PAGEREF _Toc129005454 \h </w:instrText>
        </w:r>
        <w:r>
          <w:rPr>
            <w:noProof/>
            <w:webHidden/>
          </w:rPr>
        </w:r>
        <w:r>
          <w:rPr>
            <w:noProof/>
            <w:webHidden/>
          </w:rPr>
          <w:fldChar w:fldCharType="separate"/>
        </w:r>
        <w:r>
          <w:rPr>
            <w:noProof/>
            <w:webHidden/>
          </w:rPr>
          <w:t>167</w:t>
        </w:r>
        <w:r>
          <w:rPr>
            <w:noProof/>
            <w:webHidden/>
          </w:rPr>
          <w:fldChar w:fldCharType="end"/>
        </w:r>
      </w:hyperlink>
    </w:p>
    <w:p w14:paraId="70A2ADF2" w14:textId="1FD8F4F2"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55" w:history="1">
        <w:r w:rsidRPr="00145391">
          <w:rPr>
            <w:rStyle w:val="Hypertextovodkaz"/>
            <w:noProof/>
            <w:spacing w:val="20"/>
          </w:rPr>
          <w:t>ODDÍL 7</w:t>
        </w:r>
        <w:r>
          <w:rPr>
            <w:rFonts w:asciiTheme="minorHAnsi" w:eastAsiaTheme="minorEastAsia" w:hAnsiTheme="minorHAnsi" w:cstheme="minorBidi"/>
            <w:b w:val="0"/>
            <w:noProof/>
            <w:sz w:val="22"/>
            <w:szCs w:val="22"/>
          </w:rPr>
          <w:tab/>
        </w:r>
        <w:r w:rsidRPr="00145391">
          <w:rPr>
            <w:rStyle w:val="Hypertextovodkaz"/>
            <w:noProof/>
          </w:rPr>
          <w:t>Orgány a subjekty odpovědné za řízení, kontrolu a audit a úloha příslušných partnerů</w:t>
        </w:r>
        <w:r>
          <w:rPr>
            <w:noProof/>
            <w:webHidden/>
          </w:rPr>
          <w:tab/>
        </w:r>
        <w:r>
          <w:rPr>
            <w:noProof/>
            <w:webHidden/>
          </w:rPr>
          <w:fldChar w:fldCharType="begin"/>
        </w:r>
        <w:r>
          <w:rPr>
            <w:noProof/>
            <w:webHidden/>
          </w:rPr>
          <w:instrText xml:space="preserve"> PAGEREF _Toc129005455 \h </w:instrText>
        </w:r>
        <w:r>
          <w:rPr>
            <w:noProof/>
            <w:webHidden/>
          </w:rPr>
        </w:r>
        <w:r>
          <w:rPr>
            <w:noProof/>
            <w:webHidden/>
          </w:rPr>
          <w:fldChar w:fldCharType="separate"/>
        </w:r>
        <w:r>
          <w:rPr>
            <w:noProof/>
            <w:webHidden/>
          </w:rPr>
          <w:t>168</w:t>
        </w:r>
        <w:r>
          <w:rPr>
            <w:noProof/>
            <w:webHidden/>
          </w:rPr>
          <w:fldChar w:fldCharType="end"/>
        </w:r>
      </w:hyperlink>
    </w:p>
    <w:p w14:paraId="2BF82164" w14:textId="640FC6A5"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56" w:history="1">
        <w:r w:rsidRPr="00145391">
          <w:rPr>
            <w:rStyle w:val="Hypertextovodkaz"/>
            <w:rFonts w:cs="Calibri"/>
            <w:noProof/>
          </w:rPr>
          <w:t>7.1</w:t>
        </w:r>
        <w:r>
          <w:rPr>
            <w:rFonts w:asciiTheme="minorHAnsi" w:eastAsiaTheme="minorEastAsia" w:hAnsiTheme="minorHAnsi" w:cstheme="minorBidi"/>
            <w:noProof/>
            <w:sz w:val="22"/>
            <w:szCs w:val="22"/>
          </w:rPr>
          <w:tab/>
        </w:r>
        <w:r w:rsidRPr="00145391">
          <w:rPr>
            <w:rStyle w:val="Hypertextovodkaz"/>
            <w:rFonts w:cs="Calibri"/>
            <w:noProof/>
          </w:rPr>
          <w:t>Příslušné orgány a subjekty</w:t>
        </w:r>
        <w:r>
          <w:rPr>
            <w:noProof/>
            <w:webHidden/>
          </w:rPr>
          <w:tab/>
        </w:r>
        <w:r>
          <w:rPr>
            <w:noProof/>
            <w:webHidden/>
          </w:rPr>
          <w:fldChar w:fldCharType="begin"/>
        </w:r>
        <w:r>
          <w:rPr>
            <w:noProof/>
            <w:webHidden/>
          </w:rPr>
          <w:instrText xml:space="preserve"> PAGEREF _Toc129005456 \h </w:instrText>
        </w:r>
        <w:r>
          <w:rPr>
            <w:noProof/>
            <w:webHidden/>
          </w:rPr>
        </w:r>
        <w:r>
          <w:rPr>
            <w:noProof/>
            <w:webHidden/>
          </w:rPr>
          <w:fldChar w:fldCharType="separate"/>
        </w:r>
        <w:r>
          <w:rPr>
            <w:noProof/>
            <w:webHidden/>
          </w:rPr>
          <w:t>168</w:t>
        </w:r>
        <w:r>
          <w:rPr>
            <w:noProof/>
            <w:webHidden/>
          </w:rPr>
          <w:fldChar w:fldCharType="end"/>
        </w:r>
      </w:hyperlink>
    </w:p>
    <w:p w14:paraId="6925B232" w14:textId="78F7B08D"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57" w:history="1">
        <w:r w:rsidRPr="00145391">
          <w:rPr>
            <w:rStyle w:val="Hypertextovodkaz"/>
            <w:rFonts w:cs="Calibri"/>
            <w:noProof/>
          </w:rPr>
          <w:t>7.2</w:t>
        </w:r>
        <w:r>
          <w:rPr>
            <w:rFonts w:asciiTheme="minorHAnsi" w:eastAsiaTheme="minorEastAsia" w:hAnsiTheme="minorHAnsi" w:cstheme="minorBidi"/>
            <w:noProof/>
            <w:sz w:val="22"/>
            <w:szCs w:val="22"/>
          </w:rPr>
          <w:tab/>
        </w:r>
        <w:r w:rsidRPr="00145391">
          <w:rPr>
            <w:rStyle w:val="Hypertextovodkaz"/>
            <w:rFonts w:cs="Calibri"/>
            <w:noProof/>
          </w:rPr>
          <w:t>Zapojení příslušných partnerů</w:t>
        </w:r>
        <w:r>
          <w:rPr>
            <w:noProof/>
            <w:webHidden/>
          </w:rPr>
          <w:tab/>
        </w:r>
        <w:r>
          <w:rPr>
            <w:noProof/>
            <w:webHidden/>
          </w:rPr>
          <w:fldChar w:fldCharType="begin"/>
        </w:r>
        <w:r>
          <w:rPr>
            <w:noProof/>
            <w:webHidden/>
          </w:rPr>
          <w:instrText xml:space="preserve"> PAGEREF _Toc129005457 \h </w:instrText>
        </w:r>
        <w:r>
          <w:rPr>
            <w:noProof/>
            <w:webHidden/>
          </w:rPr>
        </w:r>
        <w:r>
          <w:rPr>
            <w:noProof/>
            <w:webHidden/>
          </w:rPr>
          <w:fldChar w:fldCharType="separate"/>
        </w:r>
        <w:r>
          <w:rPr>
            <w:noProof/>
            <w:webHidden/>
          </w:rPr>
          <w:t>169</w:t>
        </w:r>
        <w:r>
          <w:rPr>
            <w:noProof/>
            <w:webHidden/>
          </w:rPr>
          <w:fldChar w:fldCharType="end"/>
        </w:r>
      </w:hyperlink>
    </w:p>
    <w:p w14:paraId="66322332" w14:textId="7C92B0F4" w:rsidR="00013622" w:rsidRDefault="00013622">
      <w:pPr>
        <w:pStyle w:val="Obsah3"/>
        <w:rPr>
          <w:rFonts w:asciiTheme="minorHAnsi" w:eastAsiaTheme="minorEastAsia" w:hAnsiTheme="minorHAnsi" w:cstheme="minorBidi"/>
          <w:i w:val="0"/>
          <w:sz w:val="22"/>
          <w:szCs w:val="22"/>
        </w:rPr>
      </w:pPr>
      <w:hyperlink w:anchor="_Toc129005458" w:history="1">
        <w:r w:rsidRPr="00145391">
          <w:rPr>
            <w:rStyle w:val="Hypertextovodkaz"/>
            <w:rFonts w:cs="Calibri"/>
          </w:rPr>
          <w:t>7.2.1</w:t>
        </w:r>
        <w:r>
          <w:rPr>
            <w:rFonts w:asciiTheme="minorHAnsi" w:eastAsiaTheme="minorEastAsia" w:hAnsiTheme="minorHAnsi" w:cstheme="minorBidi"/>
            <w:i w:val="0"/>
            <w:sz w:val="22"/>
            <w:szCs w:val="22"/>
          </w:rPr>
          <w:tab/>
        </w:r>
        <w:r w:rsidRPr="00145391">
          <w:rPr>
            <w:rStyle w:val="Hypertextovodkaz"/>
            <w:rFonts w:cs="Calibri"/>
          </w:rPr>
          <w:t>Opatření přijatá k zapojení příslušných partnerů do přípravy operačního programu a úlohy partnerů při provádění, monitorování a hodnocení operačního programu</w:t>
        </w:r>
        <w:r>
          <w:rPr>
            <w:webHidden/>
          </w:rPr>
          <w:tab/>
        </w:r>
        <w:r>
          <w:rPr>
            <w:webHidden/>
          </w:rPr>
          <w:fldChar w:fldCharType="begin"/>
        </w:r>
        <w:r>
          <w:rPr>
            <w:webHidden/>
          </w:rPr>
          <w:instrText xml:space="preserve"> PAGEREF _Toc129005458 \h </w:instrText>
        </w:r>
        <w:r>
          <w:rPr>
            <w:webHidden/>
          </w:rPr>
        </w:r>
        <w:r>
          <w:rPr>
            <w:webHidden/>
          </w:rPr>
          <w:fldChar w:fldCharType="separate"/>
        </w:r>
        <w:r>
          <w:rPr>
            <w:webHidden/>
          </w:rPr>
          <w:t>169</w:t>
        </w:r>
        <w:r>
          <w:rPr>
            <w:webHidden/>
          </w:rPr>
          <w:fldChar w:fldCharType="end"/>
        </w:r>
      </w:hyperlink>
    </w:p>
    <w:p w14:paraId="2C7D18BF" w14:textId="177450CE" w:rsidR="00013622" w:rsidRDefault="00013622">
      <w:pPr>
        <w:pStyle w:val="Obsah3"/>
        <w:rPr>
          <w:rFonts w:asciiTheme="minorHAnsi" w:eastAsiaTheme="minorEastAsia" w:hAnsiTheme="minorHAnsi" w:cstheme="minorBidi"/>
          <w:i w:val="0"/>
          <w:sz w:val="22"/>
          <w:szCs w:val="22"/>
        </w:rPr>
      </w:pPr>
      <w:hyperlink w:anchor="_Toc129005459" w:history="1">
        <w:r w:rsidRPr="00145391">
          <w:rPr>
            <w:rStyle w:val="Hypertextovodkaz"/>
            <w:rFonts w:cs="Calibri"/>
          </w:rPr>
          <w:t>7.2.2</w:t>
        </w:r>
        <w:r>
          <w:rPr>
            <w:rFonts w:asciiTheme="minorHAnsi" w:eastAsiaTheme="minorEastAsia" w:hAnsiTheme="minorHAnsi" w:cstheme="minorBidi"/>
            <w:i w:val="0"/>
            <w:sz w:val="22"/>
            <w:szCs w:val="22"/>
          </w:rPr>
          <w:tab/>
        </w:r>
        <w:r w:rsidRPr="00145391">
          <w:rPr>
            <w:rStyle w:val="Hypertextovodkaz"/>
            <w:rFonts w:cs="Calibri"/>
          </w:rPr>
          <w:t>Globální granty (pro ESF, použije-li se)</w:t>
        </w:r>
        <w:r>
          <w:rPr>
            <w:webHidden/>
          </w:rPr>
          <w:tab/>
        </w:r>
        <w:r>
          <w:rPr>
            <w:webHidden/>
          </w:rPr>
          <w:fldChar w:fldCharType="begin"/>
        </w:r>
        <w:r>
          <w:rPr>
            <w:webHidden/>
          </w:rPr>
          <w:instrText xml:space="preserve"> PAGEREF _Toc129005459 \h </w:instrText>
        </w:r>
        <w:r>
          <w:rPr>
            <w:webHidden/>
          </w:rPr>
        </w:r>
        <w:r>
          <w:rPr>
            <w:webHidden/>
          </w:rPr>
          <w:fldChar w:fldCharType="separate"/>
        </w:r>
        <w:r>
          <w:rPr>
            <w:webHidden/>
          </w:rPr>
          <w:t>173</w:t>
        </w:r>
        <w:r>
          <w:rPr>
            <w:webHidden/>
          </w:rPr>
          <w:fldChar w:fldCharType="end"/>
        </w:r>
      </w:hyperlink>
    </w:p>
    <w:p w14:paraId="562B1A39" w14:textId="4849D2E9" w:rsidR="00013622" w:rsidRDefault="00013622">
      <w:pPr>
        <w:pStyle w:val="Obsah3"/>
        <w:rPr>
          <w:rFonts w:asciiTheme="minorHAnsi" w:eastAsiaTheme="minorEastAsia" w:hAnsiTheme="minorHAnsi" w:cstheme="minorBidi"/>
          <w:i w:val="0"/>
          <w:sz w:val="22"/>
          <w:szCs w:val="22"/>
        </w:rPr>
      </w:pPr>
      <w:hyperlink w:anchor="_Toc129005460" w:history="1">
        <w:r w:rsidRPr="00145391">
          <w:rPr>
            <w:rStyle w:val="Hypertextovodkaz"/>
            <w:rFonts w:cs="Calibri"/>
          </w:rPr>
          <w:t>7.2.3</w:t>
        </w:r>
        <w:r>
          <w:rPr>
            <w:rFonts w:asciiTheme="minorHAnsi" w:eastAsiaTheme="minorEastAsia" w:hAnsiTheme="minorHAnsi" w:cstheme="minorBidi"/>
            <w:i w:val="0"/>
            <w:sz w:val="22"/>
            <w:szCs w:val="22"/>
          </w:rPr>
          <w:tab/>
        </w:r>
        <w:r w:rsidRPr="00145391">
          <w:rPr>
            <w:rStyle w:val="Hypertextovodkaz"/>
            <w:rFonts w:cs="Calibri"/>
          </w:rPr>
          <w:t>Přidělení částky na vytváření kapacit (pro ESF, použije-li se)</w:t>
        </w:r>
        <w:r>
          <w:rPr>
            <w:webHidden/>
          </w:rPr>
          <w:tab/>
        </w:r>
        <w:r>
          <w:rPr>
            <w:webHidden/>
          </w:rPr>
          <w:fldChar w:fldCharType="begin"/>
        </w:r>
        <w:r>
          <w:rPr>
            <w:webHidden/>
          </w:rPr>
          <w:instrText xml:space="preserve"> PAGEREF _Toc129005460 \h </w:instrText>
        </w:r>
        <w:r>
          <w:rPr>
            <w:webHidden/>
          </w:rPr>
        </w:r>
        <w:r>
          <w:rPr>
            <w:webHidden/>
          </w:rPr>
          <w:fldChar w:fldCharType="separate"/>
        </w:r>
        <w:r>
          <w:rPr>
            <w:webHidden/>
          </w:rPr>
          <w:t>173</w:t>
        </w:r>
        <w:r>
          <w:rPr>
            <w:webHidden/>
          </w:rPr>
          <w:fldChar w:fldCharType="end"/>
        </w:r>
      </w:hyperlink>
    </w:p>
    <w:p w14:paraId="4E99D772" w14:textId="1A0BD1D4"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61" w:history="1">
        <w:r w:rsidRPr="00145391">
          <w:rPr>
            <w:rStyle w:val="Hypertextovodkaz"/>
            <w:noProof/>
            <w:spacing w:val="20"/>
          </w:rPr>
          <w:t>ODDÍL 8</w:t>
        </w:r>
        <w:r>
          <w:rPr>
            <w:rFonts w:asciiTheme="minorHAnsi" w:eastAsiaTheme="minorEastAsia" w:hAnsiTheme="minorHAnsi" w:cstheme="minorBidi"/>
            <w:b w:val="0"/>
            <w:noProof/>
            <w:sz w:val="22"/>
            <w:szCs w:val="22"/>
          </w:rPr>
          <w:tab/>
        </w:r>
        <w:r w:rsidRPr="00145391">
          <w:rPr>
            <w:rStyle w:val="Hypertextovodkaz"/>
            <w:noProof/>
          </w:rPr>
          <w:t>Koordinace mezi fondy, EZFRV, EMFF a dalšími unijními a vnitrostátními finančními nástroji a s EIB</w:t>
        </w:r>
        <w:r>
          <w:rPr>
            <w:noProof/>
            <w:webHidden/>
          </w:rPr>
          <w:tab/>
        </w:r>
        <w:r>
          <w:rPr>
            <w:noProof/>
            <w:webHidden/>
          </w:rPr>
          <w:fldChar w:fldCharType="begin"/>
        </w:r>
        <w:r>
          <w:rPr>
            <w:noProof/>
            <w:webHidden/>
          </w:rPr>
          <w:instrText xml:space="preserve"> PAGEREF _Toc129005461 \h </w:instrText>
        </w:r>
        <w:r>
          <w:rPr>
            <w:noProof/>
            <w:webHidden/>
          </w:rPr>
        </w:r>
        <w:r>
          <w:rPr>
            <w:noProof/>
            <w:webHidden/>
          </w:rPr>
          <w:fldChar w:fldCharType="separate"/>
        </w:r>
        <w:r>
          <w:rPr>
            <w:noProof/>
            <w:webHidden/>
          </w:rPr>
          <w:t>174</w:t>
        </w:r>
        <w:r>
          <w:rPr>
            <w:noProof/>
            <w:webHidden/>
          </w:rPr>
          <w:fldChar w:fldCharType="end"/>
        </w:r>
      </w:hyperlink>
    </w:p>
    <w:p w14:paraId="7EEB08FA" w14:textId="6A06FEB2"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62" w:history="1">
        <w:r w:rsidRPr="00145391">
          <w:rPr>
            <w:rStyle w:val="Hypertextovodkaz"/>
            <w:noProof/>
            <w:spacing w:val="20"/>
          </w:rPr>
          <w:t>ODDÍL 9</w:t>
        </w:r>
        <w:r>
          <w:rPr>
            <w:rFonts w:asciiTheme="minorHAnsi" w:eastAsiaTheme="minorEastAsia" w:hAnsiTheme="minorHAnsi" w:cstheme="minorBidi"/>
            <w:b w:val="0"/>
            <w:noProof/>
            <w:sz w:val="22"/>
            <w:szCs w:val="22"/>
          </w:rPr>
          <w:tab/>
        </w:r>
        <w:r w:rsidRPr="00145391">
          <w:rPr>
            <w:rStyle w:val="Hypertextovodkaz"/>
            <w:noProof/>
          </w:rPr>
          <w:t>Předběžné podmínky</w:t>
        </w:r>
        <w:r>
          <w:rPr>
            <w:noProof/>
            <w:webHidden/>
          </w:rPr>
          <w:tab/>
        </w:r>
        <w:r>
          <w:rPr>
            <w:noProof/>
            <w:webHidden/>
          </w:rPr>
          <w:fldChar w:fldCharType="begin"/>
        </w:r>
        <w:r>
          <w:rPr>
            <w:noProof/>
            <w:webHidden/>
          </w:rPr>
          <w:instrText xml:space="preserve"> PAGEREF _Toc129005462 \h </w:instrText>
        </w:r>
        <w:r>
          <w:rPr>
            <w:noProof/>
            <w:webHidden/>
          </w:rPr>
        </w:r>
        <w:r>
          <w:rPr>
            <w:noProof/>
            <w:webHidden/>
          </w:rPr>
          <w:fldChar w:fldCharType="separate"/>
        </w:r>
        <w:r>
          <w:rPr>
            <w:noProof/>
            <w:webHidden/>
          </w:rPr>
          <w:t>179</w:t>
        </w:r>
        <w:r>
          <w:rPr>
            <w:noProof/>
            <w:webHidden/>
          </w:rPr>
          <w:fldChar w:fldCharType="end"/>
        </w:r>
      </w:hyperlink>
    </w:p>
    <w:p w14:paraId="19C4537C" w14:textId="13D62CA6"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63" w:history="1">
        <w:r w:rsidRPr="00145391">
          <w:rPr>
            <w:rStyle w:val="Hypertextovodkaz"/>
            <w:rFonts w:cs="Calibri"/>
            <w:noProof/>
          </w:rPr>
          <w:t>9.1</w:t>
        </w:r>
        <w:r>
          <w:rPr>
            <w:rFonts w:asciiTheme="minorHAnsi" w:eastAsiaTheme="minorEastAsia" w:hAnsiTheme="minorHAnsi" w:cstheme="minorBidi"/>
            <w:noProof/>
            <w:sz w:val="22"/>
            <w:szCs w:val="22"/>
          </w:rPr>
          <w:tab/>
        </w:r>
        <w:r w:rsidRPr="00145391">
          <w:rPr>
            <w:rStyle w:val="Hypertextovodkaz"/>
            <w:rFonts w:cs="Calibri"/>
            <w:noProof/>
          </w:rPr>
          <w:t>Předběžné podmínky</w:t>
        </w:r>
        <w:r>
          <w:rPr>
            <w:noProof/>
            <w:webHidden/>
          </w:rPr>
          <w:tab/>
        </w:r>
        <w:r>
          <w:rPr>
            <w:noProof/>
            <w:webHidden/>
          </w:rPr>
          <w:fldChar w:fldCharType="begin"/>
        </w:r>
        <w:r>
          <w:rPr>
            <w:noProof/>
            <w:webHidden/>
          </w:rPr>
          <w:instrText xml:space="preserve"> PAGEREF _Toc129005463 \h </w:instrText>
        </w:r>
        <w:r>
          <w:rPr>
            <w:noProof/>
            <w:webHidden/>
          </w:rPr>
        </w:r>
        <w:r>
          <w:rPr>
            <w:noProof/>
            <w:webHidden/>
          </w:rPr>
          <w:fldChar w:fldCharType="separate"/>
        </w:r>
        <w:r>
          <w:rPr>
            <w:noProof/>
            <w:webHidden/>
          </w:rPr>
          <w:t>179</w:t>
        </w:r>
        <w:r>
          <w:rPr>
            <w:noProof/>
            <w:webHidden/>
          </w:rPr>
          <w:fldChar w:fldCharType="end"/>
        </w:r>
      </w:hyperlink>
    </w:p>
    <w:p w14:paraId="1BC38ED8" w14:textId="3CE33942" w:rsidR="00013622" w:rsidRDefault="00013622">
      <w:pPr>
        <w:pStyle w:val="Obsah2"/>
        <w:tabs>
          <w:tab w:val="left" w:pos="880"/>
          <w:tab w:val="right" w:leader="dot" w:pos="9202"/>
        </w:tabs>
        <w:rPr>
          <w:rFonts w:asciiTheme="minorHAnsi" w:eastAsiaTheme="minorEastAsia" w:hAnsiTheme="minorHAnsi" w:cstheme="minorBidi"/>
          <w:noProof/>
          <w:sz w:val="22"/>
          <w:szCs w:val="22"/>
        </w:rPr>
      </w:pPr>
      <w:hyperlink w:anchor="_Toc129005464" w:history="1">
        <w:r w:rsidRPr="00145391">
          <w:rPr>
            <w:rStyle w:val="Hypertextovodkaz"/>
            <w:rFonts w:cs="Calibri"/>
            <w:noProof/>
          </w:rPr>
          <w:t>9.2</w:t>
        </w:r>
        <w:r>
          <w:rPr>
            <w:rFonts w:asciiTheme="minorHAnsi" w:eastAsiaTheme="minorEastAsia" w:hAnsiTheme="minorHAnsi" w:cstheme="minorBidi"/>
            <w:noProof/>
            <w:sz w:val="22"/>
            <w:szCs w:val="22"/>
          </w:rPr>
          <w:tab/>
        </w:r>
        <w:r w:rsidRPr="00145391">
          <w:rPr>
            <w:rStyle w:val="Hypertextovodkaz"/>
            <w:rFonts w:cs="Calibri"/>
            <w:noProof/>
          </w:rPr>
          <w:t>Popis opatření ke splnění předběžných podmínek, odpovědných subjektů a harmonogramu</w:t>
        </w:r>
        <w:r>
          <w:rPr>
            <w:noProof/>
            <w:webHidden/>
          </w:rPr>
          <w:tab/>
        </w:r>
        <w:r>
          <w:rPr>
            <w:noProof/>
            <w:webHidden/>
          </w:rPr>
          <w:fldChar w:fldCharType="begin"/>
        </w:r>
        <w:r>
          <w:rPr>
            <w:noProof/>
            <w:webHidden/>
          </w:rPr>
          <w:instrText xml:space="preserve"> PAGEREF _Toc129005464 \h </w:instrText>
        </w:r>
        <w:r>
          <w:rPr>
            <w:noProof/>
            <w:webHidden/>
          </w:rPr>
        </w:r>
        <w:r>
          <w:rPr>
            <w:noProof/>
            <w:webHidden/>
          </w:rPr>
          <w:fldChar w:fldCharType="separate"/>
        </w:r>
        <w:r>
          <w:rPr>
            <w:noProof/>
            <w:webHidden/>
          </w:rPr>
          <w:t>220</w:t>
        </w:r>
        <w:r>
          <w:rPr>
            <w:noProof/>
            <w:webHidden/>
          </w:rPr>
          <w:fldChar w:fldCharType="end"/>
        </w:r>
      </w:hyperlink>
    </w:p>
    <w:p w14:paraId="384BC34B" w14:textId="69ED93F2"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65" w:history="1">
        <w:r w:rsidRPr="00145391">
          <w:rPr>
            <w:rStyle w:val="Hypertextovodkaz"/>
            <w:noProof/>
            <w:spacing w:val="20"/>
          </w:rPr>
          <w:t>ODDÍL 10</w:t>
        </w:r>
        <w:r>
          <w:rPr>
            <w:rFonts w:asciiTheme="minorHAnsi" w:eastAsiaTheme="minorEastAsia" w:hAnsiTheme="minorHAnsi" w:cstheme="minorBidi"/>
            <w:b w:val="0"/>
            <w:noProof/>
            <w:sz w:val="22"/>
            <w:szCs w:val="22"/>
          </w:rPr>
          <w:tab/>
        </w:r>
        <w:r w:rsidRPr="00145391">
          <w:rPr>
            <w:rStyle w:val="Hypertextovodkaz"/>
            <w:noProof/>
          </w:rPr>
          <w:t>Snižování administrativní zátěže pro příjemce</w:t>
        </w:r>
        <w:r>
          <w:rPr>
            <w:noProof/>
            <w:webHidden/>
          </w:rPr>
          <w:tab/>
        </w:r>
        <w:r>
          <w:rPr>
            <w:noProof/>
            <w:webHidden/>
          </w:rPr>
          <w:fldChar w:fldCharType="begin"/>
        </w:r>
        <w:r>
          <w:rPr>
            <w:noProof/>
            <w:webHidden/>
          </w:rPr>
          <w:instrText xml:space="preserve"> PAGEREF _Toc129005465 \h </w:instrText>
        </w:r>
        <w:r>
          <w:rPr>
            <w:noProof/>
            <w:webHidden/>
          </w:rPr>
        </w:r>
        <w:r>
          <w:rPr>
            <w:noProof/>
            <w:webHidden/>
          </w:rPr>
          <w:fldChar w:fldCharType="separate"/>
        </w:r>
        <w:r>
          <w:rPr>
            <w:noProof/>
            <w:webHidden/>
          </w:rPr>
          <w:t>239</w:t>
        </w:r>
        <w:r>
          <w:rPr>
            <w:noProof/>
            <w:webHidden/>
          </w:rPr>
          <w:fldChar w:fldCharType="end"/>
        </w:r>
      </w:hyperlink>
    </w:p>
    <w:p w14:paraId="4D8FF162" w14:textId="1C4D7DB6"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66" w:history="1">
        <w:r w:rsidRPr="00145391">
          <w:rPr>
            <w:rStyle w:val="Hypertextovodkaz"/>
            <w:noProof/>
            <w:spacing w:val="20"/>
          </w:rPr>
          <w:t>ODDÍL 11</w:t>
        </w:r>
        <w:r>
          <w:rPr>
            <w:rFonts w:asciiTheme="minorHAnsi" w:eastAsiaTheme="minorEastAsia" w:hAnsiTheme="minorHAnsi" w:cstheme="minorBidi"/>
            <w:b w:val="0"/>
            <w:noProof/>
            <w:sz w:val="22"/>
            <w:szCs w:val="22"/>
          </w:rPr>
          <w:tab/>
        </w:r>
        <w:r w:rsidRPr="00145391">
          <w:rPr>
            <w:rStyle w:val="Hypertextovodkaz"/>
            <w:noProof/>
          </w:rPr>
          <w:t>Horizontální zásady</w:t>
        </w:r>
        <w:r>
          <w:rPr>
            <w:noProof/>
            <w:webHidden/>
          </w:rPr>
          <w:tab/>
        </w:r>
        <w:r>
          <w:rPr>
            <w:noProof/>
            <w:webHidden/>
          </w:rPr>
          <w:fldChar w:fldCharType="begin"/>
        </w:r>
        <w:r>
          <w:rPr>
            <w:noProof/>
            <w:webHidden/>
          </w:rPr>
          <w:instrText xml:space="preserve"> PAGEREF _Toc129005466 \h </w:instrText>
        </w:r>
        <w:r>
          <w:rPr>
            <w:noProof/>
            <w:webHidden/>
          </w:rPr>
        </w:r>
        <w:r>
          <w:rPr>
            <w:noProof/>
            <w:webHidden/>
          </w:rPr>
          <w:fldChar w:fldCharType="separate"/>
        </w:r>
        <w:r>
          <w:rPr>
            <w:noProof/>
            <w:webHidden/>
          </w:rPr>
          <w:t>242</w:t>
        </w:r>
        <w:r>
          <w:rPr>
            <w:noProof/>
            <w:webHidden/>
          </w:rPr>
          <w:fldChar w:fldCharType="end"/>
        </w:r>
      </w:hyperlink>
    </w:p>
    <w:p w14:paraId="262C0DFA" w14:textId="0047A00A" w:rsidR="00013622" w:rsidRDefault="00013622">
      <w:pPr>
        <w:pStyle w:val="Obsah2"/>
        <w:tabs>
          <w:tab w:val="left" w:pos="1100"/>
          <w:tab w:val="right" w:leader="dot" w:pos="9202"/>
        </w:tabs>
        <w:rPr>
          <w:rFonts w:asciiTheme="minorHAnsi" w:eastAsiaTheme="minorEastAsia" w:hAnsiTheme="minorHAnsi" w:cstheme="minorBidi"/>
          <w:noProof/>
          <w:sz w:val="22"/>
          <w:szCs w:val="22"/>
        </w:rPr>
      </w:pPr>
      <w:hyperlink w:anchor="_Toc129005467" w:history="1">
        <w:r w:rsidRPr="00145391">
          <w:rPr>
            <w:rStyle w:val="Hypertextovodkaz"/>
            <w:rFonts w:cs="Calibri"/>
            <w:noProof/>
          </w:rPr>
          <w:t>11.1</w:t>
        </w:r>
        <w:r>
          <w:rPr>
            <w:rFonts w:asciiTheme="minorHAnsi" w:eastAsiaTheme="minorEastAsia" w:hAnsiTheme="minorHAnsi" w:cstheme="minorBidi"/>
            <w:noProof/>
            <w:sz w:val="22"/>
            <w:szCs w:val="22"/>
          </w:rPr>
          <w:tab/>
        </w:r>
        <w:r w:rsidRPr="00145391">
          <w:rPr>
            <w:rStyle w:val="Hypertextovodkaz"/>
            <w:rFonts w:cs="Calibri"/>
            <w:noProof/>
          </w:rPr>
          <w:t>Udržitelný rozvoj</w:t>
        </w:r>
        <w:r>
          <w:rPr>
            <w:noProof/>
            <w:webHidden/>
          </w:rPr>
          <w:tab/>
        </w:r>
        <w:r>
          <w:rPr>
            <w:noProof/>
            <w:webHidden/>
          </w:rPr>
          <w:fldChar w:fldCharType="begin"/>
        </w:r>
        <w:r>
          <w:rPr>
            <w:noProof/>
            <w:webHidden/>
          </w:rPr>
          <w:instrText xml:space="preserve"> PAGEREF _Toc129005467 \h </w:instrText>
        </w:r>
        <w:r>
          <w:rPr>
            <w:noProof/>
            <w:webHidden/>
          </w:rPr>
        </w:r>
        <w:r>
          <w:rPr>
            <w:noProof/>
            <w:webHidden/>
          </w:rPr>
          <w:fldChar w:fldCharType="separate"/>
        </w:r>
        <w:r>
          <w:rPr>
            <w:noProof/>
            <w:webHidden/>
          </w:rPr>
          <w:t>242</w:t>
        </w:r>
        <w:r>
          <w:rPr>
            <w:noProof/>
            <w:webHidden/>
          </w:rPr>
          <w:fldChar w:fldCharType="end"/>
        </w:r>
      </w:hyperlink>
    </w:p>
    <w:p w14:paraId="0320ED57" w14:textId="1DD2A4CB" w:rsidR="00013622" w:rsidRDefault="00013622">
      <w:pPr>
        <w:pStyle w:val="Obsah2"/>
        <w:tabs>
          <w:tab w:val="left" w:pos="1100"/>
          <w:tab w:val="right" w:leader="dot" w:pos="9202"/>
        </w:tabs>
        <w:rPr>
          <w:rFonts w:asciiTheme="minorHAnsi" w:eastAsiaTheme="minorEastAsia" w:hAnsiTheme="minorHAnsi" w:cstheme="minorBidi"/>
          <w:noProof/>
          <w:sz w:val="22"/>
          <w:szCs w:val="22"/>
        </w:rPr>
      </w:pPr>
      <w:hyperlink w:anchor="_Toc129005468" w:history="1">
        <w:r w:rsidRPr="00145391">
          <w:rPr>
            <w:rStyle w:val="Hypertextovodkaz"/>
            <w:rFonts w:cs="Calibri"/>
            <w:noProof/>
          </w:rPr>
          <w:t>11.2</w:t>
        </w:r>
        <w:r>
          <w:rPr>
            <w:rFonts w:asciiTheme="minorHAnsi" w:eastAsiaTheme="minorEastAsia" w:hAnsiTheme="minorHAnsi" w:cstheme="minorBidi"/>
            <w:noProof/>
            <w:sz w:val="22"/>
            <w:szCs w:val="22"/>
          </w:rPr>
          <w:tab/>
        </w:r>
        <w:r w:rsidRPr="00145391">
          <w:rPr>
            <w:rStyle w:val="Hypertextovodkaz"/>
            <w:rFonts w:cs="Calibri"/>
            <w:noProof/>
          </w:rPr>
          <w:t>Rovné příležitosti a zákaz diskriminace</w:t>
        </w:r>
        <w:r>
          <w:rPr>
            <w:noProof/>
            <w:webHidden/>
          </w:rPr>
          <w:tab/>
        </w:r>
        <w:r>
          <w:rPr>
            <w:noProof/>
            <w:webHidden/>
          </w:rPr>
          <w:fldChar w:fldCharType="begin"/>
        </w:r>
        <w:r>
          <w:rPr>
            <w:noProof/>
            <w:webHidden/>
          </w:rPr>
          <w:instrText xml:space="preserve"> PAGEREF _Toc129005468 \h </w:instrText>
        </w:r>
        <w:r>
          <w:rPr>
            <w:noProof/>
            <w:webHidden/>
          </w:rPr>
        </w:r>
        <w:r>
          <w:rPr>
            <w:noProof/>
            <w:webHidden/>
          </w:rPr>
          <w:fldChar w:fldCharType="separate"/>
        </w:r>
        <w:r>
          <w:rPr>
            <w:noProof/>
            <w:webHidden/>
          </w:rPr>
          <w:t>243</w:t>
        </w:r>
        <w:r>
          <w:rPr>
            <w:noProof/>
            <w:webHidden/>
          </w:rPr>
          <w:fldChar w:fldCharType="end"/>
        </w:r>
      </w:hyperlink>
    </w:p>
    <w:p w14:paraId="213DDAF4" w14:textId="1D2711D9" w:rsidR="00013622" w:rsidRDefault="00013622">
      <w:pPr>
        <w:pStyle w:val="Obsah2"/>
        <w:tabs>
          <w:tab w:val="left" w:pos="1100"/>
          <w:tab w:val="right" w:leader="dot" w:pos="9202"/>
        </w:tabs>
        <w:rPr>
          <w:rFonts w:asciiTheme="minorHAnsi" w:eastAsiaTheme="minorEastAsia" w:hAnsiTheme="minorHAnsi" w:cstheme="minorBidi"/>
          <w:noProof/>
          <w:sz w:val="22"/>
          <w:szCs w:val="22"/>
        </w:rPr>
      </w:pPr>
      <w:hyperlink w:anchor="_Toc129005469" w:history="1">
        <w:r w:rsidRPr="00145391">
          <w:rPr>
            <w:rStyle w:val="Hypertextovodkaz"/>
            <w:rFonts w:cs="Calibri"/>
            <w:noProof/>
          </w:rPr>
          <w:t>11.3</w:t>
        </w:r>
        <w:r>
          <w:rPr>
            <w:rFonts w:asciiTheme="minorHAnsi" w:eastAsiaTheme="minorEastAsia" w:hAnsiTheme="minorHAnsi" w:cstheme="minorBidi"/>
            <w:noProof/>
            <w:sz w:val="22"/>
            <w:szCs w:val="22"/>
          </w:rPr>
          <w:tab/>
        </w:r>
        <w:r w:rsidRPr="00145391">
          <w:rPr>
            <w:rStyle w:val="Hypertextovodkaz"/>
            <w:rFonts w:cs="Calibri"/>
            <w:noProof/>
          </w:rPr>
          <w:t>Rovnost mezi muži a ženami</w:t>
        </w:r>
        <w:r>
          <w:rPr>
            <w:noProof/>
            <w:webHidden/>
          </w:rPr>
          <w:tab/>
        </w:r>
        <w:r>
          <w:rPr>
            <w:noProof/>
            <w:webHidden/>
          </w:rPr>
          <w:fldChar w:fldCharType="begin"/>
        </w:r>
        <w:r>
          <w:rPr>
            <w:noProof/>
            <w:webHidden/>
          </w:rPr>
          <w:instrText xml:space="preserve"> PAGEREF _Toc129005469 \h </w:instrText>
        </w:r>
        <w:r>
          <w:rPr>
            <w:noProof/>
            <w:webHidden/>
          </w:rPr>
        </w:r>
        <w:r>
          <w:rPr>
            <w:noProof/>
            <w:webHidden/>
          </w:rPr>
          <w:fldChar w:fldCharType="separate"/>
        </w:r>
        <w:r>
          <w:rPr>
            <w:noProof/>
            <w:webHidden/>
          </w:rPr>
          <w:t>244</w:t>
        </w:r>
        <w:r>
          <w:rPr>
            <w:noProof/>
            <w:webHidden/>
          </w:rPr>
          <w:fldChar w:fldCharType="end"/>
        </w:r>
      </w:hyperlink>
    </w:p>
    <w:p w14:paraId="5D058CE5" w14:textId="2B3A912C" w:rsidR="00013622" w:rsidRDefault="00013622">
      <w:pPr>
        <w:pStyle w:val="Obsah1"/>
        <w:tabs>
          <w:tab w:val="left" w:pos="1320"/>
          <w:tab w:val="right" w:leader="dot" w:pos="9202"/>
        </w:tabs>
        <w:rPr>
          <w:rFonts w:asciiTheme="minorHAnsi" w:eastAsiaTheme="minorEastAsia" w:hAnsiTheme="minorHAnsi" w:cstheme="minorBidi"/>
          <w:b w:val="0"/>
          <w:noProof/>
          <w:sz w:val="22"/>
          <w:szCs w:val="22"/>
        </w:rPr>
      </w:pPr>
      <w:hyperlink w:anchor="_Toc129005470" w:history="1">
        <w:r w:rsidRPr="00145391">
          <w:rPr>
            <w:rStyle w:val="Hypertextovodkaz"/>
            <w:noProof/>
            <w:spacing w:val="20"/>
          </w:rPr>
          <w:t>ODDÍL 12</w:t>
        </w:r>
        <w:r>
          <w:rPr>
            <w:rFonts w:asciiTheme="minorHAnsi" w:eastAsiaTheme="minorEastAsia" w:hAnsiTheme="minorHAnsi" w:cstheme="minorBidi"/>
            <w:b w:val="0"/>
            <w:noProof/>
            <w:sz w:val="22"/>
            <w:szCs w:val="22"/>
          </w:rPr>
          <w:tab/>
        </w:r>
        <w:r w:rsidRPr="00145391">
          <w:rPr>
            <w:rStyle w:val="Hypertextovodkaz"/>
            <w:noProof/>
          </w:rPr>
          <w:t>Samostatné prvky</w:t>
        </w:r>
        <w:r>
          <w:rPr>
            <w:noProof/>
            <w:webHidden/>
          </w:rPr>
          <w:tab/>
        </w:r>
        <w:r>
          <w:rPr>
            <w:noProof/>
            <w:webHidden/>
          </w:rPr>
          <w:fldChar w:fldCharType="begin"/>
        </w:r>
        <w:r>
          <w:rPr>
            <w:noProof/>
            <w:webHidden/>
          </w:rPr>
          <w:instrText xml:space="preserve"> PAGEREF _Toc129005470 \h </w:instrText>
        </w:r>
        <w:r>
          <w:rPr>
            <w:noProof/>
            <w:webHidden/>
          </w:rPr>
        </w:r>
        <w:r>
          <w:rPr>
            <w:noProof/>
            <w:webHidden/>
          </w:rPr>
          <w:fldChar w:fldCharType="separate"/>
        </w:r>
        <w:r>
          <w:rPr>
            <w:noProof/>
            <w:webHidden/>
          </w:rPr>
          <w:t>245</w:t>
        </w:r>
        <w:r>
          <w:rPr>
            <w:noProof/>
            <w:webHidden/>
          </w:rPr>
          <w:fldChar w:fldCharType="end"/>
        </w:r>
      </w:hyperlink>
    </w:p>
    <w:p w14:paraId="38FB1E42" w14:textId="00F65B86" w:rsidR="00013622" w:rsidRDefault="00013622">
      <w:pPr>
        <w:pStyle w:val="Obsah2"/>
        <w:tabs>
          <w:tab w:val="left" w:pos="1100"/>
          <w:tab w:val="right" w:leader="dot" w:pos="9202"/>
        </w:tabs>
        <w:rPr>
          <w:rFonts w:asciiTheme="minorHAnsi" w:eastAsiaTheme="minorEastAsia" w:hAnsiTheme="minorHAnsi" w:cstheme="minorBidi"/>
          <w:noProof/>
          <w:sz w:val="22"/>
          <w:szCs w:val="22"/>
        </w:rPr>
      </w:pPr>
      <w:hyperlink w:anchor="_Toc129005471" w:history="1">
        <w:r w:rsidRPr="00145391">
          <w:rPr>
            <w:rStyle w:val="Hypertextovodkaz"/>
            <w:rFonts w:cs="Calibri"/>
            <w:noProof/>
          </w:rPr>
          <w:t>12.1</w:t>
        </w:r>
        <w:r>
          <w:rPr>
            <w:rFonts w:asciiTheme="minorHAnsi" w:eastAsiaTheme="minorEastAsia" w:hAnsiTheme="minorHAnsi" w:cstheme="minorBidi"/>
            <w:noProof/>
            <w:sz w:val="22"/>
            <w:szCs w:val="22"/>
          </w:rPr>
          <w:tab/>
        </w:r>
        <w:r w:rsidRPr="00145391">
          <w:rPr>
            <w:rStyle w:val="Hypertextovodkaz"/>
            <w:rFonts w:cs="Calibri"/>
            <w:noProof/>
          </w:rPr>
          <w:t>Velké projekty, které mají být během programového období realizovány</w:t>
        </w:r>
        <w:r>
          <w:rPr>
            <w:noProof/>
            <w:webHidden/>
          </w:rPr>
          <w:tab/>
        </w:r>
        <w:r>
          <w:rPr>
            <w:noProof/>
            <w:webHidden/>
          </w:rPr>
          <w:fldChar w:fldCharType="begin"/>
        </w:r>
        <w:r>
          <w:rPr>
            <w:noProof/>
            <w:webHidden/>
          </w:rPr>
          <w:instrText xml:space="preserve"> PAGEREF _Toc129005471 \h </w:instrText>
        </w:r>
        <w:r>
          <w:rPr>
            <w:noProof/>
            <w:webHidden/>
          </w:rPr>
        </w:r>
        <w:r>
          <w:rPr>
            <w:noProof/>
            <w:webHidden/>
          </w:rPr>
          <w:fldChar w:fldCharType="separate"/>
        </w:r>
        <w:r>
          <w:rPr>
            <w:noProof/>
            <w:webHidden/>
          </w:rPr>
          <w:t>245</w:t>
        </w:r>
        <w:r>
          <w:rPr>
            <w:noProof/>
            <w:webHidden/>
          </w:rPr>
          <w:fldChar w:fldCharType="end"/>
        </w:r>
      </w:hyperlink>
    </w:p>
    <w:p w14:paraId="14C4A77D" w14:textId="42328A4A" w:rsidR="00013622" w:rsidRDefault="00013622">
      <w:pPr>
        <w:pStyle w:val="Obsah2"/>
        <w:tabs>
          <w:tab w:val="left" w:pos="1100"/>
          <w:tab w:val="right" w:leader="dot" w:pos="9202"/>
        </w:tabs>
        <w:rPr>
          <w:rFonts w:asciiTheme="minorHAnsi" w:eastAsiaTheme="minorEastAsia" w:hAnsiTheme="minorHAnsi" w:cstheme="minorBidi"/>
          <w:noProof/>
          <w:sz w:val="22"/>
          <w:szCs w:val="22"/>
        </w:rPr>
      </w:pPr>
      <w:hyperlink w:anchor="_Toc129005472" w:history="1">
        <w:r w:rsidRPr="00145391">
          <w:rPr>
            <w:rStyle w:val="Hypertextovodkaz"/>
            <w:rFonts w:cs="Calibri"/>
            <w:noProof/>
          </w:rPr>
          <w:t>12.2</w:t>
        </w:r>
        <w:r>
          <w:rPr>
            <w:rFonts w:asciiTheme="minorHAnsi" w:eastAsiaTheme="minorEastAsia" w:hAnsiTheme="minorHAnsi" w:cstheme="minorBidi"/>
            <w:noProof/>
            <w:sz w:val="22"/>
            <w:szCs w:val="22"/>
          </w:rPr>
          <w:tab/>
        </w:r>
        <w:r w:rsidRPr="00145391">
          <w:rPr>
            <w:rStyle w:val="Hypertextovodkaz"/>
            <w:rFonts w:cs="Calibri"/>
            <w:noProof/>
          </w:rPr>
          <w:t>Výkonnostní rámec pro operační program</w:t>
        </w:r>
        <w:r>
          <w:rPr>
            <w:noProof/>
            <w:webHidden/>
          </w:rPr>
          <w:tab/>
        </w:r>
        <w:r>
          <w:rPr>
            <w:noProof/>
            <w:webHidden/>
          </w:rPr>
          <w:fldChar w:fldCharType="begin"/>
        </w:r>
        <w:r>
          <w:rPr>
            <w:noProof/>
            <w:webHidden/>
          </w:rPr>
          <w:instrText xml:space="preserve"> PAGEREF _Toc129005472 \h </w:instrText>
        </w:r>
        <w:r>
          <w:rPr>
            <w:noProof/>
            <w:webHidden/>
          </w:rPr>
        </w:r>
        <w:r>
          <w:rPr>
            <w:noProof/>
            <w:webHidden/>
          </w:rPr>
          <w:fldChar w:fldCharType="separate"/>
        </w:r>
        <w:r>
          <w:rPr>
            <w:noProof/>
            <w:webHidden/>
          </w:rPr>
          <w:t>246</w:t>
        </w:r>
        <w:r>
          <w:rPr>
            <w:noProof/>
            <w:webHidden/>
          </w:rPr>
          <w:fldChar w:fldCharType="end"/>
        </w:r>
      </w:hyperlink>
    </w:p>
    <w:p w14:paraId="575A3442" w14:textId="2CB3BCF5" w:rsidR="00013622" w:rsidRDefault="00013622">
      <w:pPr>
        <w:pStyle w:val="Obsah2"/>
        <w:tabs>
          <w:tab w:val="left" w:pos="1100"/>
          <w:tab w:val="right" w:leader="dot" w:pos="9202"/>
        </w:tabs>
        <w:rPr>
          <w:rFonts w:asciiTheme="minorHAnsi" w:eastAsiaTheme="minorEastAsia" w:hAnsiTheme="minorHAnsi" w:cstheme="minorBidi"/>
          <w:noProof/>
          <w:sz w:val="22"/>
          <w:szCs w:val="22"/>
        </w:rPr>
      </w:pPr>
      <w:hyperlink w:anchor="_Toc129005473" w:history="1">
        <w:r w:rsidRPr="00145391">
          <w:rPr>
            <w:rStyle w:val="Hypertextovodkaz"/>
            <w:rFonts w:cs="Calibri"/>
            <w:noProof/>
          </w:rPr>
          <w:t>12.3</w:t>
        </w:r>
        <w:r>
          <w:rPr>
            <w:rFonts w:asciiTheme="minorHAnsi" w:eastAsiaTheme="minorEastAsia" w:hAnsiTheme="minorHAnsi" w:cstheme="minorBidi"/>
            <w:noProof/>
            <w:sz w:val="22"/>
            <w:szCs w:val="22"/>
          </w:rPr>
          <w:tab/>
        </w:r>
        <w:r w:rsidRPr="00145391">
          <w:rPr>
            <w:rStyle w:val="Hypertextovodkaz"/>
            <w:rFonts w:cs="Calibri"/>
            <w:noProof/>
          </w:rPr>
          <w:t>Seznam příslušných partnerů zapojených do přípravy operačního programu</w:t>
        </w:r>
        <w:r>
          <w:rPr>
            <w:noProof/>
            <w:webHidden/>
          </w:rPr>
          <w:tab/>
        </w:r>
        <w:r>
          <w:rPr>
            <w:noProof/>
            <w:webHidden/>
          </w:rPr>
          <w:fldChar w:fldCharType="begin"/>
        </w:r>
        <w:r>
          <w:rPr>
            <w:noProof/>
            <w:webHidden/>
          </w:rPr>
          <w:instrText xml:space="preserve"> PAGEREF _Toc129005473 \h </w:instrText>
        </w:r>
        <w:r>
          <w:rPr>
            <w:noProof/>
            <w:webHidden/>
          </w:rPr>
        </w:r>
        <w:r>
          <w:rPr>
            <w:noProof/>
            <w:webHidden/>
          </w:rPr>
          <w:fldChar w:fldCharType="separate"/>
        </w:r>
        <w:r>
          <w:rPr>
            <w:noProof/>
            <w:webHidden/>
          </w:rPr>
          <w:t>247</w:t>
        </w:r>
        <w:r>
          <w:rPr>
            <w:noProof/>
            <w:webHidden/>
          </w:rPr>
          <w:fldChar w:fldCharType="end"/>
        </w:r>
      </w:hyperlink>
    </w:p>
    <w:p w14:paraId="3A93BD9D" w14:textId="1210EBFF" w:rsidR="00013622" w:rsidRDefault="00013622">
      <w:pPr>
        <w:pStyle w:val="Obsah2"/>
        <w:tabs>
          <w:tab w:val="right" w:leader="dot" w:pos="9202"/>
        </w:tabs>
        <w:rPr>
          <w:rFonts w:asciiTheme="minorHAnsi" w:eastAsiaTheme="minorEastAsia" w:hAnsiTheme="minorHAnsi" w:cstheme="minorBidi"/>
          <w:noProof/>
          <w:sz w:val="22"/>
          <w:szCs w:val="22"/>
        </w:rPr>
      </w:pPr>
      <w:hyperlink w:anchor="_Toc129005474" w:history="1">
        <w:r w:rsidRPr="00145391">
          <w:rPr>
            <w:rStyle w:val="Hypertextovodkaz"/>
            <w:rFonts w:cs="Calibri"/>
            <w:noProof/>
          </w:rPr>
          <w:t>PŘÍLOHY (nahrány do systému pro elektronickou výměnu dat jako samostatné soubory)</w:t>
        </w:r>
        <w:r>
          <w:rPr>
            <w:noProof/>
            <w:webHidden/>
          </w:rPr>
          <w:tab/>
        </w:r>
        <w:r>
          <w:rPr>
            <w:noProof/>
            <w:webHidden/>
          </w:rPr>
          <w:fldChar w:fldCharType="begin"/>
        </w:r>
        <w:r>
          <w:rPr>
            <w:noProof/>
            <w:webHidden/>
          </w:rPr>
          <w:instrText xml:space="preserve"> PAGEREF _Toc129005474 \h </w:instrText>
        </w:r>
        <w:r>
          <w:rPr>
            <w:noProof/>
            <w:webHidden/>
          </w:rPr>
        </w:r>
        <w:r>
          <w:rPr>
            <w:noProof/>
            <w:webHidden/>
          </w:rPr>
          <w:fldChar w:fldCharType="separate"/>
        </w:r>
        <w:r>
          <w:rPr>
            <w:noProof/>
            <w:webHidden/>
          </w:rPr>
          <w:t>251</w:t>
        </w:r>
        <w:r>
          <w:rPr>
            <w:noProof/>
            <w:webHidden/>
          </w:rPr>
          <w:fldChar w:fldCharType="end"/>
        </w:r>
      </w:hyperlink>
    </w:p>
    <w:p w14:paraId="5E2CFC7C" w14:textId="22E8789E" w:rsidR="00C21FE5" w:rsidRPr="00DD47DF" w:rsidRDefault="002756E7" w:rsidP="00C21FE5">
      <w:pPr>
        <w:overflowPunct/>
        <w:autoSpaceDE/>
        <w:autoSpaceDN/>
        <w:adjustRightInd/>
        <w:spacing w:before="120" w:after="60"/>
        <w:textAlignment w:val="auto"/>
        <w:rPr>
          <w:rFonts w:ascii="Calibri" w:hAnsi="Calibri" w:cs="Calibri"/>
          <w:b/>
          <w:caps/>
          <w:sz w:val="28"/>
          <w:szCs w:val="28"/>
        </w:rPr>
      </w:pPr>
      <w:r w:rsidRPr="00DD47DF">
        <w:rPr>
          <w:rFonts w:ascii="Calibri" w:hAnsi="Calibri" w:cs="Calibri"/>
          <w:b/>
          <w:caps/>
          <w:sz w:val="28"/>
          <w:szCs w:val="28"/>
        </w:rPr>
        <w:fldChar w:fldCharType="end"/>
      </w:r>
    </w:p>
    <w:p w14:paraId="7EDEF6C3"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4AAD8F40"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7F5D6030"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3C401EC1"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02E89BC6" w14:textId="77777777" w:rsidR="00C21FE5" w:rsidRPr="00DD47DF" w:rsidRDefault="00C21FE5" w:rsidP="00C21FE5">
      <w:pPr>
        <w:overflowPunct/>
        <w:autoSpaceDE/>
        <w:autoSpaceDN/>
        <w:adjustRightInd/>
        <w:spacing w:before="120" w:after="60"/>
        <w:textAlignment w:val="auto"/>
        <w:rPr>
          <w:rFonts w:ascii="Calibri" w:hAnsi="Calibri" w:cs="Calibri"/>
          <w:b/>
          <w:caps/>
          <w:sz w:val="28"/>
          <w:szCs w:val="28"/>
        </w:rPr>
      </w:pPr>
    </w:p>
    <w:p w14:paraId="30AC9D40" w14:textId="77777777" w:rsidR="00704234" w:rsidRPr="00DD47DF" w:rsidRDefault="00704234" w:rsidP="00300283">
      <w:pPr>
        <w:overflowPunct/>
        <w:autoSpaceDE/>
        <w:autoSpaceDN/>
        <w:adjustRightInd/>
        <w:spacing w:before="120" w:after="60"/>
        <w:textAlignment w:val="auto"/>
        <w:rPr>
          <w:rFonts w:ascii="Calibri" w:hAnsi="Calibri" w:cs="Calibri"/>
          <w:b/>
          <w:caps/>
          <w:sz w:val="28"/>
          <w:szCs w:val="28"/>
        </w:rPr>
      </w:pPr>
    </w:p>
    <w:p w14:paraId="69195B12"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0CC7A293"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61B49D7E" w14:textId="77777777" w:rsidR="00C21FE5" w:rsidRPr="00DD47DF" w:rsidRDefault="00C21FE5" w:rsidP="00300283">
      <w:pPr>
        <w:overflowPunct/>
        <w:autoSpaceDE/>
        <w:autoSpaceDN/>
        <w:adjustRightInd/>
        <w:spacing w:before="120" w:after="60"/>
        <w:textAlignment w:val="auto"/>
        <w:rPr>
          <w:rFonts w:ascii="Calibri" w:hAnsi="Calibri" w:cs="Calibri"/>
          <w:b/>
          <w:caps/>
          <w:sz w:val="28"/>
          <w:szCs w:val="28"/>
        </w:rPr>
      </w:pPr>
    </w:p>
    <w:p w14:paraId="690ADE89" w14:textId="77777777" w:rsidR="000C44FC" w:rsidRPr="00DD47DF" w:rsidRDefault="00704234" w:rsidP="00C21FE5">
      <w:pPr>
        <w:pStyle w:val="Standardntext"/>
        <w:rPr>
          <w:b/>
        </w:rPr>
      </w:pPr>
      <w:r w:rsidRPr="00DD47DF">
        <w:rPr>
          <w:b/>
        </w:rPr>
        <w:t>Tato verze programového dokumentu OP PIK je zpracována v souladu s</w:t>
      </w:r>
      <w:r w:rsidR="00F31452" w:rsidRPr="00DD47DF">
        <w:rPr>
          <w:b/>
        </w:rPr>
        <w:t> </w:t>
      </w:r>
      <w:r w:rsidRPr="00DD47DF">
        <w:rPr>
          <w:b/>
        </w:rPr>
        <w:t>příloh</w:t>
      </w:r>
      <w:r w:rsidR="00F31452" w:rsidRPr="00DD47DF">
        <w:rPr>
          <w:b/>
        </w:rPr>
        <w:t>ou „</w:t>
      </w:r>
      <w:r w:rsidRPr="00DD47DF">
        <w:rPr>
          <w:b/>
        </w:rPr>
        <w:t>Vzor pro operační programy v rámci cíle Investice pro růst a zaměstnanost“</w:t>
      </w:r>
      <w:r w:rsidR="00F31452" w:rsidRPr="00DD47DF">
        <w:rPr>
          <w:b/>
        </w:rPr>
        <w:t xml:space="preserve"> p</w:t>
      </w:r>
      <w:r w:rsidR="00514AFF" w:rsidRPr="00DD47DF">
        <w:rPr>
          <w:b/>
        </w:rPr>
        <w:t>rováděcí</w:t>
      </w:r>
      <w:r w:rsidR="00F31452" w:rsidRPr="00DD47DF">
        <w:rPr>
          <w:b/>
        </w:rPr>
        <w:t>ho</w:t>
      </w:r>
      <w:r w:rsidR="00514AFF" w:rsidRPr="00DD47DF">
        <w:rPr>
          <w:b/>
        </w:rPr>
        <w:t xml:space="preserve"> nařízení Komise (EU) č. 288/2014 ze dne 25. února 2014</w:t>
      </w:r>
      <w:r w:rsidRPr="00DD47DF">
        <w:rPr>
          <w:b/>
        </w:rPr>
        <w:t>.</w:t>
      </w:r>
      <w:r w:rsidR="00184621" w:rsidRPr="00DD47DF">
        <w:rPr>
          <w:b/>
        </w:rPr>
        <w:t xml:space="preserve"> </w:t>
      </w:r>
      <w:r w:rsidR="000C44FC" w:rsidRPr="00DD47DF">
        <w:rPr>
          <w:b/>
        </w:rPr>
        <w:br w:type="page"/>
      </w:r>
    </w:p>
    <w:p w14:paraId="61081FF5" w14:textId="77777777" w:rsidR="000C44FC" w:rsidRPr="00DD47DF" w:rsidRDefault="000C44FC" w:rsidP="000C44FC">
      <w:pPr>
        <w:overflowPunct/>
        <w:autoSpaceDE/>
        <w:autoSpaceDN/>
        <w:adjustRightInd/>
        <w:spacing w:before="120" w:after="60"/>
        <w:textAlignment w:val="auto"/>
        <w:rPr>
          <w:rFonts w:ascii="Calibri" w:hAnsi="Calibri" w:cs="Calibri"/>
          <w:b/>
          <w:caps/>
          <w:sz w:val="28"/>
          <w:szCs w:val="28"/>
        </w:rPr>
      </w:pPr>
      <w:r w:rsidRPr="00DD47DF">
        <w:rPr>
          <w:rFonts w:ascii="Calibri" w:hAnsi="Calibri" w:cs="Calibri"/>
          <w:b/>
          <w:caps/>
          <w:sz w:val="28"/>
          <w:szCs w:val="28"/>
        </w:rPr>
        <w:lastRenderedPageBreak/>
        <w:t xml:space="preserve">Seznam </w:t>
      </w:r>
      <w:r w:rsidR="00536909" w:rsidRPr="00DD47DF">
        <w:rPr>
          <w:rFonts w:ascii="Calibri" w:hAnsi="Calibri" w:cs="Calibri"/>
          <w:b/>
          <w:caps/>
          <w:sz w:val="28"/>
          <w:szCs w:val="28"/>
        </w:rPr>
        <w:t xml:space="preserve">použitých </w:t>
      </w:r>
      <w:r w:rsidRPr="00DD47DF">
        <w:rPr>
          <w:rFonts w:ascii="Calibri" w:hAnsi="Calibri" w:cs="Calibri"/>
          <w:b/>
          <w:caps/>
          <w:sz w:val="28"/>
          <w:szCs w:val="28"/>
        </w:rPr>
        <w:t>zkratek</w:t>
      </w:r>
    </w:p>
    <w:p w14:paraId="0FBEF351" w14:textId="77777777" w:rsidR="000C44FC" w:rsidRPr="00DD47DF" w:rsidRDefault="000C44FC" w:rsidP="000C44FC">
      <w:pPr>
        <w:pStyle w:val="Standardntext"/>
      </w:pPr>
    </w:p>
    <w:tbl>
      <w:tblPr>
        <w:tblW w:w="0" w:type="auto"/>
        <w:tblCellMar>
          <w:left w:w="57" w:type="dxa"/>
          <w:right w:w="57" w:type="dxa"/>
        </w:tblCellMar>
        <w:tblLook w:val="04A0" w:firstRow="1" w:lastRow="0" w:firstColumn="1" w:lastColumn="0" w:noHBand="0" w:noVBand="1"/>
      </w:tblPr>
      <w:tblGrid>
        <w:gridCol w:w="2376"/>
        <w:gridCol w:w="6836"/>
      </w:tblGrid>
      <w:tr w:rsidR="00F37CF9" w:rsidRPr="00DD47DF" w14:paraId="5EA3B3FB" w14:textId="77777777">
        <w:tc>
          <w:tcPr>
            <w:tcW w:w="2376" w:type="dxa"/>
            <w:shd w:val="clear" w:color="auto" w:fill="auto"/>
          </w:tcPr>
          <w:p w14:paraId="2B8920D3" w14:textId="77777777" w:rsidR="00F37CF9" w:rsidRPr="00DD47DF" w:rsidRDefault="00F37CF9" w:rsidP="00142A82">
            <w:pPr>
              <w:pStyle w:val="Tabulka"/>
              <w:jc w:val="left"/>
              <w:rPr>
                <w:rFonts w:cs="Calibri"/>
              </w:rPr>
            </w:pPr>
            <w:r w:rsidRPr="00DD47DF">
              <w:rPr>
                <w:rFonts w:cs="Calibri"/>
              </w:rPr>
              <w:t>CEF</w:t>
            </w:r>
          </w:p>
        </w:tc>
        <w:tc>
          <w:tcPr>
            <w:tcW w:w="6836" w:type="dxa"/>
            <w:shd w:val="clear" w:color="auto" w:fill="auto"/>
          </w:tcPr>
          <w:p w14:paraId="46BD138C" w14:textId="77777777" w:rsidR="00F37CF9" w:rsidRPr="00DD47DF" w:rsidRDefault="00F37CF9" w:rsidP="00142A82">
            <w:pPr>
              <w:pStyle w:val="Tabulka"/>
              <w:jc w:val="left"/>
              <w:rPr>
                <w:rFonts w:cs="Calibri"/>
              </w:rPr>
            </w:pPr>
            <w:r w:rsidRPr="00DD47DF">
              <w:rPr>
                <w:rFonts w:cs="Calibri"/>
              </w:rPr>
              <w:t>Nástroj pro propojení Evropy</w:t>
            </w:r>
          </w:p>
        </w:tc>
      </w:tr>
      <w:tr w:rsidR="00F37CF9" w:rsidRPr="00DD47DF" w14:paraId="5ED87936" w14:textId="77777777">
        <w:tc>
          <w:tcPr>
            <w:tcW w:w="2376" w:type="dxa"/>
            <w:shd w:val="clear" w:color="auto" w:fill="auto"/>
          </w:tcPr>
          <w:p w14:paraId="493C8105" w14:textId="77777777" w:rsidR="00F37CF9" w:rsidRPr="00DD47DF" w:rsidRDefault="00F37CF9" w:rsidP="00142A82">
            <w:pPr>
              <w:pStyle w:val="Tabulka"/>
              <w:jc w:val="left"/>
              <w:rPr>
                <w:rFonts w:cs="Calibri"/>
              </w:rPr>
            </w:pPr>
            <w:r w:rsidRPr="00DD47DF">
              <w:rPr>
                <w:rFonts w:cs="Calibri"/>
              </w:rPr>
              <w:t>CLLD</w:t>
            </w:r>
          </w:p>
        </w:tc>
        <w:tc>
          <w:tcPr>
            <w:tcW w:w="6836" w:type="dxa"/>
            <w:shd w:val="clear" w:color="auto" w:fill="auto"/>
          </w:tcPr>
          <w:p w14:paraId="312E78AE" w14:textId="77777777" w:rsidR="00F37CF9" w:rsidRPr="00DD47DF" w:rsidRDefault="00F37CF9" w:rsidP="00142A82">
            <w:pPr>
              <w:pStyle w:val="Tabulka"/>
              <w:jc w:val="left"/>
              <w:rPr>
                <w:rFonts w:cs="Calibri"/>
              </w:rPr>
            </w:pPr>
            <w:r w:rsidRPr="00DD47DF">
              <w:rPr>
                <w:rFonts w:cs="Calibri"/>
              </w:rPr>
              <w:t>Komunitně vedený místní rozvoj</w:t>
            </w:r>
          </w:p>
        </w:tc>
      </w:tr>
      <w:tr w:rsidR="00F37CF9" w:rsidRPr="00DD47DF" w14:paraId="14F77CD2" w14:textId="77777777">
        <w:tc>
          <w:tcPr>
            <w:tcW w:w="2376" w:type="dxa"/>
            <w:shd w:val="clear" w:color="auto" w:fill="auto"/>
          </w:tcPr>
          <w:p w14:paraId="31AEE9D4" w14:textId="77777777" w:rsidR="00F37CF9" w:rsidRPr="00DD47DF" w:rsidRDefault="00F37CF9" w:rsidP="00142A82">
            <w:pPr>
              <w:pStyle w:val="Tabulka"/>
              <w:jc w:val="left"/>
              <w:rPr>
                <w:rFonts w:cs="Calibri"/>
              </w:rPr>
            </w:pPr>
            <w:r w:rsidRPr="00DD47DF">
              <w:rPr>
                <w:rFonts w:cs="Calibri"/>
              </w:rPr>
              <w:t>COSME</w:t>
            </w:r>
          </w:p>
        </w:tc>
        <w:tc>
          <w:tcPr>
            <w:tcW w:w="6836" w:type="dxa"/>
            <w:shd w:val="clear" w:color="auto" w:fill="auto"/>
          </w:tcPr>
          <w:p w14:paraId="1E4D425C" w14:textId="77777777" w:rsidR="00F37CF9" w:rsidRPr="00DD47DF" w:rsidRDefault="00F37CF9" w:rsidP="00142A82">
            <w:pPr>
              <w:pStyle w:val="Tabulka"/>
              <w:jc w:val="left"/>
              <w:rPr>
                <w:rFonts w:cs="Calibri"/>
              </w:rPr>
            </w:pPr>
            <w:r w:rsidRPr="00DD47DF">
              <w:rPr>
                <w:rFonts w:cs="Calibri"/>
              </w:rPr>
              <w:t>Program pro konkurenceschopnost podniků s důrazem na malé a střední podniky 2014-2020</w:t>
            </w:r>
          </w:p>
        </w:tc>
      </w:tr>
      <w:tr w:rsidR="009E6C87" w:rsidRPr="00DD47DF" w14:paraId="6004FE1C" w14:textId="77777777">
        <w:tc>
          <w:tcPr>
            <w:tcW w:w="2376" w:type="dxa"/>
            <w:shd w:val="clear" w:color="auto" w:fill="auto"/>
          </w:tcPr>
          <w:p w14:paraId="757C3D02" w14:textId="77777777" w:rsidR="009E6C87" w:rsidRPr="00DD47DF" w:rsidRDefault="009E6C87" w:rsidP="00142A82">
            <w:pPr>
              <w:pStyle w:val="Tabulka"/>
              <w:jc w:val="left"/>
              <w:rPr>
                <w:rFonts w:cs="Calibri"/>
              </w:rPr>
            </w:pPr>
            <w:r w:rsidRPr="00DD47DF">
              <w:rPr>
                <w:rFonts w:cs="Calibri"/>
              </w:rPr>
              <w:t>CSS</w:t>
            </w:r>
          </w:p>
        </w:tc>
        <w:tc>
          <w:tcPr>
            <w:tcW w:w="6836" w:type="dxa"/>
            <w:shd w:val="clear" w:color="auto" w:fill="auto"/>
          </w:tcPr>
          <w:p w14:paraId="3A3D62D3" w14:textId="77777777" w:rsidR="009E6C87" w:rsidRPr="00DD47DF" w:rsidRDefault="009E6C87" w:rsidP="00142A82">
            <w:pPr>
              <w:pStyle w:val="Tabulka"/>
              <w:jc w:val="left"/>
              <w:rPr>
                <w:rFonts w:cs="Calibri"/>
              </w:rPr>
            </w:pPr>
            <w:r w:rsidRPr="00DD47DF">
              <w:rPr>
                <w:rFonts w:cs="Calibri"/>
              </w:rPr>
              <w:t>Centrum sdílených služeb</w:t>
            </w:r>
          </w:p>
        </w:tc>
      </w:tr>
      <w:tr w:rsidR="00F37CF9" w:rsidRPr="00DD47DF" w14:paraId="517DD0E8" w14:textId="77777777">
        <w:tc>
          <w:tcPr>
            <w:tcW w:w="2376" w:type="dxa"/>
            <w:shd w:val="clear" w:color="auto" w:fill="auto"/>
          </w:tcPr>
          <w:p w14:paraId="3A95609F" w14:textId="77777777" w:rsidR="00F37CF9" w:rsidRPr="00DD47DF" w:rsidRDefault="00F37CF9" w:rsidP="00142A82">
            <w:pPr>
              <w:pStyle w:val="Tabulka"/>
              <w:jc w:val="left"/>
              <w:rPr>
                <w:rFonts w:cs="Calibri"/>
              </w:rPr>
            </w:pPr>
            <w:r w:rsidRPr="00DD47DF">
              <w:rPr>
                <w:rFonts w:cs="Calibri"/>
              </w:rPr>
              <w:t>ČMZRB</w:t>
            </w:r>
          </w:p>
        </w:tc>
        <w:tc>
          <w:tcPr>
            <w:tcW w:w="6836" w:type="dxa"/>
            <w:shd w:val="clear" w:color="auto" w:fill="auto"/>
          </w:tcPr>
          <w:p w14:paraId="0FA8958C" w14:textId="77777777" w:rsidR="00F37CF9" w:rsidRPr="00DD47DF" w:rsidRDefault="00F37CF9" w:rsidP="00142A82">
            <w:pPr>
              <w:pStyle w:val="Tabulka"/>
              <w:jc w:val="left"/>
              <w:rPr>
                <w:rFonts w:cs="Calibri"/>
              </w:rPr>
            </w:pPr>
            <w:r w:rsidRPr="00DD47DF">
              <w:rPr>
                <w:rFonts w:cs="Calibri"/>
              </w:rPr>
              <w:t>Českomoravská záruční a rozvojové banka, a.s.</w:t>
            </w:r>
          </w:p>
        </w:tc>
      </w:tr>
      <w:tr w:rsidR="00F37CF9" w:rsidRPr="00DD47DF" w14:paraId="68C20C89" w14:textId="77777777">
        <w:tc>
          <w:tcPr>
            <w:tcW w:w="2376" w:type="dxa"/>
            <w:shd w:val="clear" w:color="auto" w:fill="auto"/>
          </w:tcPr>
          <w:p w14:paraId="62C44532" w14:textId="77777777" w:rsidR="00F37CF9" w:rsidRPr="00DD47DF" w:rsidRDefault="00F37CF9" w:rsidP="00142A82">
            <w:pPr>
              <w:pStyle w:val="Tabulka"/>
              <w:jc w:val="left"/>
              <w:rPr>
                <w:rFonts w:cs="Calibri"/>
              </w:rPr>
            </w:pPr>
            <w:r w:rsidRPr="00DD47DF">
              <w:rPr>
                <w:rFonts w:cs="Calibri"/>
              </w:rPr>
              <w:t>ČSÚ</w:t>
            </w:r>
          </w:p>
        </w:tc>
        <w:tc>
          <w:tcPr>
            <w:tcW w:w="6836" w:type="dxa"/>
            <w:shd w:val="clear" w:color="auto" w:fill="auto"/>
          </w:tcPr>
          <w:p w14:paraId="1E9F851B" w14:textId="77777777" w:rsidR="00F37CF9" w:rsidRPr="00DD47DF" w:rsidRDefault="00F37CF9" w:rsidP="00142A82">
            <w:pPr>
              <w:pStyle w:val="Tabulka"/>
              <w:jc w:val="left"/>
              <w:rPr>
                <w:rFonts w:cs="Calibri"/>
              </w:rPr>
            </w:pPr>
            <w:r w:rsidRPr="00DD47DF">
              <w:rPr>
                <w:rFonts w:cs="Calibri"/>
              </w:rPr>
              <w:t>Český statistický úřad</w:t>
            </w:r>
          </w:p>
        </w:tc>
      </w:tr>
      <w:tr w:rsidR="00F37CF9" w:rsidRPr="00DD47DF" w14:paraId="31F3EAF7" w14:textId="77777777">
        <w:tc>
          <w:tcPr>
            <w:tcW w:w="2376" w:type="dxa"/>
            <w:shd w:val="clear" w:color="auto" w:fill="auto"/>
          </w:tcPr>
          <w:p w14:paraId="7767D8A8" w14:textId="77777777" w:rsidR="00F37CF9" w:rsidRPr="00DD47DF" w:rsidRDefault="00F37CF9" w:rsidP="00142A82">
            <w:pPr>
              <w:pStyle w:val="Tabulka"/>
              <w:jc w:val="left"/>
              <w:rPr>
                <w:rFonts w:cs="Calibri"/>
              </w:rPr>
            </w:pPr>
            <w:r w:rsidRPr="00DD47DF">
              <w:rPr>
                <w:rFonts w:cs="Calibri"/>
              </w:rPr>
              <w:t>ČTÚ</w:t>
            </w:r>
          </w:p>
        </w:tc>
        <w:tc>
          <w:tcPr>
            <w:tcW w:w="6836" w:type="dxa"/>
            <w:shd w:val="clear" w:color="auto" w:fill="auto"/>
          </w:tcPr>
          <w:p w14:paraId="65EF8CA8" w14:textId="77777777" w:rsidR="00F37CF9" w:rsidRPr="00DD47DF" w:rsidRDefault="00F37CF9" w:rsidP="00142A82">
            <w:pPr>
              <w:pStyle w:val="Tabulka"/>
              <w:jc w:val="left"/>
              <w:rPr>
                <w:rFonts w:cs="Calibri"/>
              </w:rPr>
            </w:pPr>
            <w:r w:rsidRPr="00DD47DF">
              <w:rPr>
                <w:rFonts w:cs="Calibri"/>
              </w:rPr>
              <w:t>Český telekomunikační úřad</w:t>
            </w:r>
          </w:p>
        </w:tc>
      </w:tr>
      <w:tr w:rsidR="00F37CF9" w:rsidRPr="00DD47DF" w14:paraId="2F2DB7EE" w14:textId="77777777">
        <w:tc>
          <w:tcPr>
            <w:tcW w:w="2376" w:type="dxa"/>
            <w:shd w:val="clear" w:color="auto" w:fill="auto"/>
          </w:tcPr>
          <w:p w14:paraId="7589C8B7" w14:textId="77777777" w:rsidR="00F37CF9" w:rsidRPr="00DD47DF" w:rsidRDefault="00F37CF9" w:rsidP="00142A82">
            <w:pPr>
              <w:pStyle w:val="Tabulka"/>
              <w:jc w:val="left"/>
              <w:rPr>
                <w:rFonts w:cs="Calibri"/>
              </w:rPr>
            </w:pPr>
            <w:r w:rsidRPr="00DD47DF">
              <w:rPr>
                <w:rFonts w:cs="Calibri"/>
              </w:rPr>
              <w:t xml:space="preserve">DG ENERGY </w:t>
            </w:r>
          </w:p>
        </w:tc>
        <w:tc>
          <w:tcPr>
            <w:tcW w:w="6836" w:type="dxa"/>
            <w:shd w:val="clear" w:color="auto" w:fill="auto"/>
          </w:tcPr>
          <w:p w14:paraId="41E5FD28" w14:textId="77777777" w:rsidR="00F37CF9" w:rsidRPr="00DD47DF" w:rsidRDefault="00F37CF9" w:rsidP="00142A82">
            <w:pPr>
              <w:pStyle w:val="Tabulka"/>
              <w:jc w:val="left"/>
              <w:rPr>
                <w:rFonts w:cs="Calibri"/>
              </w:rPr>
            </w:pPr>
            <w:r w:rsidRPr="00DD47DF">
              <w:rPr>
                <w:rStyle w:val="st1"/>
                <w:szCs w:val="24"/>
              </w:rPr>
              <w:t>Generální ředitelství EK pro energetiku</w:t>
            </w:r>
          </w:p>
        </w:tc>
      </w:tr>
      <w:tr w:rsidR="00F37CF9" w:rsidRPr="00DD47DF" w14:paraId="36E1C0E8" w14:textId="77777777">
        <w:tc>
          <w:tcPr>
            <w:tcW w:w="2376" w:type="dxa"/>
            <w:shd w:val="clear" w:color="auto" w:fill="auto"/>
          </w:tcPr>
          <w:p w14:paraId="07F5FB7B" w14:textId="77777777" w:rsidR="00F37CF9" w:rsidRPr="00DD47DF" w:rsidRDefault="00F37CF9" w:rsidP="00142A82">
            <w:pPr>
              <w:pStyle w:val="Tabulka"/>
              <w:jc w:val="left"/>
              <w:rPr>
                <w:rFonts w:cs="Calibri"/>
              </w:rPr>
            </w:pPr>
            <w:r w:rsidRPr="00DD47DF">
              <w:rPr>
                <w:rFonts w:cs="Calibri"/>
              </w:rPr>
              <w:t>DG REGIO</w:t>
            </w:r>
          </w:p>
        </w:tc>
        <w:tc>
          <w:tcPr>
            <w:tcW w:w="6836" w:type="dxa"/>
            <w:shd w:val="clear" w:color="auto" w:fill="auto"/>
          </w:tcPr>
          <w:p w14:paraId="02BD653F" w14:textId="77777777" w:rsidR="00F37CF9" w:rsidRPr="00DD47DF" w:rsidRDefault="00F37CF9" w:rsidP="00142A82">
            <w:pPr>
              <w:pStyle w:val="Tabulka"/>
              <w:jc w:val="left"/>
              <w:rPr>
                <w:rFonts w:cs="Calibri"/>
              </w:rPr>
            </w:pPr>
            <w:r w:rsidRPr="00DD47DF">
              <w:rPr>
                <w:rStyle w:val="st1"/>
                <w:szCs w:val="24"/>
              </w:rPr>
              <w:t>Generální ředitelství EK pro regionální politiku</w:t>
            </w:r>
          </w:p>
        </w:tc>
      </w:tr>
      <w:tr w:rsidR="00F37CF9" w:rsidRPr="00DD47DF" w14:paraId="0DFEFF5D" w14:textId="77777777">
        <w:tc>
          <w:tcPr>
            <w:tcW w:w="2376" w:type="dxa"/>
            <w:shd w:val="clear" w:color="auto" w:fill="auto"/>
          </w:tcPr>
          <w:p w14:paraId="0DB265C5" w14:textId="77777777" w:rsidR="00F37CF9" w:rsidRPr="00DD47DF" w:rsidRDefault="00F37CF9" w:rsidP="00142A82">
            <w:pPr>
              <w:pStyle w:val="Tabulka"/>
              <w:jc w:val="left"/>
              <w:rPr>
                <w:rFonts w:cs="Calibri"/>
              </w:rPr>
            </w:pPr>
            <w:r w:rsidRPr="00DD47DF">
              <w:rPr>
                <w:rFonts w:cs="Calibri"/>
              </w:rPr>
              <w:t>DG RESEARCH</w:t>
            </w:r>
          </w:p>
        </w:tc>
        <w:tc>
          <w:tcPr>
            <w:tcW w:w="6836" w:type="dxa"/>
            <w:shd w:val="clear" w:color="auto" w:fill="auto"/>
          </w:tcPr>
          <w:p w14:paraId="0FF6E6C0" w14:textId="77777777" w:rsidR="00F37CF9" w:rsidRPr="00DD47DF" w:rsidRDefault="00F37CF9" w:rsidP="00142A82">
            <w:pPr>
              <w:pStyle w:val="Tabulka"/>
              <w:jc w:val="left"/>
              <w:rPr>
                <w:rFonts w:cs="Calibri"/>
              </w:rPr>
            </w:pPr>
            <w:r w:rsidRPr="00DD47DF">
              <w:rPr>
                <w:rStyle w:val="st1"/>
                <w:szCs w:val="24"/>
              </w:rPr>
              <w:t>Generální ředitelství EK pro výzkum</w:t>
            </w:r>
          </w:p>
        </w:tc>
      </w:tr>
      <w:tr w:rsidR="00253374" w:rsidRPr="00DD47DF" w14:paraId="2C4ECA72" w14:textId="77777777">
        <w:tc>
          <w:tcPr>
            <w:tcW w:w="2376" w:type="dxa"/>
            <w:shd w:val="clear" w:color="auto" w:fill="auto"/>
          </w:tcPr>
          <w:p w14:paraId="0A973B53" w14:textId="77777777" w:rsidR="00253374" w:rsidRPr="00DD47DF" w:rsidRDefault="00253374" w:rsidP="00142A82">
            <w:pPr>
              <w:pStyle w:val="Tabulka"/>
              <w:jc w:val="left"/>
              <w:rPr>
                <w:rFonts w:cs="Calibri"/>
              </w:rPr>
            </w:pPr>
            <w:r w:rsidRPr="00DD47DF">
              <w:rPr>
                <w:rFonts w:cs="Calibri"/>
              </w:rPr>
              <w:t>EaSI</w:t>
            </w:r>
          </w:p>
        </w:tc>
        <w:tc>
          <w:tcPr>
            <w:tcW w:w="6836" w:type="dxa"/>
            <w:shd w:val="clear" w:color="auto" w:fill="auto"/>
          </w:tcPr>
          <w:p w14:paraId="66CB9CE4" w14:textId="77777777" w:rsidR="00253374" w:rsidRPr="00DD47DF" w:rsidRDefault="00253374" w:rsidP="00142A82">
            <w:pPr>
              <w:pStyle w:val="Tabulka"/>
              <w:jc w:val="left"/>
              <w:rPr>
                <w:rStyle w:val="st1"/>
                <w:szCs w:val="24"/>
              </w:rPr>
            </w:pPr>
            <w:r w:rsidRPr="00DD47DF">
              <w:rPr>
                <w:rStyle w:val="st1"/>
                <w:szCs w:val="24"/>
              </w:rPr>
              <w:t>Program Evropské unie pro zaměstnanost a sociální inovace</w:t>
            </w:r>
          </w:p>
        </w:tc>
      </w:tr>
      <w:tr w:rsidR="00F37CF9" w:rsidRPr="00DD47DF" w14:paraId="3D390CB1" w14:textId="77777777">
        <w:tc>
          <w:tcPr>
            <w:tcW w:w="2376" w:type="dxa"/>
            <w:shd w:val="clear" w:color="auto" w:fill="auto"/>
          </w:tcPr>
          <w:p w14:paraId="65B9354E" w14:textId="77777777" w:rsidR="00F37CF9" w:rsidRPr="00DD47DF" w:rsidRDefault="00F37CF9" w:rsidP="00142A82">
            <w:pPr>
              <w:pStyle w:val="Tabulka"/>
              <w:jc w:val="left"/>
              <w:rPr>
                <w:rFonts w:cs="Calibri"/>
              </w:rPr>
            </w:pPr>
            <w:r w:rsidRPr="00DD47DF">
              <w:rPr>
                <w:rFonts w:cs="Calibri"/>
              </w:rPr>
              <w:t>EFRR</w:t>
            </w:r>
          </w:p>
        </w:tc>
        <w:tc>
          <w:tcPr>
            <w:tcW w:w="6836" w:type="dxa"/>
            <w:shd w:val="clear" w:color="auto" w:fill="auto"/>
          </w:tcPr>
          <w:p w14:paraId="0D3ECC87" w14:textId="77777777" w:rsidR="00F37CF9" w:rsidRPr="00DD47DF" w:rsidRDefault="00F37CF9" w:rsidP="00142A82">
            <w:pPr>
              <w:pStyle w:val="Tabulka"/>
              <w:jc w:val="left"/>
              <w:rPr>
                <w:rFonts w:cs="Calibri"/>
              </w:rPr>
            </w:pPr>
            <w:r w:rsidRPr="00DD47DF">
              <w:rPr>
                <w:rFonts w:cs="Calibri"/>
              </w:rPr>
              <w:t>Evropský fond pro regionální rozvoj</w:t>
            </w:r>
          </w:p>
        </w:tc>
      </w:tr>
      <w:tr w:rsidR="00F37CF9" w:rsidRPr="00DD47DF" w14:paraId="5FC66E14" w14:textId="77777777">
        <w:tc>
          <w:tcPr>
            <w:tcW w:w="2376" w:type="dxa"/>
            <w:shd w:val="clear" w:color="auto" w:fill="auto"/>
          </w:tcPr>
          <w:p w14:paraId="50A8BE3D" w14:textId="77777777" w:rsidR="00F37CF9" w:rsidRPr="00DD47DF" w:rsidRDefault="00F37CF9" w:rsidP="00142A82">
            <w:pPr>
              <w:pStyle w:val="Tabulka"/>
              <w:jc w:val="left"/>
              <w:rPr>
                <w:rFonts w:cs="Calibri"/>
              </w:rPr>
            </w:pPr>
            <w:r w:rsidRPr="00DD47DF">
              <w:rPr>
                <w:rFonts w:cs="Calibri"/>
              </w:rPr>
              <w:t>EIA</w:t>
            </w:r>
          </w:p>
        </w:tc>
        <w:tc>
          <w:tcPr>
            <w:tcW w:w="6836" w:type="dxa"/>
            <w:shd w:val="clear" w:color="auto" w:fill="auto"/>
          </w:tcPr>
          <w:p w14:paraId="7496FF20" w14:textId="77777777" w:rsidR="00F37CF9" w:rsidRPr="00DD47DF" w:rsidRDefault="00F37CF9" w:rsidP="00142A82">
            <w:pPr>
              <w:pStyle w:val="Tabulka"/>
              <w:jc w:val="left"/>
              <w:rPr>
                <w:rFonts w:cs="Calibri"/>
              </w:rPr>
            </w:pPr>
            <w:r w:rsidRPr="00DD47DF">
              <w:rPr>
                <w:rFonts w:cs="Calibri"/>
              </w:rPr>
              <w:t>Posuzování vlivů záměru na životní prostředí</w:t>
            </w:r>
          </w:p>
        </w:tc>
      </w:tr>
      <w:tr w:rsidR="00F37CF9" w:rsidRPr="00DD47DF" w14:paraId="51AA4D9A" w14:textId="77777777">
        <w:tc>
          <w:tcPr>
            <w:tcW w:w="2376" w:type="dxa"/>
            <w:shd w:val="clear" w:color="auto" w:fill="auto"/>
          </w:tcPr>
          <w:p w14:paraId="5A79CE0E" w14:textId="77777777" w:rsidR="00F37CF9" w:rsidRPr="00DD47DF" w:rsidRDefault="00F37CF9" w:rsidP="00142A82">
            <w:pPr>
              <w:pStyle w:val="Tabulka"/>
              <w:jc w:val="left"/>
              <w:rPr>
                <w:rFonts w:cs="Calibri"/>
              </w:rPr>
            </w:pPr>
            <w:r w:rsidRPr="00DD47DF">
              <w:rPr>
                <w:rFonts w:cs="Calibri"/>
              </w:rPr>
              <w:t>EK</w:t>
            </w:r>
          </w:p>
        </w:tc>
        <w:tc>
          <w:tcPr>
            <w:tcW w:w="6836" w:type="dxa"/>
            <w:shd w:val="clear" w:color="auto" w:fill="auto"/>
          </w:tcPr>
          <w:p w14:paraId="0DE2D24B" w14:textId="77777777" w:rsidR="00F37CF9" w:rsidRPr="00DD47DF" w:rsidRDefault="00F37CF9" w:rsidP="00142A82">
            <w:pPr>
              <w:pStyle w:val="Tabulka"/>
              <w:jc w:val="left"/>
              <w:rPr>
                <w:rFonts w:cs="Calibri"/>
              </w:rPr>
            </w:pPr>
            <w:r w:rsidRPr="00DD47DF">
              <w:rPr>
                <w:rFonts w:cs="Calibri"/>
              </w:rPr>
              <w:t>Evropská komise</w:t>
            </w:r>
          </w:p>
        </w:tc>
      </w:tr>
      <w:tr w:rsidR="00F37CF9" w:rsidRPr="00DD47DF" w14:paraId="3DFADC50" w14:textId="77777777">
        <w:tc>
          <w:tcPr>
            <w:tcW w:w="2376" w:type="dxa"/>
            <w:shd w:val="clear" w:color="auto" w:fill="auto"/>
          </w:tcPr>
          <w:p w14:paraId="0D6FFC4B" w14:textId="77777777" w:rsidR="00F37CF9" w:rsidRPr="00DD47DF" w:rsidRDefault="00F37CF9" w:rsidP="00142A82">
            <w:pPr>
              <w:pStyle w:val="Tabulka"/>
              <w:jc w:val="left"/>
              <w:rPr>
                <w:rFonts w:cs="Calibri"/>
              </w:rPr>
            </w:pPr>
            <w:r w:rsidRPr="00DD47DF">
              <w:rPr>
                <w:rFonts w:cs="Calibri"/>
              </w:rPr>
              <w:t>EMFF</w:t>
            </w:r>
          </w:p>
        </w:tc>
        <w:tc>
          <w:tcPr>
            <w:tcW w:w="6836" w:type="dxa"/>
            <w:shd w:val="clear" w:color="auto" w:fill="auto"/>
          </w:tcPr>
          <w:p w14:paraId="1C2E7994" w14:textId="77777777" w:rsidR="00F37CF9" w:rsidRPr="00DD47DF" w:rsidRDefault="00F37CF9" w:rsidP="00142A82">
            <w:pPr>
              <w:pStyle w:val="Tabulka"/>
              <w:jc w:val="left"/>
              <w:rPr>
                <w:rFonts w:cs="Calibri"/>
              </w:rPr>
            </w:pPr>
            <w:r w:rsidRPr="00DD47DF">
              <w:rPr>
                <w:rFonts w:cs="Calibri"/>
              </w:rPr>
              <w:t>Evropský námořní a rybářské fond</w:t>
            </w:r>
          </w:p>
        </w:tc>
      </w:tr>
      <w:tr w:rsidR="00DA544B" w:rsidRPr="00DD47DF" w14:paraId="0BB33B3D" w14:textId="77777777">
        <w:tc>
          <w:tcPr>
            <w:tcW w:w="2376" w:type="dxa"/>
            <w:shd w:val="clear" w:color="auto" w:fill="auto"/>
          </w:tcPr>
          <w:p w14:paraId="5BE2AFB8" w14:textId="77777777" w:rsidR="00DA544B" w:rsidRPr="00DD47DF" w:rsidRDefault="00DA544B" w:rsidP="00142A82">
            <w:pPr>
              <w:pStyle w:val="Tabulka"/>
              <w:jc w:val="left"/>
              <w:rPr>
                <w:rFonts w:cs="Calibri"/>
              </w:rPr>
            </w:pPr>
            <w:r w:rsidRPr="00DD47DF">
              <w:rPr>
                <w:rFonts w:cs="Calibri"/>
              </w:rPr>
              <w:t>ERÚ</w:t>
            </w:r>
          </w:p>
        </w:tc>
        <w:tc>
          <w:tcPr>
            <w:tcW w:w="6836" w:type="dxa"/>
            <w:shd w:val="clear" w:color="auto" w:fill="auto"/>
          </w:tcPr>
          <w:p w14:paraId="227C0AB3" w14:textId="77777777" w:rsidR="00DA544B" w:rsidRPr="00DD47DF" w:rsidRDefault="00DA544B" w:rsidP="00142A82">
            <w:pPr>
              <w:pStyle w:val="Tabulka"/>
              <w:jc w:val="left"/>
              <w:rPr>
                <w:rFonts w:cs="Calibri"/>
              </w:rPr>
            </w:pPr>
            <w:r w:rsidRPr="00DD47DF">
              <w:rPr>
                <w:rFonts w:cs="Calibri"/>
              </w:rPr>
              <w:t>Energetický regulační úřad</w:t>
            </w:r>
          </w:p>
        </w:tc>
      </w:tr>
      <w:tr w:rsidR="00F37CF9" w:rsidRPr="00DD47DF" w14:paraId="2F2B20E3" w14:textId="77777777">
        <w:tc>
          <w:tcPr>
            <w:tcW w:w="2376" w:type="dxa"/>
            <w:shd w:val="clear" w:color="auto" w:fill="auto"/>
          </w:tcPr>
          <w:p w14:paraId="75F44E33" w14:textId="77777777" w:rsidR="00F37CF9" w:rsidRPr="00DD47DF" w:rsidRDefault="00F37CF9" w:rsidP="00142A82">
            <w:pPr>
              <w:pStyle w:val="Tabulka"/>
              <w:jc w:val="left"/>
              <w:rPr>
                <w:rFonts w:cs="Calibri"/>
              </w:rPr>
            </w:pPr>
            <w:r w:rsidRPr="00DD47DF">
              <w:rPr>
                <w:rFonts w:cs="Calibri"/>
              </w:rPr>
              <w:t>ESF</w:t>
            </w:r>
          </w:p>
        </w:tc>
        <w:tc>
          <w:tcPr>
            <w:tcW w:w="6836" w:type="dxa"/>
            <w:shd w:val="clear" w:color="auto" w:fill="auto"/>
          </w:tcPr>
          <w:p w14:paraId="3868FFD3" w14:textId="77777777" w:rsidR="00F37CF9" w:rsidRPr="00DD47DF" w:rsidRDefault="00F37CF9" w:rsidP="00142A82">
            <w:pPr>
              <w:pStyle w:val="Tabulka"/>
              <w:jc w:val="left"/>
              <w:rPr>
                <w:rFonts w:cs="Calibri"/>
              </w:rPr>
            </w:pPr>
            <w:r w:rsidRPr="00DD47DF">
              <w:rPr>
                <w:rFonts w:cs="Calibri"/>
              </w:rPr>
              <w:t>Evropský sociální fond</w:t>
            </w:r>
          </w:p>
        </w:tc>
      </w:tr>
      <w:tr w:rsidR="00F37CF9" w:rsidRPr="00DD47DF" w14:paraId="6DCFC3A8" w14:textId="77777777">
        <w:tc>
          <w:tcPr>
            <w:tcW w:w="2376" w:type="dxa"/>
            <w:shd w:val="clear" w:color="auto" w:fill="auto"/>
          </w:tcPr>
          <w:p w14:paraId="24997923" w14:textId="77777777" w:rsidR="00F37CF9" w:rsidRPr="00DD47DF" w:rsidRDefault="00F37CF9" w:rsidP="00142A82">
            <w:pPr>
              <w:pStyle w:val="Tabulka"/>
              <w:jc w:val="left"/>
              <w:rPr>
                <w:rFonts w:cs="Calibri"/>
              </w:rPr>
            </w:pPr>
            <w:r w:rsidRPr="00DD47DF">
              <w:rPr>
                <w:rFonts w:cs="Calibri"/>
              </w:rPr>
              <w:t>ESIF / fondy ESI</w:t>
            </w:r>
          </w:p>
        </w:tc>
        <w:tc>
          <w:tcPr>
            <w:tcW w:w="6836" w:type="dxa"/>
            <w:shd w:val="clear" w:color="auto" w:fill="auto"/>
          </w:tcPr>
          <w:p w14:paraId="2EC8F0EF" w14:textId="77777777" w:rsidR="00F37CF9" w:rsidRPr="00DD47DF" w:rsidRDefault="00F37CF9" w:rsidP="00142A82">
            <w:pPr>
              <w:pStyle w:val="Tabulka"/>
              <w:jc w:val="left"/>
              <w:rPr>
                <w:rFonts w:cs="Calibri"/>
              </w:rPr>
            </w:pPr>
            <w:r w:rsidRPr="00DD47DF">
              <w:rPr>
                <w:rFonts w:cs="Calibri"/>
              </w:rPr>
              <w:t>Evropské strukturální a investiční fondy</w:t>
            </w:r>
          </w:p>
        </w:tc>
      </w:tr>
      <w:tr w:rsidR="00F37CF9" w:rsidRPr="00DD47DF" w14:paraId="1BAE028B" w14:textId="77777777">
        <w:tc>
          <w:tcPr>
            <w:tcW w:w="2376" w:type="dxa"/>
            <w:shd w:val="clear" w:color="auto" w:fill="auto"/>
          </w:tcPr>
          <w:p w14:paraId="56920522" w14:textId="77777777" w:rsidR="00F37CF9" w:rsidRPr="00DD47DF" w:rsidRDefault="00F37CF9" w:rsidP="00142A82">
            <w:pPr>
              <w:pStyle w:val="Tabulka"/>
              <w:jc w:val="left"/>
              <w:rPr>
                <w:rFonts w:cs="Calibri"/>
              </w:rPr>
            </w:pPr>
            <w:r w:rsidRPr="00DD47DF">
              <w:rPr>
                <w:rFonts w:cs="Calibri"/>
              </w:rPr>
              <w:t>EU</w:t>
            </w:r>
          </w:p>
        </w:tc>
        <w:tc>
          <w:tcPr>
            <w:tcW w:w="6836" w:type="dxa"/>
            <w:shd w:val="clear" w:color="auto" w:fill="auto"/>
          </w:tcPr>
          <w:p w14:paraId="3ADBC1FE" w14:textId="77777777" w:rsidR="00F37CF9" w:rsidRPr="00DD47DF" w:rsidRDefault="00F37CF9" w:rsidP="00142A82">
            <w:pPr>
              <w:pStyle w:val="Tabulka"/>
              <w:jc w:val="left"/>
              <w:rPr>
                <w:rFonts w:cs="Calibri"/>
              </w:rPr>
            </w:pPr>
            <w:r w:rsidRPr="00DD47DF">
              <w:rPr>
                <w:rFonts w:cs="Calibri"/>
              </w:rPr>
              <w:t>Evropská unie</w:t>
            </w:r>
          </w:p>
        </w:tc>
      </w:tr>
      <w:tr w:rsidR="00F37CF9" w:rsidRPr="00DD47DF" w14:paraId="45D9EACC" w14:textId="77777777">
        <w:tc>
          <w:tcPr>
            <w:tcW w:w="2376" w:type="dxa"/>
            <w:shd w:val="clear" w:color="auto" w:fill="auto"/>
          </w:tcPr>
          <w:p w14:paraId="7DA45D18" w14:textId="77777777" w:rsidR="00F37CF9" w:rsidRPr="00DD47DF" w:rsidRDefault="00F37CF9" w:rsidP="00142A82">
            <w:pPr>
              <w:pStyle w:val="Tabulka"/>
              <w:jc w:val="left"/>
              <w:rPr>
                <w:rFonts w:cs="Calibri"/>
              </w:rPr>
            </w:pPr>
            <w:r w:rsidRPr="00DD47DF">
              <w:rPr>
                <w:rFonts w:cs="Calibri"/>
              </w:rPr>
              <w:t>EZFRV</w:t>
            </w:r>
          </w:p>
        </w:tc>
        <w:tc>
          <w:tcPr>
            <w:tcW w:w="6836" w:type="dxa"/>
            <w:shd w:val="clear" w:color="auto" w:fill="auto"/>
          </w:tcPr>
          <w:p w14:paraId="25945051" w14:textId="77777777" w:rsidR="00F37CF9" w:rsidRPr="00DD47DF" w:rsidRDefault="00F37CF9" w:rsidP="00142A82">
            <w:pPr>
              <w:pStyle w:val="Tabulka"/>
              <w:jc w:val="left"/>
              <w:rPr>
                <w:rFonts w:cs="Calibri"/>
              </w:rPr>
            </w:pPr>
            <w:r w:rsidRPr="00DD47DF">
              <w:rPr>
                <w:rFonts w:cs="Calibri"/>
              </w:rPr>
              <w:t>Evropský zemědělský fondu pro rozvoj venkova</w:t>
            </w:r>
          </w:p>
        </w:tc>
      </w:tr>
      <w:tr w:rsidR="00F37CF9" w:rsidRPr="00DD47DF" w14:paraId="3FB880A8" w14:textId="77777777">
        <w:tc>
          <w:tcPr>
            <w:tcW w:w="2376" w:type="dxa"/>
            <w:shd w:val="clear" w:color="auto" w:fill="auto"/>
          </w:tcPr>
          <w:p w14:paraId="541176DD" w14:textId="77777777" w:rsidR="00F37CF9" w:rsidRPr="00DD47DF" w:rsidRDefault="00F37CF9" w:rsidP="00142A82">
            <w:pPr>
              <w:pStyle w:val="Tabulka"/>
              <w:jc w:val="left"/>
              <w:rPr>
                <w:rFonts w:cs="Calibri"/>
              </w:rPr>
            </w:pPr>
            <w:r w:rsidRPr="00DD47DF">
              <w:rPr>
                <w:rFonts w:cs="Calibri"/>
              </w:rPr>
              <w:t>FET</w:t>
            </w:r>
          </w:p>
        </w:tc>
        <w:tc>
          <w:tcPr>
            <w:tcW w:w="6836" w:type="dxa"/>
            <w:shd w:val="clear" w:color="auto" w:fill="auto"/>
          </w:tcPr>
          <w:p w14:paraId="3D09E58F" w14:textId="77777777" w:rsidR="00F37CF9" w:rsidRPr="00DD47DF" w:rsidRDefault="00F37CF9" w:rsidP="00142A82">
            <w:pPr>
              <w:pStyle w:val="Tabulka"/>
              <w:jc w:val="left"/>
              <w:rPr>
                <w:rFonts w:cs="Calibri"/>
              </w:rPr>
            </w:pPr>
            <w:r w:rsidRPr="00DD47DF">
              <w:rPr>
                <w:rStyle w:val="Zdraznn"/>
                <w:b w:val="0"/>
                <w:szCs w:val="24"/>
              </w:rPr>
              <w:t>Budoucí</w:t>
            </w:r>
            <w:r w:rsidRPr="00DD47DF">
              <w:rPr>
                <w:rStyle w:val="st1"/>
                <w:szCs w:val="24"/>
              </w:rPr>
              <w:t xml:space="preserve"> a vznikající </w:t>
            </w:r>
            <w:r w:rsidRPr="00DD47DF">
              <w:rPr>
                <w:rStyle w:val="Zdraznn"/>
                <w:b w:val="0"/>
                <w:szCs w:val="24"/>
              </w:rPr>
              <w:t>technologie</w:t>
            </w:r>
          </w:p>
        </w:tc>
      </w:tr>
      <w:tr w:rsidR="00343596" w:rsidRPr="00DD47DF" w14:paraId="6FA34B2B" w14:textId="77777777">
        <w:tc>
          <w:tcPr>
            <w:tcW w:w="2376" w:type="dxa"/>
            <w:shd w:val="clear" w:color="auto" w:fill="auto"/>
          </w:tcPr>
          <w:p w14:paraId="31339720" w14:textId="66879EEA" w:rsidR="00343596" w:rsidRPr="00DD47DF" w:rsidRDefault="00343596" w:rsidP="00142A82">
            <w:pPr>
              <w:pStyle w:val="Tabulka"/>
              <w:jc w:val="left"/>
              <w:rPr>
                <w:rFonts w:cs="Calibri"/>
              </w:rPr>
            </w:pPr>
            <w:r>
              <w:rPr>
                <w:rFonts w:cs="Calibri"/>
              </w:rPr>
              <w:t>FN</w:t>
            </w:r>
          </w:p>
        </w:tc>
        <w:tc>
          <w:tcPr>
            <w:tcW w:w="6836" w:type="dxa"/>
            <w:shd w:val="clear" w:color="auto" w:fill="auto"/>
          </w:tcPr>
          <w:p w14:paraId="23397DFE" w14:textId="7BE85F3B" w:rsidR="00343596" w:rsidRPr="00DD47DF" w:rsidRDefault="00343596" w:rsidP="00142A82">
            <w:pPr>
              <w:pStyle w:val="Tabulka"/>
              <w:jc w:val="left"/>
              <w:rPr>
                <w:rStyle w:val="Zdraznn"/>
                <w:b w:val="0"/>
                <w:szCs w:val="24"/>
              </w:rPr>
            </w:pPr>
            <w:r>
              <w:rPr>
                <w:rStyle w:val="Zdraznn"/>
                <w:b w:val="0"/>
                <w:szCs w:val="24"/>
              </w:rPr>
              <w:t>Finanční nástroj</w:t>
            </w:r>
          </w:p>
        </w:tc>
      </w:tr>
      <w:tr w:rsidR="00F37CF9" w:rsidRPr="00DD47DF" w14:paraId="13F04CD7" w14:textId="77777777">
        <w:tc>
          <w:tcPr>
            <w:tcW w:w="2376" w:type="dxa"/>
            <w:shd w:val="clear" w:color="auto" w:fill="auto"/>
          </w:tcPr>
          <w:p w14:paraId="242C817A" w14:textId="77777777" w:rsidR="00F37CF9" w:rsidRPr="00DD47DF" w:rsidRDefault="00F37CF9" w:rsidP="00142A82">
            <w:pPr>
              <w:pStyle w:val="Tabulka"/>
              <w:jc w:val="left"/>
              <w:rPr>
                <w:rFonts w:cs="Calibri"/>
              </w:rPr>
            </w:pPr>
            <w:r w:rsidRPr="00DD47DF">
              <w:rPr>
                <w:rFonts w:cs="Calibri"/>
              </w:rPr>
              <w:t>FS</w:t>
            </w:r>
          </w:p>
        </w:tc>
        <w:tc>
          <w:tcPr>
            <w:tcW w:w="6836" w:type="dxa"/>
            <w:shd w:val="clear" w:color="auto" w:fill="auto"/>
          </w:tcPr>
          <w:p w14:paraId="5A6FF3FE" w14:textId="77777777" w:rsidR="00F37CF9" w:rsidRPr="00DD47DF" w:rsidRDefault="00F37CF9" w:rsidP="00142A82">
            <w:pPr>
              <w:pStyle w:val="Tabulka"/>
              <w:jc w:val="left"/>
              <w:rPr>
                <w:rFonts w:cs="Calibri"/>
              </w:rPr>
            </w:pPr>
            <w:r w:rsidRPr="00DD47DF">
              <w:rPr>
                <w:rFonts w:cs="Calibri"/>
              </w:rPr>
              <w:t>Fond soudržnosti</w:t>
            </w:r>
          </w:p>
        </w:tc>
      </w:tr>
      <w:tr w:rsidR="00F37CF9" w:rsidRPr="00DD47DF" w14:paraId="7B6FC430" w14:textId="77777777">
        <w:tc>
          <w:tcPr>
            <w:tcW w:w="2376" w:type="dxa"/>
            <w:shd w:val="clear" w:color="auto" w:fill="auto"/>
          </w:tcPr>
          <w:p w14:paraId="04C0875C" w14:textId="77777777" w:rsidR="00F37CF9" w:rsidRPr="00DD47DF" w:rsidRDefault="00F37CF9" w:rsidP="00142A82">
            <w:pPr>
              <w:pStyle w:val="Tabulka"/>
              <w:jc w:val="left"/>
              <w:rPr>
                <w:rFonts w:cs="Calibri"/>
              </w:rPr>
            </w:pPr>
            <w:r w:rsidRPr="00DD47DF">
              <w:rPr>
                <w:rFonts w:cs="Calibri"/>
              </w:rPr>
              <w:t>ICT / IKT</w:t>
            </w:r>
          </w:p>
        </w:tc>
        <w:tc>
          <w:tcPr>
            <w:tcW w:w="6836" w:type="dxa"/>
            <w:shd w:val="clear" w:color="auto" w:fill="auto"/>
          </w:tcPr>
          <w:p w14:paraId="69159130" w14:textId="77777777" w:rsidR="00F37CF9" w:rsidRPr="00DD47DF" w:rsidRDefault="00F37CF9" w:rsidP="00142A82">
            <w:pPr>
              <w:pStyle w:val="Tabulka"/>
              <w:jc w:val="left"/>
              <w:rPr>
                <w:rFonts w:cs="Calibri"/>
              </w:rPr>
            </w:pPr>
            <w:r w:rsidRPr="00DD47DF">
              <w:rPr>
                <w:rFonts w:cs="Calibri"/>
              </w:rPr>
              <w:t>Informační a komunikační technologie</w:t>
            </w:r>
          </w:p>
        </w:tc>
      </w:tr>
      <w:tr w:rsidR="00F37CF9" w:rsidRPr="00DD47DF" w14:paraId="4A40FD19" w14:textId="77777777">
        <w:tc>
          <w:tcPr>
            <w:tcW w:w="2376" w:type="dxa"/>
            <w:shd w:val="clear" w:color="auto" w:fill="auto"/>
          </w:tcPr>
          <w:p w14:paraId="09C658E8" w14:textId="77777777" w:rsidR="00F37CF9" w:rsidRPr="00DD47DF" w:rsidRDefault="00F37CF9" w:rsidP="00142A82">
            <w:pPr>
              <w:pStyle w:val="Tabulka"/>
              <w:jc w:val="left"/>
              <w:rPr>
                <w:rFonts w:cs="Calibri"/>
              </w:rPr>
            </w:pPr>
            <w:r w:rsidRPr="00DD47DF">
              <w:rPr>
                <w:rFonts w:cs="Calibri"/>
              </w:rPr>
              <w:t>IP</w:t>
            </w:r>
          </w:p>
        </w:tc>
        <w:tc>
          <w:tcPr>
            <w:tcW w:w="6836" w:type="dxa"/>
            <w:shd w:val="clear" w:color="auto" w:fill="auto"/>
          </w:tcPr>
          <w:p w14:paraId="194D6C50" w14:textId="77777777" w:rsidR="00F37CF9" w:rsidRPr="00DD47DF" w:rsidRDefault="00F37CF9" w:rsidP="00142A82">
            <w:pPr>
              <w:pStyle w:val="Tabulka"/>
              <w:jc w:val="left"/>
              <w:rPr>
                <w:rFonts w:cs="Calibri"/>
              </w:rPr>
            </w:pPr>
            <w:r w:rsidRPr="00DD47DF">
              <w:rPr>
                <w:rFonts w:cs="Calibri"/>
              </w:rPr>
              <w:t>Investiční priorita</w:t>
            </w:r>
          </w:p>
        </w:tc>
      </w:tr>
      <w:tr w:rsidR="00F37CF9" w:rsidRPr="00DD47DF" w14:paraId="48DCE71B" w14:textId="77777777">
        <w:tc>
          <w:tcPr>
            <w:tcW w:w="2376" w:type="dxa"/>
            <w:shd w:val="clear" w:color="auto" w:fill="auto"/>
          </w:tcPr>
          <w:p w14:paraId="3A3A7F39" w14:textId="77777777" w:rsidR="00F37CF9" w:rsidRPr="00DD47DF" w:rsidRDefault="00F37CF9" w:rsidP="00142A82">
            <w:pPr>
              <w:pStyle w:val="Tabulka"/>
              <w:jc w:val="left"/>
              <w:rPr>
                <w:rFonts w:cs="Calibri"/>
              </w:rPr>
            </w:pPr>
            <w:r w:rsidRPr="00DD47DF">
              <w:rPr>
                <w:rFonts w:cs="Calibri"/>
              </w:rPr>
              <w:t>IROP</w:t>
            </w:r>
          </w:p>
        </w:tc>
        <w:tc>
          <w:tcPr>
            <w:tcW w:w="6836" w:type="dxa"/>
            <w:shd w:val="clear" w:color="auto" w:fill="auto"/>
          </w:tcPr>
          <w:p w14:paraId="712F910F" w14:textId="77777777" w:rsidR="00F37CF9" w:rsidRPr="00DD47DF" w:rsidRDefault="00F37CF9" w:rsidP="00142A82">
            <w:pPr>
              <w:pStyle w:val="Tabulka"/>
              <w:jc w:val="left"/>
              <w:rPr>
                <w:rFonts w:cs="Calibri"/>
              </w:rPr>
            </w:pPr>
            <w:r w:rsidRPr="00DD47DF">
              <w:rPr>
                <w:rFonts w:cs="Calibri"/>
              </w:rPr>
              <w:t>Integrovaný regionální operační program</w:t>
            </w:r>
          </w:p>
        </w:tc>
      </w:tr>
      <w:tr w:rsidR="00A841AE" w:rsidRPr="00DD47DF" w14:paraId="373C8DC0" w14:textId="77777777">
        <w:tc>
          <w:tcPr>
            <w:tcW w:w="2376" w:type="dxa"/>
            <w:shd w:val="clear" w:color="auto" w:fill="auto"/>
          </w:tcPr>
          <w:p w14:paraId="5D9ADDFC" w14:textId="77777777" w:rsidR="00A841AE" w:rsidRPr="00DD47DF" w:rsidRDefault="00A841AE" w:rsidP="00142A82">
            <w:pPr>
              <w:pStyle w:val="Tabulka"/>
              <w:jc w:val="left"/>
              <w:rPr>
                <w:rFonts w:cs="Calibri"/>
              </w:rPr>
            </w:pPr>
            <w:r w:rsidRPr="00DD47DF">
              <w:rPr>
                <w:rFonts w:cs="Calibri"/>
              </w:rPr>
              <w:t>IS</w:t>
            </w:r>
          </w:p>
        </w:tc>
        <w:tc>
          <w:tcPr>
            <w:tcW w:w="6836" w:type="dxa"/>
            <w:shd w:val="clear" w:color="auto" w:fill="auto"/>
          </w:tcPr>
          <w:p w14:paraId="1942EAF6" w14:textId="77777777" w:rsidR="00A841AE" w:rsidRPr="00DD47DF" w:rsidRDefault="00A841AE" w:rsidP="00142A82">
            <w:pPr>
              <w:pStyle w:val="Tabulka"/>
              <w:jc w:val="left"/>
              <w:rPr>
                <w:rFonts w:cs="Calibri"/>
              </w:rPr>
            </w:pPr>
            <w:r w:rsidRPr="00DD47DF">
              <w:rPr>
                <w:rFonts w:cs="Calibri"/>
              </w:rPr>
              <w:t>Implementační struktura</w:t>
            </w:r>
          </w:p>
        </w:tc>
      </w:tr>
      <w:tr w:rsidR="00F37CF9" w:rsidRPr="00DD47DF" w14:paraId="04D78C09" w14:textId="77777777">
        <w:tc>
          <w:tcPr>
            <w:tcW w:w="2376" w:type="dxa"/>
            <w:shd w:val="clear" w:color="auto" w:fill="auto"/>
          </w:tcPr>
          <w:p w14:paraId="2916C2F0" w14:textId="77777777" w:rsidR="00F37CF9" w:rsidRPr="00DD47DF" w:rsidRDefault="00F37CF9" w:rsidP="00142A82">
            <w:pPr>
              <w:pStyle w:val="Tabulka"/>
              <w:jc w:val="left"/>
              <w:rPr>
                <w:rFonts w:cs="Calibri"/>
              </w:rPr>
            </w:pPr>
            <w:r w:rsidRPr="00DD47DF">
              <w:rPr>
                <w:rFonts w:cs="Calibri"/>
              </w:rPr>
              <w:t>IT</w:t>
            </w:r>
          </w:p>
        </w:tc>
        <w:tc>
          <w:tcPr>
            <w:tcW w:w="6836" w:type="dxa"/>
            <w:shd w:val="clear" w:color="auto" w:fill="auto"/>
          </w:tcPr>
          <w:p w14:paraId="69412FE6" w14:textId="77777777" w:rsidR="00F37CF9" w:rsidRPr="00DD47DF" w:rsidRDefault="00F37CF9" w:rsidP="00142A82">
            <w:pPr>
              <w:pStyle w:val="Tabulka"/>
              <w:jc w:val="left"/>
              <w:rPr>
                <w:rFonts w:cs="Calibri"/>
              </w:rPr>
            </w:pPr>
            <w:r w:rsidRPr="00DD47DF">
              <w:rPr>
                <w:rFonts w:cs="Calibri"/>
              </w:rPr>
              <w:t>Informační technologie</w:t>
            </w:r>
          </w:p>
        </w:tc>
      </w:tr>
      <w:tr w:rsidR="00F37CF9" w:rsidRPr="00DD47DF" w14:paraId="00C1D4D7" w14:textId="77777777">
        <w:tc>
          <w:tcPr>
            <w:tcW w:w="2376" w:type="dxa"/>
            <w:shd w:val="clear" w:color="auto" w:fill="auto"/>
          </w:tcPr>
          <w:p w14:paraId="5C23E3F3" w14:textId="77777777" w:rsidR="00F37CF9" w:rsidRPr="00DD47DF" w:rsidRDefault="00F37CF9" w:rsidP="00142A82">
            <w:pPr>
              <w:pStyle w:val="Tabulka"/>
              <w:jc w:val="left"/>
              <w:rPr>
                <w:rFonts w:cs="Calibri"/>
              </w:rPr>
            </w:pPr>
            <w:r w:rsidRPr="00DD47DF">
              <w:rPr>
                <w:rFonts w:cs="Calibri"/>
              </w:rPr>
              <w:t>ITI</w:t>
            </w:r>
          </w:p>
        </w:tc>
        <w:tc>
          <w:tcPr>
            <w:tcW w:w="6836" w:type="dxa"/>
            <w:shd w:val="clear" w:color="auto" w:fill="auto"/>
          </w:tcPr>
          <w:p w14:paraId="67ECC155" w14:textId="77777777" w:rsidR="00F37CF9" w:rsidRPr="00DD47DF" w:rsidRDefault="00F37CF9" w:rsidP="00142A82">
            <w:pPr>
              <w:pStyle w:val="Tabulka"/>
              <w:jc w:val="left"/>
              <w:rPr>
                <w:rFonts w:cs="Calibri"/>
              </w:rPr>
            </w:pPr>
            <w:r w:rsidRPr="00DD47DF">
              <w:rPr>
                <w:rFonts w:cs="Calibri"/>
              </w:rPr>
              <w:t>Integrované územní investice</w:t>
            </w:r>
          </w:p>
        </w:tc>
      </w:tr>
      <w:tr w:rsidR="00F37CF9" w:rsidRPr="00DD47DF" w14:paraId="20C80352" w14:textId="77777777">
        <w:tc>
          <w:tcPr>
            <w:tcW w:w="2376" w:type="dxa"/>
            <w:shd w:val="clear" w:color="auto" w:fill="auto"/>
          </w:tcPr>
          <w:p w14:paraId="270EF25B" w14:textId="77777777" w:rsidR="00F37CF9" w:rsidRPr="00DD47DF" w:rsidRDefault="00F37CF9" w:rsidP="00142A82">
            <w:pPr>
              <w:pStyle w:val="Tabulka"/>
              <w:jc w:val="left"/>
              <w:rPr>
                <w:rFonts w:cs="Calibri"/>
              </w:rPr>
            </w:pPr>
            <w:r w:rsidRPr="00DD47DF">
              <w:rPr>
                <w:rFonts w:cs="Calibri"/>
              </w:rPr>
              <w:t>KETs</w:t>
            </w:r>
          </w:p>
        </w:tc>
        <w:tc>
          <w:tcPr>
            <w:tcW w:w="6836" w:type="dxa"/>
            <w:shd w:val="clear" w:color="auto" w:fill="auto"/>
          </w:tcPr>
          <w:p w14:paraId="03745405" w14:textId="77777777" w:rsidR="00F37CF9" w:rsidRPr="00DD47DF" w:rsidRDefault="00F37CF9" w:rsidP="00142A82">
            <w:pPr>
              <w:pStyle w:val="Tabulka"/>
              <w:jc w:val="left"/>
              <w:rPr>
                <w:rFonts w:cs="Calibri"/>
              </w:rPr>
            </w:pPr>
            <w:r w:rsidRPr="00DD47DF">
              <w:rPr>
                <w:rFonts w:cs="Calibri"/>
              </w:rPr>
              <w:t>Key Enabling Technologies (klíčové průřezové technologie)</w:t>
            </w:r>
          </w:p>
        </w:tc>
      </w:tr>
      <w:tr w:rsidR="00F37CF9" w:rsidRPr="00DD47DF" w14:paraId="5B70F09C" w14:textId="77777777">
        <w:tc>
          <w:tcPr>
            <w:tcW w:w="2376" w:type="dxa"/>
            <w:shd w:val="clear" w:color="auto" w:fill="auto"/>
          </w:tcPr>
          <w:p w14:paraId="3434252A" w14:textId="77777777" w:rsidR="00F37CF9" w:rsidRPr="00DD47DF" w:rsidRDefault="00F37CF9" w:rsidP="00142A82">
            <w:pPr>
              <w:pStyle w:val="Tabulka"/>
              <w:jc w:val="left"/>
              <w:rPr>
                <w:rFonts w:cs="Calibri"/>
              </w:rPr>
            </w:pPr>
            <w:r w:rsidRPr="00DD47DF">
              <w:rPr>
                <w:rFonts w:cs="Calibri"/>
              </w:rPr>
              <w:t>KTP</w:t>
            </w:r>
          </w:p>
        </w:tc>
        <w:tc>
          <w:tcPr>
            <w:tcW w:w="6836" w:type="dxa"/>
            <w:shd w:val="clear" w:color="auto" w:fill="auto"/>
          </w:tcPr>
          <w:p w14:paraId="4F827936" w14:textId="77777777" w:rsidR="00F37CF9" w:rsidRPr="00DD47DF" w:rsidRDefault="00F37CF9" w:rsidP="00142A82">
            <w:pPr>
              <w:pStyle w:val="Tabulka"/>
              <w:jc w:val="left"/>
              <w:rPr>
                <w:rFonts w:cs="Calibri"/>
              </w:rPr>
            </w:pPr>
            <w:r w:rsidRPr="00DD47DF">
              <w:rPr>
                <w:rFonts w:cs="Calibri"/>
              </w:rPr>
              <w:t>Knowledge Transfer Partnerships</w:t>
            </w:r>
          </w:p>
        </w:tc>
      </w:tr>
      <w:tr w:rsidR="00F37CF9" w:rsidRPr="00DD47DF" w14:paraId="77E3CC4D" w14:textId="77777777">
        <w:tc>
          <w:tcPr>
            <w:tcW w:w="2376" w:type="dxa"/>
            <w:shd w:val="clear" w:color="auto" w:fill="auto"/>
          </w:tcPr>
          <w:p w14:paraId="16CB66B1" w14:textId="77777777" w:rsidR="00F37CF9" w:rsidRPr="00DD47DF" w:rsidRDefault="00F37CF9" w:rsidP="00142A82">
            <w:pPr>
              <w:pStyle w:val="Tabulka"/>
              <w:jc w:val="left"/>
              <w:rPr>
                <w:rFonts w:cs="Calibri"/>
              </w:rPr>
            </w:pPr>
            <w:r w:rsidRPr="00DD47DF">
              <w:rPr>
                <w:rFonts w:cs="Calibri"/>
              </w:rPr>
              <w:t>KVET</w:t>
            </w:r>
          </w:p>
        </w:tc>
        <w:tc>
          <w:tcPr>
            <w:tcW w:w="6836" w:type="dxa"/>
            <w:shd w:val="clear" w:color="auto" w:fill="auto"/>
          </w:tcPr>
          <w:p w14:paraId="142F5BDC" w14:textId="77777777" w:rsidR="00F37CF9" w:rsidRPr="00DD47DF" w:rsidRDefault="00F37CF9" w:rsidP="00142A82">
            <w:pPr>
              <w:pStyle w:val="Tabulka"/>
              <w:jc w:val="left"/>
              <w:rPr>
                <w:rFonts w:cs="Calibri"/>
              </w:rPr>
            </w:pPr>
            <w:r w:rsidRPr="00DD47DF">
              <w:rPr>
                <w:rFonts w:cs="Calibri"/>
              </w:rPr>
              <w:t>Kombinovaná výroby elektřiny a tepla</w:t>
            </w:r>
          </w:p>
        </w:tc>
      </w:tr>
      <w:tr w:rsidR="003A7558" w:rsidRPr="00DD47DF" w14:paraId="15935001" w14:textId="77777777">
        <w:tc>
          <w:tcPr>
            <w:tcW w:w="2376" w:type="dxa"/>
            <w:shd w:val="clear" w:color="auto" w:fill="auto"/>
          </w:tcPr>
          <w:p w14:paraId="7921ADD1" w14:textId="77777777" w:rsidR="003A7558" w:rsidRPr="00DD47DF" w:rsidRDefault="003A7558" w:rsidP="00142A82">
            <w:pPr>
              <w:pStyle w:val="Tabulka"/>
              <w:jc w:val="left"/>
              <w:rPr>
                <w:rFonts w:cs="Calibri"/>
              </w:rPr>
            </w:pPr>
            <w:r w:rsidRPr="00DD47DF">
              <w:rPr>
                <w:rFonts w:cs="Calibri"/>
              </w:rPr>
              <w:t>MAS</w:t>
            </w:r>
          </w:p>
        </w:tc>
        <w:tc>
          <w:tcPr>
            <w:tcW w:w="6836" w:type="dxa"/>
            <w:shd w:val="clear" w:color="auto" w:fill="auto"/>
          </w:tcPr>
          <w:p w14:paraId="1C1610E8" w14:textId="77777777" w:rsidR="003A7558" w:rsidRPr="00DD47DF" w:rsidRDefault="003A7558" w:rsidP="00142A82">
            <w:pPr>
              <w:pStyle w:val="Tabulka"/>
              <w:jc w:val="left"/>
              <w:rPr>
                <w:rFonts w:cs="Calibri"/>
              </w:rPr>
            </w:pPr>
            <w:r w:rsidRPr="00DD47DF">
              <w:rPr>
                <w:rFonts w:cs="Calibri"/>
              </w:rPr>
              <w:t>Místní akční skupina</w:t>
            </w:r>
          </w:p>
        </w:tc>
      </w:tr>
      <w:tr w:rsidR="00F37CF9" w:rsidRPr="00DD47DF" w14:paraId="79CDA8B1" w14:textId="77777777">
        <w:tc>
          <w:tcPr>
            <w:tcW w:w="2376" w:type="dxa"/>
            <w:shd w:val="clear" w:color="auto" w:fill="auto"/>
          </w:tcPr>
          <w:p w14:paraId="4F70E0EC" w14:textId="77777777" w:rsidR="00F37CF9" w:rsidRPr="00DD47DF" w:rsidRDefault="00F37CF9" w:rsidP="00142A82">
            <w:pPr>
              <w:pStyle w:val="Tabulka"/>
              <w:jc w:val="left"/>
              <w:rPr>
                <w:rFonts w:cs="Calibri"/>
              </w:rPr>
            </w:pPr>
            <w:r w:rsidRPr="00DD47DF">
              <w:rPr>
                <w:rFonts w:cs="Calibri"/>
              </w:rPr>
              <w:lastRenderedPageBreak/>
              <w:t>MD</w:t>
            </w:r>
          </w:p>
        </w:tc>
        <w:tc>
          <w:tcPr>
            <w:tcW w:w="6836" w:type="dxa"/>
            <w:shd w:val="clear" w:color="auto" w:fill="auto"/>
          </w:tcPr>
          <w:p w14:paraId="38719E2B" w14:textId="77777777" w:rsidR="00F37CF9" w:rsidRPr="00DD47DF" w:rsidRDefault="000E47D9" w:rsidP="00142A82">
            <w:pPr>
              <w:pStyle w:val="Tabulka"/>
              <w:jc w:val="left"/>
              <w:rPr>
                <w:rFonts w:cs="Calibri"/>
              </w:rPr>
            </w:pPr>
            <w:r w:rsidRPr="00DD47DF">
              <w:rPr>
                <w:rFonts w:cs="Calibri"/>
              </w:rPr>
              <w:t>Ministerstvo dopravy</w:t>
            </w:r>
          </w:p>
        </w:tc>
      </w:tr>
      <w:tr w:rsidR="00F37CF9" w:rsidRPr="00DD47DF" w14:paraId="343A1B0E" w14:textId="77777777">
        <w:tc>
          <w:tcPr>
            <w:tcW w:w="2376" w:type="dxa"/>
            <w:shd w:val="clear" w:color="auto" w:fill="auto"/>
          </w:tcPr>
          <w:p w14:paraId="61CD7CAB" w14:textId="77777777" w:rsidR="00F37CF9" w:rsidRPr="00DD47DF" w:rsidRDefault="00F37CF9" w:rsidP="00142A82">
            <w:pPr>
              <w:pStyle w:val="Tabulka"/>
              <w:jc w:val="left"/>
              <w:rPr>
                <w:rFonts w:cs="Calibri"/>
              </w:rPr>
            </w:pPr>
            <w:r w:rsidRPr="00DD47DF">
              <w:rPr>
                <w:rFonts w:cs="Calibri"/>
              </w:rPr>
              <w:t>MF</w:t>
            </w:r>
          </w:p>
        </w:tc>
        <w:tc>
          <w:tcPr>
            <w:tcW w:w="6836" w:type="dxa"/>
            <w:shd w:val="clear" w:color="auto" w:fill="auto"/>
          </w:tcPr>
          <w:p w14:paraId="23349B64" w14:textId="77777777" w:rsidR="00F37CF9" w:rsidRPr="00DD47DF" w:rsidRDefault="000E47D9" w:rsidP="00142A82">
            <w:pPr>
              <w:pStyle w:val="Tabulka"/>
              <w:jc w:val="left"/>
              <w:rPr>
                <w:rFonts w:cs="Calibri"/>
              </w:rPr>
            </w:pPr>
            <w:r w:rsidRPr="00DD47DF">
              <w:rPr>
                <w:rFonts w:cs="Calibri"/>
              </w:rPr>
              <w:t>Ministerstvo financí</w:t>
            </w:r>
          </w:p>
        </w:tc>
      </w:tr>
      <w:tr w:rsidR="00F37CF9" w:rsidRPr="00DD47DF" w14:paraId="318C4211" w14:textId="77777777">
        <w:tc>
          <w:tcPr>
            <w:tcW w:w="2376" w:type="dxa"/>
            <w:shd w:val="clear" w:color="auto" w:fill="auto"/>
          </w:tcPr>
          <w:p w14:paraId="342CA5C1" w14:textId="77777777" w:rsidR="00F37CF9" w:rsidRPr="00DD47DF" w:rsidRDefault="00F37CF9" w:rsidP="00142A82">
            <w:pPr>
              <w:pStyle w:val="Tabulka"/>
              <w:jc w:val="left"/>
              <w:rPr>
                <w:rFonts w:cs="Calibri"/>
              </w:rPr>
            </w:pPr>
            <w:r w:rsidRPr="00DD47DF">
              <w:rPr>
                <w:rFonts w:cs="Calibri"/>
              </w:rPr>
              <w:t>MHMP</w:t>
            </w:r>
          </w:p>
        </w:tc>
        <w:tc>
          <w:tcPr>
            <w:tcW w:w="6836" w:type="dxa"/>
            <w:shd w:val="clear" w:color="auto" w:fill="auto"/>
          </w:tcPr>
          <w:p w14:paraId="2FDFA366" w14:textId="77777777" w:rsidR="00F37CF9" w:rsidRPr="00DD47DF" w:rsidRDefault="00F37CF9" w:rsidP="00142A82">
            <w:pPr>
              <w:pStyle w:val="Tabulka"/>
              <w:jc w:val="left"/>
              <w:rPr>
                <w:rFonts w:cs="Calibri"/>
              </w:rPr>
            </w:pPr>
            <w:r w:rsidRPr="00DD47DF">
              <w:rPr>
                <w:rFonts w:cs="Calibri"/>
              </w:rPr>
              <w:t>Magistrát hlavního města Prahy</w:t>
            </w:r>
          </w:p>
        </w:tc>
      </w:tr>
      <w:tr w:rsidR="00F37CF9" w:rsidRPr="00DD47DF" w14:paraId="2F1944AB" w14:textId="77777777">
        <w:tc>
          <w:tcPr>
            <w:tcW w:w="2376" w:type="dxa"/>
            <w:shd w:val="clear" w:color="auto" w:fill="auto"/>
          </w:tcPr>
          <w:p w14:paraId="6CCF60FD" w14:textId="77777777" w:rsidR="00F37CF9" w:rsidRPr="00DD47DF" w:rsidRDefault="00F37CF9" w:rsidP="00142A82">
            <w:pPr>
              <w:pStyle w:val="Tabulka"/>
              <w:jc w:val="left"/>
              <w:rPr>
                <w:rFonts w:cs="Calibri"/>
              </w:rPr>
            </w:pPr>
            <w:r w:rsidRPr="00DD47DF">
              <w:rPr>
                <w:rFonts w:cs="Calibri"/>
              </w:rPr>
              <w:t>MK</w:t>
            </w:r>
          </w:p>
        </w:tc>
        <w:tc>
          <w:tcPr>
            <w:tcW w:w="6836" w:type="dxa"/>
            <w:shd w:val="clear" w:color="auto" w:fill="auto"/>
          </w:tcPr>
          <w:p w14:paraId="6AC8A971" w14:textId="77777777" w:rsidR="00F37CF9" w:rsidRPr="00DD47DF" w:rsidRDefault="000E47D9" w:rsidP="00142A82">
            <w:pPr>
              <w:pStyle w:val="Tabulka"/>
              <w:jc w:val="left"/>
              <w:rPr>
                <w:rFonts w:cs="Calibri"/>
              </w:rPr>
            </w:pPr>
            <w:r w:rsidRPr="00DD47DF">
              <w:rPr>
                <w:rFonts w:cs="Calibri"/>
              </w:rPr>
              <w:t>Ministerstvo kultury</w:t>
            </w:r>
          </w:p>
        </w:tc>
      </w:tr>
      <w:tr w:rsidR="00F37CF9" w:rsidRPr="00DD47DF" w14:paraId="4956E8BC" w14:textId="77777777">
        <w:tc>
          <w:tcPr>
            <w:tcW w:w="2376" w:type="dxa"/>
            <w:shd w:val="clear" w:color="auto" w:fill="auto"/>
          </w:tcPr>
          <w:p w14:paraId="776C2E42" w14:textId="77777777" w:rsidR="00F37CF9" w:rsidRPr="00DD47DF" w:rsidRDefault="00F37CF9" w:rsidP="00142A82">
            <w:pPr>
              <w:pStyle w:val="Tabulka"/>
              <w:jc w:val="left"/>
              <w:rPr>
                <w:rFonts w:cs="Calibri"/>
              </w:rPr>
            </w:pPr>
            <w:r w:rsidRPr="00DD47DF">
              <w:rPr>
                <w:rFonts w:cs="Calibri"/>
              </w:rPr>
              <w:t>MMR-NOK</w:t>
            </w:r>
          </w:p>
        </w:tc>
        <w:tc>
          <w:tcPr>
            <w:tcW w:w="6836" w:type="dxa"/>
            <w:shd w:val="clear" w:color="auto" w:fill="auto"/>
          </w:tcPr>
          <w:p w14:paraId="0C378786" w14:textId="77777777" w:rsidR="00F37CF9" w:rsidRPr="00DD47DF" w:rsidRDefault="00F37CF9" w:rsidP="00142A82">
            <w:pPr>
              <w:pStyle w:val="Tabulka"/>
              <w:jc w:val="left"/>
              <w:rPr>
                <w:rFonts w:cs="Calibri"/>
              </w:rPr>
            </w:pPr>
            <w:r w:rsidRPr="00DD47DF">
              <w:rPr>
                <w:rFonts w:cs="Calibri"/>
              </w:rPr>
              <w:t>Ministerstvo pro místní rozvoj – Národní orgán pro koordinaci</w:t>
            </w:r>
          </w:p>
        </w:tc>
      </w:tr>
      <w:tr w:rsidR="00A14FE7" w:rsidRPr="00DD47DF" w14:paraId="39A8D5C7" w14:textId="77777777">
        <w:tc>
          <w:tcPr>
            <w:tcW w:w="2376" w:type="dxa"/>
            <w:shd w:val="clear" w:color="auto" w:fill="auto"/>
          </w:tcPr>
          <w:p w14:paraId="262B51F6" w14:textId="77777777" w:rsidR="00A14FE7" w:rsidRPr="00DD47DF" w:rsidRDefault="00A14FE7" w:rsidP="00A14FE7">
            <w:pPr>
              <w:pStyle w:val="Tabulka"/>
              <w:jc w:val="left"/>
              <w:rPr>
                <w:rFonts w:cs="Calibri"/>
              </w:rPr>
            </w:pPr>
            <w:r w:rsidRPr="00DD47DF">
              <w:rPr>
                <w:rFonts w:cs="Calibri"/>
              </w:rPr>
              <w:t>MMR-OSMS</w:t>
            </w:r>
          </w:p>
        </w:tc>
        <w:tc>
          <w:tcPr>
            <w:tcW w:w="6836" w:type="dxa"/>
            <w:shd w:val="clear" w:color="auto" w:fill="auto"/>
          </w:tcPr>
          <w:p w14:paraId="66F3FFCA" w14:textId="77777777" w:rsidR="00A14FE7" w:rsidRPr="00DD47DF" w:rsidRDefault="00A14FE7" w:rsidP="00142A82">
            <w:pPr>
              <w:pStyle w:val="Tabulka"/>
              <w:jc w:val="left"/>
              <w:rPr>
                <w:rFonts w:cs="Calibri"/>
              </w:rPr>
            </w:pPr>
            <w:r w:rsidRPr="00DD47DF">
              <w:rPr>
                <w:rFonts w:cs="Calibri"/>
              </w:rPr>
              <w:t>Ministerstvo pro místní rozvoj – odbor správy monitorovacího systému</w:t>
            </w:r>
          </w:p>
        </w:tc>
      </w:tr>
      <w:tr w:rsidR="00F37CF9" w:rsidRPr="00DD47DF" w14:paraId="6BFE53A2" w14:textId="77777777">
        <w:tc>
          <w:tcPr>
            <w:tcW w:w="2376" w:type="dxa"/>
            <w:shd w:val="clear" w:color="auto" w:fill="auto"/>
          </w:tcPr>
          <w:p w14:paraId="1D1E14A1" w14:textId="77777777" w:rsidR="00F37CF9" w:rsidRPr="00DD47DF" w:rsidRDefault="00F37CF9" w:rsidP="00142A82">
            <w:pPr>
              <w:pStyle w:val="Tabulka"/>
              <w:jc w:val="left"/>
              <w:rPr>
                <w:rFonts w:cs="Calibri"/>
              </w:rPr>
            </w:pPr>
            <w:r w:rsidRPr="00DD47DF">
              <w:rPr>
                <w:rFonts w:cs="Calibri"/>
              </w:rPr>
              <w:t>MP</w:t>
            </w:r>
          </w:p>
        </w:tc>
        <w:tc>
          <w:tcPr>
            <w:tcW w:w="6836" w:type="dxa"/>
            <w:shd w:val="clear" w:color="auto" w:fill="auto"/>
          </w:tcPr>
          <w:p w14:paraId="260A1618" w14:textId="77777777" w:rsidR="00F37CF9" w:rsidRPr="00DD47DF" w:rsidRDefault="00F37CF9" w:rsidP="00142A82">
            <w:pPr>
              <w:pStyle w:val="Tabulka"/>
              <w:jc w:val="left"/>
              <w:rPr>
                <w:rFonts w:cs="Calibri"/>
              </w:rPr>
            </w:pPr>
            <w:r w:rsidRPr="00DD47DF">
              <w:rPr>
                <w:rFonts w:cs="Calibri"/>
              </w:rPr>
              <w:t>Metodický pokyn</w:t>
            </w:r>
          </w:p>
        </w:tc>
      </w:tr>
      <w:tr w:rsidR="00F37CF9" w:rsidRPr="00DD47DF" w14:paraId="3AE13820" w14:textId="77777777">
        <w:tc>
          <w:tcPr>
            <w:tcW w:w="2376" w:type="dxa"/>
            <w:shd w:val="clear" w:color="auto" w:fill="auto"/>
          </w:tcPr>
          <w:p w14:paraId="16DB618B" w14:textId="77777777" w:rsidR="00F37CF9" w:rsidRPr="00DD47DF" w:rsidRDefault="00F37CF9" w:rsidP="00142A82">
            <w:pPr>
              <w:pStyle w:val="Tabulka"/>
              <w:jc w:val="left"/>
              <w:rPr>
                <w:rFonts w:cs="Calibri"/>
              </w:rPr>
            </w:pPr>
            <w:r w:rsidRPr="00DD47DF">
              <w:rPr>
                <w:rFonts w:cs="Calibri"/>
              </w:rPr>
              <w:t>MPO</w:t>
            </w:r>
          </w:p>
        </w:tc>
        <w:tc>
          <w:tcPr>
            <w:tcW w:w="6836" w:type="dxa"/>
            <w:shd w:val="clear" w:color="auto" w:fill="auto"/>
          </w:tcPr>
          <w:p w14:paraId="7939D65A" w14:textId="77777777" w:rsidR="00F37CF9" w:rsidRPr="00DD47DF" w:rsidRDefault="00F37CF9" w:rsidP="00142A82">
            <w:pPr>
              <w:pStyle w:val="Tabulka"/>
              <w:jc w:val="left"/>
              <w:rPr>
                <w:rFonts w:cs="Calibri"/>
              </w:rPr>
            </w:pPr>
            <w:r w:rsidRPr="00DD47DF">
              <w:rPr>
                <w:rFonts w:cs="Calibri"/>
              </w:rPr>
              <w:t>Mi</w:t>
            </w:r>
            <w:r w:rsidR="000E47D9" w:rsidRPr="00DD47DF">
              <w:rPr>
                <w:rFonts w:cs="Calibri"/>
              </w:rPr>
              <w:t>nisterstvo průmyslu a obchodu</w:t>
            </w:r>
          </w:p>
        </w:tc>
      </w:tr>
      <w:tr w:rsidR="00F37CF9" w:rsidRPr="00DD47DF" w14:paraId="28AE4E86" w14:textId="77777777">
        <w:tc>
          <w:tcPr>
            <w:tcW w:w="2376" w:type="dxa"/>
            <w:shd w:val="clear" w:color="auto" w:fill="auto"/>
          </w:tcPr>
          <w:p w14:paraId="6D330029" w14:textId="77777777" w:rsidR="00F37CF9" w:rsidRPr="00DD47DF" w:rsidRDefault="00F37CF9" w:rsidP="00142A82">
            <w:pPr>
              <w:pStyle w:val="Tabulka"/>
              <w:jc w:val="left"/>
              <w:rPr>
                <w:rFonts w:cs="Calibri"/>
              </w:rPr>
            </w:pPr>
            <w:r w:rsidRPr="00DD47DF">
              <w:rPr>
                <w:rFonts w:cs="Calibri"/>
              </w:rPr>
              <w:t>MPSV</w:t>
            </w:r>
          </w:p>
        </w:tc>
        <w:tc>
          <w:tcPr>
            <w:tcW w:w="6836" w:type="dxa"/>
            <w:shd w:val="clear" w:color="auto" w:fill="auto"/>
          </w:tcPr>
          <w:p w14:paraId="589A0B3F" w14:textId="77777777" w:rsidR="00F37CF9" w:rsidRPr="00DD47DF" w:rsidRDefault="00F37CF9" w:rsidP="00142A82">
            <w:pPr>
              <w:pStyle w:val="Tabulka"/>
              <w:jc w:val="left"/>
              <w:rPr>
                <w:rFonts w:cs="Calibri"/>
              </w:rPr>
            </w:pPr>
            <w:r w:rsidRPr="00DD47DF">
              <w:rPr>
                <w:rFonts w:cs="Calibri"/>
              </w:rPr>
              <w:t>Minis</w:t>
            </w:r>
            <w:r w:rsidR="000E47D9" w:rsidRPr="00DD47DF">
              <w:rPr>
                <w:rFonts w:cs="Calibri"/>
              </w:rPr>
              <w:t>terstvo práce a sociální věcí</w:t>
            </w:r>
          </w:p>
        </w:tc>
      </w:tr>
      <w:tr w:rsidR="00F37CF9" w:rsidRPr="00DD47DF" w14:paraId="1A900936" w14:textId="77777777">
        <w:tc>
          <w:tcPr>
            <w:tcW w:w="2376" w:type="dxa"/>
            <w:shd w:val="clear" w:color="auto" w:fill="auto"/>
          </w:tcPr>
          <w:p w14:paraId="42072DF7" w14:textId="77777777" w:rsidR="00F37CF9" w:rsidRPr="00DD47DF" w:rsidRDefault="00F37CF9" w:rsidP="00142A82">
            <w:pPr>
              <w:pStyle w:val="Tabulka"/>
              <w:jc w:val="left"/>
              <w:rPr>
                <w:rFonts w:cs="Calibri"/>
              </w:rPr>
            </w:pPr>
            <w:r w:rsidRPr="00DD47DF">
              <w:rPr>
                <w:rFonts w:cs="Calibri"/>
              </w:rPr>
              <w:t>MS 2014+</w:t>
            </w:r>
          </w:p>
        </w:tc>
        <w:tc>
          <w:tcPr>
            <w:tcW w:w="6836" w:type="dxa"/>
            <w:shd w:val="clear" w:color="auto" w:fill="auto"/>
          </w:tcPr>
          <w:p w14:paraId="287B3AEB" w14:textId="77777777" w:rsidR="00F37CF9" w:rsidRPr="00DD47DF" w:rsidRDefault="00F37CF9" w:rsidP="00142A82">
            <w:pPr>
              <w:pStyle w:val="Tabulka"/>
              <w:jc w:val="left"/>
              <w:rPr>
                <w:rFonts w:cs="Calibri"/>
              </w:rPr>
            </w:pPr>
            <w:r w:rsidRPr="00DD47DF">
              <w:rPr>
                <w:rFonts w:cs="Calibri"/>
              </w:rPr>
              <w:t xml:space="preserve">Jednotný monitorovací systém </w:t>
            </w:r>
            <w:r w:rsidR="00EF3400" w:rsidRPr="00DD47DF">
              <w:rPr>
                <w:rFonts w:cs="Calibri"/>
              </w:rPr>
              <w:t>pro programovací období 2014 - 2020</w:t>
            </w:r>
          </w:p>
        </w:tc>
      </w:tr>
      <w:tr w:rsidR="00F37CF9" w:rsidRPr="00DD47DF" w14:paraId="0B91654C" w14:textId="77777777">
        <w:tc>
          <w:tcPr>
            <w:tcW w:w="2376" w:type="dxa"/>
            <w:shd w:val="clear" w:color="auto" w:fill="auto"/>
          </w:tcPr>
          <w:p w14:paraId="22BE2D2B" w14:textId="77777777" w:rsidR="00F37CF9" w:rsidRPr="00DD47DF" w:rsidRDefault="00F37CF9" w:rsidP="00142A82">
            <w:pPr>
              <w:pStyle w:val="Tabulka"/>
              <w:jc w:val="left"/>
              <w:rPr>
                <w:rFonts w:cs="Calibri"/>
              </w:rPr>
            </w:pPr>
            <w:r w:rsidRPr="00DD47DF">
              <w:rPr>
                <w:rFonts w:cs="Calibri"/>
              </w:rPr>
              <w:t>MSP</w:t>
            </w:r>
          </w:p>
        </w:tc>
        <w:tc>
          <w:tcPr>
            <w:tcW w:w="6836" w:type="dxa"/>
            <w:shd w:val="clear" w:color="auto" w:fill="auto"/>
          </w:tcPr>
          <w:p w14:paraId="74D78836" w14:textId="77777777" w:rsidR="00F37CF9" w:rsidRPr="00DD47DF" w:rsidRDefault="00F37CF9" w:rsidP="00142A82">
            <w:pPr>
              <w:pStyle w:val="Tabulka"/>
              <w:jc w:val="left"/>
              <w:rPr>
                <w:rFonts w:cs="Calibri"/>
              </w:rPr>
            </w:pPr>
            <w:r w:rsidRPr="00DD47DF">
              <w:rPr>
                <w:rFonts w:cs="Calibri"/>
              </w:rPr>
              <w:t>Malé a střední podniky</w:t>
            </w:r>
          </w:p>
        </w:tc>
      </w:tr>
      <w:tr w:rsidR="00F37CF9" w:rsidRPr="00DD47DF" w14:paraId="4CB64CD0" w14:textId="77777777">
        <w:tc>
          <w:tcPr>
            <w:tcW w:w="2376" w:type="dxa"/>
            <w:shd w:val="clear" w:color="auto" w:fill="auto"/>
          </w:tcPr>
          <w:p w14:paraId="63E7DAD1" w14:textId="77777777" w:rsidR="00F37CF9" w:rsidRPr="00DD47DF" w:rsidRDefault="00F37CF9" w:rsidP="00142A82">
            <w:pPr>
              <w:pStyle w:val="Tabulka"/>
              <w:jc w:val="left"/>
              <w:rPr>
                <w:rFonts w:cs="Calibri"/>
              </w:rPr>
            </w:pPr>
            <w:r w:rsidRPr="00DD47DF">
              <w:rPr>
                <w:rFonts w:cs="Calibri"/>
              </w:rPr>
              <w:t>MSp</w:t>
            </w:r>
          </w:p>
        </w:tc>
        <w:tc>
          <w:tcPr>
            <w:tcW w:w="6836" w:type="dxa"/>
            <w:shd w:val="clear" w:color="auto" w:fill="auto"/>
          </w:tcPr>
          <w:p w14:paraId="50C26555" w14:textId="77777777" w:rsidR="00F37CF9" w:rsidRPr="00DD47DF" w:rsidRDefault="000E47D9" w:rsidP="00142A82">
            <w:pPr>
              <w:pStyle w:val="Tabulka"/>
              <w:jc w:val="left"/>
              <w:rPr>
                <w:rFonts w:cs="Calibri"/>
              </w:rPr>
            </w:pPr>
            <w:r w:rsidRPr="00DD47DF">
              <w:rPr>
                <w:rFonts w:cs="Calibri"/>
              </w:rPr>
              <w:t>Ministerstvo spravedlnosti</w:t>
            </w:r>
          </w:p>
        </w:tc>
      </w:tr>
      <w:tr w:rsidR="00F37CF9" w:rsidRPr="00DD47DF" w14:paraId="5AB1AFFB" w14:textId="77777777">
        <w:tc>
          <w:tcPr>
            <w:tcW w:w="2376" w:type="dxa"/>
            <w:shd w:val="clear" w:color="auto" w:fill="auto"/>
          </w:tcPr>
          <w:p w14:paraId="08ADA6BA" w14:textId="77777777" w:rsidR="00F37CF9" w:rsidRPr="00DD47DF" w:rsidRDefault="00F37CF9" w:rsidP="00142A82">
            <w:pPr>
              <w:pStyle w:val="Tabulka"/>
              <w:jc w:val="left"/>
              <w:rPr>
                <w:rFonts w:cs="Calibri"/>
              </w:rPr>
            </w:pPr>
            <w:r w:rsidRPr="00DD47DF">
              <w:rPr>
                <w:rFonts w:cs="Calibri"/>
              </w:rPr>
              <w:t>MŠMT</w:t>
            </w:r>
          </w:p>
        </w:tc>
        <w:tc>
          <w:tcPr>
            <w:tcW w:w="6836" w:type="dxa"/>
            <w:shd w:val="clear" w:color="auto" w:fill="auto"/>
          </w:tcPr>
          <w:p w14:paraId="08E1D4E9" w14:textId="77777777" w:rsidR="00F37CF9" w:rsidRPr="00DD47DF" w:rsidRDefault="00F37CF9" w:rsidP="00142A82">
            <w:pPr>
              <w:pStyle w:val="Tabulka"/>
              <w:jc w:val="left"/>
              <w:rPr>
                <w:rFonts w:cs="Calibri"/>
              </w:rPr>
            </w:pPr>
            <w:r w:rsidRPr="00DD47DF">
              <w:rPr>
                <w:rFonts w:cs="Calibri"/>
              </w:rPr>
              <w:t>Ministerstvo školství, ml</w:t>
            </w:r>
            <w:r w:rsidR="000E47D9" w:rsidRPr="00DD47DF">
              <w:rPr>
                <w:rFonts w:cs="Calibri"/>
              </w:rPr>
              <w:t>ádeže a tělovýchovy</w:t>
            </w:r>
          </w:p>
        </w:tc>
      </w:tr>
      <w:tr w:rsidR="00F37CF9" w:rsidRPr="00DD47DF" w14:paraId="580093DE" w14:textId="77777777">
        <w:tc>
          <w:tcPr>
            <w:tcW w:w="2376" w:type="dxa"/>
            <w:shd w:val="clear" w:color="auto" w:fill="auto"/>
          </w:tcPr>
          <w:p w14:paraId="6DB91901" w14:textId="77777777" w:rsidR="00F37CF9" w:rsidRPr="00DD47DF" w:rsidRDefault="00F37CF9" w:rsidP="00142A82">
            <w:pPr>
              <w:pStyle w:val="Tabulka"/>
              <w:jc w:val="left"/>
              <w:rPr>
                <w:rFonts w:cs="Calibri"/>
              </w:rPr>
            </w:pPr>
            <w:r w:rsidRPr="00DD47DF">
              <w:rPr>
                <w:rFonts w:cs="Calibri"/>
              </w:rPr>
              <w:t>MV</w:t>
            </w:r>
          </w:p>
        </w:tc>
        <w:tc>
          <w:tcPr>
            <w:tcW w:w="6836" w:type="dxa"/>
            <w:shd w:val="clear" w:color="auto" w:fill="auto"/>
          </w:tcPr>
          <w:p w14:paraId="71013FFC" w14:textId="77777777" w:rsidR="00F37CF9" w:rsidRPr="00DD47DF" w:rsidRDefault="000E47D9" w:rsidP="00142A82">
            <w:pPr>
              <w:pStyle w:val="Tabulka"/>
              <w:jc w:val="left"/>
              <w:rPr>
                <w:rFonts w:cs="Calibri"/>
              </w:rPr>
            </w:pPr>
            <w:r w:rsidRPr="00DD47DF">
              <w:rPr>
                <w:rFonts w:cs="Calibri"/>
              </w:rPr>
              <w:t>Ministerstvo vnitra</w:t>
            </w:r>
          </w:p>
        </w:tc>
      </w:tr>
      <w:tr w:rsidR="00D83F6F" w:rsidRPr="00DD47DF" w14:paraId="1231C1DF" w14:textId="77777777">
        <w:tc>
          <w:tcPr>
            <w:tcW w:w="2376" w:type="dxa"/>
            <w:shd w:val="clear" w:color="auto" w:fill="auto"/>
          </w:tcPr>
          <w:p w14:paraId="7133FBFD" w14:textId="19E747C7" w:rsidR="00D83F6F" w:rsidRPr="00DD47DF" w:rsidRDefault="00D83F6F" w:rsidP="00142A82">
            <w:pPr>
              <w:pStyle w:val="Tabulka"/>
              <w:jc w:val="left"/>
              <w:rPr>
                <w:rFonts w:cs="Calibri"/>
              </w:rPr>
            </w:pPr>
            <w:r>
              <w:rPr>
                <w:rFonts w:cs="Calibri"/>
              </w:rPr>
              <w:t xml:space="preserve">MV OP PIK </w:t>
            </w:r>
          </w:p>
        </w:tc>
        <w:tc>
          <w:tcPr>
            <w:tcW w:w="6836" w:type="dxa"/>
            <w:shd w:val="clear" w:color="auto" w:fill="auto"/>
          </w:tcPr>
          <w:p w14:paraId="7257179C" w14:textId="58B966DF" w:rsidR="00D83F6F" w:rsidRPr="00DD47DF" w:rsidRDefault="00D83F6F" w:rsidP="00142A82">
            <w:pPr>
              <w:pStyle w:val="Tabulka"/>
              <w:jc w:val="left"/>
              <w:rPr>
                <w:rFonts w:cs="Calibri"/>
              </w:rPr>
            </w:pPr>
            <w:r>
              <w:rPr>
                <w:rFonts w:cs="Calibri"/>
              </w:rPr>
              <w:t>Monitorovací výbor OP PIK</w:t>
            </w:r>
          </w:p>
        </w:tc>
      </w:tr>
      <w:tr w:rsidR="00F37CF9" w:rsidRPr="00DD47DF" w14:paraId="2FDDF425" w14:textId="77777777">
        <w:tc>
          <w:tcPr>
            <w:tcW w:w="2376" w:type="dxa"/>
            <w:shd w:val="clear" w:color="auto" w:fill="auto"/>
          </w:tcPr>
          <w:p w14:paraId="29358617" w14:textId="77777777" w:rsidR="00F37CF9" w:rsidRPr="00DD47DF" w:rsidRDefault="00F37CF9" w:rsidP="00142A82">
            <w:pPr>
              <w:pStyle w:val="Tabulka"/>
              <w:jc w:val="left"/>
              <w:rPr>
                <w:rFonts w:cs="Calibri"/>
              </w:rPr>
            </w:pPr>
            <w:r w:rsidRPr="00DD47DF">
              <w:rPr>
                <w:rFonts w:cs="Calibri"/>
              </w:rPr>
              <w:t>MZe</w:t>
            </w:r>
          </w:p>
        </w:tc>
        <w:tc>
          <w:tcPr>
            <w:tcW w:w="6836" w:type="dxa"/>
            <w:shd w:val="clear" w:color="auto" w:fill="auto"/>
          </w:tcPr>
          <w:p w14:paraId="0565DD0D" w14:textId="77777777" w:rsidR="00F37CF9" w:rsidRPr="00DD47DF" w:rsidRDefault="000E47D9" w:rsidP="00142A82">
            <w:pPr>
              <w:pStyle w:val="Tabulka"/>
              <w:jc w:val="left"/>
              <w:rPr>
                <w:rFonts w:cs="Calibri"/>
              </w:rPr>
            </w:pPr>
            <w:r w:rsidRPr="00DD47DF">
              <w:rPr>
                <w:rFonts w:cs="Calibri"/>
              </w:rPr>
              <w:t>Ministerstvo zemědělství</w:t>
            </w:r>
          </w:p>
        </w:tc>
      </w:tr>
      <w:tr w:rsidR="00F37CF9" w:rsidRPr="00DD47DF" w14:paraId="0D186D0F" w14:textId="77777777">
        <w:tc>
          <w:tcPr>
            <w:tcW w:w="2376" w:type="dxa"/>
            <w:shd w:val="clear" w:color="auto" w:fill="auto"/>
          </w:tcPr>
          <w:p w14:paraId="70EC00A9" w14:textId="77777777" w:rsidR="00F37CF9" w:rsidRPr="00DD47DF" w:rsidRDefault="00F37CF9" w:rsidP="00142A82">
            <w:pPr>
              <w:pStyle w:val="Tabulka"/>
              <w:jc w:val="left"/>
              <w:rPr>
                <w:rFonts w:cs="Calibri"/>
              </w:rPr>
            </w:pPr>
            <w:r w:rsidRPr="00DD47DF">
              <w:rPr>
                <w:rFonts w:cs="Calibri"/>
              </w:rPr>
              <w:t>MŽP</w:t>
            </w:r>
          </w:p>
        </w:tc>
        <w:tc>
          <w:tcPr>
            <w:tcW w:w="6836" w:type="dxa"/>
            <w:shd w:val="clear" w:color="auto" w:fill="auto"/>
          </w:tcPr>
          <w:p w14:paraId="28E24FB4" w14:textId="77777777" w:rsidR="00F37CF9" w:rsidRPr="00DD47DF" w:rsidRDefault="00F37CF9" w:rsidP="00142A82">
            <w:pPr>
              <w:pStyle w:val="Tabulka"/>
              <w:jc w:val="left"/>
              <w:rPr>
                <w:rFonts w:cs="Calibri"/>
              </w:rPr>
            </w:pPr>
            <w:r w:rsidRPr="00DD47DF">
              <w:rPr>
                <w:rFonts w:cs="Calibri"/>
              </w:rPr>
              <w:t>Min</w:t>
            </w:r>
            <w:r w:rsidR="000E47D9" w:rsidRPr="00DD47DF">
              <w:rPr>
                <w:rFonts w:cs="Calibri"/>
              </w:rPr>
              <w:t>isterstvo životního prostředí</w:t>
            </w:r>
          </w:p>
        </w:tc>
      </w:tr>
      <w:tr w:rsidR="00F37CF9" w:rsidRPr="00DD47DF" w14:paraId="52FDAEB2" w14:textId="77777777">
        <w:tc>
          <w:tcPr>
            <w:tcW w:w="2376" w:type="dxa"/>
            <w:shd w:val="clear" w:color="auto" w:fill="auto"/>
          </w:tcPr>
          <w:p w14:paraId="7D1C828E" w14:textId="77777777" w:rsidR="00F37CF9" w:rsidRPr="00DD47DF" w:rsidRDefault="00F37CF9" w:rsidP="00142A82">
            <w:pPr>
              <w:pStyle w:val="Tabulka"/>
              <w:jc w:val="left"/>
              <w:rPr>
                <w:rFonts w:cs="Calibri"/>
              </w:rPr>
            </w:pPr>
            <w:r w:rsidRPr="00DD47DF">
              <w:rPr>
                <w:rFonts w:cs="Calibri"/>
              </w:rPr>
              <w:t>NAP</w:t>
            </w:r>
          </w:p>
        </w:tc>
        <w:tc>
          <w:tcPr>
            <w:tcW w:w="6836" w:type="dxa"/>
            <w:shd w:val="clear" w:color="auto" w:fill="auto"/>
          </w:tcPr>
          <w:p w14:paraId="49C984EF" w14:textId="77777777" w:rsidR="00F37CF9" w:rsidRPr="00DD47DF" w:rsidRDefault="00F37CF9" w:rsidP="00142A82">
            <w:pPr>
              <w:pStyle w:val="Tabulka"/>
              <w:jc w:val="left"/>
              <w:rPr>
                <w:rFonts w:cs="Calibri"/>
              </w:rPr>
            </w:pPr>
            <w:r w:rsidRPr="00DD47DF">
              <w:rPr>
                <w:rFonts w:cs="Calibri"/>
              </w:rPr>
              <w:t>Národní akční plán ČR</w:t>
            </w:r>
          </w:p>
        </w:tc>
      </w:tr>
      <w:tr w:rsidR="00F37CF9" w:rsidRPr="00DD47DF" w14:paraId="18FF3051" w14:textId="77777777">
        <w:tc>
          <w:tcPr>
            <w:tcW w:w="2376" w:type="dxa"/>
            <w:shd w:val="clear" w:color="auto" w:fill="auto"/>
          </w:tcPr>
          <w:p w14:paraId="6923D5C0" w14:textId="77777777" w:rsidR="00F37CF9" w:rsidRPr="00DD47DF" w:rsidRDefault="00F37CF9" w:rsidP="00142A82">
            <w:pPr>
              <w:pStyle w:val="Tabulka"/>
              <w:jc w:val="left"/>
              <w:rPr>
                <w:rFonts w:cs="Calibri"/>
              </w:rPr>
            </w:pPr>
            <w:r w:rsidRPr="00DD47DF">
              <w:rPr>
                <w:rFonts w:cs="Calibri"/>
              </w:rPr>
              <w:t>NČI 2014+</w:t>
            </w:r>
          </w:p>
        </w:tc>
        <w:tc>
          <w:tcPr>
            <w:tcW w:w="6836" w:type="dxa"/>
            <w:shd w:val="clear" w:color="auto" w:fill="auto"/>
          </w:tcPr>
          <w:p w14:paraId="1ECC26F4" w14:textId="77777777" w:rsidR="00F37CF9" w:rsidRPr="00DD47DF" w:rsidRDefault="00F37CF9" w:rsidP="00142A82">
            <w:pPr>
              <w:pStyle w:val="Tabulka"/>
              <w:jc w:val="left"/>
              <w:rPr>
                <w:rFonts w:cs="Calibri"/>
              </w:rPr>
            </w:pPr>
            <w:r w:rsidRPr="00DD47DF">
              <w:rPr>
                <w:rFonts w:cs="Calibri"/>
              </w:rPr>
              <w:t xml:space="preserve">Národní číselník indikátorů </w:t>
            </w:r>
            <w:r w:rsidR="00EF3400" w:rsidRPr="00DD47DF">
              <w:rPr>
                <w:rFonts w:cs="Calibri"/>
              </w:rPr>
              <w:t xml:space="preserve">pro programovací období </w:t>
            </w:r>
            <w:r w:rsidRPr="00DD47DF">
              <w:rPr>
                <w:rFonts w:cs="Calibri"/>
              </w:rPr>
              <w:t>2014 - 2020</w:t>
            </w:r>
          </w:p>
        </w:tc>
      </w:tr>
      <w:tr w:rsidR="00AA3134" w:rsidRPr="00DD47DF" w14:paraId="212C47E7" w14:textId="77777777">
        <w:tc>
          <w:tcPr>
            <w:tcW w:w="2376" w:type="dxa"/>
            <w:shd w:val="clear" w:color="auto" w:fill="auto"/>
          </w:tcPr>
          <w:p w14:paraId="10ED4675" w14:textId="77777777" w:rsidR="00AA3134" w:rsidRPr="00DD47DF" w:rsidRDefault="00AA3134" w:rsidP="00142A82">
            <w:pPr>
              <w:pStyle w:val="Tabulka"/>
              <w:jc w:val="left"/>
              <w:rPr>
                <w:rFonts w:cs="Calibri"/>
              </w:rPr>
            </w:pPr>
            <w:r w:rsidRPr="00DD47DF">
              <w:rPr>
                <w:rFonts w:cs="Calibri"/>
              </w:rPr>
              <w:t>NDÚD</w:t>
            </w:r>
          </w:p>
        </w:tc>
        <w:tc>
          <w:tcPr>
            <w:tcW w:w="6836" w:type="dxa"/>
            <w:shd w:val="clear" w:color="auto" w:fill="auto"/>
          </w:tcPr>
          <w:p w14:paraId="79B49E5D" w14:textId="77777777" w:rsidR="00AA3134" w:rsidRPr="00DD47DF" w:rsidRDefault="00AA3134" w:rsidP="00142A82">
            <w:pPr>
              <w:pStyle w:val="Tabulka"/>
              <w:jc w:val="left"/>
              <w:rPr>
                <w:rFonts w:cs="Calibri"/>
              </w:rPr>
            </w:pPr>
            <w:r w:rsidRPr="00DD47DF">
              <w:rPr>
                <w:rFonts w:cs="Calibri"/>
              </w:rPr>
              <w:t>Národní dokument k územní dimenzi</w:t>
            </w:r>
          </w:p>
        </w:tc>
      </w:tr>
      <w:tr w:rsidR="00F37CF9" w:rsidRPr="00DD47DF" w14:paraId="5CFB1550" w14:textId="77777777">
        <w:tc>
          <w:tcPr>
            <w:tcW w:w="2376" w:type="dxa"/>
            <w:shd w:val="clear" w:color="auto" w:fill="auto"/>
          </w:tcPr>
          <w:p w14:paraId="3ACF34F9" w14:textId="77777777" w:rsidR="00F37CF9" w:rsidRPr="00DD47DF" w:rsidRDefault="00F37CF9" w:rsidP="00142A82">
            <w:pPr>
              <w:pStyle w:val="Tabulka"/>
              <w:jc w:val="left"/>
              <w:rPr>
                <w:rFonts w:cs="Calibri"/>
              </w:rPr>
            </w:pPr>
            <w:r w:rsidRPr="00DD47DF">
              <w:rPr>
                <w:rFonts w:cs="Calibri"/>
              </w:rPr>
              <w:t>NIS</w:t>
            </w:r>
          </w:p>
        </w:tc>
        <w:tc>
          <w:tcPr>
            <w:tcW w:w="6836" w:type="dxa"/>
            <w:shd w:val="clear" w:color="auto" w:fill="auto"/>
          </w:tcPr>
          <w:p w14:paraId="3A2FF5F2" w14:textId="77777777" w:rsidR="00F37CF9" w:rsidRPr="00DD47DF" w:rsidRDefault="00F37CF9" w:rsidP="00142A82">
            <w:pPr>
              <w:pStyle w:val="Tabulka"/>
              <w:jc w:val="left"/>
              <w:rPr>
                <w:rFonts w:cs="Calibri"/>
              </w:rPr>
            </w:pPr>
            <w:r w:rsidRPr="00DD47DF">
              <w:rPr>
                <w:rFonts w:cs="Calibri"/>
              </w:rPr>
              <w:t>Národní inovační strategie ČR</w:t>
            </w:r>
          </w:p>
        </w:tc>
      </w:tr>
      <w:tr w:rsidR="00F37CF9" w:rsidRPr="00DD47DF" w14:paraId="1C9F23D3" w14:textId="77777777">
        <w:tc>
          <w:tcPr>
            <w:tcW w:w="2376" w:type="dxa"/>
            <w:shd w:val="clear" w:color="auto" w:fill="auto"/>
          </w:tcPr>
          <w:p w14:paraId="276D7415" w14:textId="77777777" w:rsidR="00F37CF9" w:rsidRPr="00DD47DF" w:rsidRDefault="00F37CF9" w:rsidP="00142A82">
            <w:pPr>
              <w:pStyle w:val="Tabulka"/>
              <w:jc w:val="left"/>
              <w:rPr>
                <w:rFonts w:cs="Calibri"/>
              </w:rPr>
            </w:pPr>
            <w:r w:rsidRPr="00DD47DF">
              <w:rPr>
                <w:rFonts w:cs="Calibri"/>
              </w:rPr>
              <w:t>NNO</w:t>
            </w:r>
          </w:p>
        </w:tc>
        <w:tc>
          <w:tcPr>
            <w:tcW w:w="6836" w:type="dxa"/>
            <w:shd w:val="clear" w:color="auto" w:fill="auto"/>
          </w:tcPr>
          <w:p w14:paraId="2D0B1130" w14:textId="77777777" w:rsidR="00F37CF9" w:rsidRPr="00DD47DF" w:rsidRDefault="00F37CF9" w:rsidP="00142A82">
            <w:pPr>
              <w:pStyle w:val="Tabulka"/>
              <w:jc w:val="left"/>
              <w:rPr>
                <w:rFonts w:cs="Calibri"/>
              </w:rPr>
            </w:pPr>
            <w:r w:rsidRPr="00DD47DF">
              <w:rPr>
                <w:rFonts w:cs="Calibri"/>
              </w:rPr>
              <w:t xml:space="preserve">Nestátní nezisková </w:t>
            </w:r>
            <w:r w:rsidRPr="00DD47DF">
              <w:rPr>
                <w:rFonts w:cs="Calibri"/>
                <w:bCs/>
              </w:rPr>
              <w:t>organizace</w:t>
            </w:r>
          </w:p>
        </w:tc>
      </w:tr>
      <w:tr w:rsidR="00F37CF9" w:rsidRPr="00DD47DF" w14:paraId="7B6445A1" w14:textId="77777777">
        <w:tc>
          <w:tcPr>
            <w:tcW w:w="2376" w:type="dxa"/>
            <w:shd w:val="clear" w:color="auto" w:fill="auto"/>
          </w:tcPr>
          <w:p w14:paraId="202E10C6" w14:textId="77777777" w:rsidR="00F37CF9" w:rsidRPr="00DD47DF" w:rsidRDefault="00F37CF9" w:rsidP="00142A82">
            <w:pPr>
              <w:pStyle w:val="Tabulka"/>
              <w:jc w:val="left"/>
              <w:rPr>
                <w:rFonts w:cs="Calibri"/>
              </w:rPr>
            </w:pPr>
            <w:r w:rsidRPr="00DD47DF">
              <w:rPr>
                <w:rFonts w:cs="Calibri"/>
              </w:rPr>
              <w:t>NP VaVaI</w:t>
            </w:r>
          </w:p>
        </w:tc>
        <w:tc>
          <w:tcPr>
            <w:tcW w:w="6836" w:type="dxa"/>
            <w:shd w:val="clear" w:color="auto" w:fill="auto"/>
          </w:tcPr>
          <w:p w14:paraId="22463B79" w14:textId="77777777" w:rsidR="00F37CF9" w:rsidRPr="00DD47DF" w:rsidRDefault="00F37CF9" w:rsidP="00142A82">
            <w:pPr>
              <w:pStyle w:val="Tabulka"/>
              <w:jc w:val="left"/>
              <w:rPr>
                <w:rFonts w:cs="Calibri"/>
              </w:rPr>
            </w:pPr>
            <w:r w:rsidRPr="00DD47DF">
              <w:rPr>
                <w:rFonts w:cs="Calibri"/>
              </w:rPr>
              <w:t>Aktualizace Národní politiky výzkumu, vývoje a inovací České republiky na léta 2009 až 2015 s výhledem do roku 2020</w:t>
            </w:r>
          </w:p>
        </w:tc>
      </w:tr>
      <w:tr w:rsidR="00F37CF9" w:rsidRPr="00DD47DF" w14:paraId="64E10CC0" w14:textId="77777777">
        <w:tc>
          <w:tcPr>
            <w:tcW w:w="2376" w:type="dxa"/>
            <w:shd w:val="clear" w:color="auto" w:fill="auto"/>
          </w:tcPr>
          <w:p w14:paraId="50D025ED" w14:textId="77777777" w:rsidR="00F37CF9" w:rsidRPr="00DD47DF" w:rsidRDefault="00F37CF9" w:rsidP="00142A82">
            <w:pPr>
              <w:pStyle w:val="Tabulka"/>
              <w:jc w:val="left"/>
              <w:rPr>
                <w:rFonts w:cs="Calibri"/>
              </w:rPr>
            </w:pPr>
            <w:r w:rsidRPr="00DD47DF">
              <w:rPr>
                <w:rFonts w:cs="Calibri"/>
              </w:rPr>
              <w:t>NPR</w:t>
            </w:r>
          </w:p>
        </w:tc>
        <w:tc>
          <w:tcPr>
            <w:tcW w:w="6836" w:type="dxa"/>
            <w:shd w:val="clear" w:color="auto" w:fill="auto"/>
          </w:tcPr>
          <w:p w14:paraId="5C4BD96D" w14:textId="77777777" w:rsidR="00F37CF9" w:rsidRPr="00DD47DF" w:rsidRDefault="00F37CF9" w:rsidP="00142A82">
            <w:pPr>
              <w:pStyle w:val="Tabulka"/>
              <w:jc w:val="left"/>
              <w:rPr>
                <w:rFonts w:cs="Calibri"/>
              </w:rPr>
            </w:pPr>
            <w:r w:rsidRPr="00DD47DF">
              <w:rPr>
                <w:rFonts w:cs="Calibri"/>
              </w:rPr>
              <w:t>Národní program reforem ČR</w:t>
            </w:r>
          </w:p>
        </w:tc>
      </w:tr>
      <w:tr w:rsidR="00F37CF9" w:rsidRPr="00DD47DF" w14:paraId="7070984B" w14:textId="77777777">
        <w:tc>
          <w:tcPr>
            <w:tcW w:w="2376" w:type="dxa"/>
            <w:shd w:val="clear" w:color="auto" w:fill="auto"/>
          </w:tcPr>
          <w:p w14:paraId="28B32002" w14:textId="77777777" w:rsidR="00F37CF9" w:rsidRPr="00DD47DF" w:rsidRDefault="00F37CF9" w:rsidP="00142A82">
            <w:pPr>
              <w:pStyle w:val="Tabulka"/>
              <w:jc w:val="left"/>
              <w:rPr>
                <w:rFonts w:cs="Calibri"/>
              </w:rPr>
            </w:pPr>
            <w:r w:rsidRPr="00DD47DF">
              <w:rPr>
                <w:rFonts w:cs="Calibri"/>
              </w:rPr>
              <w:t>NUTS</w:t>
            </w:r>
          </w:p>
        </w:tc>
        <w:tc>
          <w:tcPr>
            <w:tcW w:w="6836" w:type="dxa"/>
            <w:shd w:val="clear" w:color="auto" w:fill="auto"/>
          </w:tcPr>
          <w:p w14:paraId="7ADFA2AC" w14:textId="77777777" w:rsidR="00F37CF9" w:rsidRPr="00DD47DF" w:rsidRDefault="00F37CF9" w:rsidP="00142A82">
            <w:pPr>
              <w:pStyle w:val="Tabulka"/>
              <w:jc w:val="left"/>
              <w:rPr>
                <w:rFonts w:cs="Calibri"/>
              </w:rPr>
            </w:pPr>
            <w:r w:rsidRPr="00DD47DF">
              <w:rPr>
                <w:rStyle w:val="st1"/>
                <w:szCs w:val="24"/>
              </w:rPr>
              <w:t>Nomenklatura územních statistických jednotek</w:t>
            </w:r>
          </w:p>
        </w:tc>
      </w:tr>
      <w:tr w:rsidR="00F37CF9" w:rsidRPr="00DD47DF" w14:paraId="33E01217" w14:textId="77777777">
        <w:tc>
          <w:tcPr>
            <w:tcW w:w="2376" w:type="dxa"/>
            <w:shd w:val="clear" w:color="auto" w:fill="auto"/>
          </w:tcPr>
          <w:p w14:paraId="2A8F602C" w14:textId="77777777" w:rsidR="00F37CF9" w:rsidRPr="00DD47DF" w:rsidRDefault="00F37CF9" w:rsidP="00142A82">
            <w:pPr>
              <w:pStyle w:val="Tabulka"/>
              <w:jc w:val="left"/>
              <w:rPr>
                <w:rFonts w:cs="Calibri"/>
              </w:rPr>
            </w:pPr>
            <w:r w:rsidRPr="00DD47DF">
              <w:rPr>
                <w:rFonts w:cs="Calibri"/>
              </w:rPr>
              <w:t>OP D</w:t>
            </w:r>
          </w:p>
        </w:tc>
        <w:tc>
          <w:tcPr>
            <w:tcW w:w="6836" w:type="dxa"/>
            <w:shd w:val="clear" w:color="auto" w:fill="auto"/>
          </w:tcPr>
          <w:p w14:paraId="59693340" w14:textId="77777777" w:rsidR="00F37CF9" w:rsidRPr="00DD47DF" w:rsidRDefault="00F37CF9" w:rsidP="00142A82">
            <w:pPr>
              <w:pStyle w:val="Tabulka"/>
              <w:jc w:val="left"/>
              <w:rPr>
                <w:rFonts w:cs="Calibri"/>
              </w:rPr>
            </w:pPr>
            <w:r w:rsidRPr="00DD47DF">
              <w:rPr>
                <w:rFonts w:cs="Calibri"/>
              </w:rPr>
              <w:t>Operační program Doprava</w:t>
            </w:r>
          </w:p>
        </w:tc>
      </w:tr>
      <w:tr w:rsidR="00F37CF9" w:rsidRPr="00DD47DF" w14:paraId="5AC4C268" w14:textId="77777777">
        <w:tc>
          <w:tcPr>
            <w:tcW w:w="2376" w:type="dxa"/>
            <w:shd w:val="clear" w:color="auto" w:fill="auto"/>
          </w:tcPr>
          <w:p w14:paraId="3622CF27" w14:textId="77777777" w:rsidR="00F37CF9" w:rsidRPr="00DD47DF" w:rsidRDefault="00F37CF9" w:rsidP="00142A82">
            <w:pPr>
              <w:pStyle w:val="Tabulka"/>
              <w:jc w:val="left"/>
              <w:rPr>
                <w:rFonts w:cs="Calibri"/>
              </w:rPr>
            </w:pPr>
            <w:r w:rsidRPr="00DD47DF">
              <w:rPr>
                <w:rFonts w:cs="Calibri"/>
              </w:rPr>
              <w:t>OP PIK</w:t>
            </w:r>
          </w:p>
        </w:tc>
        <w:tc>
          <w:tcPr>
            <w:tcW w:w="6836" w:type="dxa"/>
            <w:shd w:val="clear" w:color="auto" w:fill="auto"/>
          </w:tcPr>
          <w:p w14:paraId="7071D9FD" w14:textId="77777777" w:rsidR="00F37CF9" w:rsidRPr="00DD47DF" w:rsidRDefault="00F37CF9" w:rsidP="00142A82">
            <w:pPr>
              <w:pStyle w:val="Tabulka"/>
              <w:jc w:val="left"/>
              <w:rPr>
                <w:rFonts w:cs="Calibri"/>
              </w:rPr>
            </w:pPr>
            <w:r w:rsidRPr="00DD47DF">
              <w:rPr>
                <w:rFonts w:cs="Calibri"/>
              </w:rPr>
              <w:t>Operační program Podnikání a inovace pro konkurenceschopnost 2014 - 2020</w:t>
            </w:r>
          </w:p>
        </w:tc>
      </w:tr>
      <w:tr w:rsidR="00F37CF9" w:rsidRPr="00DD47DF" w14:paraId="319ED1FB" w14:textId="77777777">
        <w:tc>
          <w:tcPr>
            <w:tcW w:w="2376" w:type="dxa"/>
            <w:shd w:val="clear" w:color="auto" w:fill="auto"/>
          </w:tcPr>
          <w:p w14:paraId="49630797" w14:textId="77777777" w:rsidR="00F37CF9" w:rsidRPr="00DD47DF" w:rsidRDefault="00F37CF9" w:rsidP="00142A82">
            <w:pPr>
              <w:pStyle w:val="Tabulka"/>
              <w:jc w:val="left"/>
              <w:rPr>
                <w:rFonts w:cs="Calibri"/>
              </w:rPr>
            </w:pPr>
            <w:r w:rsidRPr="00DD47DF">
              <w:rPr>
                <w:rFonts w:cs="Calibri"/>
              </w:rPr>
              <w:t>OP PPR</w:t>
            </w:r>
          </w:p>
        </w:tc>
        <w:tc>
          <w:tcPr>
            <w:tcW w:w="6836" w:type="dxa"/>
            <w:shd w:val="clear" w:color="auto" w:fill="auto"/>
          </w:tcPr>
          <w:p w14:paraId="772716B3" w14:textId="77777777" w:rsidR="00F37CF9" w:rsidRPr="00DD47DF" w:rsidRDefault="00F37CF9" w:rsidP="00142A82">
            <w:pPr>
              <w:pStyle w:val="Tabulka"/>
              <w:jc w:val="left"/>
              <w:rPr>
                <w:rFonts w:cs="Calibri"/>
              </w:rPr>
            </w:pPr>
            <w:r w:rsidRPr="00DD47DF">
              <w:rPr>
                <w:rFonts w:cs="Calibri"/>
              </w:rPr>
              <w:t>Operační program Praha - pól růstu ČR</w:t>
            </w:r>
          </w:p>
        </w:tc>
      </w:tr>
      <w:tr w:rsidR="00F37CF9" w:rsidRPr="00DD47DF" w14:paraId="289FF5AC" w14:textId="77777777">
        <w:tc>
          <w:tcPr>
            <w:tcW w:w="2376" w:type="dxa"/>
            <w:shd w:val="clear" w:color="auto" w:fill="auto"/>
          </w:tcPr>
          <w:p w14:paraId="34EA54E3" w14:textId="77777777" w:rsidR="00F37CF9" w:rsidRPr="00DD47DF" w:rsidRDefault="00F37CF9" w:rsidP="00142A82">
            <w:pPr>
              <w:pStyle w:val="Tabulka"/>
              <w:jc w:val="left"/>
              <w:rPr>
                <w:rFonts w:cs="Calibri"/>
              </w:rPr>
            </w:pPr>
            <w:r w:rsidRPr="00DD47DF">
              <w:rPr>
                <w:rFonts w:cs="Calibri"/>
              </w:rPr>
              <w:t>OP R</w:t>
            </w:r>
          </w:p>
        </w:tc>
        <w:tc>
          <w:tcPr>
            <w:tcW w:w="6836" w:type="dxa"/>
            <w:shd w:val="clear" w:color="auto" w:fill="auto"/>
          </w:tcPr>
          <w:p w14:paraId="1CC765FA" w14:textId="77777777" w:rsidR="00F37CF9" w:rsidRPr="00DD47DF" w:rsidRDefault="00F37CF9" w:rsidP="00142A82">
            <w:pPr>
              <w:pStyle w:val="Tabulka"/>
              <w:jc w:val="left"/>
              <w:rPr>
                <w:rFonts w:cs="Calibri"/>
              </w:rPr>
            </w:pPr>
            <w:r w:rsidRPr="00DD47DF">
              <w:rPr>
                <w:rFonts w:cs="Calibri"/>
              </w:rPr>
              <w:t>Operační program Rybářství</w:t>
            </w:r>
          </w:p>
        </w:tc>
      </w:tr>
      <w:tr w:rsidR="00F37CF9" w:rsidRPr="00DD47DF" w14:paraId="5D322B75" w14:textId="77777777">
        <w:tc>
          <w:tcPr>
            <w:tcW w:w="2376" w:type="dxa"/>
            <w:shd w:val="clear" w:color="auto" w:fill="auto"/>
          </w:tcPr>
          <w:p w14:paraId="1BA096C3" w14:textId="77777777" w:rsidR="00F37CF9" w:rsidRPr="00DD47DF" w:rsidRDefault="00F37CF9" w:rsidP="00142A82">
            <w:pPr>
              <w:pStyle w:val="Tabulka"/>
              <w:jc w:val="left"/>
              <w:rPr>
                <w:rFonts w:cs="Calibri"/>
              </w:rPr>
            </w:pPr>
            <w:r w:rsidRPr="00DD47DF">
              <w:rPr>
                <w:rFonts w:cs="Calibri"/>
              </w:rPr>
              <w:t>OP VVV</w:t>
            </w:r>
          </w:p>
        </w:tc>
        <w:tc>
          <w:tcPr>
            <w:tcW w:w="6836" w:type="dxa"/>
            <w:shd w:val="clear" w:color="auto" w:fill="auto"/>
          </w:tcPr>
          <w:p w14:paraId="7AC4710E" w14:textId="77777777" w:rsidR="00F37CF9" w:rsidRPr="00DD47DF" w:rsidRDefault="00F37CF9" w:rsidP="00142A82">
            <w:pPr>
              <w:pStyle w:val="Tabulka"/>
              <w:jc w:val="left"/>
              <w:rPr>
                <w:rFonts w:cs="Calibri"/>
              </w:rPr>
            </w:pPr>
            <w:r w:rsidRPr="00DD47DF">
              <w:rPr>
                <w:rFonts w:cs="Calibri"/>
              </w:rPr>
              <w:t>Operační program Výzkum, vývoj a vzdělávání</w:t>
            </w:r>
          </w:p>
        </w:tc>
      </w:tr>
      <w:tr w:rsidR="00F37CF9" w:rsidRPr="00DD47DF" w14:paraId="40A16909" w14:textId="77777777">
        <w:tc>
          <w:tcPr>
            <w:tcW w:w="2376" w:type="dxa"/>
            <w:shd w:val="clear" w:color="auto" w:fill="auto"/>
          </w:tcPr>
          <w:p w14:paraId="68BA0DA1" w14:textId="77777777" w:rsidR="00F37CF9" w:rsidRPr="00DD47DF" w:rsidRDefault="00F37CF9" w:rsidP="00142A82">
            <w:pPr>
              <w:pStyle w:val="Tabulka"/>
              <w:jc w:val="left"/>
              <w:rPr>
                <w:rFonts w:cs="Calibri"/>
              </w:rPr>
            </w:pPr>
            <w:r w:rsidRPr="00DD47DF">
              <w:rPr>
                <w:rFonts w:cs="Calibri"/>
              </w:rPr>
              <w:t>OP Z</w:t>
            </w:r>
          </w:p>
        </w:tc>
        <w:tc>
          <w:tcPr>
            <w:tcW w:w="6836" w:type="dxa"/>
            <w:shd w:val="clear" w:color="auto" w:fill="auto"/>
          </w:tcPr>
          <w:p w14:paraId="44A9C96E" w14:textId="77777777" w:rsidR="00F37CF9" w:rsidRPr="00DD47DF" w:rsidRDefault="00F37CF9" w:rsidP="00142A82">
            <w:pPr>
              <w:pStyle w:val="Tabulka"/>
              <w:jc w:val="left"/>
              <w:rPr>
                <w:rFonts w:cs="Calibri"/>
              </w:rPr>
            </w:pPr>
            <w:r w:rsidRPr="00DD47DF">
              <w:rPr>
                <w:rFonts w:cs="Calibri"/>
              </w:rPr>
              <w:t>Operační program Zaměstnanost</w:t>
            </w:r>
          </w:p>
        </w:tc>
      </w:tr>
      <w:tr w:rsidR="00F37CF9" w:rsidRPr="00DD47DF" w14:paraId="0DDEB022" w14:textId="77777777">
        <w:tc>
          <w:tcPr>
            <w:tcW w:w="2376" w:type="dxa"/>
            <w:shd w:val="clear" w:color="auto" w:fill="auto"/>
          </w:tcPr>
          <w:p w14:paraId="0B476393" w14:textId="77777777" w:rsidR="00F37CF9" w:rsidRPr="00DD47DF" w:rsidRDefault="00F37CF9" w:rsidP="00142A82">
            <w:pPr>
              <w:pStyle w:val="Tabulka"/>
              <w:jc w:val="left"/>
              <w:rPr>
                <w:rFonts w:cs="Calibri"/>
              </w:rPr>
            </w:pPr>
            <w:r w:rsidRPr="00DD47DF">
              <w:rPr>
                <w:rFonts w:cs="Calibri"/>
              </w:rPr>
              <w:t>OP ŽP</w:t>
            </w:r>
          </w:p>
        </w:tc>
        <w:tc>
          <w:tcPr>
            <w:tcW w:w="6836" w:type="dxa"/>
            <w:shd w:val="clear" w:color="auto" w:fill="auto"/>
          </w:tcPr>
          <w:p w14:paraId="4CC3C80E" w14:textId="77777777" w:rsidR="00F37CF9" w:rsidRPr="00DD47DF" w:rsidRDefault="00F37CF9" w:rsidP="00142A82">
            <w:pPr>
              <w:pStyle w:val="Tabulka"/>
              <w:jc w:val="left"/>
              <w:rPr>
                <w:rFonts w:cs="Calibri"/>
              </w:rPr>
            </w:pPr>
            <w:r w:rsidRPr="00DD47DF">
              <w:rPr>
                <w:rFonts w:cs="Calibri"/>
              </w:rPr>
              <w:t>Operační program Životní prostředí</w:t>
            </w:r>
          </w:p>
        </w:tc>
      </w:tr>
      <w:tr w:rsidR="00F37CF9" w:rsidRPr="00DD47DF" w14:paraId="7743139C" w14:textId="77777777">
        <w:tc>
          <w:tcPr>
            <w:tcW w:w="2376" w:type="dxa"/>
            <w:shd w:val="clear" w:color="auto" w:fill="auto"/>
          </w:tcPr>
          <w:p w14:paraId="3317C32C" w14:textId="77777777" w:rsidR="00F37CF9" w:rsidRPr="00DD47DF" w:rsidRDefault="00F37CF9" w:rsidP="00142A82">
            <w:pPr>
              <w:pStyle w:val="Tabulka"/>
              <w:jc w:val="left"/>
              <w:rPr>
                <w:rFonts w:cs="Calibri"/>
              </w:rPr>
            </w:pPr>
            <w:r w:rsidRPr="00DD47DF">
              <w:rPr>
                <w:rFonts w:cs="Calibri"/>
              </w:rPr>
              <w:t>OPPI</w:t>
            </w:r>
          </w:p>
        </w:tc>
        <w:tc>
          <w:tcPr>
            <w:tcW w:w="6836" w:type="dxa"/>
            <w:shd w:val="clear" w:color="auto" w:fill="auto"/>
          </w:tcPr>
          <w:p w14:paraId="31A73904" w14:textId="77777777" w:rsidR="00F37CF9" w:rsidRPr="00DD47DF" w:rsidRDefault="00F37CF9" w:rsidP="00142A82">
            <w:pPr>
              <w:pStyle w:val="Tabulka"/>
              <w:jc w:val="left"/>
              <w:rPr>
                <w:rFonts w:cs="Calibri"/>
              </w:rPr>
            </w:pPr>
            <w:r w:rsidRPr="00DD47DF">
              <w:rPr>
                <w:rFonts w:cs="Calibri"/>
              </w:rPr>
              <w:t>Operační program Podnikání a inovace 2007-2013</w:t>
            </w:r>
          </w:p>
        </w:tc>
      </w:tr>
      <w:tr w:rsidR="00F37CF9" w:rsidRPr="00DD47DF" w14:paraId="4D87E4D8" w14:textId="77777777">
        <w:tc>
          <w:tcPr>
            <w:tcW w:w="2376" w:type="dxa"/>
            <w:shd w:val="clear" w:color="auto" w:fill="auto"/>
          </w:tcPr>
          <w:p w14:paraId="63543A9C" w14:textId="77777777" w:rsidR="00F37CF9" w:rsidRPr="00DD47DF" w:rsidRDefault="00F37CF9" w:rsidP="00142A82">
            <w:pPr>
              <w:pStyle w:val="Tabulka"/>
              <w:jc w:val="left"/>
              <w:rPr>
                <w:rFonts w:cs="Calibri"/>
              </w:rPr>
            </w:pPr>
            <w:r w:rsidRPr="00DD47DF">
              <w:rPr>
                <w:rFonts w:cs="Calibri"/>
              </w:rPr>
              <w:t>OSS</w:t>
            </w:r>
          </w:p>
        </w:tc>
        <w:tc>
          <w:tcPr>
            <w:tcW w:w="6836" w:type="dxa"/>
            <w:shd w:val="clear" w:color="auto" w:fill="auto"/>
          </w:tcPr>
          <w:p w14:paraId="31596517" w14:textId="77777777" w:rsidR="00F37CF9" w:rsidRPr="00DD47DF" w:rsidRDefault="00F37CF9" w:rsidP="00142A82">
            <w:pPr>
              <w:pStyle w:val="Tabulka"/>
              <w:jc w:val="left"/>
              <w:rPr>
                <w:rFonts w:cs="Calibri"/>
              </w:rPr>
            </w:pPr>
            <w:r w:rsidRPr="00DD47DF">
              <w:rPr>
                <w:rFonts w:cs="Calibri"/>
              </w:rPr>
              <w:t>Organizační složky státu</w:t>
            </w:r>
          </w:p>
        </w:tc>
      </w:tr>
      <w:tr w:rsidR="00F37CF9" w:rsidRPr="00DD47DF" w14:paraId="6FF86BAD" w14:textId="77777777">
        <w:tc>
          <w:tcPr>
            <w:tcW w:w="2376" w:type="dxa"/>
            <w:shd w:val="clear" w:color="auto" w:fill="auto"/>
          </w:tcPr>
          <w:p w14:paraId="716302DD" w14:textId="77777777" w:rsidR="00F37CF9" w:rsidRPr="00DD47DF" w:rsidRDefault="00F37CF9" w:rsidP="00142A82">
            <w:pPr>
              <w:pStyle w:val="Tabulka"/>
              <w:jc w:val="left"/>
              <w:rPr>
                <w:rFonts w:cs="Calibri"/>
              </w:rPr>
            </w:pPr>
            <w:r w:rsidRPr="00DD47DF">
              <w:rPr>
                <w:rFonts w:cs="Calibri"/>
              </w:rPr>
              <w:lastRenderedPageBreak/>
              <w:t>OSVČ</w:t>
            </w:r>
          </w:p>
        </w:tc>
        <w:tc>
          <w:tcPr>
            <w:tcW w:w="6836" w:type="dxa"/>
            <w:shd w:val="clear" w:color="auto" w:fill="auto"/>
          </w:tcPr>
          <w:p w14:paraId="7E71D4AA" w14:textId="77777777" w:rsidR="00F37CF9" w:rsidRPr="00DD47DF" w:rsidRDefault="00F37CF9" w:rsidP="00142A82">
            <w:pPr>
              <w:pStyle w:val="Tabulka"/>
              <w:jc w:val="left"/>
              <w:rPr>
                <w:rFonts w:cs="Calibri"/>
              </w:rPr>
            </w:pPr>
            <w:r w:rsidRPr="00DD47DF">
              <w:rPr>
                <w:rStyle w:val="st1"/>
                <w:szCs w:val="24"/>
              </w:rPr>
              <w:t>Osoba samostatně výdělečně činná</w:t>
            </w:r>
          </w:p>
        </w:tc>
      </w:tr>
      <w:tr w:rsidR="00F37CF9" w:rsidRPr="00DD47DF" w14:paraId="4BBEB9B1" w14:textId="77777777">
        <w:tc>
          <w:tcPr>
            <w:tcW w:w="2376" w:type="dxa"/>
            <w:shd w:val="clear" w:color="auto" w:fill="auto"/>
          </w:tcPr>
          <w:p w14:paraId="2847B7AC" w14:textId="77777777" w:rsidR="00F37CF9" w:rsidRPr="00DD47DF" w:rsidRDefault="00F37CF9" w:rsidP="00142A82">
            <w:pPr>
              <w:pStyle w:val="Tabulka"/>
              <w:jc w:val="left"/>
              <w:rPr>
                <w:rFonts w:cs="Calibri"/>
              </w:rPr>
            </w:pPr>
            <w:r w:rsidRPr="00DD47DF">
              <w:rPr>
                <w:rFonts w:cs="Calibri"/>
              </w:rPr>
              <w:t>OZE</w:t>
            </w:r>
          </w:p>
        </w:tc>
        <w:tc>
          <w:tcPr>
            <w:tcW w:w="6836" w:type="dxa"/>
            <w:shd w:val="clear" w:color="auto" w:fill="auto"/>
          </w:tcPr>
          <w:p w14:paraId="625E03A5" w14:textId="77777777" w:rsidR="00F37CF9" w:rsidRPr="00DD47DF" w:rsidRDefault="00F37CF9" w:rsidP="00142A82">
            <w:pPr>
              <w:pStyle w:val="Tabulka"/>
              <w:jc w:val="left"/>
              <w:rPr>
                <w:rFonts w:cs="Calibri"/>
              </w:rPr>
            </w:pPr>
            <w:r w:rsidRPr="00DD47DF">
              <w:rPr>
                <w:rFonts w:cs="Calibri"/>
              </w:rPr>
              <w:t>Obnovitelné zdroje energie</w:t>
            </w:r>
          </w:p>
        </w:tc>
      </w:tr>
      <w:tr w:rsidR="00F37CF9" w:rsidRPr="00DD47DF" w14:paraId="797D29DB" w14:textId="77777777">
        <w:tc>
          <w:tcPr>
            <w:tcW w:w="2376" w:type="dxa"/>
            <w:shd w:val="clear" w:color="auto" w:fill="auto"/>
          </w:tcPr>
          <w:p w14:paraId="6EE69297" w14:textId="77777777" w:rsidR="00F37CF9" w:rsidRPr="00DD47DF" w:rsidRDefault="00F37CF9" w:rsidP="00142A82">
            <w:pPr>
              <w:pStyle w:val="Tabulka"/>
              <w:jc w:val="left"/>
              <w:rPr>
                <w:rFonts w:cs="Calibri"/>
              </w:rPr>
            </w:pPr>
            <w:r w:rsidRPr="00DD47DF">
              <w:rPr>
                <w:rFonts w:cs="Calibri"/>
              </w:rPr>
              <w:t>PCO</w:t>
            </w:r>
          </w:p>
        </w:tc>
        <w:tc>
          <w:tcPr>
            <w:tcW w:w="6836" w:type="dxa"/>
            <w:shd w:val="clear" w:color="auto" w:fill="auto"/>
          </w:tcPr>
          <w:p w14:paraId="1E929C26" w14:textId="77777777" w:rsidR="00F37CF9" w:rsidRPr="00DD47DF" w:rsidRDefault="00F37CF9" w:rsidP="00142A82">
            <w:pPr>
              <w:pStyle w:val="Tabulka"/>
              <w:jc w:val="left"/>
              <w:rPr>
                <w:rFonts w:cs="Calibri"/>
              </w:rPr>
            </w:pPr>
            <w:r w:rsidRPr="00DD47DF">
              <w:rPr>
                <w:rFonts w:cs="Calibri"/>
              </w:rPr>
              <w:t>Platební a certifikační orgán</w:t>
            </w:r>
          </w:p>
        </w:tc>
      </w:tr>
      <w:tr w:rsidR="00F37CF9" w:rsidRPr="00DD47DF" w14:paraId="43435441" w14:textId="77777777">
        <w:tc>
          <w:tcPr>
            <w:tcW w:w="2376" w:type="dxa"/>
            <w:shd w:val="clear" w:color="auto" w:fill="auto"/>
          </w:tcPr>
          <w:p w14:paraId="51BB9E69" w14:textId="77777777" w:rsidR="00F37CF9" w:rsidRPr="00DD47DF" w:rsidRDefault="00F37CF9" w:rsidP="00142A82">
            <w:pPr>
              <w:pStyle w:val="Tabulka"/>
              <w:jc w:val="left"/>
              <w:rPr>
                <w:rFonts w:cs="Calibri"/>
              </w:rPr>
            </w:pPr>
            <w:r w:rsidRPr="00DD47DF">
              <w:rPr>
                <w:rFonts w:cs="Calibri"/>
              </w:rPr>
              <w:t>PCP</w:t>
            </w:r>
          </w:p>
        </w:tc>
        <w:tc>
          <w:tcPr>
            <w:tcW w:w="6836" w:type="dxa"/>
            <w:shd w:val="clear" w:color="auto" w:fill="auto"/>
          </w:tcPr>
          <w:p w14:paraId="25B8F2B2" w14:textId="77777777" w:rsidR="00F37CF9" w:rsidRPr="00DD47DF" w:rsidRDefault="00F37CF9" w:rsidP="00142A82">
            <w:pPr>
              <w:pStyle w:val="Tabulka"/>
              <w:jc w:val="left"/>
              <w:rPr>
                <w:rFonts w:cs="Calibri"/>
              </w:rPr>
            </w:pPr>
            <w:r w:rsidRPr="00DD47DF">
              <w:rPr>
                <w:rFonts w:cs="Calibri"/>
              </w:rPr>
              <w:t>Pre-commercial public procurement</w:t>
            </w:r>
          </w:p>
        </w:tc>
      </w:tr>
      <w:tr w:rsidR="00F37CF9" w:rsidRPr="00DD47DF" w14:paraId="415419AD" w14:textId="77777777">
        <w:tc>
          <w:tcPr>
            <w:tcW w:w="2376" w:type="dxa"/>
            <w:shd w:val="clear" w:color="auto" w:fill="auto"/>
          </w:tcPr>
          <w:p w14:paraId="0904274B" w14:textId="77777777" w:rsidR="00F37CF9" w:rsidRPr="00DD47DF" w:rsidRDefault="00F37CF9" w:rsidP="00142A82">
            <w:pPr>
              <w:pStyle w:val="Tabulka"/>
              <w:jc w:val="left"/>
              <w:rPr>
                <w:rFonts w:cs="Calibri"/>
              </w:rPr>
            </w:pPr>
            <w:r w:rsidRPr="00DD47DF">
              <w:rPr>
                <w:rFonts w:cs="Calibri"/>
              </w:rPr>
              <w:t>PD</w:t>
            </w:r>
          </w:p>
        </w:tc>
        <w:tc>
          <w:tcPr>
            <w:tcW w:w="6836" w:type="dxa"/>
            <w:shd w:val="clear" w:color="auto" w:fill="auto"/>
          </w:tcPr>
          <w:p w14:paraId="7F642E60" w14:textId="77777777" w:rsidR="00F37CF9" w:rsidRPr="00DD47DF" w:rsidRDefault="00F37CF9" w:rsidP="00142A82">
            <w:pPr>
              <w:pStyle w:val="Tabulka"/>
              <w:jc w:val="left"/>
              <w:rPr>
                <w:rFonts w:cs="Calibri"/>
              </w:rPr>
            </w:pPr>
            <w:r w:rsidRPr="00DD47DF">
              <w:rPr>
                <w:rFonts w:cs="Calibri"/>
              </w:rPr>
              <w:t>Programový dokument</w:t>
            </w:r>
          </w:p>
        </w:tc>
      </w:tr>
      <w:tr w:rsidR="00F37CF9" w:rsidRPr="00DD47DF" w14:paraId="748E4480" w14:textId="77777777">
        <w:tc>
          <w:tcPr>
            <w:tcW w:w="2376" w:type="dxa"/>
            <w:shd w:val="clear" w:color="auto" w:fill="auto"/>
          </w:tcPr>
          <w:p w14:paraId="5269E4FA" w14:textId="77777777" w:rsidR="00F37CF9" w:rsidRPr="00DD47DF" w:rsidRDefault="00F37CF9" w:rsidP="00142A82">
            <w:pPr>
              <w:pStyle w:val="Tabulka"/>
              <w:jc w:val="left"/>
              <w:rPr>
                <w:rFonts w:cs="Calibri"/>
              </w:rPr>
            </w:pPr>
            <w:r w:rsidRPr="00DD47DF">
              <w:rPr>
                <w:rFonts w:cs="Calibri"/>
              </w:rPr>
              <w:t>PO</w:t>
            </w:r>
          </w:p>
        </w:tc>
        <w:tc>
          <w:tcPr>
            <w:tcW w:w="6836" w:type="dxa"/>
            <w:shd w:val="clear" w:color="auto" w:fill="auto"/>
          </w:tcPr>
          <w:p w14:paraId="43823093" w14:textId="77777777" w:rsidR="00F37CF9" w:rsidRPr="00DD47DF" w:rsidRDefault="00F37CF9" w:rsidP="00142A82">
            <w:pPr>
              <w:pStyle w:val="Tabulka"/>
              <w:jc w:val="left"/>
              <w:rPr>
                <w:rFonts w:cs="Calibri"/>
              </w:rPr>
            </w:pPr>
            <w:r w:rsidRPr="00DD47DF">
              <w:rPr>
                <w:rFonts w:cs="Calibri"/>
              </w:rPr>
              <w:t>Prioritní osa</w:t>
            </w:r>
          </w:p>
        </w:tc>
      </w:tr>
      <w:tr w:rsidR="00F37CF9" w:rsidRPr="00DD47DF" w14:paraId="79D9FF56" w14:textId="77777777">
        <w:tc>
          <w:tcPr>
            <w:tcW w:w="2376" w:type="dxa"/>
            <w:shd w:val="clear" w:color="auto" w:fill="auto"/>
          </w:tcPr>
          <w:p w14:paraId="10E6DF2F" w14:textId="77777777" w:rsidR="00F37CF9" w:rsidRPr="00DD47DF" w:rsidRDefault="00F37CF9" w:rsidP="00142A82">
            <w:pPr>
              <w:pStyle w:val="Tabulka"/>
              <w:jc w:val="left"/>
              <w:rPr>
                <w:rFonts w:cs="Calibri"/>
              </w:rPr>
            </w:pPr>
            <w:r w:rsidRPr="00DD47DF">
              <w:rPr>
                <w:rFonts w:cs="Calibri"/>
              </w:rPr>
              <w:t>PRV</w:t>
            </w:r>
          </w:p>
        </w:tc>
        <w:tc>
          <w:tcPr>
            <w:tcW w:w="6836" w:type="dxa"/>
            <w:shd w:val="clear" w:color="auto" w:fill="auto"/>
          </w:tcPr>
          <w:p w14:paraId="040CCB25" w14:textId="77777777" w:rsidR="00F37CF9" w:rsidRPr="00DD47DF" w:rsidRDefault="00F37CF9" w:rsidP="00142A82">
            <w:pPr>
              <w:pStyle w:val="Tabulka"/>
              <w:jc w:val="left"/>
              <w:rPr>
                <w:rFonts w:cs="Calibri"/>
              </w:rPr>
            </w:pPr>
            <w:r w:rsidRPr="00DD47DF">
              <w:rPr>
                <w:rFonts w:cs="Calibri"/>
              </w:rPr>
              <w:t>Program rozvoje venkova</w:t>
            </w:r>
          </w:p>
        </w:tc>
      </w:tr>
      <w:tr w:rsidR="00F37CF9" w:rsidRPr="00DD47DF" w14:paraId="112C9CEB" w14:textId="77777777">
        <w:tc>
          <w:tcPr>
            <w:tcW w:w="2376" w:type="dxa"/>
            <w:shd w:val="clear" w:color="auto" w:fill="auto"/>
          </w:tcPr>
          <w:p w14:paraId="3B258F96" w14:textId="77777777" w:rsidR="00F37CF9" w:rsidRPr="00DD47DF" w:rsidRDefault="00241CA3" w:rsidP="00142A82">
            <w:pPr>
              <w:pStyle w:val="Tabulka"/>
              <w:jc w:val="left"/>
              <w:rPr>
                <w:rFonts w:cs="Calibri"/>
              </w:rPr>
            </w:pPr>
            <w:r w:rsidRPr="00DD47DF">
              <w:rPr>
                <w:rFonts w:cs="Calibri"/>
              </w:rPr>
              <w:t>PS</w:t>
            </w:r>
          </w:p>
        </w:tc>
        <w:tc>
          <w:tcPr>
            <w:tcW w:w="6836" w:type="dxa"/>
            <w:shd w:val="clear" w:color="auto" w:fill="auto"/>
          </w:tcPr>
          <w:p w14:paraId="2B024562" w14:textId="77777777" w:rsidR="00F37CF9" w:rsidRPr="00DD47DF" w:rsidRDefault="00241CA3" w:rsidP="00142A82">
            <w:pPr>
              <w:pStyle w:val="Tabulka"/>
              <w:jc w:val="left"/>
              <w:rPr>
                <w:rFonts w:cs="Calibri"/>
              </w:rPr>
            </w:pPr>
            <w:r w:rsidRPr="00DD47DF">
              <w:rPr>
                <w:rFonts w:cs="Calibri"/>
              </w:rPr>
              <w:t>Pracovní skupina</w:t>
            </w:r>
          </w:p>
        </w:tc>
      </w:tr>
      <w:tr w:rsidR="00241CA3" w:rsidRPr="00DD47DF" w14:paraId="08ADDEA7" w14:textId="77777777">
        <w:tc>
          <w:tcPr>
            <w:tcW w:w="2376" w:type="dxa"/>
            <w:shd w:val="clear" w:color="auto" w:fill="auto"/>
          </w:tcPr>
          <w:p w14:paraId="778C8E74" w14:textId="77777777" w:rsidR="00241CA3" w:rsidRPr="00DD47DF" w:rsidRDefault="00092326" w:rsidP="00142A82">
            <w:pPr>
              <w:pStyle w:val="Tabulka"/>
              <w:jc w:val="left"/>
              <w:rPr>
                <w:rFonts w:cs="Calibri"/>
              </w:rPr>
            </w:pPr>
            <w:r w:rsidRPr="00DD47DF">
              <w:rPr>
                <w:rFonts w:cs="Calibri"/>
              </w:rPr>
              <w:t>RIS3</w:t>
            </w:r>
          </w:p>
        </w:tc>
        <w:tc>
          <w:tcPr>
            <w:tcW w:w="6836" w:type="dxa"/>
            <w:shd w:val="clear" w:color="auto" w:fill="auto"/>
          </w:tcPr>
          <w:p w14:paraId="6641E2FD" w14:textId="77777777" w:rsidR="00241CA3" w:rsidRPr="00DD47DF" w:rsidRDefault="00241CA3" w:rsidP="00142A82">
            <w:pPr>
              <w:pStyle w:val="Tabulka"/>
              <w:jc w:val="left"/>
              <w:rPr>
                <w:rFonts w:cs="Calibri"/>
              </w:rPr>
            </w:pPr>
            <w:r w:rsidRPr="00DD47DF">
              <w:rPr>
                <w:rFonts w:cs="Calibri"/>
              </w:rPr>
              <w:t>Strategie inteligentní specializace ČR</w:t>
            </w:r>
          </w:p>
        </w:tc>
      </w:tr>
      <w:tr w:rsidR="00092326" w:rsidRPr="00DD47DF" w14:paraId="43A452C9" w14:textId="77777777">
        <w:tc>
          <w:tcPr>
            <w:tcW w:w="2376" w:type="dxa"/>
            <w:shd w:val="clear" w:color="auto" w:fill="auto"/>
          </w:tcPr>
          <w:p w14:paraId="11435EE0" w14:textId="77777777" w:rsidR="00092326" w:rsidRPr="00DD47DF" w:rsidRDefault="00092326" w:rsidP="00142A82">
            <w:pPr>
              <w:pStyle w:val="Tabulka"/>
              <w:jc w:val="left"/>
              <w:rPr>
                <w:rFonts w:cs="Calibri"/>
              </w:rPr>
            </w:pPr>
            <w:r w:rsidRPr="00DD47DF">
              <w:rPr>
                <w:rFonts w:cs="Calibri"/>
              </w:rPr>
              <w:t>ŘO</w:t>
            </w:r>
          </w:p>
        </w:tc>
        <w:tc>
          <w:tcPr>
            <w:tcW w:w="6836" w:type="dxa"/>
            <w:shd w:val="clear" w:color="auto" w:fill="auto"/>
          </w:tcPr>
          <w:p w14:paraId="609B5F4F" w14:textId="77777777" w:rsidR="00092326" w:rsidRPr="00DD47DF" w:rsidRDefault="00092326" w:rsidP="00142A82">
            <w:pPr>
              <w:pStyle w:val="Tabulka"/>
              <w:jc w:val="left"/>
              <w:rPr>
                <w:rFonts w:cs="Calibri"/>
              </w:rPr>
            </w:pPr>
            <w:r w:rsidRPr="00DD47DF">
              <w:rPr>
                <w:rFonts w:cs="Calibri"/>
              </w:rPr>
              <w:t>Řídící orgán</w:t>
            </w:r>
          </w:p>
        </w:tc>
      </w:tr>
      <w:tr w:rsidR="00241CA3" w:rsidRPr="00DD47DF" w14:paraId="42B2B1D9" w14:textId="77777777">
        <w:tc>
          <w:tcPr>
            <w:tcW w:w="2376" w:type="dxa"/>
            <w:shd w:val="clear" w:color="auto" w:fill="auto"/>
          </w:tcPr>
          <w:p w14:paraId="1208B0E1" w14:textId="77777777" w:rsidR="00241CA3" w:rsidRPr="00DD47DF" w:rsidRDefault="00241CA3" w:rsidP="00142A82">
            <w:pPr>
              <w:pStyle w:val="Tabulka"/>
              <w:jc w:val="left"/>
              <w:rPr>
                <w:rFonts w:cs="Calibri"/>
              </w:rPr>
            </w:pPr>
            <w:r w:rsidRPr="00DD47DF">
              <w:rPr>
                <w:rFonts w:cs="Calibri"/>
              </w:rPr>
              <w:t>SBA</w:t>
            </w:r>
          </w:p>
        </w:tc>
        <w:tc>
          <w:tcPr>
            <w:tcW w:w="6836" w:type="dxa"/>
            <w:shd w:val="clear" w:color="auto" w:fill="auto"/>
          </w:tcPr>
          <w:p w14:paraId="727662A1" w14:textId="77777777" w:rsidR="00241CA3" w:rsidRPr="00DD47DF" w:rsidRDefault="00241CA3" w:rsidP="00142A82">
            <w:pPr>
              <w:pStyle w:val="Tabulka"/>
              <w:jc w:val="left"/>
              <w:rPr>
                <w:rFonts w:cs="Calibri"/>
              </w:rPr>
            </w:pPr>
            <w:r w:rsidRPr="00DD47DF">
              <w:rPr>
                <w:rFonts w:cs="Calibri"/>
              </w:rPr>
              <w:t>Small Business Act</w:t>
            </w:r>
          </w:p>
        </w:tc>
      </w:tr>
      <w:tr w:rsidR="00241CA3" w:rsidRPr="00DD47DF" w14:paraId="5A819B05" w14:textId="77777777">
        <w:tc>
          <w:tcPr>
            <w:tcW w:w="2376" w:type="dxa"/>
            <w:shd w:val="clear" w:color="auto" w:fill="auto"/>
          </w:tcPr>
          <w:p w14:paraId="5C5DB94E" w14:textId="77777777" w:rsidR="00241CA3" w:rsidRPr="00DD47DF" w:rsidRDefault="00241CA3" w:rsidP="00142A82">
            <w:pPr>
              <w:pStyle w:val="Tabulka"/>
              <w:jc w:val="left"/>
              <w:rPr>
                <w:rFonts w:cs="Calibri"/>
              </w:rPr>
            </w:pPr>
            <w:r w:rsidRPr="00DD47DF">
              <w:rPr>
                <w:rFonts w:cs="Calibri"/>
              </w:rPr>
              <w:t>SC</w:t>
            </w:r>
          </w:p>
        </w:tc>
        <w:tc>
          <w:tcPr>
            <w:tcW w:w="6836" w:type="dxa"/>
            <w:shd w:val="clear" w:color="auto" w:fill="auto"/>
          </w:tcPr>
          <w:p w14:paraId="129ADF9F" w14:textId="77777777" w:rsidR="00241CA3" w:rsidRPr="00DD47DF" w:rsidRDefault="00241CA3" w:rsidP="00142A82">
            <w:pPr>
              <w:pStyle w:val="Tabulka"/>
              <w:jc w:val="left"/>
              <w:rPr>
                <w:rFonts w:cs="Calibri"/>
              </w:rPr>
            </w:pPr>
            <w:r w:rsidRPr="00DD47DF">
              <w:rPr>
                <w:rFonts w:cs="Calibri"/>
              </w:rPr>
              <w:t>Specifický cíl</w:t>
            </w:r>
          </w:p>
        </w:tc>
      </w:tr>
      <w:tr w:rsidR="00241CA3" w:rsidRPr="00DD47DF" w14:paraId="7DC1C435" w14:textId="77777777">
        <w:tc>
          <w:tcPr>
            <w:tcW w:w="2376" w:type="dxa"/>
            <w:shd w:val="clear" w:color="auto" w:fill="auto"/>
          </w:tcPr>
          <w:p w14:paraId="3924FADD" w14:textId="77777777" w:rsidR="00241CA3" w:rsidRPr="00DD47DF" w:rsidRDefault="00241CA3" w:rsidP="00142A82">
            <w:pPr>
              <w:pStyle w:val="Tabulka"/>
              <w:jc w:val="left"/>
              <w:rPr>
                <w:rFonts w:cs="Calibri"/>
              </w:rPr>
            </w:pPr>
            <w:r w:rsidRPr="00DD47DF">
              <w:rPr>
                <w:rFonts w:cs="Calibri"/>
              </w:rPr>
              <w:t>SEA</w:t>
            </w:r>
          </w:p>
        </w:tc>
        <w:tc>
          <w:tcPr>
            <w:tcW w:w="6836" w:type="dxa"/>
            <w:shd w:val="clear" w:color="auto" w:fill="auto"/>
          </w:tcPr>
          <w:p w14:paraId="5AB8C747" w14:textId="77777777" w:rsidR="00241CA3" w:rsidRPr="00DD47DF" w:rsidRDefault="00241CA3" w:rsidP="00142A82">
            <w:pPr>
              <w:pStyle w:val="Tabulka"/>
              <w:jc w:val="left"/>
              <w:rPr>
                <w:rFonts w:cs="Calibri"/>
              </w:rPr>
            </w:pPr>
            <w:r w:rsidRPr="00DD47DF">
              <w:rPr>
                <w:rFonts w:cs="Calibri"/>
              </w:rPr>
              <w:t>Posuzování vlivů koncepce na životní prostředí</w:t>
            </w:r>
          </w:p>
        </w:tc>
      </w:tr>
      <w:tr w:rsidR="00A83DD9" w:rsidRPr="00DD47DF" w14:paraId="62A71AAB" w14:textId="77777777">
        <w:tc>
          <w:tcPr>
            <w:tcW w:w="2376" w:type="dxa"/>
            <w:shd w:val="clear" w:color="auto" w:fill="auto"/>
          </w:tcPr>
          <w:p w14:paraId="0D912828" w14:textId="77777777" w:rsidR="00A83DD9" w:rsidRPr="00DD47DF" w:rsidRDefault="00A83DD9" w:rsidP="00142A82">
            <w:pPr>
              <w:pStyle w:val="Tabulka"/>
              <w:jc w:val="left"/>
              <w:rPr>
                <w:rFonts w:cs="Calibri"/>
              </w:rPr>
            </w:pPr>
            <w:r w:rsidRPr="00DD47DF">
              <w:rPr>
                <w:rFonts w:cs="Calibri"/>
              </w:rPr>
              <w:t>SEI</w:t>
            </w:r>
          </w:p>
        </w:tc>
        <w:tc>
          <w:tcPr>
            <w:tcW w:w="6836" w:type="dxa"/>
            <w:shd w:val="clear" w:color="auto" w:fill="auto"/>
          </w:tcPr>
          <w:p w14:paraId="14BE4699" w14:textId="77777777" w:rsidR="00A83DD9" w:rsidRPr="00DD47DF" w:rsidRDefault="00A83DD9" w:rsidP="00142A82">
            <w:pPr>
              <w:pStyle w:val="Tabulka"/>
              <w:jc w:val="left"/>
              <w:rPr>
                <w:rFonts w:cs="Calibri"/>
              </w:rPr>
            </w:pPr>
            <w:r w:rsidRPr="00DD47DF">
              <w:rPr>
                <w:rFonts w:cs="Calibri"/>
              </w:rPr>
              <w:t>Státní energetická inspekce ČR</w:t>
            </w:r>
          </w:p>
        </w:tc>
      </w:tr>
      <w:tr w:rsidR="00241CA3" w:rsidRPr="00DD47DF" w14:paraId="63C5CE52" w14:textId="77777777">
        <w:tc>
          <w:tcPr>
            <w:tcW w:w="2376" w:type="dxa"/>
            <w:shd w:val="clear" w:color="auto" w:fill="auto"/>
          </w:tcPr>
          <w:p w14:paraId="3FB71013" w14:textId="77777777" w:rsidR="00241CA3" w:rsidRPr="00DD47DF" w:rsidRDefault="00241CA3" w:rsidP="00142A82">
            <w:pPr>
              <w:pStyle w:val="Tabulka"/>
              <w:jc w:val="left"/>
              <w:rPr>
                <w:rFonts w:cs="Calibri"/>
              </w:rPr>
            </w:pPr>
            <w:r w:rsidRPr="00DD47DF">
              <w:rPr>
                <w:rFonts w:cs="Calibri"/>
              </w:rPr>
              <w:t>SEK</w:t>
            </w:r>
          </w:p>
        </w:tc>
        <w:tc>
          <w:tcPr>
            <w:tcW w:w="6836" w:type="dxa"/>
            <w:shd w:val="clear" w:color="auto" w:fill="auto"/>
          </w:tcPr>
          <w:p w14:paraId="6CF08FB4" w14:textId="77777777" w:rsidR="00241CA3" w:rsidRPr="00DD47DF" w:rsidRDefault="00241CA3" w:rsidP="00142A82">
            <w:pPr>
              <w:pStyle w:val="Tabulka"/>
              <w:jc w:val="left"/>
              <w:rPr>
                <w:rFonts w:cs="Calibri"/>
              </w:rPr>
            </w:pPr>
            <w:r w:rsidRPr="00DD47DF">
              <w:rPr>
                <w:rFonts w:cs="Calibri"/>
              </w:rPr>
              <w:t>Státní energetická koncepce ČR</w:t>
            </w:r>
          </w:p>
        </w:tc>
      </w:tr>
      <w:tr w:rsidR="00241CA3" w:rsidRPr="00DD47DF" w14:paraId="4501728B" w14:textId="77777777">
        <w:tc>
          <w:tcPr>
            <w:tcW w:w="2376" w:type="dxa"/>
            <w:shd w:val="clear" w:color="auto" w:fill="auto"/>
          </w:tcPr>
          <w:p w14:paraId="36890937" w14:textId="77777777" w:rsidR="00241CA3" w:rsidRPr="00DD47DF" w:rsidRDefault="00241CA3" w:rsidP="00142A82">
            <w:pPr>
              <w:pStyle w:val="Tabulka"/>
              <w:jc w:val="left"/>
              <w:rPr>
                <w:rFonts w:cs="Calibri"/>
              </w:rPr>
            </w:pPr>
            <w:r w:rsidRPr="00DD47DF">
              <w:rPr>
                <w:rFonts w:cs="Calibri"/>
              </w:rPr>
              <w:t>SFEU</w:t>
            </w:r>
          </w:p>
        </w:tc>
        <w:tc>
          <w:tcPr>
            <w:tcW w:w="6836" w:type="dxa"/>
            <w:shd w:val="clear" w:color="auto" w:fill="auto"/>
          </w:tcPr>
          <w:p w14:paraId="42334C43" w14:textId="77777777" w:rsidR="00241CA3" w:rsidRPr="00DD47DF" w:rsidRDefault="00241CA3" w:rsidP="00142A82">
            <w:pPr>
              <w:pStyle w:val="Tabulka"/>
              <w:jc w:val="left"/>
              <w:rPr>
                <w:rFonts w:cs="Calibri"/>
              </w:rPr>
            </w:pPr>
            <w:r w:rsidRPr="00DD47DF">
              <w:rPr>
                <w:rFonts w:cs="Calibri"/>
              </w:rPr>
              <w:t>Smlouva o fungování EU</w:t>
            </w:r>
          </w:p>
        </w:tc>
      </w:tr>
      <w:tr w:rsidR="00241CA3" w:rsidRPr="00DD47DF" w14:paraId="5101A798" w14:textId="77777777">
        <w:tc>
          <w:tcPr>
            <w:tcW w:w="2376" w:type="dxa"/>
            <w:shd w:val="clear" w:color="auto" w:fill="auto"/>
          </w:tcPr>
          <w:p w14:paraId="63940DEB" w14:textId="77777777" w:rsidR="00241CA3" w:rsidRPr="00DD47DF" w:rsidRDefault="00241CA3" w:rsidP="00142A82">
            <w:pPr>
              <w:pStyle w:val="Tabulka"/>
              <w:jc w:val="left"/>
              <w:rPr>
                <w:rFonts w:cs="Calibri"/>
              </w:rPr>
            </w:pPr>
            <w:r w:rsidRPr="00DD47DF">
              <w:rPr>
                <w:rFonts w:cs="Calibri"/>
              </w:rPr>
              <w:t>SMK</w:t>
            </w:r>
          </w:p>
        </w:tc>
        <w:tc>
          <w:tcPr>
            <w:tcW w:w="6836" w:type="dxa"/>
            <w:shd w:val="clear" w:color="auto" w:fill="auto"/>
          </w:tcPr>
          <w:p w14:paraId="41E6DEE4" w14:textId="77777777" w:rsidR="00241CA3" w:rsidRPr="00DD47DF" w:rsidRDefault="00241CA3" w:rsidP="00142A82">
            <w:pPr>
              <w:pStyle w:val="Tabulka"/>
              <w:jc w:val="left"/>
              <w:rPr>
                <w:rFonts w:cs="Calibri"/>
              </w:rPr>
            </w:pPr>
            <w:r w:rsidRPr="00DD47DF">
              <w:rPr>
                <w:rFonts w:cs="Calibri"/>
              </w:rPr>
              <w:t>Strategie mezinárodní konkurenceschopnosti ČR</w:t>
            </w:r>
          </w:p>
        </w:tc>
      </w:tr>
      <w:tr w:rsidR="00241CA3" w:rsidRPr="00DD47DF" w14:paraId="604350A0" w14:textId="77777777">
        <w:tc>
          <w:tcPr>
            <w:tcW w:w="2376" w:type="dxa"/>
            <w:shd w:val="clear" w:color="auto" w:fill="auto"/>
          </w:tcPr>
          <w:p w14:paraId="47875918" w14:textId="77777777" w:rsidR="00241CA3" w:rsidRPr="00DD47DF" w:rsidRDefault="00241CA3" w:rsidP="00142A82">
            <w:pPr>
              <w:pStyle w:val="Tabulka"/>
              <w:jc w:val="left"/>
              <w:rPr>
                <w:rFonts w:cs="Calibri"/>
              </w:rPr>
            </w:pPr>
            <w:r w:rsidRPr="00DD47DF">
              <w:rPr>
                <w:rFonts w:cs="Calibri"/>
              </w:rPr>
              <w:t>SRR</w:t>
            </w:r>
          </w:p>
        </w:tc>
        <w:tc>
          <w:tcPr>
            <w:tcW w:w="6836" w:type="dxa"/>
            <w:shd w:val="clear" w:color="auto" w:fill="auto"/>
          </w:tcPr>
          <w:p w14:paraId="2E71D69F" w14:textId="77777777" w:rsidR="00241CA3" w:rsidRPr="00DD47DF" w:rsidRDefault="00241CA3" w:rsidP="00142A82">
            <w:pPr>
              <w:pStyle w:val="Tabulka"/>
              <w:jc w:val="left"/>
              <w:rPr>
                <w:rFonts w:cs="Calibri"/>
              </w:rPr>
            </w:pPr>
            <w:r w:rsidRPr="00DD47DF">
              <w:rPr>
                <w:rFonts w:cs="Calibri"/>
              </w:rPr>
              <w:t>Strategie regionálního rozvoje ČR pro období 2014 – 2020</w:t>
            </w:r>
          </w:p>
        </w:tc>
      </w:tr>
      <w:tr w:rsidR="00241CA3" w:rsidRPr="00DD47DF" w14:paraId="282BDC9D" w14:textId="77777777">
        <w:tc>
          <w:tcPr>
            <w:tcW w:w="2376" w:type="dxa"/>
            <w:shd w:val="clear" w:color="auto" w:fill="auto"/>
          </w:tcPr>
          <w:p w14:paraId="1178F32D" w14:textId="77777777" w:rsidR="00241CA3" w:rsidRPr="00DD47DF" w:rsidRDefault="00241CA3" w:rsidP="00142A82">
            <w:pPr>
              <w:pStyle w:val="Tabulka"/>
              <w:jc w:val="left"/>
              <w:rPr>
                <w:rFonts w:cs="Calibri"/>
              </w:rPr>
            </w:pPr>
            <w:r w:rsidRPr="00DD47DF">
              <w:rPr>
                <w:rFonts w:cs="Calibri"/>
              </w:rPr>
              <w:t>SRUR</w:t>
            </w:r>
          </w:p>
        </w:tc>
        <w:tc>
          <w:tcPr>
            <w:tcW w:w="6836" w:type="dxa"/>
            <w:shd w:val="clear" w:color="auto" w:fill="auto"/>
          </w:tcPr>
          <w:p w14:paraId="6815D226" w14:textId="77777777" w:rsidR="00241CA3" w:rsidRPr="00DD47DF" w:rsidRDefault="00241CA3" w:rsidP="00142A82">
            <w:pPr>
              <w:pStyle w:val="Tabulka"/>
              <w:jc w:val="left"/>
              <w:rPr>
                <w:rFonts w:cs="Calibri"/>
              </w:rPr>
            </w:pPr>
            <w:r w:rsidRPr="00DD47DF">
              <w:rPr>
                <w:rFonts w:cs="Calibri"/>
              </w:rPr>
              <w:t>Strategický rámec udržitelného rozvoje ČR</w:t>
            </w:r>
          </w:p>
        </w:tc>
      </w:tr>
      <w:tr w:rsidR="00241CA3" w:rsidRPr="00DD47DF" w14:paraId="63A972AE" w14:textId="77777777">
        <w:tc>
          <w:tcPr>
            <w:tcW w:w="2376" w:type="dxa"/>
            <w:shd w:val="clear" w:color="auto" w:fill="auto"/>
          </w:tcPr>
          <w:p w14:paraId="35BB4096" w14:textId="77777777" w:rsidR="00241CA3" w:rsidRPr="00DD47DF" w:rsidRDefault="00241CA3" w:rsidP="00142A82">
            <w:pPr>
              <w:pStyle w:val="Tabulka"/>
              <w:jc w:val="left"/>
              <w:rPr>
                <w:rFonts w:cs="Calibri"/>
              </w:rPr>
            </w:pPr>
            <w:r w:rsidRPr="00DD47DF">
              <w:rPr>
                <w:rFonts w:cs="Calibri"/>
              </w:rPr>
              <w:t>SSR</w:t>
            </w:r>
          </w:p>
        </w:tc>
        <w:tc>
          <w:tcPr>
            <w:tcW w:w="6836" w:type="dxa"/>
            <w:shd w:val="clear" w:color="auto" w:fill="auto"/>
          </w:tcPr>
          <w:p w14:paraId="6BA99441" w14:textId="77777777" w:rsidR="00241CA3" w:rsidRPr="00DD47DF" w:rsidRDefault="00241CA3" w:rsidP="00142A82">
            <w:pPr>
              <w:pStyle w:val="Tabulka"/>
              <w:jc w:val="left"/>
              <w:rPr>
                <w:rFonts w:cs="Calibri"/>
              </w:rPr>
            </w:pPr>
            <w:r w:rsidRPr="00DD47DF">
              <w:rPr>
                <w:rFonts w:cs="Calibri"/>
              </w:rPr>
              <w:t>Společný strategický rámec</w:t>
            </w:r>
          </w:p>
        </w:tc>
      </w:tr>
      <w:tr w:rsidR="0037504E" w:rsidRPr="00DD47DF" w14:paraId="553A2D9D" w14:textId="77777777">
        <w:tc>
          <w:tcPr>
            <w:tcW w:w="2376" w:type="dxa"/>
            <w:shd w:val="clear" w:color="auto" w:fill="auto"/>
          </w:tcPr>
          <w:p w14:paraId="76A15ACB" w14:textId="77777777" w:rsidR="0037504E" w:rsidRPr="00DD47DF" w:rsidRDefault="0037504E" w:rsidP="00142A82">
            <w:pPr>
              <w:pStyle w:val="Tabulka"/>
              <w:jc w:val="left"/>
              <w:rPr>
                <w:rFonts w:cs="Calibri"/>
              </w:rPr>
            </w:pPr>
            <w:r w:rsidRPr="00DD47DF">
              <w:rPr>
                <w:rFonts w:cs="Calibri"/>
              </w:rPr>
              <w:t>SÚPM-SVČ</w:t>
            </w:r>
          </w:p>
        </w:tc>
        <w:tc>
          <w:tcPr>
            <w:tcW w:w="6836" w:type="dxa"/>
            <w:shd w:val="clear" w:color="auto" w:fill="auto"/>
          </w:tcPr>
          <w:p w14:paraId="272518EE" w14:textId="77777777" w:rsidR="0037504E" w:rsidRPr="00DD47DF" w:rsidRDefault="0037504E" w:rsidP="00142A82">
            <w:pPr>
              <w:pStyle w:val="Tabulka"/>
              <w:jc w:val="left"/>
              <w:rPr>
                <w:rFonts w:cs="Calibri"/>
              </w:rPr>
            </w:pPr>
            <w:r w:rsidRPr="00DD47DF">
              <w:rPr>
                <w:rFonts w:cs="Calibri"/>
              </w:rPr>
              <w:t>Společensky účelné pracovní místo zřízené uchazečem o zaměstnání za účelem výkonu samostatně výdělečné činnosti</w:t>
            </w:r>
          </w:p>
        </w:tc>
      </w:tr>
      <w:tr w:rsidR="00241CA3" w:rsidRPr="00DD47DF" w14:paraId="4876295D" w14:textId="77777777">
        <w:tc>
          <w:tcPr>
            <w:tcW w:w="2376" w:type="dxa"/>
            <w:shd w:val="clear" w:color="auto" w:fill="auto"/>
          </w:tcPr>
          <w:p w14:paraId="33F4C0FE" w14:textId="77777777" w:rsidR="00241CA3" w:rsidRPr="00DD47DF" w:rsidRDefault="00241CA3" w:rsidP="00142A82">
            <w:pPr>
              <w:pStyle w:val="Tabulka"/>
              <w:jc w:val="left"/>
              <w:rPr>
                <w:rFonts w:cs="Calibri"/>
              </w:rPr>
            </w:pPr>
            <w:r w:rsidRPr="00DD47DF">
              <w:rPr>
                <w:rFonts w:cs="Calibri"/>
              </w:rPr>
              <w:t>TA ČR</w:t>
            </w:r>
          </w:p>
        </w:tc>
        <w:tc>
          <w:tcPr>
            <w:tcW w:w="6836" w:type="dxa"/>
            <w:shd w:val="clear" w:color="auto" w:fill="auto"/>
          </w:tcPr>
          <w:p w14:paraId="4F9CABC3" w14:textId="77777777" w:rsidR="00241CA3" w:rsidRPr="00DD47DF" w:rsidRDefault="00241CA3" w:rsidP="00142A82">
            <w:pPr>
              <w:pStyle w:val="Tabulka"/>
              <w:jc w:val="left"/>
              <w:rPr>
                <w:rFonts w:cs="Calibri"/>
              </w:rPr>
            </w:pPr>
            <w:r w:rsidRPr="00DD47DF">
              <w:rPr>
                <w:rFonts w:cs="Calibri"/>
              </w:rPr>
              <w:t>Technologická agentura České republiky</w:t>
            </w:r>
          </w:p>
        </w:tc>
      </w:tr>
      <w:tr w:rsidR="00241CA3" w:rsidRPr="00DD47DF" w14:paraId="439F5DA4" w14:textId="77777777">
        <w:tc>
          <w:tcPr>
            <w:tcW w:w="2376" w:type="dxa"/>
            <w:shd w:val="clear" w:color="auto" w:fill="auto"/>
          </w:tcPr>
          <w:p w14:paraId="781DA03C" w14:textId="77777777" w:rsidR="00241CA3" w:rsidRPr="00DD47DF" w:rsidRDefault="00241CA3" w:rsidP="00142A82">
            <w:pPr>
              <w:pStyle w:val="Tabulka"/>
              <w:jc w:val="left"/>
              <w:rPr>
                <w:rFonts w:cs="Calibri"/>
              </w:rPr>
            </w:pPr>
            <w:r w:rsidRPr="00DD47DF">
              <w:rPr>
                <w:rFonts w:cs="Calibri"/>
              </w:rPr>
              <w:t>TC</w:t>
            </w:r>
          </w:p>
        </w:tc>
        <w:tc>
          <w:tcPr>
            <w:tcW w:w="6836" w:type="dxa"/>
            <w:shd w:val="clear" w:color="auto" w:fill="auto"/>
          </w:tcPr>
          <w:p w14:paraId="23991AA1" w14:textId="77777777" w:rsidR="00241CA3" w:rsidRPr="00DD47DF" w:rsidRDefault="00241CA3" w:rsidP="00142A82">
            <w:pPr>
              <w:pStyle w:val="Tabulka"/>
              <w:jc w:val="left"/>
              <w:rPr>
                <w:rFonts w:cs="Calibri"/>
              </w:rPr>
            </w:pPr>
            <w:r w:rsidRPr="00DD47DF">
              <w:rPr>
                <w:rFonts w:cs="Calibri"/>
              </w:rPr>
              <w:t>Tematický cíl</w:t>
            </w:r>
          </w:p>
        </w:tc>
      </w:tr>
      <w:tr w:rsidR="00241CA3" w:rsidRPr="00DD47DF" w14:paraId="67BA917F" w14:textId="77777777">
        <w:tc>
          <w:tcPr>
            <w:tcW w:w="2376" w:type="dxa"/>
            <w:shd w:val="clear" w:color="auto" w:fill="auto"/>
          </w:tcPr>
          <w:p w14:paraId="53D83D89" w14:textId="77777777" w:rsidR="00241CA3" w:rsidRPr="00DD47DF" w:rsidRDefault="00241CA3" w:rsidP="00142A82">
            <w:pPr>
              <w:pStyle w:val="Tabulka"/>
              <w:jc w:val="left"/>
              <w:rPr>
                <w:rFonts w:cs="Calibri"/>
              </w:rPr>
            </w:pPr>
            <w:r w:rsidRPr="00DD47DF">
              <w:rPr>
                <w:rFonts w:cs="Calibri"/>
              </w:rPr>
              <w:t>TC AV</w:t>
            </w:r>
          </w:p>
        </w:tc>
        <w:tc>
          <w:tcPr>
            <w:tcW w:w="6836" w:type="dxa"/>
            <w:shd w:val="clear" w:color="auto" w:fill="auto"/>
          </w:tcPr>
          <w:p w14:paraId="29BD8C42" w14:textId="77777777" w:rsidR="00241CA3" w:rsidRPr="00DD47DF" w:rsidRDefault="00241CA3" w:rsidP="00142A82">
            <w:pPr>
              <w:pStyle w:val="Tabulka"/>
              <w:jc w:val="left"/>
              <w:rPr>
                <w:rFonts w:cs="Calibri"/>
              </w:rPr>
            </w:pPr>
            <w:r w:rsidRPr="00DD47DF">
              <w:rPr>
                <w:rFonts w:cs="Calibri"/>
              </w:rPr>
              <w:t>Technologické centrum Akademie věd ČR</w:t>
            </w:r>
          </w:p>
        </w:tc>
      </w:tr>
      <w:tr w:rsidR="00241CA3" w:rsidRPr="00DD47DF" w14:paraId="4A29BE53" w14:textId="77777777">
        <w:tc>
          <w:tcPr>
            <w:tcW w:w="2376" w:type="dxa"/>
            <w:shd w:val="clear" w:color="auto" w:fill="auto"/>
          </w:tcPr>
          <w:p w14:paraId="7B6CA6F3" w14:textId="77777777" w:rsidR="00241CA3" w:rsidRPr="00DD47DF" w:rsidRDefault="00241CA3" w:rsidP="00142A82">
            <w:pPr>
              <w:pStyle w:val="Tabulka"/>
              <w:jc w:val="left"/>
              <w:rPr>
                <w:rFonts w:cs="Calibri"/>
              </w:rPr>
            </w:pPr>
            <w:r w:rsidRPr="00DD47DF">
              <w:rPr>
                <w:rFonts w:cs="Calibri"/>
              </w:rPr>
              <w:t>ÚOHS</w:t>
            </w:r>
          </w:p>
        </w:tc>
        <w:tc>
          <w:tcPr>
            <w:tcW w:w="6836" w:type="dxa"/>
            <w:shd w:val="clear" w:color="auto" w:fill="auto"/>
          </w:tcPr>
          <w:p w14:paraId="124DB51C" w14:textId="77777777" w:rsidR="00241CA3" w:rsidRPr="00DD47DF" w:rsidRDefault="00241CA3" w:rsidP="00142A82">
            <w:pPr>
              <w:pStyle w:val="Tabulka"/>
              <w:jc w:val="left"/>
              <w:rPr>
                <w:rFonts w:cs="Calibri"/>
              </w:rPr>
            </w:pPr>
            <w:r w:rsidRPr="00DD47DF">
              <w:rPr>
                <w:rFonts w:cs="Calibri"/>
              </w:rPr>
              <w:t>Úřad pro ochranu hospodářské soutěže</w:t>
            </w:r>
          </w:p>
        </w:tc>
      </w:tr>
      <w:tr w:rsidR="00E94BD9" w:rsidRPr="00DD47DF" w14:paraId="08342CEC" w14:textId="77777777">
        <w:tc>
          <w:tcPr>
            <w:tcW w:w="2376" w:type="dxa"/>
            <w:shd w:val="clear" w:color="auto" w:fill="auto"/>
          </w:tcPr>
          <w:p w14:paraId="3E77571C" w14:textId="77777777" w:rsidR="00E94BD9" w:rsidRPr="00DD47DF" w:rsidRDefault="00E94BD9" w:rsidP="00142A82">
            <w:pPr>
              <w:pStyle w:val="Tabulka"/>
              <w:jc w:val="left"/>
              <w:rPr>
                <w:rFonts w:cs="Calibri"/>
              </w:rPr>
            </w:pPr>
            <w:r w:rsidRPr="00DD47DF">
              <w:rPr>
                <w:rFonts w:cs="Calibri"/>
              </w:rPr>
              <w:t>ÚP ČP</w:t>
            </w:r>
          </w:p>
        </w:tc>
        <w:tc>
          <w:tcPr>
            <w:tcW w:w="6836" w:type="dxa"/>
            <w:shd w:val="clear" w:color="auto" w:fill="auto"/>
          </w:tcPr>
          <w:p w14:paraId="0355A8AA" w14:textId="77777777" w:rsidR="00E94BD9" w:rsidRPr="00DD47DF" w:rsidRDefault="00E94BD9" w:rsidP="00142A82">
            <w:pPr>
              <w:pStyle w:val="Tabulka"/>
              <w:jc w:val="left"/>
              <w:rPr>
                <w:rFonts w:cs="Calibri"/>
              </w:rPr>
            </w:pPr>
            <w:r w:rsidRPr="00DD47DF">
              <w:rPr>
                <w:rFonts w:cs="Calibri"/>
              </w:rPr>
              <w:t xml:space="preserve">Úřad práce </w:t>
            </w:r>
            <w:r w:rsidR="002D1B8D" w:rsidRPr="00DD47DF">
              <w:rPr>
                <w:rFonts w:cs="Calibri"/>
              </w:rPr>
              <w:t>Č</w:t>
            </w:r>
            <w:r w:rsidRPr="00DD47DF">
              <w:rPr>
                <w:rFonts w:cs="Calibri"/>
              </w:rPr>
              <w:t>eské republiky</w:t>
            </w:r>
          </w:p>
        </w:tc>
      </w:tr>
      <w:tr w:rsidR="00241CA3" w:rsidRPr="00DD47DF" w14:paraId="0B265F45" w14:textId="77777777">
        <w:tc>
          <w:tcPr>
            <w:tcW w:w="2376" w:type="dxa"/>
            <w:shd w:val="clear" w:color="auto" w:fill="auto"/>
          </w:tcPr>
          <w:p w14:paraId="54ABFED3" w14:textId="77777777" w:rsidR="00241CA3" w:rsidRPr="00DD47DF" w:rsidRDefault="00241CA3" w:rsidP="00142A82">
            <w:pPr>
              <w:pStyle w:val="Tabulka"/>
              <w:jc w:val="left"/>
              <w:rPr>
                <w:rFonts w:cs="Calibri"/>
              </w:rPr>
            </w:pPr>
            <w:r w:rsidRPr="00DD47DF">
              <w:rPr>
                <w:rFonts w:cs="Calibri"/>
              </w:rPr>
              <w:t>UV</w:t>
            </w:r>
          </w:p>
        </w:tc>
        <w:tc>
          <w:tcPr>
            <w:tcW w:w="6836" w:type="dxa"/>
            <w:shd w:val="clear" w:color="auto" w:fill="auto"/>
          </w:tcPr>
          <w:p w14:paraId="655BBB1E" w14:textId="77777777" w:rsidR="00241CA3" w:rsidRPr="00DD47DF" w:rsidRDefault="00241CA3" w:rsidP="00142A82">
            <w:pPr>
              <w:pStyle w:val="Tabulka"/>
              <w:jc w:val="left"/>
              <w:rPr>
                <w:rFonts w:cs="Calibri"/>
              </w:rPr>
            </w:pPr>
            <w:r w:rsidRPr="00DD47DF">
              <w:rPr>
                <w:rFonts w:cs="Calibri"/>
              </w:rPr>
              <w:t>Usnesení vlády ČR</w:t>
            </w:r>
          </w:p>
        </w:tc>
      </w:tr>
      <w:tr w:rsidR="00241CA3" w:rsidRPr="00DD47DF" w14:paraId="7E59A9F5" w14:textId="77777777">
        <w:tc>
          <w:tcPr>
            <w:tcW w:w="2376" w:type="dxa"/>
            <w:shd w:val="clear" w:color="auto" w:fill="auto"/>
          </w:tcPr>
          <w:p w14:paraId="5A2186B9" w14:textId="77777777" w:rsidR="00241CA3" w:rsidRPr="00DD47DF" w:rsidRDefault="00241CA3" w:rsidP="00142A82">
            <w:pPr>
              <w:pStyle w:val="Tabulka"/>
              <w:jc w:val="left"/>
              <w:rPr>
                <w:rFonts w:cs="Calibri"/>
              </w:rPr>
            </w:pPr>
            <w:r w:rsidRPr="00DD47DF">
              <w:rPr>
                <w:rFonts w:cs="Calibri"/>
              </w:rPr>
              <w:t>ÚV</w:t>
            </w:r>
            <w:r w:rsidR="00DC60E3" w:rsidRPr="00DD47DF">
              <w:rPr>
                <w:rFonts w:cs="Calibri"/>
              </w:rPr>
              <w:t xml:space="preserve"> ČR</w:t>
            </w:r>
          </w:p>
        </w:tc>
        <w:tc>
          <w:tcPr>
            <w:tcW w:w="6836" w:type="dxa"/>
            <w:shd w:val="clear" w:color="auto" w:fill="auto"/>
          </w:tcPr>
          <w:p w14:paraId="533A4AF0" w14:textId="77777777" w:rsidR="00241CA3" w:rsidRPr="00DD47DF" w:rsidRDefault="00241CA3" w:rsidP="00142A82">
            <w:pPr>
              <w:pStyle w:val="Tabulka"/>
              <w:jc w:val="left"/>
              <w:rPr>
                <w:rFonts w:cs="Calibri"/>
              </w:rPr>
            </w:pPr>
            <w:r w:rsidRPr="00DD47DF">
              <w:rPr>
                <w:rFonts w:cs="Calibri"/>
              </w:rPr>
              <w:t xml:space="preserve">Úřad vlády </w:t>
            </w:r>
            <w:r w:rsidR="0048329A" w:rsidRPr="00DD47DF">
              <w:rPr>
                <w:rFonts w:cs="Calibri"/>
              </w:rPr>
              <w:t>Č</w:t>
            </w:r>
            <w:r w:rsidR="00DC60E3" w:rsidRPr="00DD47DF">
              <w:rPr>
                <w:rFonts w:cs="Calibri"/>
              </w:rPr>
              <w:t>eské republiky</w:t>
            </w:r>
          </w:p>
        </w:tc>
      </w:tr>
      <w:tr w:rsidR="00241CA3" w:rsidRPr="00DD47DF" w14:paraId="35812A13" w14:textId="77777777">
        <w:tc>
          <w:tcPr>
            <w:tcW w:w="2376" w:type="dxa"/>
            <w:shd w:val="clear" w:color="auto" w:fill="auto"/>
          </w:tcPr>
          <w:p w14:paraId="50DA14DD" w14:textId="77777777" w:rsidR="00241CA3" w:rsidRPr="00DD47DF" w:rsidRDefault="00241CA3" w:rsidP="00142A82">
            <w:pPr>
              <w:pStyle w:val="Tabulka"/>
              <w:jc w:val="left"/>
              <w:rPr>
                <w:rFonts w:cs="Calibri"/>
              </w:rPr>
            </w:pPr>
            <w:r w:rsidRPr="00DD47DF">
              <w:rPr>
                <w:rFonts w:cs="Calibri"/>
              </w:rPr>
              <w:t>VaVaI</w:t>
            </w:r>
          </w:p>
        </w:tc>
        <w:tc>
          <w:tcPr>
            <w:tcW w:w="6836" w:type="dxa"/>
            <w:shd w:val="clear" w:color="auto" w:fill="auto"/>
          </w:tcPr>
          <w:p w14:paraId="595F3BAC" w14:textId="77777777" w:rsidR="00241CA3" w:rsidRPr="00DD47DF" w:rsidRDefault="00241CA3" w:rsidP="00142A82">
            <w:pPr>
              <w:pStyle w:val="Tabulka"/>
              <w:jc w:val="left"/>
              <w:rPr>
                <w:rFonts w:cs="Calibri"/>
              </w:rPr>
            </w:pPr>
            <w:r w:rsidRPr="00DD47DF">
              <w:rPr>
                <w:rFonts w:cs="Calibri"/>
              </w:rPr>
              <w:t>Výzkum, vývoj a inovace</w:t>
            </w:r>
          </w:p>
        </w:tc>
      </w:tr>
      <w:tr w:rsidR="00241CA3" w:rsidRPr="00DD47DF" w14:paraId="5480389C" w14:textId="77777777">
        <w:tc>
          <w:tcPr>
            <w:tcW w:w="2376" w:type="dxa"/>
            <w:shd w:val="clear" w:color="auto" w:fill="auto"/>
          </w:tcPr>
          <w:p w14:paraId="3737E6A8" w14:textId="77777777" w:rsidR="00241CA3" w:rsidRPr="00DD47DF" w:rsidRDefault="00241CA3" w:rsidP="00142A82">
            <w:pPr>
              <w:pStyle w:val="Tabulka"/>
              <w:jc w:val="left"/>
              <w:rPr>
                <w:rFonts w:cs="Calibri"/>
              </w:rPr>
            </w:pPr>
            <w:r w:rsidRPr="00DD47DF">
              <w:rPr>
                <w:rFonts w:cs="Calibri"/>
              </w:rPr>
              <w:t>VP</w:t>
            </w:r>
          </w:p>
        </w:tc>
        <w:tc>
          <w:tcPr>
            <w:tcW w:w="6836" w:type="dxa"/>
            <w:shd w:val="clear" w:color="auto" w:fill="auto"/>
          </w:tcPr>
          <w:p w14:paraId="76988701" w14:textId="77777777" w:rsidR="00241CA3" w:rsidRPr="00DD47DF" w:rsidRDefault="00241CA3" w:rsidP="00142A82">
            <w:pPr>
              <w:pStyle w:val="Tabulka"/>
              <w:jc w:val="left"/>
              <w:rPr>
                <w:rFonts w:cs="Calibri"/>
              </w:rPr>
            </w:pPr>
            <w:r w:rsidRPr="00DD47DF">
              <w:rPr>
                <w:rFonts w:cs="Calibri"/>
              </w:rPr>
              <w:t>Veřejná podpora</w:t>
            </w:r>
          </w:p>
        </w:tc>
      </w:tr>
      <w:tr w:rsidR="00414568" w:rsidRPr="00DD47DF" w14:paraId="5A2BBCF7" w14:textId="77777777">
        <w:tc>
          <w:tcPr>
            <w:tcW w:w="2376" w:type="dxa"/>
            <w:shd w:val="clear" w:color="auto" w:fill="auto"/>
          </w:tcPr>
          <w:p w14:paraId="56088D44" w14:textId="77777777" w:rsidR="009118D7" w:rsidRPr="00DD47DF" w:rsidRDefault="009118D7" w:rsidP="00142A82">
            <w:pPr>
              <w:pStyle w:val="Tabulka"/>
              <w:jc w:val="left"/>
              <w:rPr>
                <w:rFonts w:cs="Calibri"/>
              </w:rPr>
            </w:pPr>
            <w:r w:rsidRPr="00DD47DF">
              <w:rPr>
                <w:rFonts w:cs="Calibri"/>
              </w:rPr>
              <w:t>VŠE</w:t>
            </w:r>
          </w:p>
          <w:p w14:paraId="21204651" w14:textId="77777777" w:rsidR="00414568" w:rsidRPr="00DD47DF" w:rsidRDefault="00414568" w:rsidP="00142A82">
            <w:pPr>
              <w:pStyle w:val="Tabulka"/>
              <w:jc w:val="left"/>
              <w:rPr>
                <w:rFonts w:cs="Calibri"/>
              </w:rPr>
            </w:pPr>
            <w:r w:rsidRPr="00DD47DF">
              <w:rPr>
                <w:rFonts w:cs="Calibri"/>
              </w:rPr>
              <w:t>VTP</w:t>
            </w:r>
          </w:p>
        </w:tc>
        <w:tc>
          <w:tcPr>
            <w:tcW w:w="6836" w:type="dxa"/>
            <w:shd w:val="clear" w:color="auto" w:fill="auto"/>
          </w:tcPr>
          <w:p w14:paraId="6E365861" w14:textId="77777777" w:rsidR="009118D7" w:rsidRPr="00DD47DF" w:rsidRDefault="009118D7" w:rsidP="009118D7">
            <w:pPr>
              <w:pStyle w:val="Tabulka"/>
              <w:tabs>
                <w:tab w:val="left" w:pos="3388"/>
              </w:tabs>
              <w:jc w:val="left"/>
              <w:rPr>
                <w:rFonts w:cs="Calibri"/>
              </w:rPr>
            </w:pPr>
            <w:r w:rsidRPr="00DD47DF">
              <w:rPr>
                <w:rFonts w:cs="Calibri"/>
              </w:rPr>
              <w:t xml:space="preserve">Vysoká škola ekonomická </w:t>
            </w:r>
            <w:r w:rsidR="00120476" w:rsidRPr="00DD47DF">
              <w:rPr>
                <w:rFonts w:cs="Calibri"/>
              </w:rPr>
              <w:t xml:space="preserve">v </w:t>
            </w:r>
            <w:r w:rsidRPr="00DD47DF">
              <w:rPr>
                <w:rFonts w:cs="Calibri"/>
              </w:rPr>
              <w:t>Pra</w:t>
            </w:r>
            <w:r w:rsidR="00120476" w:rsidRPr="00DD47DF">
              <w:rPr>
                <w:rFonts w:cs="Calibri"/>
              </w:rPr>
              <w:t>ze</w:t>
            </w:r>
          </w:p>
          <w:p w14:paraId="35E981F7" w14:textId="77777777" w:rsidR="00414568" w:rsidRPr="00DD47DF" w:rsidRDefault="00414568" w:rsidP="00142A82">
            <w:pPr>
              <w:pStyle w:val="Tabulka"/>
              <w:jc w:val="left"/>
              <w:rPr>
                <w:rFonts w:cs="Calibri"/>
              </w:rPr>
            </w:pPr>
            <w:r w:rsidRPr="00DD47DF">
              <w:rPr>
                <w:rFonts w:cs="Calibri"/>
              </w:rPr>
              <w:t>Vědecko</w:t>
            </w:r>
            <w:r w:rsidR="0038384A" w:rsidRPr="00DD47DF">
              <w:rPr>
                <w:rFonts w:cs="Calibri"/>
              </w:rPr>
              <w:t>technický</w:t>
            </w:r>
            <w:r w:rsidRPr="00DD47DF">
              <w:rPr>
                <w:rFonts w:cs="Calibri"/>
              </w:rPr>
              <w:t xml:space="preserve"> park</w:t>
            </w:r>
          </w:p>
        </w:tc>
      </w:tr>
      <w:tr w:rsidR="00241CA3" w:rsidRPr="00DD47DF" w14:paraId="4AA9F6F1" w14:textId="77777777">
        <w:tc>
          <w:tcPr>
            <w:tcW w:w="2376" w:type="dxa"/>
            <w:shd w:val="clear" w:color="auto" w:fill="auto"/>
          </w:tcPr>
          <w:p w14:paraId="5AFD4092" w14:textId="77777777" w:rsidR="00241CA3" w:rsidRPr="00DD47DF" w:rsidRDefault="00241CA3" w:rsidP="00142A82">
            <w:pPr>
              <w:pStyle w:val="Tabulka"/>
              <w:jc w:val="left"/>
              <w:rPr>
                <w:rFonts w:cs="Calibri"/>
              </w:rPr>
            </w:pPr>
            <w:r w:rsidRPr="00DD47DF">
              <w:rPr>
                <w:rFonts w:cs="Calibri"/>
              </w:rPr>
              <w:t>VVI</w:t>
            </w:r>
          </w:p>
        </w:tc>
        <w:tc>
          <w:tcPr>
            <w:tcW w:w="6836" w:type="dxa"/>
            <w:shd w:val="clear" w:color="auto" w:fill="auto"/>
          </w:tcPr>
          <w:p w14:paraId="40A31002" w14:textId="77777777" w:rsidR="00241CA3" w:rsidRPr="00DD47DF" w:rsidRDefault="00241CA3" w:rsidP="00142A82">
            <w:pPr>
              <w:pStyle w:val="Tabulka"/>
              <w:jc w:val="left"/>
              <w:rPr>
                <w:rFonts w:cs="Calibri"/>
              </w:rPr>
            </w:pPr>
            <w:r w:rsidRPr="00DD47DF">
              <w:rPr>
                <w:rStyle w:val="st1"/>
                <w:szCs w:val="24"/>
              </w:rPr>
              <w:t xml:space="preserve">Veřejná výzkumná </w:t>
            </w:r>
            <w:r w:rsidRPr="00DD47DF">
              <w:rPr>
                <w:rStyle w:val="Zdraznn"/>
                <w:b w:val="0"/>
                <w:szCs w:val="24"/>
              </w:rPr>
              <w:t>instituce</w:t>
            </w:r>
          </w:p>
        </w:tc>
      </w:tr>
      <w:tr w:rsidR="0046425C" w:rsidRPr="00DD47DF" w14:paraId="2A20E599" w14:textId="77777777">
        <w:tc>
          <w:tcPr>
            <w:tcW w:w="2376" w:type="dxa"/>
            <w:shd w:val="clear" w:color="auto" w:fill="auto"/>
          </w:tcPr>
          <w:p w14:paraId="757349B3" w14:textId="77777777" w:rsidR="0046425C" w:rsidRPr="00DD47DF" w:rsidRDefault="0046425C" w:rsidP="00142A82">
            <w:pPr>
              <w:pStyle w:val="Tabulka"/>
              <w:jc w:val="left"/>
              <w:rPr>
                <w:rFonts w:cs="Calibri"/>
              </w:rPr>
            </w:pPr>
            <w:r w:rsidRPr="00DD47DF">
              <w:rPr>
                <w:rFonts w:cs="Calibri"/>
              </w:rPr>
              <w:t>ZS</w:t>
            </w:r>
          </w:p>
        </w:tc>
        <w:tc>
          <w:tcPr>
            <w:tcW w:w="6836" w:type="dxa"/>
            <w:shd w:val="clear" w:color="auto" w:fill="auto"/>
          </w:tcPr>
          <w:p w14:paraId="62DF432C" w14:textId="77777777" w:rsidR="0046425C" w:rsidRPr="00DD47DF" w:rsidRDefault="0046425C" w:rsidP="00142A82">
            <w:pPr>
              <w:pStyle w:val="Tabulka"/>
              <w:jc w:val="left"/>
              <w:rPr>
                <w:rStyle w:val="st1"/>
                <w:szCs w:val="24"/>
              </w:rPr>
            </w:pPr>
            <w:r w:rsidRPr="00DD47DF">
              <w:rPr>
                <w:rStyle w:val="st1"/>
                <w:szCs w:val="24"/>
              </w:rPr>
              <w:t>Zprostředkující subjekt</w:t>
            </w:r>
          </w:p>
        </w:tc>
      </w:tr>
    </w:tbl>
    <w:p w14:paraId="7BE1D78E" w14:textId="77777777" w:rsidR="00D44AFC" w:rsidRPr="00DD47DF" w:rsidRDefault="00D44AFC" w:rsidP="00D44AFC">
      <w:pPr>
        <w:rPr>
          <w:rFonts w:ascii="Calibri" w:hAnsi="Calibri" w:cs="Calibri"/>
        </w:rPr>
      </w:pPr>
      <w:r w:rsidRPr="00DD47DF">
        <w:rPr>
          <w:rFonts w:ascii="Calibri" w:hAnsi="Calibri" w:cs="Calibri"/>
        </w:rPr>
        <w:br w:type="page"/>
      </w:r>
    </w:p>
    <w:p w14:paraId="22174D96" w14:textId="77777777" w:rsidR="0029795B" w:rsidRPr="00DD47DF" w:rsidRDefault="00F203B2" w:rsidP="00F203B2">
      <w:pPr>
        <w:pStyle w:val="Nadpis1"/>
      </w:pPr>
      <w:bookmarkStart w:id="1" w:name="_Toc129005359"/>
      <w:r w:rsidRPr="00DD47DF">
        <w:lastRenderedPageBreak/>
        <w:t>Strategie, na jejímž základě bude operační program přispívat ke strategii Unie pro inteligentní a udržitelný růst podporující začlenění a k dosažení hospodářské, sociální a územní soudržnosti</w:t>
      </w:r>
      <w:bookmarkEnd w:id="1"/>
    </w:p>
    <w:p w14:paraId="730835A7" w14:textId="77777777" w:rsidR="00394685" w:rsidRPr="00DD47DF" w:rsidRDefault="00F203B2" w:rsidP="00F203B2">
      <w:pPr>
        <w:pStyle w:val="Nadpis2"/>
        <w:rPr>
          <w:rFonts w:cs="Calibri"/>
        </w:rPr>
      </w:pPr>
      <w:bookmarkStart w:id="2" w:name="_Toc129005360"/>
      <w:r w:rsidRPr="00DD47DF">
        <w:rPr>
          <w:rFonts w:cs="Calibri"/>
        </w:rPr>
        <w:t>Strategie, na jejímž základě bude operační program přispívat ke strategii Unie pro inteligentní a udržitelný růst podporující začlenění a k dosažení hospodářské, sociální a územní soudržnosti</w:t>
      </w:r>
      <w:bookmarkEnd w:id="2"/>
      <w:r w:rsidR="00394685" w:rsidRPr="00DD47DF">
        <w:rPr>
          <w:rFonts w:cs="Calibri"/>
        </w:rPr>
        <w:t xml:space="preserve"> </w:t>
      </w:r>
    </w:p>
    <w:p w14:paraId="1CFF306C" w14:textId="77777777" w:rsidR="00606523" w:rsidRPr="00DD47DF" w:rsidRDefault="00606523" w:rsidP="00405487">
      <w:pPr>
        <w:pStyle w:val="Nadpis3"/>
        <w:rPr>
          <w:rFonts w:cs="Calibri"/>
        </w:rPr>
      </w:pPr>
      <w:bookmarkStart w:id="3" w:name="_Toc129005361"/>
      <w:r w:rsidRPr="00DD47DF">
        <w:rPr>
          <w:rFonts w:cs="Calibri"/>
        </w:rPr>
        <w:t>Popis strategie programu, pokud jde o jeho příspěvek k plnění strategie Unie pro inteligentní a udržitelný růst podporující začlenění a k dosažení hospodářské, sociální a územní soudržnosti.</w:t>
      </w:r>
      <w:bookmarkEnd w:id="3"/>
    </w:p>
    <w:p w14:paraId="04F15051" w14:textId="77777777" w:rsidR="0040363A" w:rsidRPr="00DD47DF" w:rsidRDefault="0040363A" w:rsidP="00405487">
      <w:pPr>
        <w:pStyle w:val="Standardntext"/>
      </w:pPr>
      <w:r w:rsidRPr="00DD47DF">
        <w:rPr>
          <w:b/>
        </w:rPr>
        <w:t>Operační program Podnikání a inovace pro konkurenceschopnost 2014 - 2020</w:t>
      </w:r>
      <w:r w:rsidRPr="00DD47DF">
        <w:t xml:space="preserve"> („Operační program“ nebo „OP PIK“) je dokument vypracovaný Řídícím orgánem OP PIK (Ministerstvem průmyslu a obchodu, MPO) ve spolupráci s partnery, který stanovuje cíle a priority pro efektivní využívání Evropského fondu pro regionální rozvoj („EFRR“) za účelem dosažení konkurenceschopné a udržitelné ekonomiky založené na znalostech a inovacích. OP PIK je realizován v rámci cíle Investice pro růst a zaměstnanost politiky soudržnosti EU. OP PIK byl zpracován v souladu s čl. 27 obecného nařízení</w:t>
      </w:r>
      <w:r w:rsidRPr="00DD47DF">
        <w:rPr>
          <w:rStyle w:val="Znakapoznpodarou"/>
        </w:rPr>
        <w:footnoteReference w:id="2"/>
      </w:r>
      <w:r w:rsidRPr="00DD47DF">
        <w:t>, který stanovuje jeho obsah, a zároveň v souladu se šablonami Evropské komise („Komise“ nebo „EK“)</w:t>
      </w:r>
      <w:r w:rsidRPr="00DD47DF">
        <w:rPr>
          <w:rStyle w:val="Znakapoznpodarou"/>
        </w:rPr>
        <w:footnoteReference w:id="3"/>
      </w:r>
      <w:r w:rsidRPr="00DD47DF">
        <w:t xml:space="preserve">. V rámci uvedeného cíle bude OP PIK přispívat k naplňování tematických cílů 1 až 4 a tematického cíle 7 definovaných v čl. 9 návrhu obecného nařízení. </w:t>
      </w:r>
    </w:p>
    <w:p w14:paraId="38A2E5EE" w14:textId="77777777" w:rsidR="0040363A" w:rsidRPr="00DD47DF" w:rsidRDefault="0040363A" w:rsidP="0040363A">
      <w:pPr>
        <w:pStyle w:val="Standardntext"/>
      </w:pPr>
      <w:r w:rsidRPr="00DD47DF">
        <w:t xml:space="preserve">Operační program stanovuje strategii, na základě které bude přispívat ke Strategii Unie pro inteligentní a udržitelný růst podporující začlenění </w:t>
      </w:r>
      <w:r w:rsidRPr="00DD47DF">
        <w:rPr>
          <w:bCs/>
        </w:rPr>
        <w:t>(„</w:t>
      </w:r>
      <w:r w:rsidRPr="00DD47DF">
        <w:t>Strategie Evropa 2020“ nebo „EU 2020“)</w:t>
      </w:r>
      <w:r w:rsidRPr="00DD47DF">
        <w:rPr>
          <w:rStyle w:val="Znakapoznpodarou"/>
        </w:rPr>
        <w:footnoteReference w:id="4"/>
      </w:r>
      <w:r w:rsidRPr="00DD47DF">
        <w:t>, a která je v souladu s ustanoveními obsaženými v obecném nařízení a nařízení o EFRR</w:t>
      </w:r>
      <w:r w:rsidRPr="00DD47DF">
        <w:rPr>
          <w:rStyle w:val="Znakapoznpodarou"/>
        </w:rPr>
        <w:footnoteReference w:id="5"/>
      </w:r>
      <w:r w:rsidRPr="00DD47DF">
        <w:t xml:space="preserve"> a s obsahem Dohody o partnerství pro programové období 2014-2020 („Dohoda o partnerství“ nebo „Dohoda“).</w:t>
      </w:r>
    </w:p>
    <w:p w14:paraId="5C5B9F45" w14:textId="77777777" w:rsidR="009759AE" w:rsidRPr="00DD47DF" w:rsidRDefault="0040363A" w:rsidP="0040363A">
      <w:pPr>
        <w:pStyle w:val="Standardntext"/>
      </w:pPr>
      <w:r w:rsidRPr="00DD47DF">
        <w:t>Strategie OP PIK je založena na dvou pilířích, které se vzájemně protínají. Jedním jsou společné myšlenky a cíle vtělené do Strategie Evropa 2020 a druhým jsou priority a potřeby ČR identifikované ve strategických dokumentech na národní i evropské úrovni. Vazba OP PIK na klíčové strategické dokumenty je obsažena v Nepovinné příloze č. 2.</w:t>
      </w:r>
    </w:p>
    <w:p w14:paraId="41FA02AB" w14:textId="77777777" w:rsidR="0040363A" w:rsidRPr="00DD47DF" w:rsidRDefault="0040363A" w:rsidP="0040363A">
      <w:pPr>
        <w:pStyle w:val="Standardntext"/>
      </w:pPr>
      <w:r w:rsidRPr="00DD47DF">
        <w:t>Při stanovování strategie OP PIK byly zohledněny zkušenosti s přípravou a implementací operačních programů dvou předchozích programových období, OP Průmysl a podnikání 2004-</w:t>
      </w:r>
      <w:r w:rsidRPr="00DD47DF">
        <w:lastRenderedPageBreak/>
        <w:t>2006 a OP Podnikání a inovace 2007-2013</w:t>
      </w:r>
      <w:r w:rsidRPr="00DD47DF">
        <w:rPr>
          <w:rStyle w:val="Znakapoznpodarou"/>
        </w:rPr>
        <w:footnoteReference w:id="6"/>
      </w:r>
      <w:r w:rsidRPr="00DD47DF">
        <w:t>. Důležitý prvek představovaly diskuse s partnery, kteří se v rámci principu partnerství podíleli na přípravě Operačního programu.</w:t>
      </w:r>
    </w:p>
    <w:p w14:paraId="2F45237A" w14:textId="77777777" w:rsidR="000C1224" w:rsidRPr="00DD47DF" w:rsidRDefault="0040363A" w:rsidP="0040363A">
      <w:pPr>
        <w:pStyle w:val="Standardntext"/>
      </w:pPr>
      <w:r w:rsidRPr="00DD47DF">
        <w:t>Vysokou přidanou hodnotu z hlediska kvality programování přineslo předběžné hodnocení OP PIK, v rámci něhož byly posuzovány identifikované potřeby, navržená strategie a cíle Operačního programu, míra zohlednění priorit EU, systém přidělování a využití rozpočtových zdrojů, kvalita navržených postupů pro implementaci, monitorování, hodnocení a řízení Operačního programu či synergické efekty jednotlivých specifických cílů OP PIK v souladu s čl. 55 bodem 3 obecného nařízení. Zpráva z hodnocení a jeho shrnutí</w:t>
      </w:r>
      <w:r w:rsidRPr="00DD47DF">
        <w:rPr>
          <w:rStyle w:val="Znakapoznpodarou"/>
        </w:rPr>
        <w:footnoteReference w:id="7"/>
      </w:r>
      <w:r w:rsidRPr="00DD47DF">
        <w:t>, které je povinnou přílohou Operačního programu, je obsaženo v Příloze č. I.</w:t>
      </w:r>
    </w:p>
    <w:p w14:paraId="0A6ED27F" w14:textId="2D6B2619" w:rsidR="00E85A21" w:rsidRPr="00DD47DF" w:rsidRDefault="0040363A" w:rsidP="006707E9">
      <w:pPr>
        <w:spacing w:after="120"/>
        <w:jc w:val="both"/>
        <w:rPr>
          <w:sz w:val="24"/>
          <w:szCs w:val="24"/>
        </w:rPr>
      </w:pPr>
      <w:r w:rsidRPr="00DD47DF">
        <w:rPr>
          <w:sz w:val="24"/>
          <w:szCs w:val="24"/>
        </w:rPr>
        <w:t>OP PIK bude významně preferovat podporu malých a středních podniků („MSP“), které tvoří rozhodující podíl podnikatelských subjektů v ČR. Nicméně v oblasti přímých podpor investic bude v souladu s evropskou legislativou</w:t>
      </w:r>
      <w:r w:rsidRPr="00DD47DF">
        <w:rPr>
          <w:rStyle w:val="Znakapoznpodarou"/>
          <w:sz w:val="24"/>
          <w:szCs w:val="24"/>
        </w:rPr>
        <w:footnoteReference w:id="8"/>
      </w:r>
      <w:r w:rsidRPr="00DD47DF">
        <w:rPr>
          <w:sz w:val="24"/>
          <w:szCs w:val="24"/>
        </w:rPr>
        <w:t xml:space="preserve"> zohledňovat v PO 1, PO 3 a v PO 4 potřeby domácích firem nesplňujících evropskou definici MSP a jejich potenciál navázat na sebe MSP v rámci subdodavatelských vztahů. Při udělení podpory těmto podnikům budou striktně posuzovány vedlejší přínosy pro MSP a zároveň bude dbáno, aby podpora větším firmám neohrozila podstatně pracovní místa daného subjektu vytvořená dříve v jiných členských státech EU. </w:t>
      </w:r>
      <w:r w:rsidR="00563D07" w:rsidRPr="00563D07">
        <w:rPr>
          <w:sz w:val="24"/>
          <w:szCs w:val="24"/>
        </w:rPr>
        <w:t>Dotační podpora těchto firem nesmí překročit 20% plánované alokace pro PO 1, 40% plánované alokace pro PO 3 a 20% plánovaného přídělu pro PO 4 (kromě SO 4.1). Podíl podpory poskytované velkým podnikům bude sledován v rámci monitorování implementace programu. U projektů přímé spolupráce těchto podniků s malými a středními podniky a projektů, které jsou stoprocentně zaměřeny na životní prostředí (tj. s kódem intervence 065), spadajících pod SC 1.1, a dále projektů v rámci SC 1.2, SC 3.3, 3.5, 3.6 a 4.1 nebude podíl těchto firem omezen ani zvlášť sledován.</w:t>
      </w:r>
    </w:p>
    <w:p w14:paraId="588DF713" w14:textId="77777777" w:rsidR="007A0BCD" w:rsidRPr="00DD47DF" w:rsidRDefault="00BD427D" w:rsidP="00D20E3C">
      <w:pPr>
        <w:pStyle w:val="Standardntext"/>
      </w:pPr>
      <w:r w:rsidRPr="00DD47DF">
        <w:t>O</w:t>
      </w:r>
      <w:r w:rsidR="0040363A" w:rsidRPr="00DD47DF">
        <w:t>P PIK</w:t>
      </w:r>
      <w:r w:rsidRPr="00DD47DF">
        <w:t xml:space="preserve"> </w:t>
      </w:r>
      <w:r w:rsidR="00E85A21" w:rsidRPr="00DD47DF">
        <w:t xml:space="preserve">stojí na </w:t>
      </w:r>
      <w:r w:rsidR="00221FD6" w:rsidRPr="00DD47DF">
        <w:t>následujících</w:t>
      </w:r>
      <w:r w:rsidR="00E85A21" w:rsidRPr="00DD47DF">
        <w:t xml:space="preserve"> vzájemně se doplňujících prioritách, které přispívají k naplnění </w:t>
      </w:r>
      <w:r w:rsidR="0039342A" w:rsidRPr="00DD47DF">
        <w:t xml:space="preserve">výše formulovaného </w:t>
      </w:r>
      <w:r w:rsidR="00E85A21" w:rsidRPr="00DD47DF">
        <w:t>cíle</w:t>
      </w:r>
      <w:r w:rsidR="007A0BCD" w:rsidRPr="00DD47DF">
        <w:t>:</w:t>
      </w:r>
    </w:p>
    <w:p w14:paraId="594C82CC" w14:textId="77777777" w:rsidR="007A0BCD" w:rsidRPr="00DD47DF" w:rsidRDefault="007A0BCD" w:rsidP="002908E2">
      <w:pPr>
        <w:pStyle w:val="Standardntext"/>
        <w:numPr>
          <w:ilvl w:val="0"/>
          <w:numId w:val="33"/>
        </w:numPr>
      </w:pPr>
      <w:r w:rsidRPr="00DD47DF">
        <w:t>Z</w:t>
      </w:r>
      <w:r w:rsidR="00BD427D" w:rsidRPr="00DD47DF">
        <w:t xml:space="preserve">výšení počtu </w:t>
      </w:r>
      <w:r w:rsidR="005821F5" w:rsidRPr="00DD47DF">
        <w:t>podniků</w:t>
      </w:r>
      <w:r w:rsidR="00BD427D" w:rsidRPr="00DD47DF">
        <w:t xml:space="preserve"> </w:t>
      </w:r>
      <w:r w:rsidR="009F527A" w:rsidRPr="00DD47DF">
        <w:rPr>
          <w:bCs/>
        </w:rPr>
        <w:t>s potenciálem posunout</w:t>
      </w:r>
      <w:r w:rsidR="00BD427D" w:rsidRPr="00DD47DF">
        <w:t xml:space="preserve"> technologickou hranici ve svém oboru</w:t>
      </w:r>
      <w:r w:rsidR="00BD427D" w:rsidRPr="00DD47DF">
        <w:rPr>
          <w:rFonts w:eastAsia="Calibri"/>
        </w:rPr>
        <w:t>, přičemž důraz</w:t>
      </w:r>
      <w:r w:rsidR="00BD427D" w:rsidRPr="00DD47DF">
        <w:t xml:space="preserve"> bude kladen na rozvoj podnikových výzkumných, vývojových a inovačních kapacit a jejich </w:t>
      </w:r>
      <w:r w:rsidRPr="00DD47DF">
        <w:t>propojení s okolním prostředím;</w:t>
      </w:r>
    </w:p>
    <w:p w14:paraId="67429F5A" w14:textId="77777777" w:rsidR="007A0BCD" w:rsidRPr="00DD47DF" w:rsidRDefault="00BD427D" w:rsidP="002908E2">
      <w:pPr>
        <w:pStyle w:val="Standardntext"/>
        <w:numPr>
          <w:ilvl w:val="0"/>
          <w:numId w:val="33"/>
        </w:numPr>
      </w:pPr>
      <w:r w:rsidRPr="00DD47DF">
        <w:t xml:space="preserve">Rozvoj podnikání </w:t>
      </w:r>
      <w:r w:rsidR="004D45D3" w:rsidRPr="00DD47DF">
        <w:t>podporou projektů inovací nižších řádů</w:t>
      </w:r>
      <w:r w:rsidR="004D45D3" w:rsidRPr="00DD47DF">
        <w:rPr>
          <w:vertAlign w:val="superscript"/>
        </w:rPr>
        <w:footnoteReference w:id="9"/>
      </w:r>
      <w:r w:rsidR="004D45D3" w:rsidRPr="00DD47DF">
        <w:t>, tzn. modernizačních a rozvojových projektů zaměřených</w:t>
      </w:r>
      <w:r w:rsidR="004D45D3" w:rsidRPr="00DD47DF" w:rsidDel="004D45D3">
        <w:t xml:space="preserve"> </w:t>
      </w:r>
      <w:r w:rsidRPr="00DD47DF">
        <w:t xml:space="preserve">zejména na podporu realizace nových podnikatelských záměrů, včetně rozvoje služeb vedoucích ke zvýšení konkurenční výhody jednotlivých </w:t>
      </w:r>
      <w:r w:rsidR="005821F5" w:rsidRPr="00DD47DF">
        <w:t>podniků</w:t>
      </w:r>
      <w:r w:rsidR="007A0BCD" w:rsidRPr="00DD47DF">
        <w:t xml:space="preserve"> v mezinárodním prostředí;</w:t>
      </w:r>
    </w:p>
    <w:p w14:paraId="01E83855" w14:textId="77777777" w:rsidR="007A0BCD" w:rsidRPr="00DD47DF" w:rsidRDefault="00BD427D" w:rsidP="002908E2">
      <w:pPr>
        <w:pStyle w:val="Standardntext"/>
        <w:numPr>
          <w:ilvl w:val="0"/>
          <w:numId w:val="33"/>
        </w:numPr>
      </w:pPr>
      <w:r w:rsidRPr="00DD47DF">
        <w:t>Posun k energeticky účinnému, nízkouhlíkovému hospodářství spočívající především ve zvyšování energetické účinnosti podnikatelského sektoru, využívání obnovitelných zdrojů energie, modernizaci energetické infrastruktury a zavádění nových technologií v oblasti nakládán</w:t>
      </w:r>
      <w:r w:rsidR="007A0BCD" w:rsidRPr="00DD47DF">
        <w:t>í energií a druhotných surovin;</w:t>
      </w:r>
    </w:p>
    <w:p w14:paraId="44C5D94A" w14:textId="77777777" w:rsidR="00BD427D" w:rsidRPr="00DD47DF" w:rsidRDefault="00BD427D" w:rsidP="002908E2">
      <w:pPr>
        <w:pStyle w:val="Standardntext"/>
        <w:numPr>
          <w:ilvl w:val="0"/>
          <w:numId w:val="33"/>
        </w:numPr>
      </w:pPr>
      <w:r w:rsidRPr="00DD47DF">
        <w:lastRenderedPageBreak/>
        <w:t>Usnadnění rozvoje podnikání, služeb a přístupu ke službám státu prostřednictvím vysokorychlostního přístupu k internetu a širší nabídkou služeb informačních a komunikačních technologií („ICT“)</w:t>
      </w:r>
      <w:r w:rsidRPr="00DD47DF">
        <w:rPr>
          <w:rFonts w:eastAsia="Calibri"/>
        </w:rPr>
        <w:t>, neboť</w:t>
      </w:r>
      <w:r w:rsidRPr="00DD47DF">
        <w:t xml:space="preserve"> konkurenceschopnost informační společnosti je založena právě na efektivním využívání moderních služeb ICT.</w:t>
      </w:r>
    </w:p>
    <w:p w14:paraId="752DBF81" w14:textId="77777777" w:rsidR="00B1783A" w:rsidRPr="00DD47DF" w:rsidRDefault="00221FD6" w:rsidP="00D20E3C">
      <w:pPr>
        <w:pStyle w:val="Standardntext"/>
      </w:pPr>
      <w:r w:rsidRPr="00DD47DF">
        <w:t>Tyto</w:t>
      </w:r>
      <w:r w:rsidR="00B1783A" w:rsidRPr="00DD47DF">
        <w:t xml:space="preserve"> priority</w:t>
      </w:r>
      <w:r w:rsidRPr="00DD47DF">
        <w:t xml:space="preserve"> </w:t>
      </w:r>
      <w:r w:rsidR="0040363A" w:rsidRPr="00DD47DF">
        <w:t>OP PIK</w:t>
      </w:r>
      <w:r w:rsidR="00B1783A" w:rsidRPr="00DD47DF">
        <w:t xml:space="preserve"> jsou reflexí </w:t>
      </w:r>
      <w:r w:rsidRPr="00DD47DF">
        <w:t xml:space="preserve">čtyř ze sedmi </w:t>
      </w:r>
      <w:r w:rsidR="00B1783A" w:rsidRPr="00DD47DF">
        <w:t xml:space="preserve">stěžejních </w:t>
      </w:r>
      <w:r w:rsidR="00AF04F5" w:rsidRPr="00DD47DF">
        <w:t>iniciativ</w:t>
      </w:r>
      <w:r w:rsidR="00B1783A" w:rsidRPr="00DD47DF">
        <w:t xml:space="preserve"> EU 2020</w:t>
      </w:r>
      <w:r w:rsidRPr="00DD47DF">
        <w:t>:</w:t>
      </w:r>
    </w:p>
    <w:p w14:paraId="77189D9D" w14:textId="77777777" w:rsidR="00221FD6" w:rsidRPr="00DD47DF" w:rsidRDefault="00221FD6" w:rsidP="002908E2">
      <w:pPr>
        <w:pStyle w:val="Standardntext"/>
        <w:numPr>
          <w:ilvl w:val="0"/>
          <w:numId w:val="34"/>
        </w:numPr>
      </w:pPr>
      <w:r w:rsidRPr="00DD47DF">
        <w:t>„Inovace v Unii“ spočívající ve zlepšení rámcových podmínek a přístupu k financování výzkumu a inovací;</w:t>
      </w:r>
    </w:p>
    <w:p w14:paraId="066383A7" w14:textId="77777777" w:rsidR="00221FD6" w:rsidRPr="00DD47DF" w:rsidRDefault="00221FD6" w:rsidP="002908E2">
      <w:pPr>
        <w:pStyle w:val="Standardntext"/>
        <w:numPr>
          <w:ilvl w:val="0"/>
          <w:numId w:val="34"/>
        </w:numPr>
      </w:pPr>
      <w:r w:rsidRPr="00DD47DF">
        <w:t xml:space="preserve">„Průmyslová politika pro éru globalizace“ </w:t>
      </w:r>
      <w:r w:rsidR="00E478A8" w:rsidRPr="00DD47DF">
        <w:t>orientující se na</w:t>
      </w:r>
      <w:r w:rsidRPr="00DD47DF">
        <w:t xml:space="preserve"> zlepšení podnikatelského prostředí, zejména</w:t>
      </w:r>
      <w:r w:rsidR="00E478A8" w:rsidRPr="00DD47DF">
        <w:t xml:space="preserve"> pro </w:t>
      </w:r>
      <w:r w:rsidR="0040363A" w:rsidRPr="00DD47DF">
        <w:t>MSP</w:t>
      </w:r>
      <w:r w:rsidR="00E478A8" w:rsidRPr="00DD47DF">
        <w:t>;</w:t>
      </w:r>
    </w:p>
    <w:p w14:paraId="32BE5BA3" w14:textId="77777777" w:rsidR="00221FD6" w:rsidRPr="00DD47DF" w:rsidRDefault="00221FD6" w:rsidP="002908E2">
      <w:pPr>
        <w:pStyle w:val="Standardntext"/>
        <w:numPr>
          <w:ilvl w:val="0"/>
          <w:numId w:val="34"/>
        </w:numPr>
      </w:pPr>
      <w:r w:rsidRPr="00DD47DF">
        <w:t>„Evropa méně náročná na zdroje“ podporující přechod na nízkouhlíkovou ekonomiku;</w:t>
      </w:r>
    </w:p>
    <w:p w14:paraId="4BCE3802" w14:textId="77777777" w:rsidR="00221FD6" w:rsidRPr="00DD47DF" w:rsidRDefault="00221FD6" w:rsidP="002908E2">
      <w:pPr>
        <w:pStyle w:val="Standardntext"/>
        <w:numPr>
          <w:ilvl w:val="0"/>
          <w:numId w:val="34"/>
        </w:numPr>
      </w:pPr>
      <w:r w:rsidRPr="00DD47DF">
        <w:t xml:space="preserve">„Digitální </w:t>
      </w:r>
      <w:r w:rsidR="001B092B" w:rsidRPr="00DD47DF">
        <w:t>agenda</w:t>
      </w:r>
      <w:r w:rsidRPr="00DD47DF">
        <w:t xml:space="preserve"> pro Evropu“ zaměřující se na urychlení rozvoje vysokorychlostního internetu a využití jednotného digitálního trhu domácnostmi a podniky.</w:t>
      </w:r>
    </w:p>
    <w:p w14:paraId="41477C9E" w14:textId="77777777" w:rsidR="005066D6" w:rsidRPr="00DD47DF" w:rsidRDefault="005066D6" w:rsidP="005066D6">
      <w:pPr>
        <w:pStyle w:val="Standardntext"/>
      </w:pPr>
      <w:r w:rsidRPr="00DD47DF">
        <w:t>Základem Strategie Evropa 2020 je pět měřitelných cílů, (i) zvýšit zaměstnanost v kategorii 20–64 let na 75 %, (ii) investovat do výzkumu a vývoje 3 % HDP, (iii) v oblasti klimatu a energie by mělo být dosaženo cílů „20-20-20“ (tzn. zvýšit energetickou účinnost o 20 %; zvýšit podíl obnovitelných zdrojů energie v konečné spotřebě energie na 20 %, snížit emise skleníkových plynů o 20 %), (iv) snížit podíl dětí, které předčasně ukončí školní docházku, pod hranici 10 % a zvýšit dosažení terciární úrovně vzdělávání o nejméně 40 % u mladší generace, (v) snížit počet osob ohrožených chudobou o 20 milionů. Zde lze spatřovat hlavní přínos OP PIK především v případě cíle (ii) a (iii) prostřednictvím implementace prioritní osy 1, resp. prioritní osy 3. Z dlouhodobého hlediska přispěje OP PIK prostřednictvím růstu konkurenceschopnosti firem a rozvoje podnikání rovněž k naplňování cíle (i).</w:t>
      </w:r>
    </w:p>
    <w:p w14:paraId="6E8495B5" w14:textId="77777777" w:rsidR="006E695D" w:rsidRPr="00DD47DF" w:rsidRDefault="006E695D" w:rsidP="00A86EB3">
      <w:pPr>
        <w:pStyle w:val="Modrnadpis"/>
        <w:keepNext w:val="0"/>
        <w:keepLines w:val="0"/>
      </w:pPr>
      <w:r w:rsidRPr="00DD47DF">
        <w:t>Tematická koncentrace a prioritní osy O</w:t>
      </w:r>
      <w:r w:rsidR="0040363A" w:rsidRPr="00DD47DF">
        <w:t>P PIK</w:t>
      </w:r>
    </w:p>
    <w:p w14:paraId="6F703890" w14:textId="77777777" w:rsidR="0040363A" w:rsidRPr="00DD47DF" w:rsidRDefault="0040363A" w:rsidP="0040363A">
      <w:pPr>
        <w:pStyle w:val="Standardntext"/>
      </w:pPr>
      <w:r w:rsidRPr="00DD47DF">
        <w:t>Priority a cíle Strategie Evropa 2020 založené na tematickém přístupu byly dále rozpracovány ve Společném strategickém rámci</w:t>
      </w:r>
      <w:r w:rsidRPr="00DD47DF">
        <w:rPr>
          <w:b/>
        </w:rPr>
        <w:t xml:space="preserve"> </w:t>
      </w:r>
      <w:r w:rsidRPr="00DD47DF">
        <w:t xml:space="preserve">(„SSR“). Jde o dokument EK, jehož cílem je v rámci kohezní politiky koncentrovat zdroje na cíle obsažené ve Strategii Evropa 2020. Tematická koncentrace významně zvyšuje účinnost veřejných financí k dosažení vytyčených cílů se skutečným dopadem na socioekonomickou situaci ČR. Při formulování strategie OP PIK plnil SSR pomocnou roli při výběru relevantních tematických cílů (dle čl. 9 obecného nařízení) a jim odpovídajících investičních priorit (dle čl. 5 nařízení o EFRR). </w:t>
      </w:r>
    </w:p>
    <w:p w14:paraId="3F36D73C" w14:textId="77777777" w:rsidR="006E695D" w:rsidRPr="00DD47DF" w:rsidRDefault="0040363A" w:rsidP="0040363A">
      <w:pPr>
        <w:pStyle w:val="Standardntext"/>
      </w:pPr>
      <w:r w:rsidRPr="00DD47DF">
        <w:t>V návaznosti na strategické cíle a priority financování ČR zakotvené v Dohodě o partnerství jsou v rámci OP PIK podporovány intervence z pěti tematických cílů pro Evropské strukturální a investiční fondy („fondy ESI“ nebo „ESIF“)</w:t>
      </w:r>
      <w:r w:rsidRPr="00DD47DF">
        <w:rPr>
          <w:rStyle w:val="Znakapoznpodarou"/>
        </w:rPr>
        <w:footnoteReference w:id="10"/>
      </w:r>
      <w:r w:rsidRPr="00DD47DF">
        <w:t>, na něž navazují čtyři věcně zaměřené prioritní osy a jedna prioritní osa na technickou pomoc. Zaměření prioritních os je specifikováno v kapitole 2.</w:t>
      </w:r>
    </w:p>
    <w:p w14:paraId="35EBFA6E" w14:textId="77777777" w:rsidR="006E695D" w:rsidRPr="00DD47DF" w:rsidRDefault="006E695D" w:rsidP="00DA3512">
      <w:pPr>
        <w:pStyle w:val="Standardntext"/>
        <w:keepNext/>
        <w:keepLines/>
        <w:numPr>
          <w:ilvl w:val="0"/>
          <w:numId w:val="35"/>
        </w:numPr>
        <w:ind w:left="714" w:hanging="357"/>
      </w:pPr>
      <w:r w:rsidRPr="00DD47DF">
        <w:lastRenderedPageBreak/>
        <w:t>Prioritní osa 1 „</w:t>
      </w:r>
      <w:r w:rsidRPr="00DD47DF">
        <w:rPr>
          <w:b/>
        </w:rPr>
        <w:t>Rozvoj výzkumu a vývoje pro inovace</w:t>
      </w:r>
      <w:r w:rsidRPr="00DD47DF">
        <w:t>“,</w:t>
      </w:r>
    </w:p>
    <w:p w14:paraId="38F31B70" w14:textId="77777777" w:rsidR="006E695D" w:rsidRPr="00DD47DF" w:rsidRDefault="006E695D" w:rsidP="00DA3512">
      <w:pPr>
        <w:pStyle w:val="Standardntext"/>
        <w:keepNext/>
        <w:keepLines/>
        <w:numPr>
          <w:ilvl w:val="0"/>
          <w:numId w:val="35"/>
        </w:numPr>
        <w:ind w:left="714" w:hanging="357"/>
      </w:pPr>
      <w:r w:rsidRPr="00DD47DF">
        <w:t>Prioritní osa 2 „</w:t>
      </w:r>
      <w:r w:rsidRPr="00DD47DF">
        <w:rPr>
          <w:b/>
        </w:rPr>
        <w:t xml:space="preserve">Rozvoj podnikání a konkurenceschopnosti malých a středních </w:t>
      </w:r>
      <w:r w:rsidR="005821F5" w:rsidRPr="00DD47DF">
        <w:rPr>
          <w:b/>
        </w:rPr>
        <w:t>podniků</w:t>
      </w:r>
      <w:r w:rsidRPr="00DD47DF">
        <w:t>“,</w:t>
      </w:r>
    </w:p>
    <w:p w14:paraId="61706A7B" w14:textId="77777777" w:rsidR="006E695D" w:rsidRPr="00DD47DF" w:rsidRDefault="006E695D" w:rsidP="00DA3512">
      <w:pPr>
        <w:pStyle w:val="Standardntext"/>
        <w:numPr>
          <w:ilvl w:val="0"/>
          <w:numId w:val="35"/>
        </w:numPr>
      </w:pPr>
      <w:r w:rsidRPr="00DD47DF">
        <w:t>Prioritní osa 3 „</w:t>
      </w:r>
      <w:r w:rsidRPr="00DD47DF">
        <w:rPr>
          <w:b/>
        </w:rPr>
        <w:t>Účinné nakládání energií, rozvoj energetické infrastruktury a obnovitelných zdrojů energie, podpora zavádění nových technologií v oblasti nakládání energií a druhotných surovin</w:t>
      </w:r>
      <w:r w:rsidRPr="00DD47DF">
        <w:t>“,</w:t>
      </w:r>
    </w:p>
    <w:p w14:paraId="30B1E5DF" w14:textId="77777777" w:rsidR="006E695D" w:rsidRPr="00DD47DF" w:rsidRDefault="006E695D" w:rsidP="00DA3512">
      <w:pPr>
        <w:pStyle w:val="Standardntext"/>
        <w:numPr>
          <w:ilvl w:val="0"/>
          <w:numId w:val="35"/>
        </w:numPr>
      </w:pPr>
      <w:r w:rsidRPr="00DD47DF">
        <w:t>Prioritní osa 4 „</w:t>
      </w:r>
      <w:r w:rsidRPr="00DD47DF">
        <w:rPr>
          <w:b/>
        </w:rPr>
        <w:t>Rozvoj vysokorychlostních přístupových sítí k internetu a informačních a komunikačních technologií</w:t>
      </w:r>
      <w:r w:rsidRPr="00DD47DF">
        <w:t>“,</w:t>
      </w:r>
    </w:p>
    <w:p w14:paraId="33CC7926" w14:textId="77777777" w:rsidR="006E695D" w:rsidRPr="00DD47DF" w:rsidRDefault="006E695D" w:rsidP="00DA3512">
      <w:pPr>
        <w:pStyle w:val="Standardntext"/>
        <w:numPr>
          <w:ilvl w:val="0"/>
          <w:numId w:val="35"/>
        </w:numPr>
      </w:pPr>
      <w:r w:rsidRPr="00DD47DF">
        <w:t>Prioritní osa 5 „</w:t>
      </w:r>
      <w:r w:rsidRPr="00DD47DF">
        <w:rPr>
          <w:b/>
        </w:rPr>
        <w:t>Technická pomoc</w:t>
      </w:r>
      <w:r w:rsidRPr="00DD47DF">
        <w:t>“.</w:t>
      </w:r>
    </w:p>
    <w:p w14:paraId="4650782D" w14:textId="77777777" w:rsidR="006E695D" w:rsidRPr="00DD47DF" w:rsidRDefault="006E695D" w:rsidP="006E695D">
      <w:pPr>
        <w:pStyle w:val="Standardntext"/>
      </w:pPr>
      <w:r w:rsidRPr="00DD47DF">
        <w:t xml:space="preserve">K návrhu struktury </w:t>
      </w:r>
      <w:r w:rsidR="0040363A" w:rsidRPr="00DD47DF">
        <w:t>O</w:t>
      </w:r>
      <w:r w:rsidRPr="00DD47DF">
        <w:t xml:space="preserve">peračního programu ve smyslu nadefinování prioritních os bylo přistoupeno </w:t>
      </w:r>
      <w:r w:rsidR="008D6CED" w:rsidRPr="00DD47DF">
        <w:t xml:space="preserve">v počátku jeho přípravy </w:t>
      </w:r>
      <w:r w:rsidRPr="00DD47DF">
        <w:t xml:space="preserve">se záměrem nekombinovat v rámci jedné prioritní osy </w:t>
      </w:r>
      <w:r w:rsidR="00F41111" w:rsidRPr="00DD47DF">
        <w:t>investiční</w:t>
      </w:r>
      <w:r w:rsidRPr="00DD47DF">
        <w:t xml:space="preserve"> priority z více tematických cílů, pokud </w:t>
      </w:r>
      <w:r w:rsidR="004E4E99" w:rsidRPr="00DD47DF">
        <w:t>nebude prokázáno</w:t>
      </w:r>
      <w:r w:rsidR="00F41111" w:rsidRPr="00DD47DF">
        <w:t xml:space="preserve"> odůvodnění takovéto kombinace</w:t>
      </w:r>
      <w:r w:rsidR="008D6CED" w:rsidRPr="00DD47DF">
        <w:t xml:space="preserve">. Následně byla prokázána a s EK vyjednána potřeba intervencí v oblasti energetiky do vysokonapěťových přenosových sítí, což vyústilo v příslušné prioritní ose programu ve vazbu na dva tematické cíle dle čl. 96 bodu 1, písm. c) obecného nařízení </w:t>
      </w:r>
      <w:r w:rsidR="004E4E99" w:rsidRPr="00DD47DF">
        <w:t>(</w:t>
      </w:r>
      <w:r w:rsidR="008D6CED" w:rsidRPr="00DD47DF">
        <w:t xml:space="preserve">blíže </w:t>
      </w:r>
      <w:r w:rsidR="004E4E99" w:rsidRPr="00DD47DF">
        <w:t>viz prioritní osa 3)</w:t>
      </w:r>
      <w:r w:rsidR="00F41111" w:rsidRPr="00DD47DF">
        <w:t>.</w:t>
      </w:r>
    </w:p>
    <w:p w14:paraId="181F3A3B" w14:textId="77777777" w:rsidR="00153021" w:rsidRPr="00DD47DF" w:rsidRDefault="00153021" w:rsidP="00153021">
      <w:pPr>
        <w:pStyle w:val="Modrnadpis"/>
        <w:ind w:left="0" w:firstLine="0"/>
      </w:pPr>
      <w:r w:rsidRPr="00DD47DF">
        <w:t>Analýza problémů a potřeb ČR ve vazbě na vybrané problémové oblasti Dohody o partnerství</w:t>
      </w:r>
    </w:p>
    <w:p w14:paraId="0109A1C9" w14:textId="77777777" w:rsidR="00153021" w:rsidRPr="00DD47DF" w:rsidRDefault="0040363A" w:rsidP="00153021">
      <w:pPr>
        <w:pStyle w:val="Standardntext"/>
      </w:pPr>
      <w:bookmarkStart w:id="4" w:name="_Ref358382440"/>
      <w:bookmarkStart w:id="5" w:name="_Ref358382570"/>
      <w:bookmarkStart w:id="6" w:name="_Ref358382587"/>
      <w:bookmarkStart w:id="7" w:name="_Ref358382598"/>
      <w:bookmarkStart w:id="8" w:name="_Ref358382614"/>
      <w:bookmarkStart w:id="9" w:name="_Ref358382646"/>
      <w:bookmarkStart w:id="10" w:name="_Ref358382664"/>
      <w:bookmarkStart w:id="11" w:name="_Ref358382678"/>
      <w:bookmarkStart w:id="12" w:name="_Ref358382685"/>
      <w:bookmarkStart w:id="13" w:name="_Ref358382700"/>
      <w:bookmarkStart w:id="14" w:name="_Ref359399602"/>
      <w:bookmarkStart w:id="15" w:name="_Toc386032019"/>
      <w:r w:rsidRPr="00DD47DF">
        <w:t>Specifické postavení má ve vztahu k Operačnímu programu zmíněná Dohoda o partnerství, která byla dne 26. 8. 2014 schválena EK. Jde o klíčový dokument pro programové období 2014-2020, který stanovuje priority ČR pro účinné a efektivní využívání fondů ESI a je zastřešujícím dokumentem pro jednotlivé programy financované z fondů ESI. Dohoda zároveň plní roli výchozího analytického a strategického dokumentu pro OP PIK. V Dohodě obsažená analýza disparit, rozvojových potřeb a růstového potenciálu ČR pro jednotlivé problémové oblasti národního hospodářství jednoznačně předurčuje zaměření OP PIK. Na základě této analýzy následně Dohoda formuluje hlavní strategické cíle a od nich odvozené priority financování, k jejichž naplnění musí věcné zaměření pro programové období 2014-2020 v ČR směřovat.</w:t>
      </w:r>
    </w:p>
    <w:p w14:paraId="69903FE8" w14:textId="77777777" w:rsidR="00153021" w:rsidRPr="00DD47DF" w:rsidRDefault="0040363A" w:rsidP="00153021">
      <w:pPr>
        <w:pStyle w:val="Standardntext"/>
      </w:pPr>
      <w:r w:rsidRPr="00DD47DF">
        <w:t>OP PIK představuje klíčový operační program, jehož prostřednictvím dojde k naplnění strategického cíle Dohody „Vytvoření kvalitního podnikatelské prostředí, které podpoří konkurenceschopnost ČR na evropském i globálním trhu, povede k zakládání nových podniků, zvýší inovační schopnost stávajících podniků a posílí atraktivitu ČR pro domácí a zahraniční investory“. Mezi priority financování obsažené v Dohodě, které formulují strategické zaměření OP PIK, patří:</w:t>
      </w:r>
    </w:p>
    <w:p w14:paraId="5DF0A7B5" w14:textId="77777777" w:rsidR="00153021" w:rsidRPr="00DD47DF" w:rsidRDefault="00153021" w:rsidP="00153021">
      <w:pPr>
        <w:pStyle w:val="Standardntext"/>
        <w:numPr>
          <w:ilvl w:val="0"/>
          <w:numId w:val="4"/>
        </w:numPr>
        <w:spacing w:after="0"/>
      </w:pPr>
      <w:r w:rsidRPr="00DD47DF">
        <w:t>Výzkumný a inovační systém založený na kvalitním výzkumu propojeném s aplikační sférou a směřujícím ke komerčně využitelným výsledkům;</w:t>
      </w:r>
    </w:p>
    <w:p w14:paraId="745EBCCB" w14:textId="77777777" w:rsidR="00153021" w:rsidRPr="00DD47DF" w:rsidRDefault="00153021" w:rsidP="00153021">
      <w:pPr>
        <w:pStyle w:val="Standardntext"/>
        <w:numPr>
          <w:ilvl w:val="0"/>
          <w:numId w:val="4"/>
        </w:numPr>
        <w:spacing w:after="0"/>
      </w:pPr>
      <w:r w:rsidRPr="00DD47DF">
        <w:t>Podniky využívající výsledků VaV, konkurenceschopné na globálním trhu a přispívající k nízkouhlíkovému hospodářství;</w:t>
      </w:r>
    </w:p>
    <w:p w14:paraId="717DA31E" w14:textId="77777777" w:rsidR="00153021" w:rsidRPr="00DD47DF" w:rsidRDefault="00153021" w:rsidP="00153021">
      <w:pPr>
        <w:pStyle w:val="Standardntext"/>
        <w:numPr>
          <w:ilvl w:val="0"/>
          <w:numId w:val="4"/>
        </w:numPr>
        <w:spacing w:after="0"/>
      </w:pPr>
      <w:r w:rsidRPr="00DD47DF">
        <w:t>Udržitelná infrastruktura umožňující konkurenceschopnost ekonomiky a odpovídající obslužnost území;</w:t>
      </w:r>
    </w:p>
    <w:p w14:paraId="7BE79AF9" w14:textId="77777777" w:rsidR="00153021" w:rsidRPr="00DD47DF" w:rsidRDefault="00153021" w:rsidP="00153021">
      <w:pPr>
        <w:pStyle w:val="Standardntext"/>
        <w:numPr>
          <w:ilvl w:val="0"/>
          <w:numId w:val="4"/>
        </w:numPr>
        <w:ind w:left="714" w:hanging="357"/>
      </w:pPr>
      <w:r w:rsidRPr="00DD47DF">
        <w:t>a částečně také Ochrana životního prostředí a krajiny a přizpůsobení se změně klimatu.</w:t>
      </w:r>
    </w:p>
    <w:p w14:paraId="7F314401" w14:textId="77777777" w:rsidR="00153021" w:rsidRPr="00DD47DF" w:rsidRDefault="00153021" w:rsidP="00153021">
      <w:pPr>
        <w:pStyle w:val="Standardntext"/>
      </w:pPr>
      <w:r w:rsidRPr="00DD47DF">
        <w:t xml:space="preserve">Smyslem těchto priorit financování je odstranit či alespoň zmírnit bariéry dalšího rozvoje ČR identifikované v analytické části Dohody o partnerství. Z pohledu příspěvku OP PIK k řešení </w:t>
      </w:r>
      <w:r w:rsidRPr="00DD47DF">
        <w:lastRenderedPageBreak/>
        <w:t>problémových oblastí patří mezi zásadní ty, které Dohoda syntetizuje do bloků „Konkurenceschopnost ekonomiky“, „Infrastruktura“ a „Životní prostředí“.</w:t>
      </w:r>
    </w:p>
    <w:bookmarkEnd w:id="4"/>
    <w:bookmarkEnd w:id="5"/>
    <w:bookmarkEnd w:id="6"/>
    <w:bookmarkEnd w:id="7"/>
    <w:bookmarkEnd w:id="8"/>
    <w:bookmarkEnd w:id="9"/>
    <w:bookmarkEnd w:id="10"/>
    <w:bookmarkEnd w:id="11"/>
    <w:bookmarkEnd w:id="12"/>
    <w:bookmarkEnd w:id="13"/>
    <w:bookmarkEnd w:id="14"/>
    <w:bookmarkEnd w:id="15"/>
    <w:p w14:paraId="200ADCD1" w14:textId="77777777" w:rsidR="00706A57" w:rsidRPr="00DD47DF" w:rsidRDefault="00706A57" w:rsidP="00706A57">
      <w:pPr>
        <w:pStyle w:val="Standardntext"/>
      </w:pPr>
      <w:r w:rsidRPr="00DD47DF">
        <w:t>Následující text si klade za cíl shrnout problémy a potřeby ČR ve vazbě na výše uvedené problémové oblasti definované Dohodou, resp. vybrané hlavní pilíře těchto problémových oblastí.</w:t>
      </w:r>
    </w:p>
    <w:p w14:paraId="5BC5FA8B" w14:textId="77777777" w:rsidR="00F260AA" w:rsidRPr="00DD47DF" w:rsidRDefault="00F260AA" w:rsidP="001652D9">
      <w:pPr>
        <w:pStyle w:val="Modrnadpis"/>
      </w:pPr>
      <w:r w:rsidRPr="00DD47DF">
        <w:t>Efektivní výzkumný a inovační systém</w:t>
      </w:r>
    </w:p>
    <w:p w14:paraId="55297E50" w14:textId="77777777" w:rsidR="00F260AA" w:rsidRPr="00DD47DF" w:rsidRDefault="00F260AA" w:rsidP="00F260AA">
      <w:pPr>
        <w:pStyle w:val="Standardntext"/>
      </w:pPr>
      <w:r w:rsidRPr="00DD47DF">
        <w:t>Mezi hlavní bariéry rozvoje inovačních aktivit patří kromě nízké inovační poptávky firem rovněž nedostatečný rozsah a způsob financování VaVaI, který se v posledních letech významně proměnil zejména díky zahraničním investicím. Přitom hlavní funkční specializaci ČR v rámci světové ekonomiky lze charakterizovat jako výrobní základnu pro trhy v Evropě a blízkém okolí. Endogenní podnikatelský sektor je slabý a jeho rozvoj silně závislý na poptávce ze strany nadnárodních společností umístěných v samotné ČR a jejím blízkém okolí. V této souvislosti a v kontextu rostoucích cen práce a dalších vstupů do výroby je základní výzvou pro ČR schopnost vytvářet a nabízet podmínky pro lokalizaci takových aktivit zahraničních firem, u nichž hrají kvalifikace a dovednosti lidí spolu s tvorbou nových znalostí relativně vyšší roli než samotné ceny vstupů a blízkost hlavním evropským trhům.</w:t>
      </w:r>
    </w:p>
    <w:p w14:paraId="33DF9868" w14:textId="77777777" w:rsidR="00F260AA" w:rsidRPr="00DD47DF" w:rsidRDefault="00782BE3" w:rsidP="00F260AA">
      <w:pPr>
        <w:pStyle w:val="Standardntext"/>
      </w:pPr>
      <w:r w:rsidRPr="00DD47DF">
        <w:t>Rostoucí turbulence na finančních trzích ukazují, že se česká ekonomika nemůže spoléhat pouze na odbyt v zemích tradičních obchodních partnerů, které tvoří především sousední země EU. Je třeba vnímat příležitosti ve všech teritoriích a oborech, a navíc přicházet s vlastními řešeními. Endogenní podnikatelský sektor však zatím tvoří především podniky vzdálené v hodnotových řetězcích od koncových trhů a závislé na importu technologií. Je zde proto prostor pro veřejné intervence, které by měly napomoci ekonomice nastoupit cestu vedoucí mezi nejvyspělejší ekonomiky světa. Za nejvýznamnější nedostatky inovačního systému je považována především nízká motivace domácích firem pro budování konkurenční výhody založené na znalostech. To je dáno z velké části tím, že domácí podniky jsou svými odběrateli z vyšších pozic příslušných hodnotových řetězců omezeny jak ve svých možnostech strategického plánování rozvoje firem, tak v možnostech realizovat vlastní inovace. Další příčinou dosavadních pozic firem na nižších stupních hodnotových řetězců je i neodpovídající kvalifikace a odbornost pracovní síly ve vztahu k inovačním aktivitám podnikatelských subjektů a provázanost na vědecko-výzkumnou sféru.</w:t>
      </w:r>
    </w:p>
    <w:p w14:paraId="23E6A35A" w14:textId="77777777" w:rsidR="00F260AA" w:rsidRPr="00DD47DF" w:rsidRDefault="00F260AA" w:rsidP="00A86EB3">
      <w:pPr>
        <w:pStyle w:val="Titulek"/>
        <w:keepNext/>
        <w:keepLines/>
      </w:pPr>
      <w:r w:rsidRPr="00DD47DF">
        <w:lastRenderedPageBreak/>
        <w:t xml:space="preserve">Obrázek </w:t>
      </w:r>
      <w:r w:rsidR="002756E7" w:rsidRPr="00DD47DF">
        <w:fldChar w:fldCharType="begin"/>
      </w:r>
      <w:r w:rsidR="000E35F2" w:rsidRPr="00DD47DF">
        <w:instrText xml:space="preserve"> SEQ Obrázek \* ARABIC </w:instrText>
      </w:r>
      <w:r w:rsidR="002756E7" w:rsidRPr="00DD47DF">
        <w:fldChar w:fldCharType="separate"/>
      </w:r>
      <w:r w:rsidR="00117847">
        <w:rPr>
          <w:noProof/>
        </w:rPr>
        <w:t>1</w:t>
      </w:r>
      <w:r w:rsidR="002756E7" w:rsidRPr="00DD47DF">
        <w:rPr>
          <w:noProof/>
        </w:rPr>
        <w:fldChar w:fldCharType="end"/>
      </w:r>
      <w:r w:rsidRPr="00DD47DF">
        <w:t>: Inovační výkonnost členských států EU</w:t>
      </w:r>
    </w:p>
    <w:p w14:paraId="621577CE" w14:textId="77777777" w:rsidR="00F260AA" w:rsidRPr="00DD47DF" w:rsidRDefault="00F260AA" w:rsidP="00A86EB3">
      <w:pPr>
        <w:pStyle w:val="Standardntext"/>
        <w:keepNext/>
        <w:keepLines/>
      </w:pPr>
      <w:r w:rsidRPr="00DD47DF">
        <w:rPr>
          <w:noProof/>
        </w:rPr>
        <w:drawing>
          <wp:inline distT="0" distB="0" distL="0" distR="0" wp14:anchorId="0582EBBF" wp14:editId="0A9AA8CD">
            <wp:extent cx="5765800" cy="2646680"/>
            <wp:effectExtent l="19050" t="19050" r="25400" b="20320"/>
            <wp:docPr id="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5800" cy="2646680"/>
                    </a:xfrm>
                    <a:prstGeom prst="rect">
                      <a:avLst/>
                    </a:prstGeom>
                    <a:noFill/>
                    <a:ln w="9525" cmpd="sng">
                      <a:solidFill>
                        <a:srgbClr val="000000"/>
                      </a:solidFill>
                      <a:miter lim="800000"/>
                      <a:headEnd/>
                      <a:tailEnd/>
                    </a:ln>
                    <a:effectLst/>
                  </pic:spPr>
                </pic:pic>
              </a:graphicData>
            </a:graphic>
          </wp:inline>
        </w:drawing>
      </w:r>
    </w:p>
    <w:p w14:paraId="6CA1F7F2" w14:textId="77777777" w:rsidR="00F260AA" w:rsidRPr="00DD47DF" w:rsidRDefault="00F260AA" w:rsidP="00F260AA">
      <w:pPr>
        <w:pStyle w:val="Standardntext"/>
        <w:spacing w:after="240"/>
      </w:pPr>
      <w:r w:rsidRPr="00DD47DF">
        <w:t>Zdroj: Innovation Union Scoreboard 2013</w:t>
      </w:r>
    </w:p>
    <w:p w14:paraId="1CB1DE27" w14:textId="77777777" w:rsidR="00F260AA" w:rsidRPr="00DD47DF" w:rsidRDefault="00F260AA" w:rsidP="00F260AA">
      <w:pPr>
        <w:pStyle w:val="Standardntext"/>
      </w:pPr>
      <w:r w:rsidRPr="00DD47DF">
        <w:t>Aktuální analýzy inovační výkonnosti ukazují, že výkonnost Č</w:t>
      </w:r>
      <w:r w:rsidR="007018A0" w:rsidRPr="00DD47DF">
        <w:t>R</w:t>
      </w:r>
      <w:r w:rsidRPr="00DD47DF">
        <w:t xml:space="preserve"> je stále pod průměrem celé EU27 a řadí se spolu s Řeckem, Maďarskem či Slovenskem mezi tzv. mírné inovátory (viz Innovation Union Scoreboard 201</w:t>
      </w:r>
      <w:r w:rsidR="00CA2C89" w:rsidRPr="00DD47DF">
        <w:t>3</w:t>
      </w:r>
      <w:r w:rsidRPr="00DD47DF">
        <w:t>). Na předních pozicích inovační výkonnosti se umísťují země, v jejichž národních výzkumných a inovačních systémech hrají hlavní roli aktivity podniků a spolupráce soukromé a veřejné sféry. Mezi zjišťovanými indikátory</w:t>
      </w:r>
      <w:r w:rsidR="00D73213" w:rsidRPr="00DD47DF">
        <w:t>, v nichž ČR zaostává,</w:t>
      </w:r>
      <w:r w:rsidRPr="00DD47DF">
        <w:t xml:space="preserve"> jsou velmi významné indikátory firemních investic – především podnikové výdaje na výzkum a vývoj a další indikátory podnikových aktivit – tj. duševní vlastnictví a propojenost a podnikavost, kam patří podíl MSP provádějících inovace interně, podíl MSP spolupracujících s ostatními podniky a indikátor poukazující na silné vazby mezi výzkumnou sférou a podniky – počet výzkumných publikací vytvořených v partnerství privátní a veřejné sféry.</w:t>
      </w:r>
    </w:p>
    <w:p w14:paraId="6EA42C8C" w14:textId="77777777" w:rsidR="00782BE3" w:rsidRPr="00DD47DF" w:rsidRDefault="00782BE3" w:rsidP="00782BE3">
      <w:pPr>
        <w:pStyle w:val="Standardntext"/>
      </w:pPr>
      <w:r w:rsidRPr="00DD47DF">
        <w:t xml:space="preserve">Ze srovnání evropského šetření o inovacích Community Innovation Survey (CIS) vyplývá, že více než třetina českých podniků provádí inovace, především technické, ale i netechnické, a řadí se v tomto ohledu k nejlepším v EU. To se však zatím významně nepromítá ve znalostní náročnosti produkce, kde převládají, zvláště v endogenním podnikatelském sektoru , výrobky méně náročné na znalosti. Je to způsobeno především kvalitou zaváděných inovací, která stále není schopna generovat významnější množství nových technologií, jak vyplývá např. z vysoce negativní technologické platební bilance ČR. Z druhé strany, pozice ČR v žebříčku IUS zaměřeném na inovativnost ekonomik EU ukazuje, že se situace postupně zlepšuje – ČR se řadí k zemím s nižší úrovní sledovaných ukazatelů inovativnosti, u velké části z nich však dochází ke zlepšení, mj. díky dosavadní podpoře z fondů EU. Dle šetření ČSÚ se na území ČR ve vybraných odvětvích ekonomiky zabývalo inovačními aktivitami 43,9 % podniků z celkového počtu ekonomicky aktivních podniků v období 2010–2012. Technickou inovaci zavedlo 35,6 % podniků a netechnickou 31,6 %. Z celkového počtu šetřených podniků ve vybraných odvětvích klíčových pro inovace spadalo 51 % do zpracovatelského průmyslu. Tyto podniky se podílely v roce 2012 na celkových tržbách sledované části ekonomiky 45,4 %. Produktově inovující podniky se ve sledovaném období soustředily zejména na inovaci svých výrobků. Nejvyšší podíl tržeb za inovované produkty vykázaly velké podniky (30,4 %) následované malými podniky (27,4 %). U středních podniků dosáhl podíl tržeb za inovované produkty rovných 26 </w:t>
      </w:r>
      <w:r w:rsidRPr="00DD47DF">
        <w:lastRenderedPageBreak/>
        <w:t>%. Podíl tržeb z inovované produkce na celkových tržbách podniků s produktovou inovací dosáhlo v letech 2010 – 2012 hodnoty 29,2%.</w:t>
      </w:r>
    </w:p>
    <w:p w14:paraId="2B4DE169" w14:textId="77777777" w:rsidR="00F260AA" w:rsidRPr="00DD47DF" w:rsidRDefault="00782BE3" w:rsidP="00782BE3">
      <w:pPr>
        <w:pStyle w:val="Standardntext"/>
      </w:pPr>
      <w:r w:rsidRPr="00DD47DF">
        <w:t>Konkrétními ukazateli hodnocení znalostní ekonomiky jsou výdaje na VaV a pracovníci ve VaV. Z hlediska VaV činil podíl výdajů v podnikatelském sektoru na HDP v roce 2012 dle ČSÚ 1,01 %, což v běžných cenách odpovídá 38,8 mld. Kč. V porovnání s rokem 2011 došlo k nominálnímu nárůstu tohoto ukazatele o 4,073 mld. Kč. Z hlediska zdrojů financování si podnikatelský sektor oproti období 1999 - 2008 neudržel 50% podíl na celkových výdajích na VaV. Z druhé strany je pozitivním trendem získávání prostředků na rozvoj VaV i ze zahraničních zdrojů, a to také v rámci programů a fondů EU. V roce 2012 se již veřejné zahraniční zdroje podílely na financování VaV plnými 16,1 %. Relativně silná závislost znalostních a inovačních sektorů na zahraničních subjektech je dalším z faktorů, který může mít positivní vliv na posílení meziregionálních vazeb jak v rámci ČR, tak mezi členskými státy EU. Ačkoliv je podíl výdajů podnikatelského sektoru na ukazateli GERD (celkových výdajích na VaV) okolo 45 % v mezinárodním srovnání dobrý výsledek, zůstává v ČR nízký celkový podíl celkových výdajů na VaV na HDP (1,88 %, cíl Evropy 2020 jsou 3%). Co se týká výdajů na VaV v podnikatelském sektoru jako % HDP bez zahrnutí hl. m. Prahy, hodnota ukazatele se v roce 2012 pohybovala na úrovni 0,75 %. V podstatě shodně jako výdaje na VaV se dlouhodobě vyvíjí i počet výzkumných pracovníků. I podle tohoto ukazatele lze ČR zařadit mezi skupinu zemí s nižší úrovní kapacit VaV, ale s rychlejším růstem.</w:t>
      </w:r>
    </w:p>
    <w:p w14:paraId="65CD3802" w14:textId="77777777" w:rsidR="00F260AA" w:rsidRPr="00DD47DF" w:rsidRDefault="00F260AA" w:rsidP="00F46C44">
      <w:pPr>
        <w:pStyle w:val="Standardntext"/>
        <w:rPr>
          <w:rFonts w:eastAsia="Calibri"/>
          <w:color w:val="000000"/>
          <w:szCs w:val="22"/>
          <w:lang w:eastAsia="en-US"/>
        </w:rPr>
      </w:pPr>
      <w:r w:rsidRPr="00DD47DF">
        <w:t>Z </w:t>
      </w:r>
      <w:r w:rsidR="00782BE3" w:rsidRPr="00DD47DF">
        <w:t xml:space="preserve">dostupných </w:t>
      </w:r>
      <w:r w:rsidRPr="00DD47DF">
        <w:t xml:space="preserve">analýz vyplývá, že vzniká potřeba podporovat </w:t>
      </w:r>
      <w:r w:rsidR="00577869" w:rsidRPr="00DD47DF">
        <w:t xml:space="preserve">specializaci </w:t>
      </w:r>
      <w:r w:rsidRPr="00DD47DF">
        <w:t>VaVaI v ČR v aplikační sféře. Kromě v současné době několika málo odvětví dominantních ve VaV disponují VaV potenciálem i některá další, přičemž se nejedná vždy jen o high-tech výrobu. I low-tech či mid-tech odvětví, která jsou v ČR zdaleka nejvýznamnější, disponují potenciálem pro rozvoj inovačních a VaV aktivit. Tento aspekt zohledň</w:t>
      </w:r>
      <w:r w:rsidR="00346E3A" w:rsidRPr="00DD47DF">
        <w:t>uj</w:t>
      </w:r>
      <w:r w:rsidR="008F7639" w:rsidRPr="00DD47DF">
        <w:t>e</w:t>
      </w:r>
      <w:r w:rsidRPr="00DD47DF">
        <w:t xml:space="preserve"> především </w:t>
      </w:r>
      <w:r w:rsidR="00F46C44" w:rsidRPr="00DD47DF">
        <w:rPr>
          <w:b/>
        </w:rPr>
        <w:t>Národní výzkumná a inovační strategie pro inteligentní specializaci České republiky (</w:t>
      </w:r>
      <w:r w:rsidR="00782BE3" w:rsidRPr="00DD47DF">
        <w:rPr>
          <w:b/>
        </w:rPr>
        <w:t>„</w:t>
      </w:r>
      <w:r w:rsidRPr="00DD47DF">
        <w:rPr>
          <w:b/>
        </w:rPr>
        <w:t>Národní RIS3 strategie</w:t>
      </w:r>
      <w:r w:rsidR="00782BE3" w:rsidRPr="00DD47DF">
        <w:rPr>
          <w:b/>
        </w:rPr>
        <w:t>“</w:t>
      </w:r>
      <w:r w:rsidR="00F46C44" w:rsidRPr="00DD47DF">
        <w:rPr>
          <w:b/>
        </w:rPr>
        <w:t>)</w:t>
      </w:r>
      <w:r w:rsidR="00782BE3" w:rsidRPr="00DD47DF">
        <w:t xml:space="preserve">, </w:t>
      </w:r>
      <w:r w:rsidR="004D174B" w:rsidRPr="00DD47DF">
        <w:t>strategický dokument pro zaměření národních i evropských zdrojů ve sféře výzkumu, vývoje a inovací.</w:t>
      </w:r>
      <w:r w:rsidR="00577869" w:rsidRPr="00DD47DF">
        <w:t xml:space="preserve"> </w:t>
      </w:r>
      <w:r w:rsidR="00577869" w:rsidRPr="00DD47DF">
        <w:rPr>
          <w:rFonts w:eastAsia="Calibri"/>
          <w:color w:val="000000"/>
          <w:szCs w:val="22"/>
          <w:lang w:eastAsia="en-US"/>
        </w:rPr>
        <w:t>V rámci koncepčního pojetí RIS3 jsou</w:t>
      </w:r>
      <w:r w:rsidR="00782BE3" w:rsidRPr="00DD47DF">
        <w:rPr>
          <w:rFonts w:eastAsia="Calibri"/>
          <w:color w:val="000000"/>
          <w:szCs w:val="22"/>
          <w:lang w:eastAsia="en-US"/>
        </w:rPr>
        <w:t xml:space="preserve"> pro</w:t>
      </w:r>
      <w:r w:rsidR="00577869" w:rsidRPr="00DD47DF">
        <w:rPr>
          <w:rFonts w:eastAsia="Calibri"/>
          <w:color w:val="000000"/>
          <w:szCs w:val="22"/>
          <w:lang w:eastAsia="en-US"/>
        </w:rPr>
        <w:t xml:space="preserve"> ČR navrženy </w:t>
      </w:r>
      <w:r w:rsidR="00577869" w:rsidRPr="00DD47DF">
        <w:rPr>
          <w:rFonts w:eastAsia="Calibri"/>
          <w:b/>
          <w:color w:val="000000"/>
          <w:szCs w:val="22"/>
          <w:lang w:eastAsia="en-US"/>
        </w:rPr>
        <w:t>priority dvojí povahy</w:t>
      </w:r>
      <w:r w:rsidR="00577869" w:rsidRPr="00DD47DF">
        <w:rPr>
          <w:rFonts w:eastAsia="Calibri"/>
          <w:color w:val="000000"/>
          <w:szCs w:val="22"/>
          <w:lang w:eastAsia="en-US"/>
        </w:rPr>
        <w:t>:</w:t>
      </w:r>
    </w:p>
    <w:p w14:paraId="0CEA8DC8" w14:textId="77777777" w:rsidR="00577869" w:rsidRPr="00DD47DF" w:rsidRDefault="00577869" w:rsidP="00DA3512">
      <w:pPr>
        <w:pStyle w:val="Standardntext"/>
        <w:numPr>
          <w:ilvl w:val="0"/>
          <w:numId w:val="97"/>
        </w:numPr>
        <w:rPr>
          <w:rFonts w:eastAsia="Calibri"/>
          <w:color w:val="000000"/>
          <w:szCs w:val="22"/>
          <w:lang w:eastAsia="en-US"/>
        </w:rPr>
      </w:pPr>
      <w:r w:rsidRPr="00DD47DF">
        <w:rPr>
          <w:rFonts w:eastAsia="Calibri"/>
          <w:b/>
          <w:color w:val="000000"/>
          <w:szCs w:val="22"/>
          <w:lang w:eastAsia="en-US"/>
        </w:rPr>
        <w:t>horizontální</w:t>
      </w:r>
      <w:r w:rsidRPr="00DD47DF">
        <w:rPr>
          <w:rFonts w:eastAsia="Calibri"/>
          <w:color w:val="000000"/>
          <w:szCs w:val="22"/>
          <w:lang w:eastAsia="en-US"/>
        </w:rPr>
        <w:t>: intervence podporující vytváření, případně zkvalitňování inovačního systému na národní i krajské úrovni (tj. intervence bez ohledu na oborové zaměření podporovaných aktivit)</w:t>
      </w:r>
    </w:p>
    <w:p w14:paraId="1D4DD819" w14:textId="77777777" w:rsidR="00577869" w:rsidRPr="00DD47DF" w:rsidRDefault="00577869" w:rsidP="00DA3512">
      <w:pPr>
        <w:pStyle w:val="Standardntext"/>
        <w:numPr>
          <w:ilvl w:val="0"/>
          <w:numId w:val="97"/>
        </w:numPr>
        <w:rPr>
          <w:rFonts w:eastAsia="Calibri"/>
          <w:b/>
          <w:color w:val="000000"/>
          <w:szCs w:val="22"/>
          <w:lang w:eastAsia="en-US"/>
        </w:rPr>
      </w:pPr>
      <w:r w:rsidRPr="00DD47DF">
        <w:rPr>
          <w:rFonts w:eastAsia="Calibri"/>
          <w:b/>
          <w:color w:val="000000"/>
          <w:szCs w:val="22"/>
          <w:lang w:eastAsia="en-US"/>
        </w:rPr>
        <w:t xml:space="preserve">vertikální: </w:t>
      </w:r>
      <w:r w:rsidRPr="00DD47DF">
        <w:rPr>
          <w:rFonts w:eastAsia="Calibri"/>
          <w:color w:val="000000"/>
          <w:szCs w:val="22"/>
          <w:lang w:eastAsia="en-US"/>
        </w:rPr>
        <w:t>intervence zaměřené na konkrétní konkurenceschopné, perspektivní odvětvové/pododvětvové oblasti  VaVaI se silným růstovým potenciálem</w:t>
      </w:r>
      <w:r w:rsidR="00782BE3" w:rsidRPr="00DD47DF">
        <w:rPr>
          <w:rFonts w:eastAsia="Calibri"/>
          <w:color w:val="000000"/>
          <w:szCs w:val="22"/>
          <w:lang w:eastAsia="en-US"/>
        </w:rPr>
        <w:t xml:space="preserve">, </w:t>
      </w:r>
      <w:r w:rsidRPr="00DD47DF">
        <w:rPr>
          <w:rFonts w:eastAsia="Calibri"/>
          <w:b/>
          <w:color w:val="000000"/>
          <w:szCs w:val="22"/>
          <w:lang w:eastAsia="en-US"/>
        </w:rPr>
        <w:t>tzv. domény inteligentní specializace.</w:t>
      </w:r>
    </w:p>
    <w:p w14:paraId="4E67F187" w14:textId="77777777" w:rsidR="00577869" w:rsidRPr="00DD47DF" w:rsidRDefault="00577869" w:rsidP="00577869">
      <w:pPr>
        <w:pStyle w:val="Standardntext"/>
      </w:pPr>
      <w:r w:rsidRPr="00DD47DF">
        <w:t xml:space="preserve">Návrhová část RIS3 se skládá ze šesti klíčových oblastí, v nichž ČR musí dosáhnout významných změn, aby došlo k posílení znalostní náročnost ekonomiky, rozvinutí a profilaci identifikovaných domén specializace a aby došlo k naplnění vize RIS3 „Česko podnikavé, kreativní a přitažlivé pro talenty a peníze“ v dlouhodobém horizontu. </w:t>
      </w:r>
    </w:p>
    <w:p w14:paraId="04A99599" w14:textId="77777777" w:rsidR="00577869" w:rsidRPr="00DD47DF" w:rsidRDefault="00577869" w:rsidP="00577869">
      <w:pPr>
        <w:pStyle w:val="Standardntext"/>
      </w:pPr>
      <w:r w:rsidRPr="00DD47DF">
        <w:rPr>
          <w:b/>
        </w:rPr>
        <w:t>Klíčové oblasti změn a strategické cíle Národní RIS 3 strategie, z nichž vycházejí relevantní aktivy OP PIK:</w:t>
      </w:r>
    </w:p>
    <w:p w14:paraId="78DCC1FB" w14:textId="77777777" w:rsidR="008F7639" w:rsidRPr="00DD47DF" w:rsidRDefault="008F7639" w:rsidP="00DA3512">
      <w:pPr>
        <w:pStyle w:val="Standardntext"/>
        <w:numPr>
          <w:ilvl w:val="0"/>
          <w:numId w:val="94"/>
        </w:numPr>
      </w:pPr>
      <w:r w:rsidRPr="00DD47DF">
        <w:t>v klíčové oblasti změn „A: Vyšší inovační výkonnost firem“ jde o tři strategické cíle</w:t>
      </w:r>
    </w:p>
    <w:p w14:paraId="480AAB40" w14:textId="77777777" w:rsidR="008F7639" w:rsidRPr="00DD47DF" w:rsidRDefault="008F7639" w:rsidP="00DA3512">
      <w:pPr>
        <w:pStyle w:val="Standardntext"/>
        <w:numPr>
          <w:ilvl w:val="1"/>
          <w:numId w:val="94"/>
        </w:numPr>
      </w:pPr>
      <w:r w:rsidRPr="00DD47DF">
        <w:t>A.1: Zvýšit inovační poptávku ve firmách (i ve veřejném sektoru)</w:t>
      </w:r>
    </w:p>
    <w:p w14:paraId="5C5893D6" w14:textId="77777777" w:rsidR="008F7639" w:rsidRPr="00DD47DF" w:rsidRDefault="008F7639" w:rsidP="00DA3512">
      <w:pPr>
        <w:pStyle w:val="Standardntext"/>
        <w:numPr>
          <w:ilvl w:val="1"/>
          <w:numId w:val="94"/>
        </w:numPr>
      </w:pPr>
      <w:r w:rsidRPr="00DD47DF">
        <w:t>A.2: Zvýšit míru podnikání ve společnosti s důrazem na zakládání nových rychle rostoucích firem</w:t>
      </w:r>
    </w:p>
    <w:p w14:paraId="4D2C4D8F" w14:textId="77777777" w:rsidR="008F7639" w:rsidRPr="00DD47DF" w:rsidRDefault="008F7639" w:rsidP="00DA3512">
      <w:pPr>
        <w:pStyle w:val="Standardntext"/>
        <w:numPr>
          <w:ilvl w:val="1"/>
          <w:numId w:val="94"/>
        </w:numPr>
      </w:pPr>
      <w:r w:rsidRPr="00DD47DF">
        <w:lastRenderedPageBreak/>
        <w:t>A.3: Zvýšit internacionalizaci MSP</w:t>
      </w:r>
    </w:p>
    <w:p w14:paraId="37A85877" w14:textId="77777777" w:rsidR="008F7639" w:rsidRPr="00DD47DF" w:rsidRDefault="008F7639" w:rsidP="00DA3512">
      <w:pPr>
        <w:pStyle w:val="Standardntext"/>
        <w:numPr>
          <w:ilvl w:val="0"/>
          <w:numId w:val="94"/>
        </w:numPr>
      </w:pPr>
      <w:r w:rsidRPr="00DD47DF">
        <w:t>v klíčové oblasti změn „C: Zvýšení ekonomických přínosů veřejného výzkumu“ jde o strategický cíl</w:t>
      </w:r>
    </w:p>
    <w:p w14:paraId="5056AE30" w14:textId="77777777" w:rsidR="008F7639" w:rsidRPr="00DD47DF" w:rsidRDefault="008F7639" w:rsidP="00DA3512">
      <w:pPr>
        <w:pStyle w:val="Standardntext"/>
        <w:numPr>
          <w:ilvl w:val="1"/>
          <w:numId w:val="94"/>
        </w:numPr>
      </w:pPr>
      <w:r w:rsidRPr="00DD47DF">
        <w:t>C.1: Zvýšit relevanci výzkumu</w:t>
      </w:r>
    </w:p>
    <w:p w14:paraId="286542ED" w14:textId="77777777" w:rsidR="008F7639" w:rsidRPr="00DD47DF" w:rsidRDefault="008F7639" w:rsidP="00DA3512">
      <w:pPr>
        <w:pStyle w:val="Standardntext"/>
        <w:numPr>
          <w:ilvl w:val="0"/>
          <w:numId w:val="94"/>
        </w:numPr>
      </w:pPr>
      <w:r w:rsidRPr="00DD47DF">
        <w:t>v klíčové oblasti změn „E: Rozvoj eGovernmentu a eBusinessu pro zvýšení konkurenceschopnosti (rozvoj ICT a digitální agenda)“ jde o dva strategické cíle</w:t>
      </w:r>
    </w:p>
    <w:p w14:paraId="4FC54F9E" w14:textId="77777777" w:rsidR="008F7639" w:rsidRPr="00DD47DF" w:rsidRDefault="008F7639" w:rsidP="00DA3512">
      <w:pPr>
        <w:pStyle w:val="Standardntext"/>
        <w:numPr>
          <w:ilvl w:val="1"/>
          <w:numId w:val="94"/>
        </w:numPr>
      </w:pPr>
      <w:r w:rsidRPr="00DD47DF">
        <w:t>E.2: Rozvoj eBusinessu a ICT v podnikání</w:t>
      </w:r>
    </w:p>
    <w:p w14:paraId="5F8C5237" w14:textId="77777777" w:rsidR="0012167C" w:rsidRPr="00DD47DF" w:rsidRDefault="008F7639" w:rsidP="00DA3512">
      <w:pPr>
        <w:pStyle w:val="Standardntext"/>
        <w:numPr>
          <w:ilvl w:val="1"/>
          <w:numId w:val="94"/>
        </w:numPr>
      </w:pPr>
      <w:r w:rsidRPr="00DD47DF">
        <w:t>E.3: Rozvoj Infrastruktury v</w:t>
      </w:r>
      <w:r w:rsidR="00577869" w:rsidRPr="00DD47DF">
        <w:t> </w:t>
      </w:r>
      <w:r w:rsidRPr="00DD47DF">
        <w:t>ICT</w:t>
      </w:r>
    </w:p>
    <w:p w14:paraId="253ADE73" w14:textId="77777777" w:rsidR="00577869" w:rsidRPr="00DD47DF" w:rsidRDefault="00577869" w:rsidP="00577869">
      <w:pPr>
        <w:pStyle w:val="Standardntext"/>
      </w:pPr>
      <w:r w:rsidRPr="00DD47DF">
        <w:t>OP PIK bude jedním z hlavních implementačních nástrojů, který bude přispívat k naplňování relevantních cílů RIS3. Její aplikace bude prováděna především v prioritních osách 1, 4 a částečně v prioritní ose 2. Jednotlivé vazby na specifické cíle RIS3 jsou uvedeny v oddíle 2 u relevantních specifických cílů.</w:t>
      </w:r>
    </w:p>
    <w:p w14:paraId="5E74ACC7" w14:textId="77777777" w:rsidR="00577869" w:rsidRPr="00DD47DF" w:rsidRDefault="00577869" w:rsidP="00577869">
      <w:pPr>
        <w:pStyle w:val="Titulek"/>
        <w:keepNext/>
        <w:keepLines/>
        <w:spacing w:after="240"/>
      </w:pPr>
      <w:r w:rsidRPr="00DD47DF">
        <w:t>Obrázek 2: Vazby specifických cílů OP PIK na specifické cíle Národní RIS3 strategie</w:t>
      </w:r>
    </w:p>
    <w:p w14:paraId="3D1547AD" w14:textId="77777777" w:rsidR="00577869" w:rsidRPr="00DD47DF" w:rsidRDefault="00577869" w:rsidP="00577869">
      <w:pPr>
        <w:pStyle w:val="Standardntext"/>
      </w:pPr>
      <w:r w:rsidRPr="00DD47DF">
        <w:rPr>
          <w:noProof/>
        </w:rPr>
        <w:drawing>
          <wp:inline distT="0" distB="0" distL="0" distR="0" wp14:anchorId="6A4A6C9A" wp14:editId="44354FA0">
            <wp:extent cx="5849620" cy="45040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9620" cy="4504055"/>
                    </a:xfrm>
                    <a:prstGeom prst="rect">
                      <a:avLst/>
                    </a:prstGeom>
                    <a:noFill/>
                    <a:ln>
                      <a:noFill/>
                    </a:ln>
                  </pic:spPr>
                </pic:pic>
              </a:graphicData>
            </a:graphic>
          </wp:inline>
        </w:drawing>
      </w:r>
    </w:p>
    <w:p w14:paraId="746B9B93" w14:textId="77777777" w:rsidR="00577869" w:rsidRPr="00DD47DF" w:rsidRDefault="00577869" w:rsidP="00577869">
      <w:pPr>
        <w:pStyle w:val="Standardntext"/>
      </w:pPr>
      <w:r w:rsidRPr="00DD47DF">
        <w:t>Na základě kombinace dostupných empirických dat na straně jedné (data o intenzitě exportu, intenzitě výdajů na výzkum a vývoj, vývoji obratu v čase), a na straně druhé na základě započatého entrepreneurial discovery</w:t>
      </w:r>
      <w:r w:rsidR="00782BE3" w:rsidRPr="00DD47DF">
        <w:t xml:space="preserve"> procesu</w:t>
      </w:r>
      <w:r w:rsidRPr="00DD47DF">
        <w:t xml:space="preserve">, který probíhá od roku 2013 na regionální úrovni, </w:t>
      </w:r>
      <w:r w:rsidRPr="00DD47DF">
        <w:lastRenderedPageBreak/>
        <w:t>lze identifikovat základní oblasti ekonomické specializace, kde ČR vykazuje nadprůměrný růstový potenciál. Jsou to:</w:t>
      </w:r>
    </w:p>
    <w:p w14:paraId="5F3C4D89" w14:textId="77777777" w:rsidR="00577869" w:rsidRPr="00DD47DF" w:rsidRDefault="00577869" w:rsidP="00DA3512">
      <w:pPr>
        <w:pStyle w:val="Standardntext"/>
        <w:numPr>
          <w:ilvl w:val="0"/>
          <w:numId w:val="98"/>
        </w:numPr>
      </w:pPr>
      <w:r w:rsidRPr="00DD47DF">
        <w:t>výroba dopravních prostředků,</w:t>
      </w:r>
    </w:p>
    <w:p w14:paraId="277779C8" w14:textId="77777777" w:rsidR="00577869" w:rsidRPr="00DD47DF" w:rsidRDefault="00577869" w:rsidP="00DA3512">
      <w:pPr>
        <w:pStyle w:val="Standardntext"/>
        <w:numPr>
          <w:ilvl w:val="0"/>
          <w:numId w:val="98"/>
        </w:numPr>
      </w:pPr>
      <w:r w:rsidRPr="00DD47DF">
        <w:t>strojírenství,</w:t>
      </w:r>
    </w:p>
    <w:p w14:paraId="2D87AE8C" w14:textId="77777777" w:rsidR="00577869" w:rsidRPr="00DD47DF" w:rsidRDefault="00577869" w:rsidP="00DA3512">
      <w:pPr>
        <w:pStyle w:val="Standardntext"/>
        <w:numPr>
          <w:ilvl w:val="0"/>
          <w:numId w:val="98"/>
        </w:numPr>
      </w:pPr>
      <w:r w:rsidRPr="00DD47DF">
        <w:t>elektronika a elektrotechnika,</w:t>
      </w:r>
    </w:p>
    <w:p w14:paraId="493FEFE0" w14:textId="77777777" w:rsidR="00577869" w:rsidRPr="00DD47DF" w:rsidRDefault="00577869" w:rsidP="00DA3512">
      <w:pPr>
        <w:pStyle w:val="Standardntext"/>
        <w:numPr>
          <w:ilvl w:val="0"/>
          <w:numId w:val="98"/>
        </w:numPr>
      </w:pPr>
      <w:r w:rsidRPr="00DD47DF">
        <w:t>IT služby a software,</w:t>
      </w:r>
    </w:p>
    <w:p w14:paraId="34E23500" w14:textId="77777777" w:rsidR="00577869" w:rsidRPr="00DD47DF" w:rsidRDefault="00577869" w:rsidP="00DA3512">
      <w:pPr>
        <w:pStyle w:val="Standardntext"/>
        <w:numPr>
          <w:ilvl w:val="0"/>
          <w:numId w:val="98"/>
        </w:numPr>
      </w:pPr>
      <w:r w:rsidRPr="00DD47DF">
        <w:t>výroba a distribuce elektrické energie,</w:t>
      </w:r>
    </w:p>
    <w:p w14:paraId="6518058F" w14:textId="77777777" w:rsidR="00577869" w:rsidRPr="00DD47DF" w:rsidRDefault="00577869" w:rsidP="00DA3512">
      <w:pPr>
        <w:pStyle w:val="Standardntext"/>
        <w:numPr>
          <w:ilvl w:val="0"/>
          <w:numId w:val="98"/>
        </w:numPr>
      </w:pPr>
      <w:r w:rsidRPr="00DD47DF">
        <w:t>léčiva a zdravotnické prostředky.</w:t>
      </w:r>
    </w:p>
    <w:p w14:paraId="659A2081" w14:textId="77777777" w:rsidR="00577869" w:rsidRPr="00DD47DF" w:rsidRDefault="00577869" w:rsidP="00577869">
      <w:pPr>
        <w:pStyle w:val="Standardntext"/>
      </w:pPr>
      <w:r w:rsidRPr="00DD47DF">
        <w:t>Důležité je proto uvnitř těchto odvětví identifikovat konkrétní dílčí obory, které představují hlavní konkurenční sílu ekonomiky. Právě tyto dílčí obory, resp. firmy v nich, jsou důležité pro identifikaci znalostních domén, na jejichž rozvoj bude cílit inteligentní specializace. Je nutné zdůraznit, že prakticky u všech identifikovaných aplikačních oblastí (s výjimkou IT služeb a částečně u zdravotních služeb a péče) se jedná o obory výrobní. To odráží aktuální ekonomickou specializaci ČR a v tomto ohledu je žádoucí také usměrňovat do budoucna specializaci výzkumnou. To však nesmí vést k mylnému závěru, že je vhodné podporovat výlučně průmyslovou výrobu. Naopak u všech identifikovaných výrobních odvětví je s ohledem na rostoucí globální komodifikaci výrobních činností žádoucí zvyšovat podíl souvisejících kvalifikovaných služeb (např. konstrukce, testování, design, zakázkový vývoj, poradenské služby, ale také marketingové služby) na ekonomické výkonnosti ČR.</w:t>
      </w:r>
    </w:p>
    <w:p w14:paraId="64DDE1BB" w14:textId="77777777" w:rsidR="00577869" w:rsidRPr="00DD47DF" w:rsidRDefault="00577869" w:rsidP="00577869">
      <w:pPr>
        <w:pStyle w:val="Standardntext"/>
      </w:pPr>
      <w:r w:rsidRPr="00DD47DF">
        <w:t>Vedle šesti aplikačních témat odvozených od ekonomické a inovační dynamiky příslušných aplikačních odvětví bylo dále doplněno ještě sedmé téma:</w:t>
      </w:r>
    </w:p>
    <w:p w14:paraId="2F29C037" w14:textId="77777777" w:rsidR="00577869" w:rsidRPr="00DD47DF" w:rsidRDefault="00577869" w:rsidP="00DA3512">
      <w:pPr>
        <w:pStyle w:val="Standardntext"/>
        <w:numPr>
          <w:ilvl w:val="0"/>
          <w:numId w:val="99"/>
        </w:numPr>
      </w:pPr>
      <w:r w:rsidRPr="00DD47DF">
        <w:t>přírodní zdroje, udržitelné zemědělství a potravinová bezpečnost a dostatečnost,</w:t>
      </w:r>
    </w:p>
    <w:p w14:paraId="6FBFCC6E" w14:textId="77777777" w:rsidR="00577869" w:rsidRPr="00DD47DF" w:rsidRDefault="00577869" w:rsidP="00577869">
      <w:pPr>
        <w:pStyle w:val="Standardntext"/>
      </w:pPr>
      <w:r w:rsidRPr="00DD47DF">
        <w:t>které reflektuje potřebu inovací v oblasti přírodních zdrojů a potravinové dostatečnosti. Jde o oblast, kde v tuto chvíli neexistuje bezprostřední komparativní výhoda ČR v mezinárodním měřítku, existuje zde však důvodný předpoklad, že z hlediska udržení dlouhodobé konkurenceschopnosti jde o kritickou oblast nezbytnou pro předcházení rizik, která mohou dlouhodobě ohrožovat prosperitu ekonomiky a společnosti.</w:t>
      </w:r>
    </w:p>
    <w:p w14:paraId="2C12789F" w14:textId="77777777" w:rsidR="00577869" w:rsidRPr="00DD47DF" w:rsidRDefault="00577869" w:rsidP="00577869">
      <w:pPr>
        <w:pStyle w:val="Standardntext"/>
      </w:pPr>
      <w:r w:rsidRPr="00DD47DF">
        <w:t>Tyto oblasti jsou detailně zohledněny v Národní RIS3 strategii. Výzkumné aktivity v ČR pokrývají široké spektrum směrů a v určitém rozsahu pokrývají všechny klíčové znalostní domény (resp. KETs) – materiálového výzkumu, nanotechnologií, mikro</w:t>
      </w:r>
      <w:r w:rsidR="00650A99" w:rsidRPr="00DD47DF">
        <w:t>-</w:t>
      </w:r>
      <w:r w:rsidRPr="00DD47DF">
        <w:t xml:space="preserve"> a nanoelektroniky, fotoniky, pokročilých výrobních technologií a průmyslových biotechnologií. Veškerá tato zjištění budou využita pro identifikaci nových příležitostí v rámci inovačních platforem a entrepreneurial discovery proces, který bude probíhat v interakci mezi partnery v jednotlivých inovačních platformách, v nichž jsou zastoupeni jak zástupci firemní sféry, výzkumných organizací, tak veřejného sektoru. Touto cestou bude možné zpřesnit a prioritizovat aplikační témata inteligentní specializace definovaná jako průsečík společenských výzev, základních znalostních domén a aplikačních příležitostí. Koncept inteligentní specializace a entrepreneurial discovery process tak bude dále rozvíjen v celém průběhu implementace národní strategie RIS3.</w:t>
      </w:r>
    </w:p>
    <w:p w14:paraId="5BAA2B86" w14:textId="77777777" w:rsidR="00577869" w:rsidRPr="00DD47DF" w:rsidRDefault="00577869" w:rsidP="00577869">
      <w:pPr>
        <w:pStyle w:val="Standardntext"/>
      </w:pPr>
      <w:r w:rsidRPr="00DD47DF">
        <w:t xml:space="preserve">V návrhové části strategie inteligentní specializace byly současně, ve spolupráci klíčových partnerů, identifikovány typové operace, u nichž je navrhováno, aby v implementační fázi byla zohledněna vertikální dimenze intervencí. Konkrétní forma a míra „vertikalizace“ typových </w:t>
      </w:r>
      <w:r w:rsidRPr="00DD47DF">
        <w:lastRenderedPageBreak/>
        <w:t>operací bude předmětem projednání v inovačních platformách a Řídicím výboru S3 na národní úrovni. Půjde přitom jak o typové operace implementované jako ryze vertikální (tj. budou podporovány pouze projekty naplňující některou vertikální prioritu definovanou v odpovídající národní nebo regionální inovační platformě), nebo o typové operace se stanovenou mírou vertikality, kde bude stanoven podíl prostředků či projektů, jejichž podpora bude podmíněna jasnou vazbou na naplňování vertikálních priorit ČR nebo některého regionu.</w:t>
      </w:r>
    </w:p>
    <w:p w14:paraId="2A54A3A0" w14:textId="77777777" w:rsidR="00577869" w:rsidRPr="00DD47DF" w:rsidRDefault="00577869" w:rsidP="00577869">
      <w:pPr>
        <w:pStyle w:val="Standardntext"/>
      </w:pPr>
      <w:r w:rsidRPr="00DD47DF">
        <w:t>V prvních letech implementace RIS3 budou poměrově převažovat intervence horizontálního charakteru, protože jsou podmínkou pro růst efektivity intervencí vedoucích k rozvíjení specializace. V průběhu realizace národní RIS3 se budou za účasti podnikatelů a výzkumníků navržené domény specializace postupně profilovat a investice se budou zaměřovat na jejich podporu a rozvíjení. Dá se předpokládat, že postupně tedy bude podíl vertikalizovaných intervencí navyšován a v pokročilé fázi implementace RIS3 by již měly vertikalizované intervence převažovat.</w:t>
      </w:r>
    </w:p>
    <w:p w14:paraId="0C15F2D7" w14:textId="77777777" w:rsidR="00577869" w:rsidRPr="00DD47DF" w:rsidRDefault="00577869" w:rsidP="00577869">
      <w:pPr>
        <w:pStyle w:val="Standardntext"/>
        <w:rPr>
          <w:rFonts w:eastAsia="Calibri"/>
          <w:szCs w:val="22"/>
          <w:lang w:eastAsia="en-US"/>
        </w:rPr>
      </w:pPr>
      <w:r w:rsidRPr="00DD47DF">
        <w:rPr>
          <w:rFonts w:eastAsia="Calibri"/>
          <w:szCs w:val="22"/>
          <w:lang w:eastAsia="en-US"/>
        </w:rPr>
        <w:t>Přehled vertikálních priorit – klíčových odvětví aplikací a aplikační témata jak je definuje národní RIS3 uvádí následující tabulka.</w:t>
      </w:r>
    </w:p>
    <w:p w14:paraId="4111E10C" w14:textId="77777777" w:rsidR="00577869" w:rsidRPr="00DD47DF" w:rsidRDefault="00577869" w:rsidP="00577869">
      <w:pPr>
        <w:pStyle w:val="Titulek"/>
        <w:keepNext/>
        <w:keepLines/>
        <w:spacing w:after="240"/>
      </w:pPr>
      <w:r w:rsidRPr="00DD47DF">
        <w:t>Obrázek 3: Matice inovačních a výzkumných potřeb inteligentní specializace – znalostní domény vs. aplikační odvětví</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275"/>
        <w:gridCol w:w="590"/>
        <w:gridCol w:w="472"/>
        <w:gridCol w:w="497"/>
        <w:gridCol w:w="497"/>
        <w:gridCol w:w="497"/>
        <w:gridCol w:w="497"/>
        <w:gridCol w:w="608"/>
        <w:gridCol w:w="545"/>
        <w:gridCol w:w="497"/>
        <w:gridCol w:w="497"/>
        <w:gridCol w:w="497"/>
        <w:gridCol w:w="463"/>
      </w:tblGrid>
      <w:tr w:rsidR="00577869" w:rsidRPr="00DD47DF" w14:paraId="581357CC" w14:textId="77777777" w:rsidTr="00650A99">
        <w:trPr>
          <w:jc w:val="center"/>
        </w:trPr>
        <w:tc>
          <w:tcPr>
            <w:tcW w:w="1580" w:type="pct"/>
            <w:gridSpan w:val="2"/>
            <w:vMerge w:val="restart"/>
            <w:shd w:val="clear" w:color="auto" w:fill="C6D9F1" w:themeFill="text2" w:themeFillTint="33"/>
          </w:tcPr>
          <w:p w14:paraId="65F35303" w14:textId="77777777" w:rsidR="00577869" w:rsidRPr="00DD47DF" w:rsidRDefault="00577869" w:rsidP="0040363A">
            <w:pPr>
              <w:overflowPunct/>
              <w:autoSpaceDE/>
              <w:autoSpaceDN/>
              <w:adjustRightInd/>
              <w:spacing w:line="276" w:lineRule="auto"/>
              <w:jc w:val="both"/>
              <w:textAlignment w:val="auto"/>
              <w:rPr>
                <w:rFonts w:eastAsiaTheme="minorHAnsi" w:cstheme="minorHAnsi"/>
                <w:b/>
                <w:sz w:val="18"/>
                <w:szCs w:val="18"/>
                <w:lang w:eastAsia="en-US"/>
              </w:rPr>
            </w:pPr>
          </w:p>
        </w:tc>
        <w:tc>
          <w:tcPr>
            <w:tcW w:w="2032" w:type="pct"/>
            <w:gridSpan w:val="7"/>
            <w:shd w:val="clear" w:color="auto" w:fill="C6D9F1" w:themeFill="text2" w:themeFillTint="33"/>
          </w:tcPr>
          <w:p w14:paraId="42C48922" w14:textId="77777777" w:rsidR="00577869" w:rsidRPr="00DD47DF" w:rsidRDefault="00577869" w:rsidP="0040363A">
            <w:pPr>
              <w:overflowPunct/>
              <w:autoSpaceDE/>
              <w:autoSpaceDN/>
              <w:adjustRightInd/>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Klíčová odvětví aplikací a aplikační témata - národní</w:t>
            </w:r>
          </w:p>
        </w:tc>
        <w:tc>
          <w:tcPr>
            <w:tcW w:w="1388" w:type="pct"/>
            <w:gridSpan w:val="5"/>
            <w:shd w:val="clear" w:color="auto" w:fill="C6D9F1" w:themeFill="text2" w:themeFillTint="33"/>
          </w:tcPr>
          <w:p w14:paraId="08CDBE8A" w14:textId="77777777" w:rsidR="00577869" w:rsidRPr="00DD47DF" w:rsidRDefault="00577869" w:rsidP="0040363A">
            <w:pPr>
              <w:overflowPunct/>
              <w:autoSpaceDE/>
              <w:autoSpaceDN/>
              <w:adjustRightInd/>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Klíčová odvětví aplikací znalostí - regionální</w:t>
            </w:r>
            <w:r w:rsidRPr="00DD47DF">
              <w:rPr>
                <w:rFonts w:eastAsiaTheme="minorHAnsi" w:cstheme="minorHAnsi"/>
                <w:b/>
                <w:sz w:val="18"/>
                <w:szCs w:val="18"/>
                <w:vertAlign w:val="superscript"/>
                <w:lang w:eastAsia="en-US"/>
              </w:rPr>
              <w:footnoteReference w:id="11"/>
            </w:r>
          </w:p>
        </w:tc>
      </w:tr>
      <w:tr w:rsidR="00577869" w:rsidRPr="00DD47DF" w14:paraId="5D1CC609" w14:textId="77777777" w:rsidTr="00650A99">
        <w:trPr>
          <w:cantSplit/>
          <w:trHeight w:val="2332"/>
          <w:jc w:val="center"/>
        </w:trPr>
        <w:tc>
          <w:tcPr>
            <w:tcW w:w="1580" w:type="pct"/>
            <w:gridSpan w:val="2"/>
            <w:vMerge/>
            <w:shd w:val="clear" w:color="auto" w:fill="C6D9F1" w:themeFill="text2" w:themeFillTint="33"/>
          </w:tcPr>
          <w:p w14:paraId="791C18A1" w14:textId="77777777" w:rsidR="00577869" w:rsidRPr="00DD47DF" w:rsidRDefault="00577869" w:rsidP="0040363A">
            <w:pPr>
              <w:overflowPunct/>
              <w:autoSpaceDE/>
              <w:autoSpaceDN/>
              <w:adjustRightInd/>
              <w:spacing w:line="276" w:lineRule="auto"/>
              <w:jc w:val="both"/>
              <w:textAlignment w:val="auto"/>
              <w:rPr>
                <w:rFonts w:eastAsiaTheme="minorHAnsi" w:cstheme="minorHAnsi"/>
                <w:b/>
                <w:sz w:val="18"/>
                <w:szCs w:val="18"/>
                <w:lang w:eastAsia="en-US"/>
              </w:rPr>
            </w:pPr>
          </w:p>
        </w:tc>
        <w:tc>
          <w:tcPr>
            <w:tcW w:w="328" w:type="pct"/>
            <w:shd w:val="clear" w:color="auto" w:fill="C6D9F1" w:themeFill="text2" w:themeFillTint="33"/>
            <w:textDirection w:val="tbRl"/>
            <w:vAlign w:val="center"/>
          </w:tcPr>
          <w:p w14:paraId="45E9CB6E"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Výroba dopravních prostředků, udržitelnost a bezpečnost dopravy</w:t>
            </w:r>
          </w:p>
        </w:tc>
        <w:tc>
          <w:tcPr>
            <w:tcW w:w="262" w:type="pct"/>
            <w:shd w:val="clear" w:color="auto" w:fill="C6D9F1" w:themeFill="text2" w:themeFillTint="33"/>
            <w:textDirection w:val="tbRl"/>
            <w:vAlign w:val="center"/>
          </w:tcPr>
          <w:p w14:paraId="352E0704"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Pokročilé a úsporné strojírenství a automatizace </w:t>
            </w:r>
          </w:p>
        </w:tc>
        <w:tc>
          <w:tcPr>
            <w:tcW w:w="276" w:type="pct"/>
            <w:shd w:val="clear" w:color="auto" w:fill="C6D9F1" w:themeFill="text2" w:themeFillTint="33"/>
            <w:textDirection w:val="tbRl"/>
            <w:vAlign w:val="center"/>
          </w:tcPr>
          <w:p w14:paraId="41CFE5F1"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Úsporná řešení v elektronice a elektrotechnice</w:t>
            </w:r>
          </w:p>
        </w:tc>
        <w:tc>
          <w:tcPr>
            <w:tcW w:w="276" w:type="pct"/>
            <w:shd w:val="clear" w:color="auto" w:fill="C6D9F1" w:themeFill="text2" w:themeFillTint="33"/>
            <w:textDirection w:val="tbRl"/>
            <w:vAlign w:val="center"/>
          </w:tcPr>
          <w:p w14:paraId="5FB51EF2"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IT služby, software a IT bezpečnost </w:t>
            </w:r>
          </w:p>
        </w:tc>
        <w:tc>
          <w:tcPr>
            <w:tcW w:w="276" w:type="pct"/>
            <w:shd w:val="clear" w:color="auto" w:fill="C6D9F1" w:themeFill="text2" w:themeFillTint="33"/>
            <w:textDirection w:val="tbRl"/>
            <w:vAlign w:val="center"/>
          </w:tcPr>
          <w:p w14:paraId="4271264C"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Udržitelná  a bezpečná výroba a distribuce el. energie  </w:t>
            </w:r>
          </w:p>
        </w:tc>
        <w:tc>
          <w:tcPr>
            <w:tcW w:w="276" w:type="pct"/>
            <w:shd w:val="clear" w:color="auto" w:fill="C6D9F1" w:themeFill="text2" w:themeFillTint="33"/>
            <w:textDirection w:val="tbRl"/>
            <w:vAlign w:val="center"/>
          </w:tcPr>
          <w:p w14:paraId="09D6F92B"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Léčiva a zdravotnické prostředky a metody pro zdravé stárnutí</w:t>
            </w:r>
          </w:p>
        </w:tc>
        <w:tc>
          <w:tcPr>
            <w:tcW w:w="337" w:type="pct"/>
            <w:shd w:val="clear" w:color="auto" w:fill="C6D9F1" w:themeFill="text2" w:themeFillTint="33"/>
            <w:textDirection w:val="tbRl"/>
            <w:vAlign w:val="center"/>
          </w:tcPr>
          <w:p w14:paraId="1721AC02"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Přírodní zdroje, udržitelné zemědělství a potravinová bezpečnost a dostatečnost </w:t>
            </w:r>
          </w:p>
        </w:tc>
        <w:tc>
          <w:tcPr>
            <w:tcW w:w="303" w:type="pct"/>
            <w:shd w:val="clear" w:color="auto" w:fill="C6D9F1" w:themeFill="text2" w:themeFillTint="33"/>
            <w:textDirection w:val="tbRl"/>
            <w:vAlign w:val="center"/>
          </w:tcPr>
          <w:p w14:paraId="01D083D9"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Chemie a chemický průmysl</w:t>
            </w:r>
          </w:p>
        </w:tc>
        <w:tc>
          <w:tcPr>
            <w:tcW w:w="276" w:type="pct"/>
            <w:shd w:val="clear" w:color="auto" w:fill="C6D9F1" w:themeFill="text2" w:themeFillTint="33"/>
            <w:textDirection w:val="tbRl"/>
            <w:vAlign w:val="center"/>
          </w:tcPr>
          <w:p w14:paraId="375EDB5F"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Sklářství, keramika</w:t>
            </w:r>
          </w:p>
        </w:tc>
        <w:tc>
          <w:tcPr>
            <w:tcW w:w="276" w:type="pct"/>
            <w:shd w:val="clear" w:color="auto" w:fill="C6D9F1" w:themeFill="text2" w:themeFillTint="33"/>
            <w:textDirection w:val="tbRl"/>
            <w:vAlign w:val="center"/>
          </w:tcPr>
          <w:p w14:paraId="4D12A68D"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Gumárenství, plastikářství</w:t>
            </w:r>
          </w:p>
        </w:tc>
        <w:tc>
          <w:tcPr>
            <w:tcW w:w="276" w:type="pct"/>
            <w:shd w:val="clear" w:color="auto" w:fill="C6D9F1" w:themeFill="text2" w:themeFillTint="33"/>
            <w:textDirection w:val="tbRl"/>
            <w:vAlign w:val="center"/>
          </w:tcPr>
          <w:p w14:paraId="5F8C544D"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Média</w:t>
            </w:r>
          </w:p>
        </w:tc>
        <w:tc>
          <w:tcPr>
            <w:tcW w:w="257" w:type="pct"/>
            <w:shd w:val="clear" w:color="auto" w:fill="C6D9F1" w:themeFill="text2" w:themeFillTint="33"/>
            <w:textDirection w:val="tbRl"/>
            <w:vAlign w:val="center"/>
          </w:tcPr>
          <w:p w14:paraId="258AE916" w14:textId="77777777" w:rsidR="00577869" w:rsidRPr="00DD47DF" w:rsidRDefault="00577869" w:rsidP="0040363A">
            <w:pPr>
              <w:overflowPunct/>
              <w:autoSpaceDE/>
              <w:autoSpaceDN/>
              <w:adjustRightInd/>
              <w:ind w:left="113" w:right="113"/>
              <w:textAlignment w:val="auto"/>
              <w:rPr>
                <w:rFonts w:eastAsiaTheme="minorHAnsi" w:cstheme="minorHAnsi"/>
                <w:sz w:val="18"/>
                <w:szCs w:val="18"/>
                <w:lang w:eastAsia="en-US"/>
              </w:rPr>
            </w:pPr>
            <w:r w:rsidRPr="00DD47DF">
              <w:rPr>
                <w:rFonts w:eastAsiaTheme="minorHAnsi" w:cstheme="minorHAnsi"/>
                <w:sz w:val="18"/>
                <w:szCs w:val="18"/>
                <w:lang w:eastAsia="en-US"/>
              </w:rPr>
              <w:t>Textil</w:t>
            </w:r>
          </w:p>
        </w:tc>
      </w:tr>
      <w:tr w:rsidR="00577869" w:rsidRPr="00DD47DF" w14:paraId="313E2F6C" w14:textId="77777777" w:rsidTr="00650A99">
        <w:trPr>
          <w:jc w:val="center"/>
        </w:trPr>
        <w:tc>
          <w:tcPr>
            <w:tcW w:w="316"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extDirection w:val="btLr"/>
            <w:vAlign w:val="center"/>
          </w:tcPr>
          <w:p w14:paraId="33E62754" w14:textId="77777777" w:rsidR="00577869" w:rsidRPr="00DD47DF" w:rsidRDefault="00577869" w:rsidP="0040363A">
            <w:pPr>
              <w:overflowPunct/>
              <w:autoSpaceDE/>
              <w:autoSpaceDN/>
              <w:adjustRightInd/>
              <w:ind w:left="113" w:right="113"/>
              <w:jc w:val="center"/>
              <w:textAlignment w:val="auto"/>
              <w:rPr>
                <w:rFonts w:eastAsiaTheme="minorHAnsi" w:cstheme="minorHAnsi"/>
                <w:b/>
                <w:sz w:val="18"/>
                <w:szCs w:val="18"/>
                <w:lang w:eastAsia="en-US"/>
              </w:rPr>
            </w:pPr>
            <w:r w:rsidRPr="00DD47DF">
              <w:rPr>
                <w:rFonts w:eastAsiaTheme="minorHAnsi" w:cstheme="minorHAnsi"/>
                <w:b/>
                <w:sz w:val="18"/>
                <w:szCs w:val="18"/>
                <w:lang w:eastAsia="en-US"/>
              </w:rPr>
              <w:t>Generické znalostní domény (KETs + netechnologické domény)</w:t>
            </w:r>
          </w:p>
        </w:tc>
        <w:tc>
          <w:tcPr>
            <w:tcW w:w="1264" w:type="pct"/>
            <w:tcBorders>
              <w:left w:val="single" w:sz="4" w:space="0" w:color="auto"/>
            </w:tcBorders>
          </w:tcPr>
          <w:p w14:paraId="1F7F961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Pokročilé materiály</w:t>
            </w:r>
          </w:p>
        </w:tc>
        <w:tc>
          <w:tcPr>
            <w:tcW w:w="328" w:type="pct"/>
            <w:vAlign w:val="center"/>
          </w:tcPr>
          <w:p w14:paraId="7CAE8CC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F5BC1F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E2D6E4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FEBBD0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1BFBAB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69E99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11336F7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7D49179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81B5F2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D1F922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F3784D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1FEF0FC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E22C2A6"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39AE170E"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66B73F3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Nanotechnologie</w:t>
            </w:r>
          </w:p>
        </w:tc>
        <w:tc>
          <w:tcPr>
            <w:tcW w:w="328" w:type="pct"/>
            <w:vAlign w:val="center"/>
          </w:tcPr>
          <w:p w14:paraId="1F01E81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2732A26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C8C817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55063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813EBC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F48161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4B854FE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5457CE1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78A8C3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93212D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1099B6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689C457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54D15477"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26923160"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17CE5E6"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Mikro a nanoelektronika </w:t>
            </w:r>
          </w:p>
        </w:tc>
        <w:tc>
          <w:tcPr>
            <w:tcW w:w="328" w:type="pct"/>
            <w:vAlign w:val="center"/>
          </w:tcPr>
          <w:p w14:paraId="3F8C80F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0C3C90D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A8CA34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05FBBB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B16A2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841E14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226C912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3A0A352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4A5EFC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CECCAF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3330A2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581911E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16C87D1"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7DA23FE1"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4799518"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Pokročilé výrobní technologie</w:t>
            </w:r>
          </w:p>
        </w:tc>
        <w:tc>
          <w:tcPr>
            <w:tcW w:w="328" w:type="pct"/>
            <w:vAlign w:val="center"/>
          </w:tcPr>
          <w:p w14:paraId="5759AB6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2610BD7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B42846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1DD75DF" w14:textId="77777777" w:rsidR="00577869" w:rsidRPr="00DD47DF" w:rsidRDefault="00577869" w:rsidP="0040363A">
            <w:pPr>
              <w:overflowPunct/>
              <w:autoSpaceDE/>
              <w:autoSpaceDN/>
              <w:adjustRightInd/>
              <w:textAlignment w:val="auto"/>
              <w:rPr>
                <w:rFonts w:eastAsiaTheme="minorHAnsi" w:cstheme="minorHAnsi"/>
                <w:sz w:val="16"/>
                <w:szCs w:val="18"/>
                <w:lang w:eastAsia="en-US"/>
              </w:rPr>
            </w:pPr>
          </w:p>
        </w:tc>
        <w:tc>
          <w:tcPr>
            <w:tcW w:w="276" w:type="pct"/>
            <w:vAlign w:val="center"/>
          </w:tcPr>
          <w:p w14:paraId="57FFD6E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CE5707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591805F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09AA40F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38BAC02"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052A5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DB1E0A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2C0470E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71FD47F2"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7BA32959"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3D764606"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Fotonika</w:t>
            </w:r>
          </w:p>
        </w:tc>
        <w:tc>
          <w:tcPr>
            <w:tcW w:w="328" w:type="pct"/>
            <w:vAlign w:val="center"/>
          </w:tcPr>
          <w:p w14:paraId="7D69366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859390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1ECB3B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0B6E02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2C1F0E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543218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2B6B56C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4FECAC1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592D71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D52FE1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3EAF65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47FA8CE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F92F830"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1CBE05AE"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40EC93F1"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 xml:space="preserve">Průmyslové biotechnologie </w:t>
            </w:r>
          </w:p>
        </w:tc>
        <w:tc>
          <w:tcPr>
            <w:tcW w:w="328" w:type="pct"/>
            <w:vAlign w:val="center"/>
          </w:tcPr>
          <w:p w14:paraId="4EF4531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0E23E78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27607E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519E4EF"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D70919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28F50B6"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0F1828B1"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2CDDC83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356F5D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4A222FB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1C8D6DE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78BEECE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4E26F43C"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544831F6"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70B1931D"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Znalosti pro digitální ekonomiku</w:t>
            </w:r>
            <w:r w:rsidRPr="00DD47DF">
              <w:rPr>
                <w:rFonts w:eastAsiaTheme="minorHAnsi" w:cstheme="minorHAnsi"/>
                <w:sz w:val="18"/>
                <w:szCs w:val="18"/>
                <w:vertAlign w:val="superscript"/>
                <w:lang w:eastAsia="en-US"/>
              </w:rPr>
              <w:footnoteReference w:id="12"/>
            </w:r>
            <w:r w:rsidRPr="00DD47DF">
              <w:rPr>
                <w:rFonts w:eastAsiaTheme="minorHAnsi" w:cstheme="minorHAnsi"/>
                <w:sz w:val="18"/>
                <w:szCs w:val="18"/>
                <w:lang w:eastAsia="en-US"/>
              </w:rPr>
              <w:t>, kulturní a kreativní průmysl</w:t>
            </w:r>
            <w:r w:rsidRPr="00DD47DF">
              <w:rPr>
                <w:rFonts w:eastAsiaTheme="minorHAnsi" w:cstheme="minorHAnsi"/>
                <w:sz w:val="18"/>
                <w:szCs w:val="18"/>
                <w:vertAlign w:val="superscript"/>
                <w:lang w:eastAsia="en-US"/>
              </w:rPr>
              <w:footnoteReference w:id="13"/>
            </w:r>
          </w:p>
        </w:tc>
        <w:tc>
          <w:tcPr>
            <w:tcW w:w="328" w:type="pct"/>
            <w:vAlign w:val="center"/>
          </w:tcPr>
          <w:p w14:paraId="6765BD3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517CBC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CF270D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BE0654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A9A98A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7DF3788"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19620F5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61F403A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93DFA15"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09AFE99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CA150A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139ECCE4"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r w:rsidR="00577869" w:rsidRPr="00DD47DF" w14:paraId="56EAE952" w14:textId="77777777" w:rsidTr="00650A99">
        <w:trPr>
          <w:jc w:val="center"/>
        </w:trPr>
        <w:tc>
          <w:tcPr>
            <w:tcW w:w="316" w:type="pct"/>
            <w:vMerge/>
            <w:tcBorders>
              <w:left w:val="single" w:sz="4" w:space="0" w:color="auto"/>
              <w:bottom w:val="single" w:sz="4" w:space="0" w:color="auto"/>
              <w:right w:val="single" w:sz="4" w:space="0" w:color="auto"/>
            </w:tcBorders>
            <w:shd w:val="clear" w:color="auto" w:fill="C6D9F1" w:themeFill="text2" w:themeFillTint="33"/>
            <w:vAlign w:val="center"/>
          </w:tcPr>
          <w:p w14:paraId="47747E7C" w14:textId="77777777" w:rsidR="00577869" w:rsidRPr="00DD47DF" w:rsidRDefault="00577869" w:rsidP="0040363A">
            <w:pPr>
              <w:overflowPunct/>
              <w:autoSpaceDE/>
              <w:autoSpaceDN/>
              <w:adjustRightInd/>
              <w:spacing w:line="276" w:lineRule="auto"/>
              <w:jc w:val="center"/>
              <w:textAlignment w:val="auto"/>
              <w:rPr>
                <w:rFonts w:eastAsiaTheme="minorHAnsi" w:cstheme="minorHAnsi"/>
                <w:sz w:val="18"/>
                <w:szCs w:val="18"/>
                <w:lang w:eastAsia="en-US"/>
              </w:rPr>
            </w:pPr>
          </w:p>
        </w:tc>
        <w:tc>
          <w:tcPr>
            <w:tcW w:w="1264" w:type="pct"/>
            <w:tcBorders>
              <w:left w:val="single" w:sz="4" w:space="0" w:color="auto"/>
            </w:tcBorders>
          </w:tcPr>
          <w:p w14:paraId="5B2528F9" w14:textId="77777777" w:rsidR="00577869" w:rsidRPr="00DD47DF" w:rsidRDefault="00577869" w:rsidP="0040363A">
            <w:pPr>
              <w:overflowPunct/>
              <w:autoSpaceDE/>
              <w:autoSpaceDN/>
              <w:adjustRightInd/>
              <w:spacing w:line="276" w:lineRule="auto"/>
              <w:textAlignment w:val="auto"/>
              <w:rPr>
                <w:rFonts w:eastAsiaTheme="minorHAnsi" w:cstheme="minorHAnsi"/>
                <w:sz w:val="18"/>
                <w:szCs w:val="18"/>
                <w:lang w:eastAsia="en-US"/>
              </w:rPr>
            </w:pPr>
            <w:r w:rsidRPr="00DD47DF">
              <w:rPr>
                <w:rFonts w:eastAsiaTheme="minorHAnsi" w:cstheme="minorHAnsi"/>
                <w:sz w:val="18"/>
                <w:szCs w:val="18"/>
                <w:lang w:eastAsia="en-US"/>
              </w:rPr>
              <w:t>Společenskovědní znalosti pro netechnické inovace</w:t>
            </w:r>
          </w:p>
        </w:tc>
        <w:tc>
          <w:tcPr>
            <w:tcW w:w="328" w:type="pct"/>
            <w:vAlign w:val="center"/>
          </w:tcPr>
          <w:p w14:paraId="3BA1AEB3"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62" w:type="pct"/>
            <w:vAlign w:val="center"/>
          </w:tcPr>
          <w:p w14:paraId="44B7E57D"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5DEBCBC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9F60D5A"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F6B110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397949DB"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37" w:type="pct"/>
            <w:vAlign w:val="center"/>
          </w:tcPr>
          <w:p w14:paraId="7D132A40"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303" w:type="pct"/>
            <w:vAlign w:val="center"/>
          </w:tcPr>
          <w:p w14:paraId="6348D554"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7C2CEFEC"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62FD2CF7"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76" w:type="pct"/>
            <w:vAlign w:val="center"/>
          </w:tcPr>
          <w:p w14:paraId="25B2DFDE"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c>
          <w:tcPr>
            <w:tcW w:w="257" w:type="pct"/>
            <w:vAlign w:val="center"/>
          </w:tcPr>
          <w:p w14:paraId="5A42FCD9" w14:textId="77777777" w:rsidR="00577869" w:rsidRPr="00DD47DF" w:rsidRDefault="00577869" w:rsidP="0040363A">
            <w:pPr>
              <w:overflowPunct/>
              <w:autoSpaceDE/>
              <w:autoSpaceDN/>
              <w:adjustRightInd/>
              <w:textAlignment w:val="auto"/>
              <w:rPr>
                <w:rFonts w:eastAsiaTheme="minorHAnsi" w:cstheme="minorHAnsi"/>
                <w:sz w:val="18"/>
                <w:szCs w:val="18"/>
                <w:lang w:eastAsia="en-US"/>
              </w:rPr>
            </w:pPr>
          </w:p>
        </w:tc>
      </w:tr>
    </w:tbl>
    <w:p w14:paraId="0D05DC7D" w14:textId="77777777" w:rsidR="00577869" w:rsidRPr="00DD47DF" w:rsidRDefault="00577869" w:rsidP="00577869">
      <w:pPr>
        <w:pStyle w:val="Standardntext"/>
        <w:spacing w:before="120"/>
      </w:pPr>
      <w:r w:rsidRPr="00DD47DF">
        <w:lastRenderedPageBreak/>
        <w:t>Pro tyto vertikální priority představuje OP PIK jeden z hlavních implementačních nástrojů. Na uvedená aplikační témata bude brán zvláštní zřetel při tvorbě program</w:t>
      </w:r>
      <w:r w:rsidR="00782BE3" w:rsidRPr="00DD47DF">
        <w:t>ů podpory</w:t>
      </w:r>
      <w:r w:rsidRPr="00DD47DF">
        <w:t xml:space="preserve">, ve výzvách a při hodnocení projektů a bude k přihlédnuto k tomu, zda předmětná intervence k těmto prioritám přispívá. Synergické nastavení RIS3 a OP PIK podporuje také skutečnost, že předmětná odvětví byla identifikována také v rámci analytické části přípravy OP PIK. </w:t>
      </w:r>
    </w:p>
    <w:p w14:paraId="34E857E4" w14:textId="77777777" w:rsidR="00577869" w:rsidRPr="00DD47DF" w:rsidRDefault="00577869" w:rsidP="00577869">
      <w:pPr>
        <w:pStyle w:val="Standardntext"/>
      </w:pPr>
      <w:r w:rsidRPr="00DD47DF">
        <w:t>Naplňování cílů a vertikálních priorit definovaných v Národní RIS3 strategii bude průběžně sledováno a vyhodnocováno externím nezávislým subjektem ve spolupráci s dotčenými realizátory intervencí za využití speciálních datových šetření a dopadových a dalších srovnávacích analýz a evaluací.</w:t>
      </w:r>
    </w:p>
    <w:p w14:paraId="50808D4F" w14:textId="77777777" w:rsidR="00E46D79" w:rsidRPr="00DD47DF" w:rsidRDefault="00E46D79" w:rsidP="000B0FE7">
      <w:pPr>
        <w:pStyle w:val="Standardntext"/>
        <w:keepNext/>
        <w:keepLines/>
        <w:rPr>
          <w:b/>
        </w:rPr>
      </w:pPr>
      <w:r w:rsidRPr="00DD47DF">
        <w:rPr>
          <w:b/>
        </w:rPr>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5B563043" w14:textId="77777777" w:rsidTr="007D02F2">
        <w:trPr>
          <w:trHeight w:val="552"/>
        </w:trPr>
        <w:tc>
          <w:tcPr>
            <w:tcW w:w="2500" w:type="pct"/>
            <w:shd w:val="clear" w:color="auto" w:fill="B8CCE4" w:themeFill="accent1" w:themeFillTint="66"/>
            <w:vAlign w:val="center"/>
          </w:tcPr>
          <w:p w14:paraId="6EB9F47A" w14:textId="77777777" w:rsidR="00D603D5" w:rsidRPr="00DD47DF" w:rsidRDefault="00D603D5" w:rsidP="000B0FE7">
            <w:pPr>
              <w:pStyle w:val="Tabulka"/>
              <w:keepNext/>
              <w:keepLines/>
              <w:rPr>
                <w:b/>
              </w:rPr>
            </w:pPr>
            <w:r w:rsidRPr="00DD47DF">
              <w:rPr>
                <w:b/>
              </w:rPr>
              <w:t>Silné stránky</w:t>
            </w:r>
          </w:p>
        </w:tc>
        <w:tc>
          <w:tcPr>
            <w:tcW w:w="2500" w:type="pct"/>
            <w:shd w:val="clear" w:color="auto" w:fill="B8CCE4" w:themeFill="accent1" w:themeFillTint="66"/>
            <w:vAlign w:val="center"/>
          </w:tcPr>
          <w:p w14:paraId="6EE4D1EC" w14:textId="77777777" w:rsidR="00D603D5" w:rsidRPr="00DD47DF" w:rsidRDefault="00D603D5" w:rsidP="000B0FE7">
            <w:pPr>
              <w:pStyle w:val="Tabulka"/>
              <w:keepNext/>
              <w:keepLines/>
              <w:rPr>
                <w:b/>
              </w:rPr>
            </w:pPr>
            <w:r w:rsidRPr="00DD47DF">
              <w:rPr>
                <w:b/>
              </w:rPr>
              <w:t>Slabé stránky</w:t>
            </w:r>
          </w:p>
        </w:tc>
      </w:tr>
      <w:tr w:rsidR="00D603D5" w:rsidRPr="00DD47DF" w14:paraId="194BEC80" w14:textId="77777777" w:rsidTr="007D02F2">
        <w:tc>
          <w:tcPr>
            <w:tcW w:w="2500" w:type="pct"/>
            <w:shd w:val="clear" w:color="auto" w:fill="auto"/>
          </w:tcPr>
          <w:p w14:paraId="148658FA" w14:textId="77777777" w:rsidR="00D603D5" w:rsidRPr="00DD47DF" w:rsidRDefault="00D603D5" w:rsidP="00DA3512">
            <w:pPr>
              <w:pStyle w:val="Tabulka"/>
              <w:keepNext/>
              <w:keepLines/>
              <w:numPr>
                <w:ilvl w:val="0"/>
                <w:numId w:val="93"/>
              </w:numPr>
              <w:ind w:left="426"/>
              <w:jc w:val="left"/>
            </w:pPr>
            <w:r w:rsidRPr="00DD47DF">
              <w:t>Schopnost podniků vyvíjet a zavádět nové produkty, technologické postupy, změny v organizaci práce či nové způsoby prodeje výrobků a služeb;</w:t>
            </w:r>
          </w:p>
          <w:p w14:paraId="0110321C" w14:textId="77777777" w:rsidR="00D603D5" w:rsidRPr="00DD47DF" w:rsidRDefault="00D603D5" w:rsidP="00DA3512">
            <w:pPr>
              <w:pStyle w:val="Tabulka"/>
              <w:keepNext/>
              <w:keepLines/>
              <w:numPr>
                <w:ilvl w:val="0"/>
                <w:numId w:val="93"/>
              </w:numPr>
              <w:ind w:left="426"/>
              <w:jc w:val="left"/>
            </w:pPr>
            <w:r w:rsidRPr="00DD47DF">
              <w:t>Zlepšení v oblasti technologické i vědecko-výzkumné infrastruktury;</w:t>
            </w:r>
          </w:p>
          <w:p w14:paraId="655F13FE" w14:textId="77777777" w:rsidR="00D603D5" w:rsidRPr="00DD47DF" w:rsidRDefault="00D603D5" w:rsidP="00DA3512">
            <w:pPr>
              <w:pStyle w:val="Tabulka"/>
              <w:keepNext/>
              <w:keepLines/>
              <w:numPr>
                <w:ilvl w:val="0"/>
                <w:numId w:val="93"/>
              </w:numPr>
              <w:ind w:left="426"/>
              <w:jc w:val="left"/>
            </w:pPr>
            <w:r w:rsidRPr="00DD47DF">
              <w:t>Pozitivní trend ve vývoji výdajů na VaV;</w:t>
            </w:r>
          </w:p>
          <w:p w14:paraId="0B8EDD7B" w14:textId="77777777" w:rsidR="00D603D5" w:rsidRPr="00DD47DF" w:rsidRDefault="00D603D5" w:rsidP="00DA3512">
            <w:pPr>
              <w:pStyle w:val="Tabulka"/>
              <w:keepNext/>
              <w:keepLines/>
              <w:numPr>
                <w:ilvl w:val="0"/>
                <w:numId w:val="93"/>
              </w:numPr>
              <w:ind w:left="426"/>
              <w:jc w:val="left"/>
            </w:pPr>
            <w:r w:rsidRPr="00DD47DF">
              <w:t>Trend růstu počtu vývojových center ve firmách (růst počtu subjektů realizujících aktivity výzkumu a vývoje);</w:t>
            </w:r>
          </w:p>
          <w:p w14:paraId="02D36D56" w14:textId="77777777" w:rsidR="00D603D5" w:rsidRPr="00DD47DF" w:rsidRDefault="00D603D5" w:rsidP="00DA3512">
            <w:pPr>
              <w:pStyle w:val="Tabulka"/>
              <w:keepNext/>
              <w:keepLines/>
              <w:numPr>
                <w:ilvl w:val="0"/>
                <w:numId w:val="93"/>
              </w:numPr>
              <w:ind w:left="426"/>
              <w:jc w:val="left"/>
            </w:pPr>
            <w:r w:rsidRPr="00DD47DF">
              <w:t>Kvantitativní posílení inovační infrastruktury – zvýšení počtu zařízení / organizací na podporu inovačního podnikání a technologického transferu;</w:t>
            </w:r>
          </w:p>
          <w:p w14:paraId="041631D2" w14:textId="77777777" w:rsidR="00D603D5" w:rsidRPr="00DD47DF" w:rsidRDefault="00D603D5" w:rsidP="00DA3512">
            <w:pPr>
              <w:pStyle w:val="Tabulka"/>
              <w:keepNext/>
              <w:keepLines/>
              <w:numPr>
                <w:ilvl w:val="0"/>
                <w:numId w:val="93"/>
              </w:numPr>
              <w:ind w:left="426"/>
              <w:jc w:val="left"/>
            </w:pPr>
            <w:r w:rsidRPr="00DD47DF">
              <w:t>Kvalitní technické kompetence a tradice průmyslového know-how.</w:t>
            </w:r>
          </w:p>
        </w:tc>
        <w:tc>
          <w:tcPr>
            <w:tcW w:w="2500" w:type="pct"/>
            <w:shd w:val="clear" w:color="auto" w:fill="auto"/>
          </w:tcPr>
          <w:p w14:paraId="6281F3E5" w14:textId="77777777" w:rsidR="00D603D5" w:rsidRPr="00DD47DF" w:rsidRDefault="00D603D5" w:rsidP="00DA3512">
            <w:pPr>
              <w:pStyle w:val="Tabulka"/>
              <w:keepNext/>
              <w:keepLines/>
              <w:numPr>
                <w:ilvl w:val="0"/>
                <w:numId w:val="93"/>
              </w:numPr>
              <w:ind w:left="459"/>
              <w:jc w:val="left"/>
            </w:pPr>
            <w:r w:rsidRPr="00DD47DF">
              <w:rPr>
                <w:rFonts w:cs="Calibri"/>
                <w:bCs/>
              </w:rPr>
              <w:t>ČR zaostává v oblasti využití výsledků VaVaI;</w:t>
            </w:r>
          </w:p>
          <w:p w14:paraId="2E768847" w14:textId="77777777" w:rsidR="00D603D5" w:rsidRPr="00DD47DF" w:rsidRDefault="00D603D5" w:rsidP="00DA3512">
            <w:pPr>
              <w:pStyle w:val="Tabulka"/>
              <w:keepNext/>
              <w:keepLines/>
              <w:numPr>
                <w:ilvl w:val="0"/>
                <w:numId w:val="93"/>
              </w:numPr>
              <w:ind w:left="459"/>
              <w:jc w:val="left"/>
            </w:pPr>
            <w:r w:rsidRPr="00DD47DF">
              <w:rPr>
                <w:rFonts w:cs="Calibri"/>
                <w:bCs/>
              </w:rPr>
              <w:t>Nízké výdaje podnikatelského sektoru na provádění VaV ve vládním a vysokoškolském sektoru;</w:t>
            </w:r>
          </w:p>
          <w:p w14:paraId="1456CC29" w14:textId="77777777" w:rsidR="00D603D5" w:rsidRPr="00DD47DF" w:rsidRDefault="00D603D5" w:rsidP="00DA3512">
            <w:pPr>
              <w:pStyle w:val="Tabulka"/>
              <w:keepNext/>
              <w:keepLines/>
              <w:numPr>
                <w:ilvl w:val="0"/>
                <w:numId w:val="93"/>
              </w:numPr>
              <w:ind w:left="459"/>
              <w:jc w:val="left"/>
            </w:pPr>
            <w:r w:rsidRPr="00DD47DF">
              <w:t>Podrozvinutost znalostních kapacit některých regionů;</w:t>
            </w:r>
          </w:p>
          <w:p w14:paraId="60E2F57E" w14:textId="77777777" w:rsidR="00D603D5" w:rsidRPr="00DD47DF" w:rsidRDefault="00D603D5" w:rsidP="00DA3512">
            <w:pPr>
              <w:pStyle w:val="Tabulka"/>
              <w:keepNext/>
              <w:keepLines/>
              <w:numPr>
                <w:ilvl w:val="0"/>
                <w:numId w:val="93"/>
              </w:numPr>
              <w:ind w:left="459"/>
              <w:jc w:val="left"/>
            </w:pPr>
            <w:r w:rsidRPr="00DD47DF">
              <w:rPr>
                <w:rFonts w:cs="Calibri"/>
                <w:bCs/>
              </w:rPr>
              <w:t>Nízká inovační poptávka českých podniků, p</w:t>
            </w:r>
            <w:r w:rsidRPr="00DD47DF">
              <w:t>řevaha výroby s malou přidanou hodnotou</w:t>
            </w:r>
            <w:r w:rsidRPr="00DD47DF">
              <w:rPr>
                <w:rFonts w:cs="Calibri"/>
                <w:bCs/>
              </w:rPr>
              <w:t>;</w:t>
            </w:r>
          </w:p>
          <w:p w14:paraId="7DF0D03D" w14:textId="77777777" w:rsidR="00D603D5" w:rsidRPr="00DD47DF" w:rsidRDefault="00D603D5" w:rsidP="00DA3512">
            <w:pPr>
              <w:pStyle w:val="Tabulka"/>
              <w:keepNext/>
              <w:keepLines/>
              <w:numPr>
                <w:ilvl w:val="0"/>
                <w:numId w:val="93"/>
              </w:numPr>
              <w:ind w:left="459"/>
              <w:jc w:val="left"/>
              <w:rPr>
                <w:rFonts w:cs="Calibri"/>
                <w:bCs/>
              </w:rPr>
            </w:pPr>
            <w:r w:rsidRPr="00DD47DF">
              <w:rPr>
                <w:rFonts w:cs="Calibri"/>
                <w:bCs/>
              </w:rPr>
              <w:t>Nedostatečné povědomí a využití ochrany práv duševního vlastnictví, nízký počet patentových přihlášek u Evropského patentového úřadu;</w:t>
            </w:r>
          </w:p>
          <w:p w14:paraId="1A71C2D4" w14:textId="77777777" w:rsidR="00D603D5" w:rsidRPr="00DD47DF" w:rsidRDefault="00D603D5" w:rsidP="00DA3512">
            <w:pPr>
              <w:pStyle w:val="Tabulka"/>
              <w:keepNext/>
              <w:keepLines/>
              <w:numPr>
                <w:ilvl w:val="0"/>
                <w:numId w:val="93"/>
              </w:numPr>
              <w:ind w:left="459"/>
              <w:jc w:val="left"/>
            </w:pPr>
            <w:r w:rsidRPr="00DD47DF">
              <w:t>Spoléhání se pouze na vlastní kompetence a nedůvěra v přínosy ze spolupráce, ať už mezi podniky či s výzkumnými institucemi.</w:t>
            </w:r>
          </w:p>
        </w:tc>
      </w:tr>
      <w:tr w:rsidR="00D603D5" w:rsidRPr="00DD47DF" w14:paraId="681C57D6" w14:textId="77777777" w:rsidTr="007D02F2">
        <w:trPr>
          <w:trHeight w:val="553"/>
        </w:trPr>
        <w:tc>
          <w:tcPr>
            <w:tcW w:w="2500" w:type="pct"/>
            <w:shd w:val="clear" w:color="auto" w:fill="B8CCE4" w:themeFill="accent1" w:themeFillTint="66"/>
            <w:vAlign w:val="center"/>
          </w:tcPr>
          <w:p w14:paraId="10BCA7CB" w14:textId="77777777" w:rsidR="00D603D5" w:rsidRPr="00DD47DF" w:rsidRDefault="00D603D5" w:rsidP="007D02F2">
            <w:pPr>
              <w:pStyle w:val="Tabulka"/>
              <w:rPr>
                <w:b/>
                <w:sz w:val="24"/>
              </w:rPr>
            </w:pPr>
            <w:r w:rsidRPr="00DD47DF">
              <w:rPr>
                <w:b/>
              </w:rPr>
              <w:t>Příležitosti</w:t>
            </w:r>
          </w:p>
        </w:tc>
        <w:tc>
          <w:tcPr>
            <w:tcW w:w="2500" w:type="pct"/>
            <w:shd w:val="clear" w:color="auto" w:fill="B8CCE4" w:themeFill="accent1" w:themeFillTint="66"/>
            <w:vAlign w:val="center"/>
          </w:tcPr>
          <w:p w14:paraId="307DE08D" w14:textId="77777777" w:rsidR="00D603D5" w:rsidRPr="00DD47DF" w:rsidRDefault="00D603D5" w:rsidP="007D02F2">
            <w:pPr>
              <w:pStyle w:val="Tabulka"/>
              <w:rPr>
                <w:b/>
                <w:sz w:val="24"/>
              </w:rPr>
            </w:pPr>
            <w:r w:rsidRPr="00DD47DF">
              <w:rPr>
                <w:b/>
              </w:rPr>
              <w:t>Hrozby</w:t>
            </w:r>
          </w:p>
        </w:tc>
      </w:tr>
      <w:tr w:rsidR="00D603D5" w:rsidRPr="00DD47DF" w14:paraId="71A5D884" w14:textId="77777777" w:rsidTr="007D02F2">
        <w:tc>
          <w:tcPr>
            <w:tcW w:w="2500" w:type="pct"/>
            <w:shd w:val="clear" w:color="auto" w:fill="auto"/>
          </w:tcPr>
          <w:p w14:paraId="2262AC0C" w14:textId="77777777" w:rsidR="00D603D5" w:rsidRPr="00DD47DF" w:rsidRDefault="00D603D5" w:rsidP="00DA3512">
            <w:pPr>
              <w:pStyle w:val="Tabulka"/>
              <w:numPr>
                <w:ilvl w:val="0"/>
                <w:numId w:val="93"/>
              </w:numPr>
              <w:ind w:left="426"/>
              <w:jc w:val="left"/>
            </w:pPr>
            <w:r w:rsidRPr="00DD47DF">
              <w:t>Rozvoj výzkumně-vývojových aktivit v oblastech řazených mezi tzv. „key enabling technologies“ (tzv. klíčových technologií);</w:t>
            </w:r>
          </w:p>
          <w:p w14:paraId="3E6F1323" w14:textId="77777777" w:rsidR="00D603D5" w:rsidRPr="00DD47DF" w:rsidRDefault="00D603D5" w:rsidP="00DA3512">
            <w:pPr>
              <w:pStyle w:val="Tabulka"/>
              <w:numPr>
                <w:ilvl w:val="0"/>
                <w:numId w:val="93"/>
              </w:numPr>
              <w:ind w:left="426"/>
              <w:jc w:val="left"/>
            </w:pPr>
            <w:r w:rsidRPr="00DD47DF">
              <w:t>Využít potenciál inovací v aplikační sféře;</w:t>
            </w:r>
          </w:p>
          <w:p w14:paraId="463E0A32" w14:textId="77777777" w:rsidR="00D603D5" w:rsidRPr="00DD47DF" w:rsidRDefault="00D603D5" w:rsidP="00DA3512">
            <w:pPr>
              <w:pStyle w:val="Tabulka"/>
              <w:numPr>
                <w:ilvl w:val="0"/>
                <w:numId w:val="93"/>
              </w:numPr>
              <w:ind w:left="426"/>
              <w:jc w:val="left"/>
            </w:pPr>
            <w:r w:rsidRPr="00DD47DF">
              <w:t>Reforma financování vědy a výzkumu – posílení podpory kvality na úkor kvantity a nové impulsy pro intenzivnější spolupráci průmyslového a akademického sektoru;</w:t>
            </w:r>
          </w:p>
          <w:p w14:paraId="5519E9E4" w14:textId="77777777" w:rsidR="00D603D5" w:rsidRPr="00DD47DF" w:rsidRDefault="00D603D5" w:rsidP="00DA3512">
            <w:pPr>
              <w:pStyle w:val="Tabulka"/>
              <w:numPr>
                <w:ilvl w:val="0"/>
                <w:numId w:val="93"/>
              </w:numPr>
              <w:ind w:left="426"/>
              <w:jc w:val="left"/>
            </w:pPr>
            <w:r w:rsidRPr="00DD47DF">
              <w:t>Zlepšení institucionálního prostředí jako signál pro zahraniční investice do aktivit s vysokou přidanou hodnotou;</w:t>
            </w:r>
          </w:p>
          <w:p w14:paraId="5E2EC5D7" w14:textId="77777777" w:rsidR="00D603D5" w:rsidRPr="00DD47DF" w:rsidRDefault="00D603D5" w:rsidP="00DA3512">
            <w:pPr>
              <w:pStyle w:val="Tabulka"/>
              <w:numPr>
                <w:ilvl w:val="0"/>
                <w:numId w:val="93"/>
              </w:numPr>
              <w:ind w:left="426"/>
              <w:jc w:val="left"/>
            </w:pPr>
            <w:r w:rsidRPr="00DD47DF">
              <w:t>Benefity vyplývající ze síťování podniků (klastry) včetně navázání spolupráce se zahraničními obchodními partnery a výzkumnými organizacemi;</w:t>
            </w:r>
          </w:p>
          <w:p w14:paraId="4368A62B" w14:textId="77777777" w:rsidR="00D603D5" w:rsidRPr="00DD47DF" w:rsidRDefault="00D603D5" w:rsidP="00DA3512">
            <w:pPr>
              <w:pStyle w:val="Tabulka"/>
              <w:numPr>
                <w:ilvl w:val="0"/>
                <w:numId w:val="93"/>
              </w:numPr>
              <w:ind w:left="426"/>
              <w:jc w:val="left"/>
            </w:pPr>
            <w:r w:rsidRPr="00DD47DF">
              <w:t xml:space="preserve">Maximální využití vybudované VaVaI </w:t>
            </w:r>
            <w:r w:rsidRPr="00DD47DF">
              <w:lastRenderedPageBreak/>
              <w:t>infrastruktury.</w:t>
            </w:r>
          </w:p>
        </w:tc>
        <w:tc>
          <w:tcPr>
            <w:tcW w:w="2500" w:type="pct"/>
            <w:shd w:val="clear" w:color="auto" w:fill="auto"/>
          </w:tcPr>
          <w:p w14:paraId="20BB8A07" w14:textId="77777777" w:rsidR="00D603D5" w:rsidRPr="00DD47DF" w:rsidRDefault="00D603D5" w:rsidP="00DA3512">
            <w:pPr>
              <w:pStyle w:val="Tabulka"/>
              <w:numPr>
                <w:ilvl w:val="0"/>
                <w:numId w:val="93"/>
              </w:numPr>
              <w:ind w:left="459"/>
              <w:jc w:val="left"/>
            </w:pPr>
            <w:r w:rsidRPr="00DD47DF">
              <w:lastRenderedPageBreak/>
              <w:t>Silná koncentrace aktivit VaV do několika málo oborů, subjektů a především do podniků pod zahraniční kontrolou;</w:t>
            </w:r>
          </w:p>
          <w:p w14:paraId="55AAF02E" w14:textId="77777777" w:rsidR="00D603D5" w:rsidRPr="00DD47DF" w:rsidRDefault="00D603D5" w:rsidP="00DA3512">
            <w:pPr>
              <w:pStyle w:val="Tabulka"/>
              <w:numPr>
                <w:ilvl w:val="0"/>
                <w:numId w:val="93"/>
              </w:numPr>
              <w:ind w:left="459"/>
              <w:jc w:val="left"/>
            </w:pPr>
            <w:r w:rsidRPr="00DD47DF">
              <w:t xml:space="preserve">Velká vzdálenost domácích firem od koncových trhů / zákazníků </w:t>
            </w:r>
            <w:r w:rsidRPr="00DD47DF">
              <w:sym w:font="Symbol" w:char="F0AE"/>
            </w:r>
            <w:r w:rsidRPr="00DD47DF">
              <w:t xml:space="preserve"> omezené impulsy pro inovace;</w:t>
            </w:r>
          </w:p>
          <w:p w14:paraId="19CCF30C" w14:textId="77777777" w:rsidR="00D603D5" w:rsidRPr="00DD47DF" w:rsidRDefault="00D603D5" w:rsidP="00DA3512">
            <w:pPr>
              <w:pStyle w:val="Tabulka"/>
              <w:numPr>
                <w:ilvl w:val="0"/>
                <w:numId w:val="93"/>
              </w:numPr>
              <w:ind w:left="459"/>
              <w:jc w:val="left"/>
            </w:pPr>
            <w:r w:rsidRPr="00DD47DF">
              <w:t>Postupná ztráta dosavadních komparativních výhod českých podniků – kombinace dobrých technických kompetencí a ceny již není dostatečná;</w:t>
            </w:r>
          </w:p>
          <w:p w14:paraId="6694E122" w14:textId="77777777" w:rsidR="00D603D5" w:rsidRPr="00DD47DF" w:rsidRDefault="00D603D5" w:rsidP="00DA3512">
            <w:pPr>
              <w:pStyle w:val="Tabulka"/>
              <w:numPr>
                <w:ilvl w:val="0"/>
                <w:numId w:val="93"/>
              </w:numPr>
              <w:ind w:left="459"/>
              <w:jc w:val="left"/>
            </w:pPr>
            <w:r w:rsidRPr="00DD47DF">
              <w:t>Neočekávané působení faktorů ekonomické krize (pokles domácí a zahraniční poptávky apod.) a s tím spojené riziko propadu investic do výzkumu, vývoje a inovací;</w:t>
            </w:r>
          </w:p>
          <w:p w14:paraId="788DC404" w14:textId="77777777" w:rsidR="00D603D5" w:rsidRPr="00DD47DF" w:rsidRDefault="00D603D5" w:rsidP="00DA3512">
            <w:pPr>
              <w:pStyle w:val="Tabulka"/>
              <w:numPr>
                <w:ilvl w:val="0"/>
                <w:numId w:val="93"/>
              </w:numPr>
              <w:ind w:left="459"/>
              <w:jc w:val="left"/>
            </w:pPr>
            <w:r w:rsidRPr="00DD47DF">
              <w:t xml:space="preserve">Nedostatečný počet kvalifikovaných lidských zdrojů v odvětvích náročných na znalosti </w:t>
            </w:r>
            <w:r w:rsidRPr="00DD47DF">
              <w:lastRenderedPageBreak/>
              <w:t>související s odchodem kvalifikovaných, zejména mladých vědeckých a odborných pracovníků pracujících ve firmách do jiných zemí</w:t>
            </w:r>
            <w:r w:rsidR="002F7F4F" w:rsidRPr="00DD47DF">
              <w:t>.</w:t>
            </w:r>
          </w:p>
        </w:tc>
      </w:tr>
    </w:tbl>
    <w:p w14:paraId="027044F4" w14:textId="77777777" w:rsidR="00706A57" w:rsidRPr="00DD47DF" w:rsidRDefault="00782BE3" w:rsidP="00706A57">
      <w:pPr>
        <w:pStyle w:val="Standardntext"/>
        <w:spacing w:before="240"/>
      </w:pPr>
      <w:r w:rsidRPr="00DD47DF">
        <w:lastRenderedPageBreak/>
        <w:t>V rámci problémové oblasti „Konkurenceschopnost ekonomiky“, resp. hlavního pilíře „Efektivní výzkumný a inovační systém“ jsou z pohledu OP PIK, jmenovitě prioritní osy 1, nejzásadnější tyto potřeby rozvoje: využití</w:t>
      </w:r>
      <w:r w:rsidRPr="00DD47DF">
        <w:rPr>
          <w:bCs/>
        </w:rPr>
        <w:t xml:space="preserve"> VaV kapacity podniků a výzkumných organizací s cílem zavedení nových aplikací na trhu v technologicky náročnějších oblastech, zvýšení kvality a intenzity spolupráce veřejného a soukromého sektoru v oblasti VaVaI, rozšíření kapacit průmyslového VaV v podnicích, vývoj a zavádění procesních a produktových inovací</w:t>
      </w:r>
      <w:r w:rsidRPr="00DD47DF">
        <w:t>. Prioritní osa 1 reprezentuje příspěvek programu ke zvýšení kvality výzkumného a inovačního systému ČR.</w:t>
      </w:r>
    </w:p>
    <w:p w14:paraId="28120801" w14:textId="77777777" w:rsidR="00F260AA" w:rsidRPr="00DD47DF" w:rsidRDefault="00F260AA" w:rsidP="001652D9">
      <w:pPr>
        <w:pStyle w:val="Modrnadpis"/>
      </w:pPr>
      <w:r w:rsidRPr="00DD47DF">
        <w:t>Konkurenceschopné podniky</w:t>
      </w:r>
    </w:p>
    <w:p w14:paraId="56C9CD28" w14:textId="77777777" w:rsidR="00F260AA" w:rsidRPr="00DD47DF" w:rsidRDefault="00F260AA" w:rsidP="00F260AA">
      <w:pPr>
        <w:pStyle w:val="Standardntext"/>
      </w:pPr>
      <w:r w:rsidRPr="00DD47DF">
        <w:t xml:space="preserve">V mezinárodním kontextu zaujímá průmysl v ČR stále významnou roli. V posledních letech však díky pokračujícímu procesu specializace dochází k nárůstu podílu služeb a tím klesá závislost české ekonomiky na poptávce v zahraničí. Oblast služeb je tak méně náchylná na externí faktory, které významně ovlivňují zejména průmyslové podniky. Mezi roky 2006 a 2010 tak docházelo ve většině krajů ČR ke snižování podílu průmyslu na úkor sektoru služeb. K regionům s významným podílem služeb patří tradičně kromě Prahy Jihomoravský kraj. </w:t>
      </w:r>
    </w:p>
    <w:p w14:paraId="16D04A41" w14:textId="77777777" w:rsidR="00782BE3" w:rsidRPr="00DD47DF" w:rsidRDefault="00782BE3" w:rsidP="00782BE3">
      <w:pPr>
        <w:pStyle w:val="Standardntext"/>
      </w:pPr>
      <w:r w:rsidRPr="00DD47DF">
        <w:t>Podnikatelé vnímají potřebu kontinuálního rozvoje vlastních znalostních kapacit pro budování konkurenční výhody, tak za hlavní výzvu považují obchod, obsazení nových trhů a vyhledání nových příležitostí pro uplatnění technických kompetencí svých firem. V této souvislosti upozorňují, že největším problémem dalšího růstu a rozvoje inovací je oblast netechnických kompetencí souvisejících se strategickým řízením, obchodem, práce se zákazníky a vyhledáváním nových příležitostí (např. mimo dosavadní hlavní zaměření). V roce 2012 vytvořily MSP celkem 1 326 147 mil. Kč přidané hodnoty, oproti roku 2011 došlo ke snížení o 18 434 mil. Kč. Podíl přidané hodnoty MSP na celku ČR tvořil 53,81 % (tj. snížení o 0,21 % oproti roku 2011). Podíl zaměstnanců MSP na celkovém počtu zaměstnanců podnikatelské sféry v ČR v roce 2012 činil 59,43 %.</w:t>
      </w:r>
    </w:p>
    <w:p w14:paraId="4FBD6778" w14:textId="77777777" w:rsidR="00F260AA" w:rsidRPr="00DD47DF" w:rsidRDefault="00782BE3" w:rsidP="00782BE3">
      <w:pPr>
        <w:pStyle w:val="Standardntext"/>
      </w:pPr>
      <w:r w:rsidRPr="00DD47DF">
        <w:t>Nedostatečně rozvinutý trh podnikatelských služeb představuje bariéru rozvoje domácího podnikatelského sektoru. Ačkoliv většina typických služeb v rozvinutých ekonomikách na trhu existuje, jejich kvalita je nízká a cena obdobných zahraničních služeb vysoká. To podporuje spoléhání se pouze na vlastní kompetence. Ty však nikdy nemohou mít potřebnou kvalitu ve všech potřebných oblastech. Zkušenosti s nízkou kvalitou místních služeb vytváří atmosféru nedůvěry v tento typ služeb, včetně případné nabídky zprostředkování těchto služeb veřejným sektorem.</w:t>
      </w:r>
    </w:p>
    <w:p w14:paraId="303747DA" w14:textId="77777777" w:rsidR="00F260AA" w:rsidRPr="00DD47DF" w:rsidRDefault="00782BE3" w:rsidP="00F260AA">
      <w:pPr>
        <w:pStyle w:val="Standardntext"/>
      </w:pPr>
      <w:r w:rsidRPr="00DD47DF">
        <w:t xml:space="preserve">Rozvinutost technických kompetencí firem výrazně převyšuje jejich kompetence v oblasti marketingu, inovačního managementu, obchodu a dalších netechnických podnikových funkcí. Posílení a rozvoj netechnických kompetencí podnikatelů a pracovníků zejména domácích firem, a v návaznosti na ně také rozvoj strategických služeb pro podnikání jsou přitom jednou z důležitých průřezových oblastí, protože bez tohoto druhu intervencí budou účinnost a efektivita intervencí nízké a dosahování cílů obtížné. Rozvoj služeb pro (inovační) podnikání je skutečnou výzvou, neboť slabá inovační poptávka a převažující defenzivní / reaktivní strategie firem endogenního sektoru efektivně brání rozvoji kvalitní nabídky služeb na trhu. </w:t>
      </w:r>
      <w:r w:rsidRPr="00DD47DF">
        <w:lastRenderedPageBreak/>
        <w:t>Motivaci domácích firem pro budování konkurenční výhody založené na znalostech je v tomto segmentu možné označit za nízkou, což je dáno i současným postavením podnikatelů v globálních hodnotových řetězcích.</w:t>
      </w:r>
    </w:p>
    <w:p w14:paraId="53CC4731" w14:textId="77777777" w:rsidR="00F260AA" w:rsidRPr="00DD47DF" w:rsidRDefault="00F260AA" w:rsidP="00F260AA">
      <w:pPr>
        <w:pStyle w:val="Standardntext"/>
      </w:pPr>
      <w:r w:rsidRPr="00DD47DF">
        <w:t>Vývozní teritoria MSP jsou značně omezena a soustředí se především na blízké země a členské státy EU, což má nepříznivý vliv na obchodní politiku ČR. V zájmu rozložení rizik a vzhledem k tomu, že se ekonomická situace v Evropě dlouhodobě nepříznivě vyvíjí, je pro MSP prioritou diverzifikovat svůj vývoz a proniknout na nové a perspektivní zahraniční trhy. Kvalitní služby a zvýšená asistence při obsazování nových exportních oblastí je tedy zcela zásadní pro budoucí prosperitu MSP, protože malá marketingová připravenost firem a nedostatečná konkurenceschopnost jejich produktů přímo zabraňují jejich dalšímu rozvoji a znemožňují maximální využití jejich potenciálu. Podíl MSP na vývozu v roce 2012 byl 53,51%. Pokud celkový vývoz MSP vztáhneme k celkovým výkonům MSP, hodnota se pohybuje na úrovni kolem 39,4 %. Nedostatečná nabídka a dostupnost kvalitních služeb je častou příčinou pomalého pronikání MSP na vzdálenější a exotičtější trhy. Další překážkou je i nedostatek finančních prostředků na straně MSP, protože uvedení produktu na nové trhy je velice nákladný proces.</w:t>
      </w:r>
    </w:p>
    <w:p w14:paraId="5ED40A33" w14:textId="77777777" w:rsidR="00782BE3" w:rsidRPr="00DD47DF" w:rsidRDefault="00782BE3" w:rsidP="00782BE3">
      <w:pPr>
        <w:pStyle w:val="Standardntext"/>
      </w:pPr>
      <w:r w:rsidRPr="00DD47DF">
        <w:t>Dalším problémem pro rozvoj především early stage podniků je dostupnost soukromých prostředků. Vývoj počtu a celkové výše investic rizikového kapitálu zaznamenal v ČR vzestupný trend po přijetí zákona č. 189/2004 Sb., o kolektivním investování, a to zejména od roku 2007. Finanční krize však rozvíjející se trh rychle oslabila. Podíl rizikového kapitálu na celkových investicích do private equity (veřejně neobchodované společnosti) v ČR byl v průměru let 2007-2010 pouze 3,2 %, což je hluboko pod evropskou úrovní cca. 12 %.</w:t>
      </w:r>
    </w:p>
    <w:p w14:paraId="079839D9" w14:textId="77777777" w:rsidR="00F260AA" w:rsidRPr="00DD47DF" w:rsidRDefault="00782BE3" w:rsidP="00782BE3">
      <w:pPr>
        <w:pStyle w:val="Standardntext"/>
      </w:pPr>
      <w:r w:rsidRPr="00DD47DF">
        <w:t>Složitá je situace ve financování počátečních fází podnikání (tzv. seed a start-up). V letech 2008 - 2012 se investice fondů rizikového kapitálu do těchto fází objevují jen sporadicky, spíše jsou v této oblasti aktivní jen business angels, privátně operující tzv. high net-worth individuals, fyzické osoby nabízející financování v řádu max. několika milionů korun výměnou za obchodní podíl. Fondy rizikového kapitálu oproti tomu v ČR obvykle investují do pozdějších fází rozvoje firem v průměru 50 - 100 mil. Kč. Vzniká tak tzv. equity gap, mezera na finančním trhu, kde není trh schopen efektivně alokovat zdroje ve prospěch začínajících inovativně orientovaných společností. Z hlediska dostupnosti finančních prostředků pro rozvoj a zakládání inovačních podniků tak existuje v ČR nedostatečná hloubka finančního zprostředkování, která celkově negativně ovlivňuje míru investic a budoucí vybavenost ekonomiky ČR kapitálem. Souhrnná hodnota všech akciových společností obchodovaných na českých kapitálových trzích ve vztahu k HDP je v porovnání se zahraničím velmi nízká. Podniky tradičně prostředky na svůj rozvoj získávají především prostřednictvím bankovních úvěrů. Český finanční sektor je sice v současnosti ziskový a dobře kapitalizovaný a ustál prakticky bez potíží finanční a ekonomickou krizi, ale nelze od něho ve větším rozsahu očekávat ochotu financovat rizikové projekty zakládání a rozvoje firem s vysokým inovačním potenciálem. V oblasti úvěrů a záruk se to týká především projektů založení nových firem nebo i projektů rozvoje stávajících MSP. Investoři jsou tak málo ochotní přistoupit na riziko v podobě investice v řádech desítek milionů korun do začínajících inovativních společností bez historie, často s nezkušeným týmem. Investoři mají připraven dostatek kapitálu na investice, ale nenalézají dostatek investičních příležitostí, které splňují jejich požadavky. Oproti tomu začínající inovativní MSP se většinou příliš orientují na technologii a opomíjejí obchodní stránku podnikání, často nemají kvalitně zpracovaný business plán, čímž se snižuje jejich atraktivita pro potenciální investory.</w:t>
      </w:r>
    </w:p>
    <w:p w14:paraId="75EFDBD9" w14:textId="77777777" w:rsidR="00F260AA" w:rsidRPr="00DD47DF" w:rsidRDefault="00F260AA" w:rsidP="00F260AA">
      <w:pPr>
        <w:pStyle w:val="Standardntext"/>
      </w:pPr>
      <w:r w:rsidRPr="00DD47DF">
        <w:lastRenderedPageBreak/>
        <w:t>V </w:t>
      </w:r>
      <w:r w:rsidR="00782BE3" w:rsidRPr="00DD47DF">
        <w:t>ČR</w:t>
      </w:r>
      <w:r w:rsidRPr="00DD47DF">
        <w:t xml:space="preserve"> však v oblasti rizikového kapitálu dochází k významnému selhání trhu, když v rámci early stage podniků (ca. do 2 let po založení – fáze start-up a seed) nedochází dle oficiálních statistik vůbec k jejich zainvestování ze strany private equity/venture capital fondů. Dle statistik Eurostatu patří ČR v tomto ohledu mezi nejhorší ze všech zemí EHP a Švýcarska zahrnutých do sledování. Tyto závěry jsou rovněž potvrzeny výstupy indikátorů scoreboardu týkající se oblasti zejména venture kapitálu a tvorby nových firem.</w:t>
      </w:r>
    </w:p>
    <w:p w14:paraId="0DD1FF82" w14:textId="33AB57E6" w:rsidR="00782BE3" w:rsidRPr="00DD47DF" w:rsidRDefault="00782BE3" w:rsidP="00782BE3">
      <w:pPr>
        <w:pStyle w:val="Standardntext"/>
      </w:pPr>
      <w:r w:rsidRPr="00DD47DF">
        <w:t xml:space="preserve">Nízký podíl inovativní výroby spojený s budoucí vyšší přidanou hodnotou do značné míry ovlivňuje zastaralá podnikatelská infrastruktura a s ní spojené vysoké režijní náklady, které znemožňují investice právě do VaV a inovací, a naopak nutí podnikatele k vysokým výdajům na udržení stávající výkonnosti. V ČR existuje množství nevyužívaných průmyslových budov, především jako důsledek restrukturalizace české ekonomiky z přelomu 90. let. Motivace podnikatelů ke generálním rekonstrukcím výrobních prostor je tak z hlediska jejich finanční náročnosti minimální, neboť s sebou nese velkou míru existenčního rizika. Výsledky Národní databáze brownfieldů ukazují, že do března roku 2014 bylo regenerováno zatím kolem 258 </w:t>
      </w:r>
      <w:r w:rsidR="00666536">
        <w:t>mil</w:t>
      </w:r>
      <w:r w:rsidRPr="00DD47DF">
        <w:t>. m</w:t>
      </w:r>
      <w:r w:rsidRPr="00DD47DF">
        <w:rPr>
          <w:vertAlign w:val="superscript"/>
        </w:rPr>
        <w:t>2</w:t>
      </w:r>
      <w:r w:rsidRPr="00DD47DF">
        <w:t>.</w:t>
      </w:r>
    </w:p>
    <w:p w14:paraId="4C43D273" w14:textId="77777777" w:rsidR="00F260AA" w:rsidRPr="00DD47DF" w:rsidRDefault="00782BE3" w:rsidP="00782BE3">
      <w:pPr>
        <w:pStyle w:val="Standardntext"/>
      </w:pPr>
      <w:r w:rsidRPr="00DD47DF">
        <w:t>V poslední době se podnikatelé potýkají s nedostatkem kvalifikované pracovní síly pro vlastní výrobu i inovační proces. To má negativní vliv na konkurenceschopnost českých podniků. V rámci náboru nových zaměstnanců - nových absolventů SŠ, VŠ často zaměstnavatelé narážejí na jejich převážně teoretické znalosti, které jsou pro praxi nedostatečné. Zaměstnavatelé pak pro jejich zaškolení musí vynaložit nezanedbatelné náklady a noví zaměstnanci- noví absolventi pro ně v rámci prvních 3 měsíců - půl roku nemají téměř žádný produktivní dopad. S rozvíjejícími se novými technologiemi, procesy a novou legislativou souvisí nutnost zaměstnavatelů se s těmito změnami seznámit a proškolit své zaměstnance v této oblasti a také pořídit nová zařízení. Rychlé změny - technologický vývoj jde kupředu, nepružnost vzdělávacího systému při tvorbě vzdělávacích obsahů, nová legislativa nabývá účinnost - to s sebou přináší nedostatečnou materiální a personální kapacitu podniků pro zajištění produktivní činnosti nových absolventů, nedostatečné aktuální znalosti a dovednosti zaměstnanců. Dle šetření ČSÚ v období 2008-2010 je za nejpodstatnější omezující faktor ze  skupiny znalostních faktorů omezujících inovační  považován nedostatek kvalifikovaných lidských zdrojů (uvedlo 10,8 % technicky inovujících podniků). Podíl účastníků kurzů dalšího odborného vzdělávání na celkovém počtu zaměstnaných osob se u malých podniků pohybuje zhruba na úrovni 46 %, u středních podniků se pak jedná asi o 60 %</w:t>
      </w:r>
      <w:r w:rsidR="005A383F" w:rsidRPr="00DD47DF">
        <w:t>.</w:t>
      </w:r>
    </w:p>
    <w:p w14:paraId="60ED76C4" w14:textId="77777777" w:rsidR="00DE5407" w:rsidRPr="00DD47DF" w:rsidRDefault="00DE5407" w:rsidP="00DE5407">
      <w:pPr>
        <w:pStyle w:val="Modrnadpis"/>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5FDA5857" w14:textId="77777777" w:rsidTr="007D02F2">
        <w:trPr>
          <w:trHeight w:val="552"/>
        </w:trPr>
        <w:tc>
          <w:tcPr>
            <w:tcW w:w="2500" w:type="pct"/>
            <w:shd w:val="clear" w:color="auto" w:fill="B8CCE4" w:themeFill="accent1" w:themeFillTint="66"/>
            <w:vAlign w:val="center"/>
          </w:tcPr>
          <w:p w14:paraId="10F23A1D"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37AC1625" w14:textId="77777777" w:rsidR="00D603D5" w:rsidRPr="00DD47DF" w:rsidRDefault="00D603D5" w:rsidP="007D02F2">
            <w:pPr>
              <w:pStyle w:val="Tabulka"/>
              <w:rPr>
                <w:b/>
              </w:rPr>
            </w:pPr>
            <w:r w:rsidRPr="00DD47DF">
              <w:rPr>
                <w:b/>
              </w:rPr>
              <w:t>Slabé stránky</w:t>
            </w:r>
          </w:p>
        </w:tc>
      </w:tr>
      <w:tr w:rsidR="00D603D5" w:rsidRPr="00DD47DF" w14:paraId="0E1197D5" w14:textId="77777777" w:rsidTr="007D02F2">
        <w:tc>
          <w:tcPr>
            <w:tcW w:w="2500" w:type="pct"/>
            <w:shd w:val="clear" w:color="auto" w:fill="auto"/>
          </w:tcPr>
          <w:p w14:paraId="567BE5B5" w14:textId="77777777" w:rsidR="00D603D5" w:rsidRPr="00DD47DF" w:rsidRDefault="00D603D5" w:rsidP="00DA3512">
            <w:pPr>
              <w:pStyle w:val="Tabulka"/>
              <w:numPr>
                <w:ilvl w:val="0"/>
                <w:numId w:val="93"/>
              </w:numPr>
              <w:ind w:left="426"/>
              <w:jc w:val="left"/>
            </w:pPr>
            <w:r w:rsidRPr="00DD47DF">
              <w:t>Silná exportní schopnost ekonomiky, především zpracovatelský průmysl;</w:t>
            </w:r>
          </w:p>
          <w:p w14:paraId="6A28445E" w14:textId="77777777" w:rsidR="00D603D5" w:rsidRPr="00DD47DF" w:rsidRDefault="00D603D5" w:rsidP="00DA3512">
            <w:pPr>
              <w:pStyle w:val="Tabulka"/>
              <w:numPr>
                <w:ilvl w:val="0"/>
                <w:numId w:val="93"/>
              </w:numPr>
              <w:ind w:left="426"/>
              <w:jc w:val="left"/>
            </w:pPr>
            <w:r w:rsidRPr="00DD47DF">
              <w:t>Pružnost reakce na vývoj na trhu, znalost lokálních trhů či potřeb zákazníků;</w:t>
            </w:r>
          </w:p>
          <w:p w14:paraId="25D3AE68" w14:textId="77777777" w:rsidR="00D603D5" w:rsidRPr="00DD47DF" w:rsidRDefault="00D603D5" w:rsidP="00DA3512">
            <w:pPr>
              <w:pStyle w:val="Tabulka"/>
              <w:numPr>
                <w:ilvl w:val="0"/>
                <w:numId w:val="93"/>
              </w:numPr>
              <w:ind w:left="426"/>
              <w:jc w:val="left"/>
            </w:pPr>
            <w:r w:rsidRPr="00DD47DF">
              <w:t>MSP generují rozhodující počet nových pracovních míst;</w:t>
            </w:r>
          </w:p>
          <w:p w14:paraId="44D6809B" w14:textId="77777777" w:rsidR="00D603D5" w:rsidRPr="00DD47DF" w:rsidRDefault="00D603D5" w:rsidP="00DA3512">
            <w:pPr>
              <w:pStyle w:val="Tabulka"/>
              <w:numPr>
                <w:ilvl w:val="0"/>
                <w:numId w:val="93"/>
              </w:numPr>
              <w:ind w:left="426"/>
              <w:jc w:val="left"/>
            </w:pPr>
            <w:r w:rsidRPr="00DD47DF">
              <w:t>Schopnost MSP vyplnit mezeru ve struktuře obchodních vztahů mezi velkými podniky (role subdodavatele);</w:t>
            </w:r>
          </w:p>
          <w:p w14:paraId="74109651" w14:textId="77777777" w:rsidR="00D603D5" w:rsidRPr="00DD47DF" w:rsidRDefault="00D603D5" w:rsidP="00DA3512">
            <w:pPr>
              <w:pStyle w:val="Tabulka"/>
              <w:numPr>
                <w:ilvl w:val="0"/>
                <w:numId w:val="93"/>
              </w:numPr>
              <w:ind w:left="426"/>
              <w:jc w:val="left"/>
            </w:pPr>
            <w:r w:rsidRPr="00DD47DF">
              <w:t xml:space="preserve">Rozvinutost technických kompetencí </w:t>
            </w:r>
            <w:r w:rsidRPr="00DD47DF">
              <w:lastRenderedPageBreak/>
              <w:t>některých firem v technických oblastech jako jsou výroba, konstrukce, design, vývoj apod.</w:t>
            </w:r>
          </w:p>
        </w:tc>
        <w:tc>
          <w:tcPr>
            <w:tcW w:w="2500" w:type="pct"/>
            <w:shd w:val="clear" w:color="auto" w:fill="auto"/>
          </w:tcPr>
          <w:p w14:paraId="3B63A3BA" w14:textId="77777777" w:rsidR="00D603D5" w:rsidRPr="00DD47DF" w:rsidRDefault="00D603D5" w:rsidP="00DA3512">
            <w:pPr>
              <w:pStyle w:val="Tabulka"/>
              <w:numPr>
                <w:ilvl w:val="0"/>
                <w:numId w:val="93"/>
              </w:numPr>
              <w:ind w:left="459"/>
              <w:jc w:val="left"/>
            </w:pPr>
            <w:r w:rsidRPr="00DD47DF">
              <w:lastRenderedPageBreak/>
              <w:t xml:space="preserve">Nedostatečná kapitálová vybavenost, zejména malých a drobných podnikatelů a samostatně podnikajících fyzických osob; </w:t>
            </w:r>
          </w:p>
          <w:p w14:paraId="788CEB9C" w14:textId="77777777" w:rsidR="00D603D5" w:rsidRPr="00DD47DF" w:rsidRDefault="00D603D5" w:rsidP="00DA3512">
            <w:pPr>
              <w:pStyle w:val="Tabulka"/>
              <w:numPr>
                <w:ilvl w:val="0"/>
                <w:numId w:val="93"/>
              </w:numPr>
              <w:ind w:left="459"/>
              <w:jc w:val="left"/>
            </w:pPr>
            <w:r w:rsidRPr="00DD47DF">
              <w:t>Omezená schopnost nacházet a vstupovat na nové trhy;</w:t>
            </w:r>
          </w:p>
          <w:p w14:paraId="5137C618" w14:textId="77777777" w:rsidR="00D603D5" w:rsidRPr="00DD47DF" w:rsidRDefault="00D603D5" w:rsidP="00DA3512">
            <w:pPr>
              <w:pStyle w:val="Tabulka"/>
              <w:numPr>
                <w:ilvl w:val="0"/>
                <w:numId w:val="93"/>
              </w:numPr>
              <w:ind w:left="459"/>
              <w:jc w:val="left"/>
            </w:pPr>
            <w:r w:rsidRPr="00DD47DF">
              <w:t>Menší schopnost eliminovat důsledky výkyvů vnějších vlivů v počátečním stadiu svého vývoje (startu);</w:t>
            </w:r>
          </w:p>
          <w:p w14:paraId="63B75B76" w14:textId="77777777" w:rsidR="00D603D5" w:rsidRPr="00DD47DF" w:rsidRDefault="00D603D5" w:rsidP="00DA3512">
            <w:pPr>
              <w:pStyle w:val="Tabulka"/>
              <w:numPr>
                <w:ilvl w:val="0"/>
                <w:numId w:val="93"/>
              </w:numPr>
              <w:ind w:left="459"/>
              <w:jc w:val="left"/>
            </w:pPr>
            <w:r w:rsidRPr="00DD47DF">
              <w:rPr>
                <w:szCs w:val="24"/>
              </w:rPr>
              <w:t xml:space="preserve">Omezená dostupnost zárodečného a rozvojového kapitálu pro začínající a </w:t>
            </w:r>
            <w:r w:rsidRPr="00DD47DF">
              <w:rPr>
                <w:szCs w:val="24"/>
              </w:rPr>
              <w:lastRenderedPageBreak/>
              <w:t>rozvojové firmy;</w:t>
            </w:r>
          </w:p>
          <w:p w14:paraId="0C3CA86B" w14:textId="77777777" w:rsidR="00D603D5" w:rsidRPr="00DD47DF" w:rsidRDefault="00D603D5" w:rsidP="00DA3512">
            <w:pPr>
              <w:pStyle w:val="Tabulka"/>
              <w:numPr>
                <w:ilvl w:val="0"/>
                <w:numId w:val="93"/>
              </w:numPr>
              <w:ind w:left="459"/>
              <w:jc w:val="left"/>
            </w:pPr>
            <w:r w:rsidRPr="00DD47DF">
              <w:rPr>
                <w:szCs w:val="24"/>
              </w:rPr>
              <w:t>Obtížná dostupnost kvalitních specializovaných poradenských služeb pro začínající a rozvojové MSP;</w:t>
            </w:r>
          </w:p>
          <w:p w14:paraId="0E15CF97" w14:textId="77777777" w:rsidR="00D603D5" w:rsidRPr="00DD47DF" w:rsidRDefault="00D603D5" w:rsidP="00DA3512">
            <w:pPr>
              <w:pStyle w:val="Tabulka"/>
              <w:numPr>
                <w:ilvl w:val="0"/>
                <w:numId w:val="93"/>
              </w:numPr>
              <w:ind w:left="459"/>
              <w:jc w:val="left"/>
            </w:pPr>
            <w:r w:rsidRPr="00DD47DF">
              <w:t>Nedostatečné manažerské dovednosti a netechnické kompetence;</w:t>
            </w:r>
          </w:p>
          <w:p w14:paraId="75C9889A" w14:textId="77777777" w:rsidR="00D603D5" w:rsidRPr="00DD47DF" w:rsidRDefault="00D603D5" w:rsidP="00DA3512">
            <w:pPr>
              <w:pStyle w:val="Tabulka"/>
              <w:numPr>
                <w:ilvl w:val="0"/>
                <w:numId w:val="93"/>
              </w:numPr>
              <w:ind w:left="459"/>
              <w:jc w:val="left"/>
            </w:pPr>
            <w:r w:rsidRPr="00DD47DF">
              <w:rPr>
                <w:szCs w:val="24"/>
              </w:rPr>
              <w:t>Nedostatek kvalifikované pracovní síly pro vlastní výrobu i inovační proces</w:t>
            </w:r>
            <w:r w:rsidRPr="00DD47DF">
              <w:t>;</w:t>
            </w:r>
          </w:p>
          <w:p w14:paraId="4F8A775A" w14:textId="77777777" w:rsidR="00D603D5" w:rsidRPr="00DD47DF" w:rsidRDefault="00D626B0" w:rsidP="00DA3512">
            <w:pPr>
              <w:pStyle w:val="Tabulka"/>
              <w:numPr>
                <w:ilvl w:val="0"/>
                <w:numId w:val="93"/>
              </w:numPr>
              <w:ind w:left="459"/>
              <w:jc w:val="left"/>
            </w:pPr>
            <w:r w:rsidRPr="00DD47DF">
              <w:rPr>
                <w:szCs w:val="24"/>
              </w:rPr>
              <w:t>Zastaralá podnikatelská infrastruktura nevyhovující potřebám MSP</w:t>
            </w:r>
            <w:r w:rsidR="00D603D5" w:rsidRPr="00DD47DF">
              <w:rPr>
                <w:szCs w:val="24"/>
              </w:rPr>
              <w:t>.</w:t>
            </w:r>
          </w:p>
        </w:tc>
      </w:tr>
      <w:tr w:rsidR="00D603D5" w:rsidRPr="00DD47DF" w14:paraId="4B2D6C4F" w14:textId="77777777" w:rsidTr="007D02F2">
        <w:trPr>
          <w:trHeight w:val="553"/>
        </w:trPr>
        <w:tc>
          <w:tcPr>
            <w:tcW w:w="2500" w:type="pct"/>
            <w:shd w:val="clear" w:color="auto" w:fill="B8CCE4" w:themeFill="accent1" w:themeFillTint="66"/>
            <w:vAlign w:val="center"/>
          </w:tcPr>
          <w:p w14:paraId="53FA7B94" w14:textId="77777777" w:rsidR="00D603D5" w:rsidRPr="00DD47DF" w:rsidRDefault="00D603D5" w:rsidP="007D02F2">
            <w:pPr>
              <w:pStyle w:val="Tabulka"/>
              <w:rPr>
                <w:b/>
                <w:sz w:val="24"/>
              </w:rPr>
            </w:pPr>
            <w:r w:rsidRPr="00DD47DF">
              <w:rPr>
                <w:b/>
              </w:rPr>
              <w:lastRenderedPageBreak/>
              <w:t>Příležitosti</w:t>
            </w:r>
          </w:p>
        </w:tc>
        <w:tc>
          <w:tcPr>
            <w:tcW w:w="2500" w:type="pct"/>
            <w:shd w:val="clear" w:color="auto" w:fill="B8CCE4" w:themeFill="accent1" w:themeFillTint="66"/>
            <w:vAlign w:val="center"/>
          </w:tcPr>
          <w:p w14:paraId="4B63B541" w14:textId="77777777" w:rsidR="00D603D5" w:rsidRPr="00DD47DF" w:rsidRDefault="00D603D5" w:rsidP="007D02F2">
            <w:pPr>
              <w:pStyle w:val="Tabulka"/>
              <w:rPr>
                <w:b/>
                <w:sz w:val="24"/>
              </w:rPr>
            </w:pPr>
            <w:r w:rsidRPr="00DD47DF">
              <w:rPr>
                <w:b/>
              </w:rPr>
              <w:t>Hrozby</w:t>
            </w:r>
          </w:p>
        </w:tc>
      </w:tr>
      <w:tr w:rsidR="00D603D5" w:rsidRPr="00DD47DF" w14:paraId="211E5680" w14:textId="77777777" w:rsidTr="007D02F2">
        <w:tc>
          <w:tcPr>
            <w:tcW w:w="2500" w:type="pct"/>
            <w:shd w:val="clear" w:color="auto" w:fill="auto"/>
          </w:tcPr>
          <w:p w14:paraId="28A0E98B" w14:textId="77777777" w:rsidR="00D603D5" w:rsidRPr="00DD47DF" w:rsidRDefault="00D603D5" w:rsidP="00DA3512">
            <w:pPr>
              <w:pStyle w:val="Tabulka"/>
              <w:numPr>
                <w:ilvl w:val="0"/>
                <w:numId w:val="93"/>
              </w:numPr>
              <w:ind w:left="426"/>
              <w:jc w:val="left"/>
            </w:pPr>
            <w:r w:rsidRPr="00DD47DF">
              <w:t>Odstraňování nejrůznějších překážek institucionálního a právního charakteru při vstupu do podnikání a vytvoření stabilního daňového a regulačního rámce podnikání;</w:t>
            </w:r>
          </w:p>
          <w:p w14:paraId="402C40FA" w14:textId="77777777" w:rsidR="00D603D5" w:rsidRPr="00DD47DF" w:rsidRDefault="00D603D5" w:rsidP="00DA3512">
            <w:pPr>
              <w:pStyle w:val="Tabulka"/>
              <w:numPr>
                <w:ilvl w:val="0"/>
                <w:numId w:val="93"/>
              </w:numPr>
              <w:ind w:left="426"/>
              <w:jc w:val="left"/>
            </w:pPr>
            <w:r w:rsidRPr="00DD47DF">
              <w:t>Skutečné oživení světové ekonomiky, převážně rozvíjejících se trhů – nové impulsy pro zahraniční obchod;</w:t>
            </w:r>
          </w:p>
          <w:p w14:paraId="7CC59B98" w14:textId="77777777" w:rsidR="00D603D5" w:rsidRPr="00DD47DF" w:rsidRDefault="00D603D5" w:rsidP="00DA3512">
            <w:pPr>
              <w:pStyle w:val="Tabulka"/>
              <w:numPr>
                <w:ilvl w:val="0"/>
                <w:numId w:val="93"/>
              </w:numPr>
              <w:ind w:left="426"/>
              <w:jc w:val="left"/>
            </w:pPr>
            <w:r w:rsidRPr="00DD47DF">
              <w:t>Tvorba a zajištění nových mechanismů financování inovativních MSP s velkým růstovým potenciálem (trh rizikového kapitálu apod.);</w:t>
            </w:r>
          </w:p>
          <w:p w14:paraId="43EF222F" w14:textId="77777777" w:rsidR="00D603D5" w:rsidRPr="00DD47DF" w:rsidRDefault="00D603D5" w:rsidP="00DA3512">
            <w:pPr>
              <w:pStyle w:val="Tabulka"/>
              <w:numPr>
                <w:ilvl w:val="0"/>
                <w:numId w:val="93"/>
              </w:numPr>
              <w:ind w:left="426"/>
              <w:jc w:val="left"/>
            </w:pPr>
            <w:r w:rsidRPr="00DD47DF">
              <w:t xml:space="preserve">Využití foresightu, tvorba podnikových strategií na základě tzv. evidence-based policy (poznání, znalosti, zkušenosti); </w:t>
            </w:r>
          </w:p>
          <w:p w14:paraId="47FF4A9A" w14:textId="77777777" w:rsidR="00D603D5" w:rsidRPr="00DD47DF" w:rsidRDefault="00D603D5" w:rsidP="00DA3512">
            <w:pPr>
              <w:pStyle w:val="Tabulka"/>
              <w:numPr>
                <w:ilvl w:val="0"/>
                <w:numId w:val="93"/>
              </w:numPr>
              <w:ind w:left="426"/>
              <w:jc w:val="left"/>
              <w:rPr>
                <w:sz w:val="24"/>
              </w:rPr>
            </w:pPr>
            <w:r w:rsidRPr="00DD47DF">
              <w:t>Zvýšení funkční i estetické hodnoty brownfields jejich využitím pro podnikatelské účely.</w:t>
            </w:r>
          </w:p>
        </w:tc>
        <w:tc>
          <w:tcPr>
            <w:tcW w:w="2500" w:type="pct"/>
            <w:shd w:val="clear" w:color="auto" w:fill="auto"/>
          </w:tcPr>
          <w:p w14:paraId="27DDD482" w14:textId="77777777" w:rsidR="00D603D5" w:rsidRPr="00DD47DF" w:rsidRDefault="00D603D5" w:rsidP="00DA3512">
            <w:pPr>
              <w:pStyle w:val="Tabulka"/>
              <w:numPr>
                <w:ilvl w:val="0"/>
                <w:numId w:val="93"/>
              </w:numPr>
              <w:ind w:left="459"/>
              <w:jc w:val="left"/>
            </w:pPr>
            <w:r w:rsidRPr="00DD47DF">
              <w:t>Postupná ztráta dosavadních komparativních výhod českých podniků – kombinace dobrých technických kompetencí a ceny již není dostatečná;</w:t>
            </w:r>
          </w:p>
          <w:p w14:paraId="042E3B8C" w14:textId="77777777" w:rsidR="00D603D5" w:rsidRPr="00DD47DF" w:rsidRDefault="00D603D5" w:rsidP="00DA3512">
            <w:pPr>
              <w:pStyle w:val="Tabulka"/>
              <w:numPr>
                <w:ilvl w:val="0"/>
                <w:numId w:val="93"/>
              </w:numPr>
              <w:ind w:left="459"/>
              <w:jc w:val="left"/>
            </w:pPr>
            <w:r w:rsidRPr="00DD47DF">
              <w:t>Administrativní zátěž podnikání v ČR;</w:t>
            </w:r>
          </w:p>
          <w:p w14:paraId="7CAF25CC" w14:textId="77777777" w:rsidR="00D603D5" w:rsidRPr="00DD47DF" w:rsidRDefault="00D603D5" w:rsidP="00DA3512">
            <w:pPr>
              <w:pStyle w:val="Tabulka"/>
              <w:numPr>
                <w:ilvl w:val="0"/>
                <w:numId w:val="93"/>
              </w:numPr>
              <w:ind w:left="459"/>
              <w:jc w:val="left"/>
              <w:rPr>
                <w:sz w:val="24"/>
              </w:rPr>
            </w:pPr>
            <w:r w:rsidRPr="00DD47DF">
              <w:t>Konkurenceschopnost producentů může být oslabena zejména vůči rozvíjejícím se trhům v důsledku nerovných tržních podmínek ve vztahu k producentům a zákazníkům ze třetích zemí (včetně překážek vstupu na jejich trhy pro producenty z EU);</w:t>
            </w:r>
          </w:p>
          <w:p w14:paraId="664A0F4C" w14:textId="77777777" w:rsidR="00D603D5" w:rsidRPr="00DD47DF" w:rsidRDefault="00D603D5" w:rsidP="00DA3512">
            <w:pPr>
              <w:pStyle w:val="Tabulka"/>
              <w:numPr>
                <w:ilvl w:val="0"/>
                <w:numId w:val="93"/>
              </w:numPr>
              <w:ind w:left="459"/>
              <w:jc w:val="left"/>
            </w:pPr>
            <w:r w:rsidRPr="00DD47DF">
              <w:t>Nestabilní politická situace v cílových zemích pro české exportéry;</w:t>
            </w:r>
          </w:p>
          <w:p w14:paraId="4239D11E" w14:textId="77777777" w:rsidR="00D603D5" w:rsidRPr="00DD47DF" w:rsidRDefault="00D603D5" w:rsidP="00DA3512">
            <w:pPr>
              <w:pStyle w:val="Tabulka"/>
              <w:numPr>
                <w:ilvl w:val="0"/>
                <w:numId w:val="93"/>
              </w:numPr>
              <w:ind w:left="459"/>
              <w:jc w:val="left"/>
            </w:pPr>
            <w:r w:rsidRPr="00DD47DF">
              <w:t>Nedostatečné ambice významné části majitelů původem místních MSP dále svůj podnik rozvíjet;</w:t>
            </w:r>
          </w:p>
          <w:p w14:paraId="3F184510" w14:textId="77777777" w:rsidR="00D603D5" w:rsidRPr="00DD47DF" w:rsidRDefault="00D603D5" w:rsidP="00DA3512">
            <w:pPr>
              <w:pStyle w:val="Tabulka"/>
              <w:numPr>
                <w:ilvl w:val="0"/>
                <w:numId w:val="93"/>
              </w:numPr>
              <w:ind w:left="459"/>
              <w:jc w:val="left"/>
            </w:pPr>
            <w:r w:rsidRPr="00DD47DF">
              <w:t>Nezájem studentů o technické obory.</w:t>
            </w:r>
          </w:p>
        </w:tc>
      </w:tr>
    </w:tbl>
    <w:p w14:paraId="23E91E41" w14:textId="77777777" w:rsidR="00706A57" w:rsidRPr="00DD47DF" w:rsidRDefault="00706A57" w:rsidP="008E4EE8">
      <w:pPr>
        <w:pStyle w:val="Standardntext"/>
        <w:spacing w:before="240"/>
      </w:pPr>
      <w:r w:rsidRPr="00DD47DF">
        <w:t xml:space="preserve">Mezi potřeby rozvoje v rámci problémové oblasti „Konkurenceschopnost ekonomiky“, resp. hlavního pilíře „Konkurenceschopné podniky“ patří: zvýšení schopnosti MSP samostatně se prosazovat na náročných a vzdálených zahraničních trzích, zvýšení dostupnosti vnějšího financování pro začínající podnikatele a inovační podniky, včetně rizikového kapitálu, zajištění kvalitních služeb pro začínající podnikatele a v neposlední řadě rozvoj infrastruktury a služeb podporující potřeby rozvoje podniků. Reakce OP PIK na Dohodou takto akcentované potřeby rozvoje ČR je vtělena do prioritní osy 2, která prostřednictvím svých specifických cílů představuje příspěvek OP PIK ke zvýšení konkurenceschopnosti </w:t>
      </w:r>
      <w:r w:rsidR="00782BE3" w:rsidRPr="00DD47DF">
        <w:t>MSP</w:t>
      </w:r>
      <w:r w:rsidRPr="00DD47DF">
        <w:t>.</w:t>
      </w:r>
    </w:p>
    <w:p w14:paraId="413A6E78" w14:textId="77777777" w:rsidR="00F260AA" w:rsidRPr="00DD47DF" w:rsidRDefault="00F260AA" w:rsidP="001652D9">
      <w:pPr>
        <w:pStyle w:val="Modrnadpis"/>
      </w:pPr>
      <w:r w:rsidRPr="00DD47DF">
        <w:t xml:space="preserve">Energetická infrastruktura </w:t>
      </w:r>
    </w:p>
    <w:p w14:paraId="79ACB6AD" w14:textId="77777777" w:rsidR="00F260AA" w:rsidRPr="00DD47DF" w:rsidRDefault="00F260AA" w:rsidP="00F260AA">
      <w:pPr>
        <w:pStyle w:val="Standardntext"/>
      </w:pPr>
      <w:r w:rsidRPr="00DD47DF">
        <w:t xml:space="preserve">Energetika je klíčovým odvětvím ekonomiky každé vyspělé země a představuje jednu z významných podmínek ekonomického rozvoje a konkurenceschopnosti. Nakládání energií se dotýká všech sektorů (podnikatelského, veřejného a samozřejmě i domácností) a jejich fungování je bez zajištění dostatku, kvality a cenové dostupnosti energie nemyslitelné. Energie se jako jeden ze základních výrobních vstupů podílí na produktivitě firem a současně firemní sektor spoluurčuje potřeby v oblasti energetiky. </w:t>
      </w:r>
    </w:p>
    <w:p w14:paraId="71E8F6D1" w14:textId="77777777" w:rsidR="00782BE3" w:rsidRPr="00DD47DF" w:rsidRDefault="00782BE3" w:rsidP="00782BE3">
      <w:pPr>
        <w:pStyle w:val="Standardntext"/>
      </w:pPr>
      <w:r w:rsidRPr="00DD47DF">
        <w:lastRenderedPageBreak/>
        <w:t xml:space="preserve">Dle Státní energetické koncepce ČR je současná energetická spotřeba ČR pokryta z více než 50 % domácími zdroji primární energie. Avšak s ohledem na pokles využívání nejvýznamnějšího domácího zdroje energie (hnědé a černé uhlí) je potřeba v příštích desetiletích počítat s nárůstem dovozní energetické závislosti až do výše 65 % do roku 2030 a 70 % do roku 2040. Pro zajištění maximálně možné nezávislosti ČR na cizích energetických zdrojích je proto třeba podporovat optimální využití konvenčních i obnovitelných zdrojů energie na území ČR. Cílová hodnota pro EU vyplývající ze strategie Evropa 2020 činí 20 % podílu energie z obnovitelných zdrojů v roce 2020. Pro ČR byl EK stanoven i s ohledem na omezené možnosti vzhledem ke geografickým podmínkám nižší, minimálně 13 % podíl energie z obnovitelných zdrojů na hrubé konečné spotřebě energie v roce 2020. Podíl energie z OZE od roku 2005 v ČR díky přijaté podpoře setrvale a výrazně stoupal, až dosáhl v roce 2012 11,2 % hrubé domácí konečné spotřeby energie. Cílem ČR je další zvýšení podílu energie z OZE, avšak při přehodnocení formy podpory a minimalizace finančních dopadů OZE na ekonomiku a obyvatelstvo. </w:t>
      </w:r>
    </w:p>
    <w:p w14:paraId="1151A664" w14:textId="77777777" w:rsidR="00F260AA" w:rsidRPr="00DD47DF" w:rsidRDefault="00782BE3" w:rsidP="00782BE3">
      <w:pPr>
        <w:pStyle w:val="Standardntext"/>
      </w:pPr>
      <w:r w:rsidRPr="00DD47DF">
        <w:t>V případě biomasy existuje v ČR dle analýzy MPO</w:t>
      </w:r>
      <w:r w:rsidRPr="00DD47DF">
        <w:rPr>
          <w:rStyle w:val="Znakapoznpodarou"/>
        </w:rPr>
        <w:footnoteReference w:id="14"/>
      </w:r>
      <w:r w:rsidRPr="00DD47DF">
        <w:t xml:space="preserve"> celkem 166 bioplynových stanic (54 %) o celkovém tepelném výkonu 108 MWth, které jsou s určitou až vysokou pravděpodobností vhodné k vyvedení kogenerační jednotky do blízkého okolí (max. 4 km). Realizací tohoto opatření by mohlo být dosaženo úspor tepla ve výši 2 221 TJ/rok. Jak je patrné z tabulky níže, nejvíce možností využití tepla v okolí bioplynových stanic najdeme v Královéhradeckém, Jihočeském, Pardubickém a Středočeském kraji. V Královéhradeckém kraji to je celých 70 % zařízení. Na druhé straně například na Vysočině, která se pyšní nejvyšším počtem bioplynových stanic, by bylo teplo možné využít pouze v okolí 30 % instalací. Nejvyšší procento možnosti využití tepla nalezneme v Ústeckém kraji, kde existuje teoretická možnost využití tepla nebo vzdálené kogenerace u všech instalací.</w:t>
      </w:r>
    </w:p>
    <w:p w14:paraId="0469048D" w14:textId="77777777" w:rsidR="00F260AA" w:rsidRPr="00DD47DF" w:rsidRDefault="00F260AA" w:rsidP="00F260AA">
      <w:pPr>
        <w:pStyle w:val="Titulek"/>
        <w:keepNext/>
      </w:pPr>
      <w:r w:rsidRPr="00DD47DF">
        <w:lastRenderedPageBreak/>
        <w:t xml:space="preserve">Obrázek </w:t>
      </w:r>
      <w:r w:rsidR="00A10251" w:rsidRPr="00DD47DF">
        <w:t>4</w:t>
      </w:r>
      <w:r w:rsidRPr="00DD47DF">
        <w:t>: Možnosti využití tepla / vzdálené kogenerace na stávajících bioplynových stanicích z hlediska jednotlivých krajů ČR</w:t>
      </w:r>
    </w:p>
    <w:tbl>
      <w:tblPr>
        <w:tblStyle w:val="Stednstnovn2zvraznn11"/>
        <w:tblW w:w="0" w:type="auto"/>
        <w:tblLook w:val="04A0" w:firstRow="1" w:lastRow="0" w:firstColumn="1" w:lastColumn="0" w:noHBand="0" w:noVBand="1"/>
      </w:tblPr>
      <w:tblGrid>
        <w:gridCol w:w="1879"/>
        <w:gridCol w:w="1523"/>
        <w:gridCol w:w="1312"/>
        <w:gridCol w:w="858"/>
        <w:gridCol w:w="1087"/>
        <w:gridCol w:w="1325"/>
        <w:gridCol w:w="1325"/>
      </w:tblGrid>
      <w:tr w:rsidR="00F260AA" w:rsidRPr="00DD47DF" w14:paraId="1A0CFBBA" w14:textId="77777777" w:rsidTr="00835118">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1879" w:type="dxa"/>
            <w:vAlign w:val="center"/>
          </w:tcPr>
          <w:p w14:paraId="4BE04DDE" w14:textId="77777777" w:rsidR="00F260AA" w:rsidRPr="00DD47DF" w:rsidRDefault="00F260AA" w:rsidP="00F260AA">
            <w:pPr>
              <w:keepNext/>
              <w:keepLines/>
              <w:jc w:val="center"/>
              <w:rPr>
                <w:rFonts w:asciiTheme="minorHAnsi" w:hAnsiTheme="minorHAnsi" w:cstheme="minorHAnsi"/>
                <w:szCs w:val="22"/>
              </w:rPr>
            </w:pPr>
            <w:r w:rsidRPr="00DD47DF">
              <w:rPr>
                <w:rFonts w:asciiTheme="minorHAnsi" w:hAnsiTheme="minorHAnsi" w:cstheme="minorHAnsi"/>
                <w:szCs w:val="22"/>
              </w:rPr>
              <w:t>Kraj</w:t>
            </w:r>
          </w:p>
        </w:tc>
        <w:tc>
          <w:tcPr>
            <w:tcW w:w="1523" w:type="dxa"/>
            <w:vAlign w:val="center"/>
          </w:tcPr>
          <w:p w14:paraId="771823C6"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Počet bioplynových stanic</w:t>
            </w:r>
          </w:p>
        </w:tc>
        <w:tc>
          <w:tcPr>
            <w:tcW w:w="1312" w:type="dxa"/>
            <w:vAlign w:val="center"/>
          </w:tcPr>
          <w:p w14:paraId="742152DF"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Celkový instalovaný tepelný výkon (MW)</w:t>
            </w:r>
          </w:p>
        </w:tc>
        <w:tc>
          <w:tcPr>
            <w:tcW w:w="858" w:type="dxa"/>
            <w:vAlign w:val="center"/>
          </w:tcPr>
          <w:p w14:paraId="3D751D3D"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„Ano“</w:t>
            </w:r>
            <w:r w:rsidRPr="00DD47DF">
              <w:rPr>
                <w:rStyle w:val="Znakapoznpodarou"/>
                <w:rFonts w:asciiTheme="minorHAnsi" w:hAnsiTheme="minorHAnsi" w:cstheme="minorHAnsi"/>
                <w:szCs w:val="22"/>
              </w:rPr>
              <w:footnoteReference w:id="15"/>
            </w:r>
          </w:p>
        </w:tc>
        <w:tc>
          <w:tcPr>
            <w:tcW w:w="1087" w:type="dxa"/>
            <w:vAlign w:val="center"/>
          </w:tcPr>
          <w:p w14:paraId="50EF7A1C"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„Ano“ + „Možná“</w:t>
            </w:r>
          </w:p>
        </w:tc>
        <w:tc>
          <w:tcPr>
            <w:tcW w:w="1325" w:type="dxa"/>
            <w:vAlign w:val="center"/>
          </w:tcPr>
          <w:p w14:paraId="0E2C72EB"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Instalovaný tepelný výkon „ano“ (MW)</w:t>
            </w:r>
          </w:p>
        </w:tc>
        <w:tc>
          <w:tcPr>
            <w:tcW w:w="1325" w:type="dxa"/>
            <w:vAlign w:val="center"/>
          </w:tcPr>
          <w:p w14:paraId="5A4166AE" w14:textId="77777777" w:rsidR="00F260AA" w:rsidRPr="00DD47DF" w:rsidRDefault="00F260AA" w:rsidP="00F260AA">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D47DF">
              <w:rPr>
                <w:rFonts w:asciiTheme="minorHAnsi" w:hAnsiTheme="minorHAnsi" w:cstheme="minorHAnsi"/>
                <w:szCs w:val="22"/>
              </w:rPr>
              <w:t>Instalovaný tepelný výkon „ano“ + „možná“ (MW)</w:t>
            </w:r>
          </w:p>
        </w:tc>
      </w:tr>
      <w:tr w:rsidR="00F260AA" w:rsidRPr="00DD47DF" w14:paraId="78E3A37B"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7F21D23A"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Královéhradecký</w:t>
            </w:r>
          </w:p>
        </w:tc>
        <w:tc>
          <w:tcPr>
            <w:tcW w:w="1523" w:type="dxa"/>
          </w:tcPr>
          <w:p w14:paraId="4F8AFC1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27</w:t>
            </w:r>
          </w:p>
        </w:tc>
        <w:tc>
          <w:tcPr>
            <w:tcW w:w="1312" w:type="dxa"/>
          </w:tcPr>
          <w:p w14:paraId="21F61CD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22,6</w:t>
            </w:r>
          </w:p>
        </w:tc>
        <w:tc>
          <w:tcPr>
            <w:tcW w:w="858" w:type="dxa"/>
          </w:tcPr>
          <w:p w14:paraId="79BCD15F"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w:t>
            </w:r>
          </w:p>
        </w:tc>
        <w:tc>
          <w:tcPr>
            <w:tcW w:w="1087" w:type="dxa"/>
          </w:tcPr>
          <w:p w14:paraId="5BB919F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67267E62"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11,4</w:t>
            </w:r>
          </w:p>
        </w:tc>
        <w:tc>
          <w:tcPr>
            <w:tcW w:w="1325" w:type="dxa"/>
          </w:tcPr>
          <w:p w14:paraId="4ACB6B6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17,0</w:t>
            </w:r>
          </w:p>
        </w:tc>
      </w:tr>
      <w:tr w:rsidR="00F260AA" w:rsidRPr="00DD47DF" w14:paraId="4794A4A3"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5003A2D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Jihočeský</w:t>
            </w:r>
          </w:p>
        </w:tc>
        <w:tc>
          <w:tcPr>
            <w:tcW w:w="1523" w:type="dxa"/>
          </w:tcPr>
          <w:p w14:paraId="3689EC97"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39</w:t>
            </w:r>
          </w:p>
        </w:tc>
        <w:tc>
          <w:tcPr>
            <w:tcW w:w="1312" w:type="dxa"/>
          </w:tcPr>
          <w:p w14:paraId="64462D5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26,9</w:t>
            </w:r>
          </w:p>
        </w:tc>
        <w:tc>
          <w:tcPr>
            <w:tcW w:w="858" w:type="dxa"/>
          </w:tcPr>
          <w:p w14:paraId="7345CC8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087" w:type="dxa"/>
          </w:tcPr>
          <w:p w14:paraId="57C3344C"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76BA33B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5,9</w:t>
            </w:r>
          </w:p>
        </w:tc>
        <w:tc>
          <w:tcPr>
            <w:tcW w:w="1325" w:type="dxa"/>
          </w:tcPr>
          <w:p w14:paraId="605F6AE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13,8</w:t>
            </w:r>
          </w:p>
        </w:tc>
      </w:tr>
      <w:tr w:rsidR="00F260AA" w:rsidRPr="00DD47DF" w14:paraId="5EFA1D4D"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2C7CEC1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Jihomoravský</w:t>
            </w:r>
          </w:p>
        </w:tc>
        <w:tc>
          <w:tcPr>
            <w:tcW w:w="1523" w:type="dxa"/>
          </w:tcPr>
          <w:p w14:paraId="4F78FC66"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28</w:t>
            </w:r>
          </w:p>
        </w:tc>
        <w:tc>
          <w:tcPr>
            <w:tcW w:w="1312" w:type="dxa"/>
          </w:tcPr>
          <w:p w14:paraId="6F77C60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23,4</w:t>
            </w:r>
          </w:p>
        </w:tc>
        <w:tc>
          <w:tcPr>
            <w:tcW w:w="858" w:type="dxa"/>
          </w:tcPr>
          <w:p w14:paraId="60F590E6"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087" w:type="dxa"/>
          </w:tcPr>
          <w:p w14:paraId="47C4BFF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25" w:type="dxa"/>
          </w:tcPr>
          <w:p w14:paraId="62053C9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3,8</w:t>
            </w:r>
          </w:p>
        </w:tc>
        <w:tc>
          <w:tcPr>
            <w:tcW w:w="1325" w:type="dxa"/>
          </w:tcPr>
          <w:p w14:paraId="7DF29990"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11,6</w:t>
            </w:r>
          </w:p>
        </w:tc>
      </w:tr>
      <w:tr w:rsidR="00F260AA" w:rsidRPr="00DD47DF" w14:paraId="1C5780DC"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C42F3B5"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Karlovarský</w:t>
            </w:r>
          </w:p>
        </w:tc>
        <w:tc>
          <w:tcPr>
            <w:tcW w:w="1523" w:type="dxa"/>
          </w:tcPr>
          <w:p w14:paraId="6F8C2D5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w:t>
            </w:r>
          </w:p>
        </w:tc>
        <w:tc>
          <w:tcPr>
            <w:tcW w:w="1312" w:type="dxa"/>
          </w:tcPr>
          <w:p w14:paraId="6FB41A2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4,5</w:t>
            </w:r>
          </w:p>
        </w:tc>
        <w:tc>
          <w:tcPr>
            <w:tcW w:w="858" w:type="dxa"/>
          </w:tcPr>
          <w:p w14:paraId="6B5B2E6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w:t>
            </w:r>
          </w:p>
        </w:tc>
        <w:tc>
          <w:tcPr>
            <w:tcW w:w="1087" w:type="dxa"/>
          </w:tcPr>
          <w:p w14:paraId="240F9A6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325" w:type="dxa"/>
          </w:tcPr>
          <w:p w14:paraId="05A346C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63DFD0B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4,0</w:t>
            </w:r>
          </w:p>
        </w:tc>
      </w:tr>
      <w:tr w:rsidR="00F260AA" w:rsidRPr="00DD47DF" w14:paraId="0FE9C9DB"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3F7331D"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Liberecký</w:t>
            </w:r>
          </w:p>
        </w:tc>
        <w:tc>
          <w:tcPr>
            <w:tcW w:w="1523" w:type="dxa"/>
          </w:tcPr>
          <w:p w14:paraId="1D70CC6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312" w:type="dxa"/>
          </w:tcPr>
          <w:p w14:paraId="0B5E88B4"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2,4</w:t>
            </w:r>
          </w:p>
        </w:tc>
        <w:tc>
          <w:tcPr>
            <w:tcW w:w="858" w:type="dxa"/>
          </w:tcPr>
          <w:p w14:paraId="44AF097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w:t>
            </w:r>
          </w:p>
        </w:tc>
        <w:tc>
          <w:tcPr>
            <w:tcW w:w="1087" w:type="dxa"/>
          </w:tcPr>
          <w:p w14:paraId="0A0B6DF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w:t>
            </w:r>
          </w:p>
        </w:tc>
        <w:tc>
          <w:tcPr>
            <w:tcW w:w="1325" w:type="dxa"/>
          </w:tcPr>
          <w:p w14:paraId="7386F5C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w:t>
            </w:r>
          </w:p>
        </w:tc>
        <w:tc>
          <w:tcPr>
            <w:tcW w:w="1325" w:type="dxa"/>
          </w:tcPr>
          <w:p w14:paraId="1B90751E"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1,5</w:t>
            </w:r>
          </w:p>
        </w:tc>
      </w:tr>
      <w:tr w:rsidR="00F260AA" w:rsidRPr="00DD47DF" w14:paraId="2BE72F5A"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16F194C0"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Moravskoslezský</w:t>
            </w:r>
          </w:p>
        </w:tc>
        <w:tc>
          <w:tcPr>
            <w:tcW w:w="1523" w:type="dxa"/>
          </w:tcPr>
          <w:p w14:paraId="4CE45A7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12" w:type="dxa"/>
          </w:tcPr>
          <w:p w14:paraId="6F6EB94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13,8</w:t>
            </w:r>
          </w:p>
        </w:tc>
        <w:tc>
          <w:tcPr>
            <w:tcW w:w="858" w:type="dxa"/>
          </w:tcPr>
          <w:p w14:paraId="05C7C2C7"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w:t>
            </w:r>
          </w:p>
        </w:tc>
        <w:tc>
          <w:tcPr>
            <w:tcW w:w="1087" w:type="dxa"/>
          </w:tcPr>
          <w:p w14:paraId="5B87ECE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12</w:t>
            </w:r>
          </w:p>
        </w:tc>
        <w:tc>
          <w:tcPr>
            <w:tcW w:w="1325" w:type="dxa"/>
          </w:tcPr>
          <w:p w14:paraId="08979AD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9,8</w:t>
            </w:r>
          </w:p>
        </w:tc>
        <w:tc>
          <w:tcPr>
            <w:tcW w:w="1325" w:type="dxa"/>
          </w:tcPr>
          <w:p w14:paraId="3B1B931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11,9</w:t>
            </w:r>
          </w:p>
        </w:tc>
      </w:tr>
      <w:tr w:rsidR="00F260AA" w:rsidRPr="00DD47DF" w14:paraId="3D010DE0"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5F10608B"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Olomoucký</w:t>
            </w:r>
          </w:p>
        </w:tc>
        <w:tc>
          <w:tcPr>
            <w:tcW w:w="1523" w:type="dxa"/>
          </w:tcPr>
          <w:p w14:paraId="12548DF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20</w:t>
            </w:r>
          </w:p>
        </w:tc>
        <w:tc>
          <w:tcPr>
            <w:tcW w:w="1312" w:type="dxa"/>
          </w:tcPr>
          <w:p w14:paraId="50D6EB8F"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16,9</w:t>
            </w:r>
          </w:p>
        </w:tc>
        <w:tc>
          <w:tcPr>
            <w:tcW w:w="858" w:type="dxa"/>
          </w:tcPr>
          <w:p w14:paraId="6017BAF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w:t>
            </w:r>
          </w:p>
        </w:tc>
        <w:tc>
          <w:tcPr>
            <w:tcW w:w="1087" w:type="dxa"/>
          </w:tcPr>
          <w:p w14:paraId="096BA24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w:t>
            </w:r>
          </w:p>
        </w:tc>
        <w:tc>
          <w:tcPr>
            <w:tcW w:w="1325" w:type="dxa"/>
          </w:tcPr>
          <w:p w14:paraId="013CE81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6,9</w:t>
            </w:r>
          </w:p>
        </w:tc>
        <w:tc>
          <w:tcPr>
            <w:tcW w:w="1325" w:type="dxa"/>
          </w:tcPr>
          <w:p w14:paraId="189F941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11,2</w:t>
            </w:r>
          </w:p>
        </w:tc>
      </w:tr>
      <w:tr w:rsidR="00F260AA" w:rsidRPr="00DD47DF" w14:paraId="7DBF65B8"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C7E0F58"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Pardubický</w:t>
            </w:r>
          </w:p>
        </w:tc>
        <w:tc>
          <w:tcPr>
            <w:tcW w:w="1523" w:type="dxa"/>
          </w:tcPr>
          <w:p w14:paraId="3B1F97B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34</w:t>
            </w:r>
          </w:p>
        </w:tc>
        <w:tc>
          <w:tcPr>
            <w:tcW w:w="1312" w:type="dxa"/>
          </w:tcPr>
          <w:p w14:paraId="460BD49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29,4</w:t>
            </w:r>
          </w:p>
        </w:tc>
        <w:tc>
          <w:tcPr>
            <w:tcW w:w="858" w:type="dxa"/>
          </w:tcPr>
          <w:p w14:paraId="4EE79CE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11</w:t>
            </w:r>
          </w:p>
        </w:tc>
        <w:tc>
          <w:tcPr>
            <w:tcW w:w="1087" w:type="dxa"/>
          </w:tcPr>
          <w:p w14:paraId="267AB03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4BC72292"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10,5</w:t>
            </w:r>
          </w:p>
        </w:tc>
        <w:tc>
          <w:tcPr>
            <w:tcW w:w="1325" w:type="dxa"/>
          </w:tcPr>
          <w:p w14:paraId="318606C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17,2</w:t>
            </w:r>
          </w:p>
        </w:tc>
      </w:tr>
      <w:tr w:rsidR="00F260AA" w:rsidRPr="00DD47DF" w14:paraId="4611B551"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2AE4B17"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Plzeňský</w:t>
            </w:r>
          </w:p>
        </w:tc>
        <w:tc>
          <w:tcPr>
            <w:tcW w:w="1523" w:type="dxa"/>
          </w:tcPr>
          <w:p w14:paraId="638385F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w:t>
            </w:r>
          </w:p>
        </w:tc>
        <w:tc>
          <w:tcPr>
            <w:tcW w:w="1312" w:type="dxa"/>
          </w:tcPr>
          <w:p w14:paraId="47B697E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23,5</w:t>
            </w:r>
          </w:p>
        </w:tc>
        <w:tc>
          <w:tcPr>
            <w:tcW w:w="858" w:type="dxa"/>
          </w:tcPr>
          <w:p w14:paraId="42EDCCC9"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087" w:type="dxa"/>
          </w:tcPr>
          <w:p w14:paraId="37D61562"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14</w:t>
            </w:r>
          </w:p>
        </w:tc>
        <w:tc>
          <w:tcPr>
            <w:tcW w:w="1325" w:type="dxa"/>
          </w:tcPr>
          <w:p w14:paraId="2AFF2CB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5,4</w:t>
            </w:r>
          </w:p>
        </w:tc>
        <w:tc>
          <w:tcPr>
            <w:tcW w:w="1325" w:type="dxa"/>
          </w:tcPr>
          <w:p w14:paraId="1A623ED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10,7</w:t>
            </w:r>
          </w:p>
        </w:tc>
      </w:tr>
      <w:tr w:rsidR="00F260AA" w:rsidRPr="00DD47DF" w14:paraId="46B1645E"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3065BDE4"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Středočeský</w:t>
            </w:r>
          </w:p>
        </w:tc>
        <w:tc>
          <w:tcPr>
            <w:tcW w:w="1523" w:type="dxa"/>
          </w:tcPr>
          <w:p w14:paraId="4A32A90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41</w:t>
            </w:r>
          </w:p>
        </w:tc>
        <w:tc>
          <w:tcPr>
            <w:tcW w:w="1312" w:type="dxa"/>
          </w:tcPr>
          <w:p w14:paraId="148B12D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31,1</w:t>
            </w:r>
          </w:p>
        </w:tc>
        <w:tc>
          <w:tcPr>
            <w:tcW w:w="858" w:type="dxa"/>
          </w:tcPr>
          <w:p w14:paraId="365D81E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087" w:type="dxa"/>
          </w:tcPr>
          <w:p w14:paraId="3C4DCB5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19</w:t>
            </w:r>
          </w:p>
        </w:tc>
        <w:tc>
          <w:tcPr>
            <w:tcW w:w="1325" w:type="dxa"/>
          </w:tcPr>
          <w:p w14:paraId="0F7FBB6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7,3</w:t>
            </w:r>
          </w:p>
        </w:tc>
        <w:tc>
          <w:tcPr>
            <w:tcW w:w="1325" w:type="dxa"/>
          </w:tcPr>
          <w:p w14:paraId="32461C1D"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16,5</w:t>
            </w:r>
          </w:p>
        </w:tc>
      </w:tr>
      <w:tr w:rsidR="00F260AA" w:rsidRPr="00DD47DF" w14:paraId="179FEEA1"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1E645034"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Ústecký</w:t>
            </w:r>
          </w:p>
        </w:tc>
        <w:tc>
          <w:tcPr>
            <w:tcW w:w="1523" w:type="dxa"/>
          </w:tcPr>
          <w:p w14:paraId="09659D8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312" w:type="dxa"/>
          </w:tcPr>
          <w:p w14:paraId="1A5823B3"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5,3</w:t>
            </w:r>
          </w:p>
        </w:tc>
        <w:tc>
          <w:tcPr>
            <w:tcW w:w="858" w:type="dxa"/>
          </w:tcPr>
          <w:p w14:paraId="425E4898"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w:t>
            </w:r>
          </w:p>
        </w:tc>
        <w:tc>
          <w:tcPr>
            <w:tcW w:w="1087" w:type="dxa"/>
          </w:tcPr>
          <w:p w14:paraId="3613BC65"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8</w:t>
            </w:r>
          </w:p>
        </w:tc>
        <w:tc>
          <w:tcPr>
            <w:tcW w:w="1325" w:type="dxa"/>
          </w:tcPr>
          <w:p w14:paraId="2E2F4BF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2,2</w:t>
            </w:r>
          </w:p>
        </w:tc>
        <w:tc>
          <w:tcPr>
            <w:tcW w:w="1325" w:type="dxa"/>
          </w:tcPr>
          <w:p w14:paraId="67829521"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5,3</w:t>
            </w:r>
          </w:p>
        </w:tc>
      </w:tr>
      <w:tr w:rsidR="00F260AA" w:rsidRPr="00DD47DF" w14:paraId="4C4163E2" w14:textId="77777777" w:rsidTr="00835118">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14:paraId="6D924F95"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Vysočina</w:t>
            </w:r>
          </w:p>
        </w:tc>
        <w:tc>
          <w:tcPr>
            <w:tcW w:w="1523" w:type="dxa"/>
          </w:tcPr>
          <w:p w14:paraId="2103F0B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52</w:t>
            </w:r>
          </w:p>
        </w:tc>
        <w:tc>
          <w:tcPr>
            <w:tcW w:w="1312" w:type="dxa"/>
          </w:tcPr>
          <w:p w14:paraId="2F3600AF"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36,9</w:t>
            </w:r>
          </w:p>
        </w:tc>
        <w:tc>
          <w:tcPr>
            <w:tcW w:w="858" w:type="dxa"/>
          </w:tcPr>
          <w:p w14:paraId="45C50481"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w:t>
            </w:r>
          </w:p>
        </w:tc>
        <w:tc>
          <w:tcPr>
            <w:tcW w:w="1087" w:type="dxa"/>
          </w:tcPr>
          <w:p w14:paraId="324A94E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17</w:t>
            </w:r>
          </w:p>
        </w:tc>
        <w:tc>
          <w:tcPr>
            <w:tcW w:w="1325" w:type="dxa"/>
          </w:tcPr>
          <w:p w14:paraId="723FBCDB"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6,0</w:t>
            </w:r>
          </w:p>
        </w:tc>
        <w:tc>
          <w:tcPr>
            <w:tcW w:w="1325" w:type="dxa"/>
          </w:tcPr>
          <w:p w14:paraId="123D1453"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12,2</w:t>
            </w:r>
          </w:p>
        </w:tc>
      </w:tr>
      <w:tr w:rsidR="00F260AA" w:rsidRPr="00DD47DF" w14:paraId="63B29586" w14:textId="77777777" w:rsidTr="008351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Borders>
              <w:bottom w:val="thickThinSmallGap" w:sz="12" w:space="0" w:color="auto"/>
            </w:tcBorders>
            <w:shd w:val="clear" w:color="auto" w:fill="C6D9F1" w:themeFill="text2" w:themeFillTint="33"/>
          </w:tcPr>
          <w:p w14:paraId="03A1A3A1" w14:textId="77777777" w:rsidR="00F260AA" w:rsidRPr="00DD47DF" w:rsidRDefault="00F260AA" w:rsidP="00F260AA">
            <w:pPr>
              <w:keepNext/>
              <w:keepLines/>
              <w:rPr>
                <w:rFonts w:asciiTheme="minorHAnsi" w:hAnsiTheme="minorHAnsi" w:cstheme="minorHAnsi"/>
                <w:color w:val="auto"/>
                <w:sz w:val="22"/>
                <w:szCs w:val="22"/>
              </w:rPr>
            </w:pPr>
            <w:r w:rsidRPr="00DD47DF">
              <w:rPr>
                <w:rFonts w:asciiTheme="minorHAnsi" w:hAnsiTheme="minorHAnsi" w:cstheme="minorHAnsi"/>
                <w:color w:val="auto"/>
                <w:sz w:val="22"/>
                <w:szCs w:val="22"/>
              </w:rPr>
              <w:t>Zlínský</w:t>
            </w:r>
          </w:p>
        </w:tc>
        <w:tc>
          <w:tcPr>
            <w:tcW w:w="1523" w:type="dxa"/>
            <w:tcBorders>
              <w:bottom w:val="thickThinSmallGap" w:sz="12" w:space="0" w:color="auto"/>
            </w:tcBorders>
          </w:tcPr>
          <w:p w14:paraId="6B0F18C0"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w:t>
            </w:r>
          </w:p>
        </w:tc>
        <w:tc>
          <w:tcPr>
            <w:tcW w:w="1312" w:type="dxa"/>
            <w:tcBorders>
              <w:bottom w:val="thickThinSmallGap" w:sz="12" w:space="0" w:color="auto"/>
            </w:tcBorders>
          </w:tcPr>
          <w:p w14:paraId="3D355F9B"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5,2</w:t>
            </w:r>
          </w:p>
        </w:tc>
        <w:tc>
          <w:tcPr>
            <w:tcW w:w="858" w:type="dxa"/>
            <w:tcBorders>
              <w:bottom w:val="thickThinSmallGap" w:sz="12" w:space="0" w:color="auto"/>
            </w:tcBorders>
          </w:tcPr>
          <w:p w14:paraId="43A19FD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w:t>
            </w:r>
          </w:p>
        </w:tc>
        <w:tc>
          <w:tcPr>
            <w:tcW w:w="1087" w:type="dxa"/>
            <w:tcBorders>
              <w:bottom w:val="thickThinSmallGap" w:sz="12" w:space="0" w:color="auto"/>
            </w:tcBorders>
          </w:tcPr>
          <w:p w14:paraId="2A7DCF7A"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6</w:t>
            </w:r>
          </w:p>
        </w:tc>
        <w:tc>
          <w:tcPr>
            <w:tcW w:w="1325" w:type="dxa"/>
            <w:tcBorders>
              <w:bottom w:val="thickThinSmallGap" w:sz="12" w:space="0" w:color="auto"/>
            </w:tcBorders>
          </w:tcPr>
          <w:p w14:paraId="378D4307"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4,2</w:t>
            </w:r>
          </w:p>
        </w:tc>
        <w:tc>
          <w:tcPr>
            <w:tcW w:w="1325" w:type="dxa"/>
            <w:tcBorders>
              <w:bottom w:val="thickThinSmallGap" w:sz="12" w:space="0" w:color="auto"/>
            </w:tcBorders>
          </w:tcPr>
          <w:p w14:paraId="415136DD" w14:textId="77777777" w:rsidR="00F260AA" w:rsidRPr="00DD47DF" w:rsidRDefault="00F260AA" w:rsidP="00F260AA">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4,2</w:t>
            </w:r>
          </w:p>
        </w:tc>
      </w:tr>
      <w:tr w:rsidR="00F260AA" w:rsidRPr="00DD47DF" w14:paraId="0FD1BA43" w14:textId="77777777" w:rsidTr="00835118">
        <w:tc>
          <w:tcPr>
            <w:cnfStyle w:val="001000000000" w:firstRow="0" w:lastRow="0" w:firstColumn="1" w:lastColumn="0" w:oddVBand="0" w:evenVBand="0" w:oddHBand="0" w:evenHBand="0" w:firstRowFirstColumn="0" w:firstRowLastColumn="0" w:lastRowFirstColumn="0" w:lastRowLastColumn="0"/>
            <w:tcW w:w="1879" w:type="dxa"/>
            <w:tcBorders>
              <w:top w:val="thickThinSmallGap" w:sz="12" w:space="0" w:color="auto"/>
            </w:tcBorders>
            <w:shd w:val="clear" w:color="auto" w:fill="8DB3E2" w:themeFill="text2" w:themeFillTint="66"/>
          </w:tcPr>
          <w:p w14:paraId="551F1C55" w14:textId="77777777" w:rsidR="00F260AA" w:rsidRPr="00DD47DF" w:rsidRDefault="00F260AA" w:rsidP="00F260AA">
            <w:pPr>
              <w:keepNext/>
              <w:keepLines/>
              <w:rPr>
                <w:rFonts w:asciiTheme="minorHAnsi" w:hAnsiTheme="minorHAnsi" w:cstheme="minorHAnsi"/>
                <w:sz w:val="22"/>
                <w:szCs w:val="22"/>
              </w:rPr>
            </w:pPr>
            <w:r w:rsidRPr="00DD47DF">
              <w:rPr>
                <w:rFonts w:asciiTheme="minorHAnsi" w:hAnsiTheme="minorHAnsi" w:cstheme="minorHAnsi"/>
                <w:color w:val="auto"/>
                <w:sz w:val="22"/>
                <w:szCs w:val="22"/>
              </w:rPr>
              <w:t>Česká republika</w:t>
            </w:r>
          </w:p>
        </w:tc>
        <w:tc>
          <w:tcPr>
            <w:tcW w:w="1523" w:type="dxa"/>
            <w:tcBorders>
              <w:top w:val="thickThinSmallGap" w:sz="12" w:space="0" w:color="auto"/>
            </w:tcBorders>
            <w:shd w:val="clear" w:color="auto" w:fill="8DB3E2" w:themeFill="text2" w:themeFillTint="66"/>
          </w:tcPr>
          <w:p w14:paraId="258EBCE0"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310</w:t>
            </w:r>
          </w:p>
        </w:tc>
        <w:tc>
          <w:tcPr>
            <w:tcW w:w="1312" w:type="dxa"/>
            <w:tcBorders>
              <w:top w:val="thickThinSmallGap" w:sz="12" w:space="0" w:color="auto"/>
            </w:tcBorders>
            <w:shd w:val="clear" w:color="auto" w:fill="8DB3E2" w:themeFill="text2" w:themeFillTint="66"/>
          </w:tcPr>
          <w:p w14:paraId="6FF0A89A"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242</w:t>
            </w:r>
          </w:p>
        </w:tc>
        <w:tc>
          <w:tcPr>
            <w:tcW w:w="858" w:type="dxa"/>
            <w:tcBorders>
              <w:top w:val="thickThinSmallGap" w:sz="12" w:space="0" w:color="auto"/>
            </w:tcBorders>
            <w:shd w:val="clear" w:color="auto" w:fill="8DB3E2" w:themeFill="text2" w:themeFillTint="66"/>
          </w:tcPr>
          <w:p w14:paraId="7E8103DE"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93</w:t>
            </w:r>
          </w:p>
        </w:tc>
        <w:tc>
          <w:tcPr>
            <w:tcW w:w="1087" w:type="dxa"/>
            <w:tcBorders>
              <w:top w:val="thickThinSmallGap" w:sz="12" w:space="0" w:color="auto"/>
            </w:tcBorders>
            <w:shd w:val="clear" w:color="auto" w:fill="8DB3E2" w:themeFill="text2" w:themeFillTint="66"/>
          </w:tcPr>
          <w:p w14:paraId="367E5974"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166</w:t>
            </w:r>
          </w:p>
        </w:tc>
        <w:tc>
          <w:tcPr>
            <w:tcW w:w="1325" w:type="dxa"/>
            <w:tcBorders>
              <w:top w:val="thickThinSmallGap" w:sz="12" w:space="0" w:color="auto"/>
            </w:tcBorders>
            <w:shd w:val="clear" w:color="auto" w:fill="8DB3E2" w:themeFill="text2" w:themeFillTint="66"/>
          </w:tcPr>
          <w:p w14:paraId="283A9015"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76</w:t>
            </w:r>
          </w:p>
        </w:tc>
        <w:tc>
          <w:tcPr>
            <w:tcW w:w="1325" w:type="dxa"/>
            <w:tcBorders>
              <w:top w:val="thickThinSmallGap" w:sz="12" w:space="0" w:color="auto"/>
            </w:tcBorders>
            <w:shd w:val="clear" w:color="auto" w:fill="8DB3E2" w:themeFill="text2" w:themeFillTint="66"/>
          </w:tcPr>
          <w:p w14:paraId="69B64068" w14:textId="77777777" w:rsidR="00F260AA" w:rsidRPr="00DD47DF" w:rsidRDefault="00F260AA" w:rsidP="00F260AA">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DD47DF">
              <w:rPr>
                <w:rFonts w:asciiTheme="minorHAnsi" w:hAnsiTheme="minorHAnsi" w:cstheme="minorHAnsi"/>
                <w:sz w:val="22"/>
                <w:szCs w:val="22"/>
              </w:rPr>
              <w:t>137</w:t>
            </w:r>
          </w:p>
        </w:tc>
      </w:tr>
    </w:tbl>
    <w:p w14:paraId="7BE36611" w14:textId="77777777" w:rsidR="00F260AA" w:rsidRPr="00DD47DF" w:rsidRDefault="00A041AE" w:rsidP="00F260AA">
      <w:pPr>
        <w:pStyle w:val="Standardntext"/>
        <w:spacing w:after="240"/>
      </w:pPr>
      <w:r w:rsidRPr="00DD47DF">
        <w:t>Zdroj: Možnosti využití tepla/ vzdálené kogenerace na zemědělských BPS v České republice, zpracovatel NovaEnergo s.r.o., květen 2013</w:t>
      </w:r>
    </w:p>
    <w:p w14:paraId="5DCF9030" w14:textId="77777777" w:rsidR="00F260AA" w:rsidRPr="00DD47DF" w:rsidRDefault="00F260AA" w:rsidP="00F260AA">
      <w:pPr>
        <w:pStyle w:val="Standardntext"/>
      </w:pPr>
      <w:r w:rsidRPr="00DD47DF">
        <w:t>Dalším identifikovaným problémem je vysoká úroveň energetické náročnosti ekonomiky. Jak vyplývá z grafu níže, z hlediska energetické náročnosti se ČR v současnosti nachází výrazně nad průměrem EU-27. Pokud jde o konečnou spotřebu energie, spotřebovala ČR v sektoru průmyslu a služeb v roce 2012 zhruba 434 PJ. Důvodem vyšší energetické náročnosti je jak vysoký podíl průmyslu na tvorbě HDP a vysoký podíl průmyslových odvětví s vysokou energetickou náročností, tak i vnitřní dluh podniků spočívající v nízké energetické efektivnosti průmyslových procesů a vysoké energetické náročnosti budov. Návratnost investic do energetické efektivnosti je obvykle o něco delší než investice do vlastní produkce a tempo zvyšování energetické účinnosti je při rozpočtových omezeních firem pomalé. Ceny energií pak představují kritický faktor konkurenceschopnosti firem. Z hlediska spotřeby energie na obyvatele i z hlediska spotřeby elektřiny na obyvatele se ČR nachází zhruba v průměru zemí EU. Nadále však existuje poměrně vysoký potenciál úspor ovlivněný nedostatkem finančních prostředků pro investice do úsporných projektů a nedostatek znalostí v oblasti efektivního využívání energie. Úspory energie budou mít pozitivní vliv jak na kvalitu ovzduší, tak i na snížení produkce CO</w:t>
      </w:r>
      <w:r w:rsidRPr="00DD47DF">
        <w:rPr>
          <w:vertAlign w:val="subscript"/>
        </w:rPr>
        <w:t>2</w:t>
      </w:r>
      <w:r w:rsidRPr="00DD47DF">
        <w:t xml:space="preserve"> (zde jednoznačná vazba na problémovou oblast </w:t>
      </w:r>
      <w:r w:rsidR="008E4EE8" w:rsidRPr="00DD47DF">
        <w:t>„</w:t>
      </w:r>
      <w:r w:rsidRPr="00DD47DF">
        <w:t>Životní prostředí</w:t>
      </w:r>
      <w:r w:rsidR="008E4EE8" w:rsidRPr="00DD47DF">
        <w:t>“</w:t>
      </w:r>
      <w:r w:rsidRPr="00DD47DF">
        <w:t>).</w:t>
      </w:r>
    </w:p>
    <w:p w14:paraId="7EDB5E92" w14:textId="77777777" w:rsidR="00F260AA" w:rsidRPr="00DD47DF" w:rsidRDefault="00F260AA" w:rsidP="00F260AA">
      <w:pPr>
        <w:pStyle w:val="Titulek"/>
        <w:keepNext/>
        <w:rPr>
          <w:rFonts w:cs="Calibri"/>
        </w:rPr>
      </w:pPr>
      <w:r w:rsidRPr="00DD47DF">
        <w:rPr>
          <w:rFonts w:cs="Calibri"/>
        </w:rPr>
        <w:lastRenderedPageBreak/>
        <w:t xml:space="preserve">Obrázek </w:t>
      </w:r>
      <w:r w:rsidR="00A10251" w:rsidRPr="00DD47DF">
        <w:rPr>
          <w:rFonts w:cs="Calibri"/>
        </w:rPr>
        <w:t>5</w:t>
      </w:r>
      <w:r w:rsidRPr="00DD47DF">
        <w:rPr>
          <w:rFonts w:cs="Calibri"/>
        </w:rPr>
        <w:t>: Energetická náročnost jednotlivých zemí EU-28 (v kilogramu ropného ekvivalentu na 1000 EUR), 2012</w:t>
      </w:r>
    </w:p>
    <w:p w14:paraId="40C7FEC6" w14:textId="77777777" w:rsidR="00F260AA" w:rsidRPr="00DD47DF" w:rsidRDefault="00F260AA" w:rsidP="00F260AA">
      <w:pPr>
        <w:contextualSpacing/>
        <w:jc w:val="both"/>
        <w:rPr>
          <w:rFonts w:ascii="Calibri" w:hAnsi="Calibri" w:cs="Calibri"/>
        </w:rPr>
      </w:pPr>
      <w:r w:rsidRPr="00DD47DF">
        <w:rPr>
          <w:noProof/>
        </w:rPr>
        <w:drawing>
          <wp:inline distT="0" distB="0" distL="0" distR="0" wp14:anchorId="4C3C7462" wp14:editId="4649A37A">
            <wp:extent cx="5838190" cy="3409315"/>
            <wp:effectExtent l="0" t="0" r="10160" b="19685"/>
            <wp:docPr id="35"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85D5F5" w14:textId="77777777" w:rsidR="00F260AA" w:rsidRPr="00DD47DF" w:rsidRDefault="00A041AE" w:rsidP="00F260AA">
      <w:pPr>
        <w:pStyle w:val="Standardntext"/>
        <w:spacing w:after="240"/>
      </w:pPr>
      <w:r w:rsidRPr="00DD47DF">
        <w:t>Zdroj</w:t>
      </w:r>
      <w:r w:rsidR="00835118" w:rsidRPr="00DD47DF">
        <w:t>:</w:t>
      </w:r>
      <w:r w:rsidR="00F260AA" w:rsidRPr="00DD47DF">
        <w:t xml:space="preserve"> Eurostat</w:t>
      </w:r>
    </w:p>
    <w:p w14:paraId="506E04A6" w14:textId="77777777" w:rsidR="00F260AA" w:rsidRPr="00DD47DF" w:rsidRDefault="00F260AA" w:rsidP="00F260AA">
      <w:pPr>
        <w:pStyle w:val="Standardntext"/>
      </w:pPr>
      <w:r w:rsidRPr="00DD47DF">
        <w:t>Díky pozvolnému nárůstu spotřeby elektrické energie, ale i z důvodu vzniku nových zdrojů rozptýlené výroby včetně intermitentních (OZE), vzniká potřeba zvýšení transformačního výkonu přenosové soustavy a distribuční soustavy. Bez rozvoje a modernizace elektrizační soustavy nelze v budoucnu dostatečně uspokojit požadavky rozvíjejících se regionů. Posílení vnitřní i přeshraniční kapacity přenosových vedení elektrické energie je důležité rovněž z pohledu integrace vnitřního evropského trhu s energií. Kvalitní napojení energetických sítí na evropské struktury je významné z hlediska energetické bezpečnosti a zajištění stálosti dodávek při exportu i importu energie. Z hlediska narůstající zátěže pro distribuci a přenos elektrické energie, která zapříčiňuje vysokou ztrátovost, jsou problémovými oblastmi především klíčové uzly soustav a téměř nulové využití inteligentních sítí jako regulačního prvku. V případě distribuční soustavy je přetížením ohroženo zejména vedení a další prvky (např. trafostanice) hlavně v koncových sítích (vn a nn) a v okrajových oblastech. Úroveň kvality v distribučních soustavách je určena ukazateli nepřetržitosti distribuce elektřiny podle § 21 vyhlášky č. 540/2005 Sb., o kvalitě dodávek elektřiny a souvisejících služeb v elektroenergetice. Vyhláškou jsou definovány následující ukazatele nepřetržitosti: (1) průměrný počet přerušení distribuce elektřiny u zákazníků v hodnoceném období (SAIFI) a (2) průměrná souhrnná doba trvání přerušení distribuce elektřiny u zákazníků v hodnoceném období (SAIDI). V roce 2013 dosáhl ukazatel SAIFI počtu 2,755 přerušení za rok a ukazatel SAIDI délky přerušení 394,33 min. za rok. Jak vyplývá z grafů níže, hodnoty obou ukazatelů v posledních 3 letech mírně rostou, což potvrzuje narůstající zátěž pro distribuci vedoucí ke snížení bezpečnosti dodávek.</w:t>
      </w:r>
    </w:p>
    <w:p w14:paraId="27B53CAE" w14:textId="77777777" w:rsidR="00F260AA" w:rsidRPr="00DD47DF" w:rsidRDefault="00F260AA" w:rsidP="00F260AA">
      <w:pPr>
        <w:pStyle w:val="Titulek"/>
        <w:keepNext/>
        <w:rPr>
          <w:rFonts w:cs="Calibri"/>
        </w:rPr>
      </w:pPr>
      <w:r w:rsidRPr="00DD47DF">
        <w:rPr>
          <w:rFonts w:cs="Calibri"/>
        </w:rPr>
        <w:lastRenderedPageBreak/>
        <w:t xml:space="preserve">Obrázek </w:t>
      </w:r>
      <w:r w:rsidR="00A10251" w:rsidRPr="00DD47DF">
        <w:rPr>
          <w:rFonts w:cs="Calibri"/>
        </w:rPr>
        <w:t>6</w:t>
      </w:r>
      <w:r w:rsidRPr="00DD47DF">
        <w:rPr>
          <w:rFonts w:cs="Calibri"/>
        </w:rPr>
        <w:t>: Dosažené hodnoty ukazatelů nepřetržitosti distribuce elektřiny (SAIFI, SAIDI) napájené z hladiny nízkého napětí v posledních 3 letech</w:t>
      </w:r>
    </w:p>
    <w:p w14:paraId="6EE5BA06" w14:textId="77777777" w:rsidR="00F260AA" w:rsidRPr="00DD47DF" w:rsidRDefault="00F260AA" w:rsidP="00DA3512">
      <w:pPr>
        <w:pStyle w:val="Titulek"/>
        <w:keepNext/>
        <w:numPr>
          <w:ilvl w:val="0"/>
          <w:numId w:val="77"/>
        </w:numPr>
        <w:spacing w:before="120"/>
        <w:rPr>
          <w:rFonts w:cs="Calibri"/>
        </w:rPr>
      </w:pPr>
      <w:r w:rsidRPr="00DD47DF">
        <w:rPr>
          <w:rFonts w:cs="Calibri"/>
        </w:rPr>
        <w:t>Průměrný počet přerušení distribuce elektřiny u zákazníků v hodnoceném období (SAIFI)</w:t>
      </w:r>
    </w:p>
    <w:p w14:paraId="7E1E57B6" w14:textId="77777777" w:rsidR="00F260AA" w:rsidRPr="00DD47DF" w:rsidRDefault="00F260AA" w:rsidP="00F260AA">
      <w:pPr>
        <w:pStyle w:val="Standardntext"/>
        <w:jc w:val="center"/>
      </w:pPr>
      <w:r w:rsidRPr="00DD47DF">
        <w:rPr>
          <w:noProof/>
        </w:rPr>
        <w:drawing>
          <wp:inline distT="0" distB="0" distL="0" distR="0" wp14:anchorId="12114AED" wp14:editId="3C742424">
            <wp:extent cx="5455920" cy="4126230"/>
            <wp:effectExtent l="0" t="0" r="11430" b="26670"/>
            <wp:docPr id="36"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17D1BB" w14:textId="77777777" w:rsidR="00F260AA" w:rsidRPr="00DD47DF" w:rsidRDefault="00F260AA" w:rsidP="00DA3512">
      <w:pPr>
        <w:pStyle w:val="Titulek"/>
        <w:keepNext/>
        <w:numPr>
          <w:ilvl w:val="0"/>
          <w:numId w:val="77"/>
        </w:numPr>
        <w:spacing w:before="120"/>
        <w:rPr>
          <w:rFonts w:cs="Calibri"/>
        </w:rPr>
      </w:pPr>
      <w:r w:rsidRPr="00DD47DF">
        <w:rPr>
          <w:rFonts w:cs="Calibri"/>
        </w:rPr>
        <w:lastRenderedPageBreak/>
        <w:t>Průměrná souhrnná doba trvání přerušení distribuce elektřiny u zákazníků v hodnoceném období (SAIDI)</w:t>
      </w:r>
    </w:p>
    <w:p w14:paraId="45D5F370" w14:textId="77777777" w:rsidR="00F260AA" w:rsidRPr="00DD47DF" w:rsidRDefault="00F260AA" w:rsidP="00F260AA">
      <w:pPr>
        <w:pStyle w:val="Standardntext"/>
        <w:jc w:val="center"/>
      </w:pPr>
      <w:r w:rsidRPr="00DD47DF">
        <w:rPr>
          <w:noProof/>
        </w:rPr>
        <w:drawing>
          <wp:inline distT="0" distB="0" distL="0" distR="0" wp14:anchorId="4E9B3BD7" wp14:editId="34537AE0">
            <wp:extent cx="5449570" cy="4154170"/>
            <wp:effectExtent l="0" t="0" r="17780" b="17780"/>
            <wp:docPr id="37"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E8D6F2" w14:textId="77777777" w:rsidR="00F260AA" w:rsidRPr="00DD47DF" w:rsidRDefault="00F260AA" w:rsidP="00F260AA">
      <w:pPr>
        <w:pStyle w:val="Standardntext"/>
        <w:spacing w:after="240"/>
      </w:pPr>
      <w:r w:rsidRPr="00DD47DF">
        <w:t>Zdroj: Energetický regulační úřad ČR, Zpráva o dosažené úrovni nepřetržitosti přenosu nebo distribuce elektřiny za rok 2012; ČEZ Distribuce, a. s., Souhrnná zpráva za rok 2013</w:t>
      </w:r>
      <w:r w:rsidRPr="00DD47DF">
        <w:rPr>
          <w:rStyle w:val="Znakapoznpodarou"/>
        </w:rPr>
        <w:footnoteReference w:id="16"/>
      </w:r>
    </w:p>
    <w:p w14:paraId="6E8AD1C9" w14:textId="77777777" w:rsidR="00F260AA" w:rsidRPr="00DD47DF" w:rsidRDefault="00F260AA" w:rsidP="00F260AA">
      <w:pPr>
        <w:pStyle w:val="Standardntext"/>
        <w:spacing w:after="240"/>
      </w:pPr>
      <w:r w:rsidRPr="00DD47DF">
        <w:t>Parametry přenosové soustavy v současné době již neodpovídají rychle se měnící situaci v elektroenergetice. Vedení a uzly v rámci přenosové soustavy jsou ohrožené přetížením v důsledku neplánovaných toků elektřiny z okolních států. Dalším problémem přenosové soustavy je zvyšující se spotřeba elektrické energie v lokalitách bez dostatečných výrobních kapacit, což koresponduje s očekávaným trendem ve všech vyspělých zemích. Posilováním transformací ve stávajících uzlech přenosové soustavy je možno dosáhnout navýšení transformačního výkonu, který v roce 2013 činil 21 680 MVA (mega voltampér).</w:t>
      </w:r>
    </w:p>
    <w:p w14:paraId="5E9EFDFC" w14:textId="77777777" w:rsidR="00F260AA" w:rsidRPr="00DD47DF" w:rsidRDefault="00F260AA" w:rsidP="00F260AA">
      <w:pPr>
        <w:pStyle w:val="Standardntext"/>
      </w:pPr>
      <w:r w:rsidRPr="00DD47DF">
        <w:t>Slabinou inovačního prostředí pro oblast energetiky, která je jednou ze základních podmínek energetické konkurenceschopnosti v ČR, je nedostatečné využívání nízkouhlíkových technologií</w:t>
      </w:r>
      <w:r w:rsidR="00056DBD" w:rsidRPr="00DD47DF">
        <w:rPr>
          <w:rStyle w:val="Znakapoznpodarou"/>
        </w:rPr>
        <w:footnoteReference w:id="17"/>
      </w:r>
      <w:r w:rsidRPr="00DD47DF">
        <w:t xml:space="preserve">. Vyšší míra zavádění inovativních nízkouhlíkových technologií v ČR nemá dostatečnou prioritu a z pohledu firem jsou investice do těchto technologií příliš nákladné a rizikové oproti klasickým investicím do prosté obnovy či rozšíření výrobní produkce, která přináší z ekonomického hlediska krátkodoběji lepší výsledky. Při současném a očekávaném </w:t>
      </w:r>
      <w:r w:rsidRPr="00DD47DF">
        <w:lastRenderedPageBreak/>
        <w:t>růstu cen energií a surovin bude však tento prvek vnitropodnikové strategie přirozeně nabývat na významu a stane se významným prvkem tržní soutěže, neboť nízkouhlíkové technologie snižují energetické a materiálové nároky na jednotku produkce, snižují případné poplatky za emise či odpady a otevírají nové příležitosti pro podnikání.</w:t>
      </w:r>
    </w:p>
    <w:p w14:paraId="14829107" w14:textId="77777777" w:rsidR="00F260AA" w:rsidRPr="00DD47DF" w:rsidRDefault="00F260AA" w:rsidP="00F260AA">
      <w:pPr>
        <w:pStyle w:val="Standardntext"/>
      </w:pPr>
      <w:r w:rsidRPr="00DD47DF">
        <w:t>Výše uvedené platí i pro oblast využívání druhotných energetických zdrojů. Průmysl druhotných surovin</w:t>
      </w:r>
      <w:r w:rsidRPr="00DD47DF">
        <w:rPr>
          <w:rStyle w:val="Znakapoznpodarou"/>
        </w:rPr>
        <w:footnoteReference w:id="18"/>
      </w:r>
      <w:r w:rsidRPr="00DD47DF">
        <w:t xml:space="preserve"> patří v Č</w:t>
      </w:r>
      <w:r w:rsidR="00782BE3" w:rsidRPr="00DD47DF">
        <w:t>R</w:t>
      </w:r>
      <w:r w:rsidRPr="00DD47DF">
        <w:t xml:space="preserve"> historicky mezi tradiční obory hospodářství. Vzhledem k nedostatečné surovinové základně ČR tvoří druhotné suroviny významnou část surovinové základny pro všechna odvětví průmyslové výroby v ČR. Druhotné suroviny šetří zdroje primárních surovin, které rovnocenně nahrazují, a zároveň usnadňují technologické procesy. Významným přínosem druhotných surovin je snížení energetické a materiálové náročnosti ve všech výrobních odvětvích. Jejich potřeba stále vzrůstá úměrně se zvyšujícími se environmentálními požadavky na průmysl. Druhotné suroviny také snižují emise z průmyslové činnosti a tím následně i imise. Produkce druhotných surovin byla v roce 2012 v ČR ve výši 20,8 mil. tun. </w:t>
      </w:r>
    </w:p>
    <w:p w14:paraId="70028345" w14:textId="77777777" w:rsidR="00F260AA" w:rsidRPr="00DD47DF" w:rsidRDefault="00F260AA" w:rsidP="00F260AA">
      <w:pPr>
        <w:pStyle w:val="Titulek"/>
        <w:keepNext/>
        <w:keepLines/>
        <w:rPr>
          <w:rFonts w:cs="Calibri"/>
        </w:rPr>
      </w:pPr>
      <w:r w:rsidRPr="00DD47DF">
        <w:rPr>
          <w:rFonts w:cs="Calibri"/>
        </w:rPr>
        <w:t xml:space="preserve">Obrázek </w:t>
      </w:r>
      <w:r w:rsidR="00A10251" w:rsidRPr="00DD47DF">
        <w:rPr>
          <w:rFonts w:cs="Calibri"/>
        </w:rPr>
        <w:t>7</w:t>
      </w:r>
      <w:r w:rsidRPr="00DD47DF">
        <w:rPr>
          <w:rFonts w:cs="Calibri"/>
        </w:rPr>
        <w:t>: Produkce druhotných surovin v ČR (v tis. t), 2012</w:t>
      </w:r>
    </w:p>
    <w:p w14:paraId="2B72E414" w14:textId="77777777" w:rsidR="00F260AA" w:rsidRPr="00DD47DF" w:rsidRDefault="00F260AA" w:rsidP="00F260AA">
      <w:pPr>
        <w:pStyle w:val="Standardntext"/>
      </w:pPr>
      <w:r w:rsidRPr="00DD47DF">
        <w:rPr>
          <w:noProof/>
        </w:rPr>
        <w:drawing>
          <wp:inline distT="0" distB="0" distL="0" distR="0" wp14:anchorId="019DC011" wp14:editId="1BDDF3BE">
            <wp:extent cx="5593715" cy="3335020"/>
            <wp:effectExtent l="19050" t="19050" r="26035" b="17780"/>
            <wp:docPr id="38"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93715" cy="3335020"/>
                    </a:xfrm>
                    <a:prstGeom prst="rect">
                      <a:avLst/>
                    </a:prstGeom>
                    <a:noFill/>
                    <a:ln w="9525" cmpd="sng">
                      <a:solidFill>
                        <a:srgbClr val="000000"/>
                      </a:solidFill>
                      <a:miter lim="800000"/>
                      <a:headEnd/>
                      <a:tailEnd/>
                    </a:ln>
                    <a:effectLst/>
                  </pic:spPr>
                </pic:pic>
              </a:graphicData>
            </a:graphic>
          </wp:inline>
        </w:drawing>
      </w:r>
    </w:p>
    <w:p w14:paraId="71A4B066" w14:textId="77777777" w:rsidR="00F260AA" w:rsidRPr="00DD47DF" w:rsidRDefault="00F260AA" w:rsidP="00F260AA">
      <w:pPr>
        <w:pStyle w:val="Standardntext"/>
        <w:spacing w:after="240"/>
      </w:pPr>
      <w:r w:rsidRPr="00DD47DF">
        <w:t>Zdroj: ČSÚ</w:t>
      </w:r>
    </w:p>
    <w:p w14:paraId="561030CA" w14:textId="77777777" w:rsidR="00F260AA" w:rsidRPr="00DD47DF" w:rsidRDefault="00782BE3" w:rsidP="00F260AA">
      <w:pPr>
        <w:pStyle w:val="Standardntext"/>
        <w:spacing w:after="240"/>
      </w:pPr>
      <w:r w:rsidRPr="00DD47DF">
        <w:t xml:space="preserve">Jak potvrzuje </w:t>
      </w:r>
      <w:r w:rsidR="00F260AA" w:rsidRPr="00DD47DF">
        <w:t>graf výše, množstevně nejvýznamnější komoditou jsou vedlejší energetické produkty, kovy a hmoty ze stavebnictví. Z jiných výrobků po ukončení životnosti (např. odpadní elektrická a elektronická zařízení, odpadní baterie a akumulátory), jejichž produkované množství nebo roční materiálový potenciál je nižší, se však získávají velmi cenné suroviny</w:t>
      </w:r>
      <w:r w:rsidR="00822956" w:rsidRPr="00DD47DF">
        <w:t>,</w:t>
      </w:r>
      <w:r w:rsidR="00F260AA" w:rsidRPr="00DD47DF">
        <w:t xml:space="preserve"> tj. </w:t>
      </w:r>
      <w:r w:rsidR="00F260AA" w:rsidRPr="00DD47DF">
        <w:lastRenderedPageBreak/>
        <w:t xml:space="preserve">kovy, z nichž některé byly označeny </w:t>
      </w:r>
      <w:r w:rsidRPr="00DD47DF">
        <w:t>EK</w:t>
      </w:r>
      <w:r w:rsidR="00F260AA" w:rsidRPr="00DD47DF">
        <w:t xml:space="preserve"> za kritické (tzn., že jejich dostupnost klesá). Význam komodity druhotné suroviny tak určuje nejen produkované množství, ale též obsah látek v nich obsažených. Nízké využití druhotných surovin jako vstupní suroviny pro další výrobu vykazují zejména komodity plasty (15 %), stavební hmoty (11 %) a produkty z energetických procesů (4 %). </w:t>
      </w:r>
    </w:p>
    <w:p w14:paraId="462C9969" w14:textId="77777777" w:rsidR="00F260AA" w:rsidRPr="00DD47DF" w:rsidRDefault="00782BE3" w:rsidP="00F260AA">
      <w:pPr>
        <w:pStyle w:val="Standardntext"/>
      </w:pPr>
      <w:r w:rsidRPr="00DD47DF">
        <w:t>ČR</w:t>
      </w:r>
      <w:r w:rsidR="00F260AA" w:rsidRPr="00DD47DF">
        <w:t xml:space="preserve"> má rozvinutý sektor teplárenství, nicméně soustavy zásobování teplem byly budovány od 40. let 20. století převážně do konce 80. let 20. století. Parametry těchto soustav odpovídaly vnějším potřebám, které se po roce 1989 změnily. Rozvody dálkového vytápění jsou realizovány ze 45,3 % jako teplovodní, z 33,3 % jako horkovodní a z 21,4 % jako parní sítě. Parní sítě jsou historicky umístěny v oblastech s dodávkou technologické páry pro průmyslové podniky. Velký počet průmyslových podniků v rámci restrukturalizace průmyslu v 90. letech však zanikl a s tím i potřeba dodávek páry. V případech, kdy došlo k omezení či zrušení odběru technologické páry se tyto sítě mj. z provozně-technických důvodů rekonstruují na horkovodní či teplovodní systémy (včetně navazujících energetických zařízení) z důvodu snížení ztrát a zlepšení provozních parametrů soustavy. Obvyklé ztráty v parních rozvodech jsou indikovány Rozhodnutím ERÚ</w:t>
      </w:r>
      <w:r w:rsidR="00F260AA" w:rsidRPr="00DD47DF">
        <w:rPr>
          <w:rStyle w:val="Znakapoznpodarou"/>
        </w:rPr>
        <w:footnoteReference w:id="19"/>
      </w:r>
      <w:r w:rsidR="00F260AA" w:rsidRPr="00DD47DF">
        <w:t xml:space="preserve"> na 9 GJ/m/rok (skutečná hodnota ztrát může být vyšší). Ztráty v horkovodních rozvodech realizovaných předizolovaným potrubím jsou dle katalogů odborných firem</w:t>
      </w:r>
      <w:r w:rsidR="00F260AA" w:rsidRPr="00DD47DF">
        <w:rPr>
          <w:rStyle w:val="Znakapoznpodarou"/>
        </w:rPr>
        <w:footnoteReference w:id="20"/>
      </w:r>
      <w:r w:rsidR="00F260AA" w:rsidRPr="00DD47DF">
        <w:t xml:space="preserve"> 1,75 GJ/m/rok. Rekonstrukcí parních rozvodů na horkovodní rozvody by tak došlo k průměrně k úspoře 7,25 GJ/m/rok. Při rekonstrukci všech parních rozvodů určených k rekonstrukci</w:t>
      </w:r>
      <w:r w:rsidR="00F260AA" w:rsidRPr="00DD47DF">
        <w:rPr>
          <w:rStyle w:val="Znakapoznpodarou"/>
        </w:rPr>
        <w:footnoteReference w:id="21"/>
      </w:r>
      <w:r w:rsidR="00F260AA" w:rsidRPr="00DD47DF">
        <w:t xml:space="preserve"> by dle Teplárenského sdružení ČR došlo k úspoře primární energie ve výši 7,33 PJ/rok. Průměrná životnost opatření je 30 let, tzn. za dobu živostnosti </w:t>
      </w:r>
      <w:r w:rsidR="005A383F" w:rsidRPr="00DD47DF">
        <w:t xml:space="preserve">se jedná o </w:t>
      </w:r>
      <w:r w:rsidR="00F260AA" w:rsidRPr="00DD47DF">
        <w:t>úsporu 219 PJ primární energie. Z hlediska spotřeby primární energie bylo přitom v sektoru průmyslu a služeb v roce 2012 dosaženo hodnoty 380 PJ.</w:t>
      </w:r>
    </w:p>
    <w:p w14:paraId="38063DCB" w14:textId="77777777" w:rsidR="00F260AA" w:rsidRPr="00DD47DF" w:rsidRDefault="00F260AA" w:rsidP="00F260AA">
      <w:pPr>
        <w:pStyle w:val="Standardntext"/>
      </w:pPr>
      <w:r w:rsidRPr="00DD47DF">
        <w:t>Výroba elektřiny v ČR je spojena s vysokými ztrátami kolem 500 PJ energie ročně. Ztráty v této oblasti vznikají z fyzikální podstaty odvedením nízkokapacitního tepla do okolního prostředí. Současně je nevyužit v mnoha lokalitách potenciál kombinované výroby elektřiny a tepla (KVET), kde je poptávka po užitečném teple realizována výtopenským režimem. Jak dokládá graf níže, v oblasti kombinované výroby elektřiny a tepla se Č</w:t>
      </w:r>
      <w:r w:rsidR="00822956" w:rsidRPr="00DD47DF">
        <w:t>R</w:t>
      </w:r>
      <w:r w:rsidRPr="00DD47DF">
        <w:t xml:space="preserve"> pohybuje jen lehce nad průměrem EU-27</w:t>
      </w:r>
      <w:r w:rsidRPr="00DD47DF">
        <w:rPr>
          <w:rStyle w:val="Znakapoznpodarou"/>
        </w:rPr>
        <w:footnoteReference w:id="22"/>
      </w:r>
      <w:r w:rsidRPr="00DD47DF">
        <w:t xml:space="preserve">, ovšem oproti zemím s nejrozvinutější KVET dosahuje pouze třetinových či dokonce čtvrtinových výsledků. Rozvodná tepelná zařízení, která umožňují existenci a rozvoj kombinované výroby elektřiny a tepla již v některých případech nevyhovují současným technickým požadavkům na rozvod tepelné energie a docházím ke zvýšeným ztrátám energie. V některých případech bude nutno počítat s řízeným přechodem některých velkých soustav na větší množství menších systémů využívajících menší kogenerační jednotky. Investice do rekonstrukcí tepelných sítí přinášejí efekt snižování ztrát při zásobování energiemi, proto díky nim dochází k zefektivnění samotné výroby energií v rámci vysokoúčinné KVET a tím mj. ke snížení emisí skleníkových plynů a ostatních polutantů. Dle analýzy potenciálu </w:t>
      </w:r>
      <w:r w:rsidRPr="00DD47DF">
        <w:lastRenderedPageBreak/>
        <w:t>kombinované výroby elektřiny a tepla</w:t>
      </w:r>
      <w:r w:rsidRPr="00DD47DF">
        <w:rPr>
          <w:rStyle w:val="Znakapoznpodarou"/>
        </w:rPr>
        <w:footnoteReference w:id="23"/>
      </w:r>
      <w:r w:rsidRPr="00DD47DF">
        <w:t xml:space="preserve"> je ekonomický potenciál rozvoje KVET ve středních zdrojích s instalovaným elektrickým výkonem 1 MW na úrovni 1 464 GWh k roku 2020. Po korekci tohoto potenciálu na současné podmínky (zejména vliv ekonomické krize, vliv zateplování, masivnější nárůst OZE než byl původní předpoklad atd.) lze korigovaný ekonomický potenciál KVET</w:t>
      </w:r>
      <w:r w:rsidRPr="00DD47DF">
        <w:rPr>
          <w:rStyle w:val="Znakapoznpodarou"/>
        </w:rPr>
        <w:footnoteReference w:id="24"/>
      </w:r>
      <w:r w:rsidRPr="00DD47DF">
        <w:t xml:space="preserve"> do roku 2020 předpokládat na úrovni 732 GWh (439 GWh průmyslové zdroje KVET, 293 GWh teplárenské zdroje KVET). Při naplnění tohoto potenciálu by dle Teplárenského sdružení ČR došlo k úspoře primární energie ve výši 3,87 PJ/rok. Průměrná životnost opatření je 15 let, tzn. za dobu živostnosti </w:t>
      </w:r>
      <w:r w:rsidR="005A383F" w:rsidRPr="00DD47DF">
        <w:t xml:space="preserve">se jedná o </w:t>
      </w:r>
      <w:r w:rsidRPr="00DD47DF">
        <w:t>úsporu 58 PJ primární energie.</w:t>
      </w:r>
    </w:p>
    <w:p w14:paraId="627D56C2" w14:textId="77777777" w:rsidR="00F260AA" w:rsidRPr="00DD47DF" w:rsidRDefault="00F260AA" w:rsidP="00F260AA">
      <w:pPr>
        <w:pStyle w:val="Titulek"/>
        <w:keepNext/>
        <w:keepLines/>
        <w:rPr>
          <w:rFonts w:cs="Calibri"/>
        </w:rPr>
      </w:pPr>
      <w:r w:rsidRPr="00DD47DF">
        <w:rPr>
          <w:rFonts w:cs="Calibri"/>
        </w:rPr>
        <w:t xml:space="preserve">Obrázek </w:t>
      </w:r>
      <w:r w:rsidR="00A10251" w:rsidRPr="00DD47DF">
        <w:rPr>
          <w:rFonts w:cs="Calibri"/>
        </w:rPr>
        <w:t>8</w:t>
      </w:r>
      <w:r w:rsidRPr="00DD47DF">
        <w:rPr>
          <w:rFonts w:cs="Calibri"/>
        </w:rPr>
        <w:t>: Využití kombinované výroby elektřiny a tepla v jednotlivých zemích EU-28 (v % z hrubé výroby elektřiny), 2011</w:t>
      </w:r>
    </w:p>
    <w:p w14:paraId="7D762B49" w14:textId="77777777" w:rsidR="00F260AA" w:rsidRPr="00DD47DF" w:rsidRDefault="00F260AA" w:rsidP="00F260AA">
      <w:r w:rsidRPr="00DD47DF">
        <w:rPr>
          <w:noProof/>
        </w:rPr>
        <w:drawing>
          <wp:inline distT="0" distB="0" distL="0" distR="0" wp14:anchorId="2CDC6FE8" wp14:editId="1FBDD8E2">
            <wp:extent cx="5655945" cy="3430905"/>
            <wp:effectExtent l="0" t="0" r="20955" b="17145"/>
            <wp:docPr id="39"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967956B" w14:textId="77777777" w:rsidR="00F260AA" w:rsidRPr="00DD47DF" w:rsidRDefault="00F260AA" w:rsidP="00F260AA">
      <w:pPr>
        <w:pStyle w:val="Standardntext"/>
        <w:spacing w:after="240"/>
      </w:pPr>
      <w:r w:rsidRPr="00DD47DF">
        <w:t>Zdroj: Eurostat</w:t>
      </w:r>
    </w:p>
    <w:p w14:paraId="55DBF420" w14:textId="77777777" w:rsidR="00DE5407" w:rsidRPr="00DD47DF" w:rsidRDefault="00DE5407" w:rsidP="00DE5407">
      <w:pPr>
        <w:pStyle w:val="Modrnadpis"/>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4F60540E" w14:textId="77777777" w:rsidTr="007D02F2">
        <w:trPr>
          <w:trHeight w:val="552"/>
        </w:trPr>
        <w:tc>
          <w:tcPr>
            <w:tcW w:w="2500" w:type="pct"/>
            <w:shd w:val="clear" w:color="auto" w:fill="B8CCE4" w:themeFill="accent1" w:themeFillTint="66"/>
            <w:vAlign w:val="center"/>
          </w:tcPr>
          <w:p w14:paraId="723149B0"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67E4CB83" w14:textId="77777777" w:rsidR="00D603D5" w:rsidRPr="00DD47DF" w:rsidRDefault="00D603D5" w:rsidP="007D02F2">
            <w:pPr>
              <w:pStyle w:val="Tabulka"/>
              <w:rPr>
                <w:b/>
              </w:rPr>
            </w:pPr>
            <w:r w:rsidRPr="00DD47DF">
              <w:rPr>
                <w:b/>
              </w:rPr>
              <w:t>Slabé stránky</w:t>
            </w:r>
          </w:p>
        </w:tc>
      </w:tr>
      <w:tr w:rsidR="00D603D5" w:rsidRPr="00DD47DF" w14:paraId="747A940D" w14:textId="77777777" w:rsidTr="007D02F2">
        <w:tc>
          <w:tcPr>
            <w:tcW w:w="2500" w:type="pct"/>
            <w:shd w:val="clear" w:color="auto" w:fill="auto"/>
          </w:tcPr>
          <w:p w14:paraId="3D857367" w14:textId="77777777" w:rsidR="00D603D5" w:rsidRPr="00DD47DF" w:rsidRDefault="00D603D5" w:rsidP="00DA3512">
            <w:pPr>
              <w:pStyle w:val="Tabulka"/>
              <w:numPr>
                <w:ilvl w:val="0"/>
                <w:numId w:val="93"/>
              </w:numPr>
              <w:ind w:left="459"/>
              <w:jc w:val="left"/>
            </w:pPr>
            <w:r w:rsidRPr="00DD47DF">
              <w:rPr>
                <w:rFonts w:cs="Calibri"/>
                <w:bCs/>
              </w:rPr>
              <w:t>Aktuální plná soběstačnost ve výrobě elektřiny a tepla;</w:t>
            </w:r>
          </w:p>
          <w:p w14:paraId="43A919D9" w14:textId="77777777" w:rsidR="00D603D5" w:rsidRPr="00DD47DF" w:rsidRDefault="00D603D5" w:rsidP="00DA3512">
            <w:pPr>
              <w:pStyle w:val="Tabulka"/>
              <w:numPr>
                <w:ilvl w:val="0"/>
                <w:numId w:val="93"/>
              </w:numPr>
              <w:ind w:left="459"/>
              <w:jc w:val="left"/>
              <w:rPr>
                <w:rFonts w:cs="Calibri"/>
                <w:bCs/>
              </w:rPr>
            </w:pPr>
            <w:r w:rsidRPr="00DD47DF">
              <w:rPr>
                <w:rFonts w:cs="Calibri"/>
                <w:bCs/>
              </w:rPr>
              <w:t>Prorůstový charakter investic do energetické infrastruktury z pohledu ekonomiky jako celku;</w:t>
            </w:r>
          </w:p>
          <w:p w14:paraId="49517518" w14:textId="77777777" w:rsidR="00436095" w:rsidRPr="00DD47DF" w:rsidRDefault="00436095" w:rsidP="00DA3512">
            <w:pPr>
              <w:pStyle w:val="Tabulka"/>
              <w:numPr>
                <w:ilvl w:val="0"/>
                <w:numId w:val="93"/>
              </w:numPr>
              <w:ind w:left="459"/>
              <w:jc w:val="left"/>
              <w:rPr>
                <w:rFonts w:cs="Calibri"/>
                <w:bCs/>
              </w:rPr>
            </w:pPr>
            <w:r w:rsidRPr="00DD47DF">
              <w:rPr>
                <w:rFonts w:cs="Calibri"/>
                <w:bCs/>
              </w:rPr>
              <w:lastRenderedPageBreak/>
              <w:t>Silná orientace na dosažení vnitrostátního cíle pro úspory v konečné spotřebě energie;</w:t>
            </w:r>
          </w:p>
          <w:p w14:paraId="5505FCB3" w14:textId="77777777" w:rsidR="00D603D5" w:rsidRPr="00DD47DF" w:rsidRDefault="00D603D5" w:rsidP="00DA3512">
            <w:pPr>
              <w:pStyle w:val="Tabulka"/>
              <w:numPr>
                <w:ilvl w:val="0"/>
                <w:numId w:val="93"/>
              </w:numPr>
              <w:ind w:left="459"/>
              <w:jc w:val="left"/>
            </w:pPr>
            <w:r w:rsidRPr="00DD47DF">
              <w:rPr>
                <w:rFonts w:cs="Calibri"/>
                <w:bCs/>
              </w:rPr>
              <w:t>Pozitivní vliv úspor energie na kvalitu ovzduší i na snížení produkce CO</w:t>
            </w:r>
            <w:r w:rsidRPr="00DD47DF">
              <w:rPr>
                <w:rFonts w:cs="Calibri"/>
                <w:bCs/>
                <w:vertAlign w:val="subscript"/>
              </w:rPr>
              <w:t>2</w:t>
            </w:r>
            <w:r w:rsidRPr="00DD47DF">
              <w:rPr>
                <w:rFonts w:cs="Calibri"/>
                <w:bCs/>
              </w:rPr>
              <w:t>.</w:t>
            </w:r>
          </w:p>
        </w:tc>
        <w:tc>
          <w:tcPr>
            <w:tcW w:w="2500" w:type="pct"/>
            <w:shd w:val="clear" w:color="auto" w:fill="auto"/>
          </w:tcPr>
          <w:p w14:paraId="61BC36D7" w14:textId="77777777" w:rsidR="00D603D5" w:rsidRPr="00DD47DF" w:rsidRDefault="00D603D5" w:rsidP="00DA3512">
            <w:pPr>
              <w:pStyle w:val="Tabulka"/>
              <w:numPr>
                <w:ilvl w:val="0"/>
                <w:numId w:val="93"/>
              </w:numPr>
              <w:ind w:left="459"/>
              <w:jc w:val="left"/>
            </w:pPr>
            <w:r w:rsidRPr="00DD47DF">
              <w:rPr>
                <w:rFonts w:cs="Calibri"/>
                <w:bCs/>
              </w:rPr>
              <w:lastRenderedPageBreak/>
              <w:t>Přetrvávající vysoká energetická náročnost hospodářství</w:t>
            </w:r>
            <w:r w:rsidRPr="00DD47DF">
              <w:t>;</w:t>
            </w:r>
          </w:p>
          <w:p w14:paraId="0C90D1D1" w14:textId="77777777" w:rsidR="00D603D5" w:rsidRPr="00DD47DF" w:rsidRDefault="00D603D5" w:rsidP="00DA3512">
            <w:pPr>
              <w:pStyle w:val="Tabulka"/>
              <w:numPr>
                <w:ilvl w:val="0"/>
                <w:numId w:val="93"/>
              </w:numPr>
              <w:ind w:left="459"/>
              <w:jc w:val="left"/>
            </w:pPr>
            <w:r w:rsidRPr="00DD47DF">
              <w:rPr>
                <w:rFonts w:cs="Calibri"/>
                <w:bCs/>
              </w:rPr>
              <w:t>Nízká konkurenceschopnost OZE (daná vysokými náklady na zřízení zdrojů OZE) oproti konvenčním zdrojům;</w:t>
            </w:r>
          </w:p>
          <w:p w14:paraId="2ACDEE22" w14:textId="77777777" w:rsidR="00D603D5" w:rsidRPr="00DD47DF" w:rsidRDefault="00D603D5" w:rsidP="00DA3512">
            <w:pPr>
              <w:pStyle w:val="Tabulka"/>
              <w:numPr>
                <w:ilvl w:val="0"/>
                <w:numId w:val="93"/>
              </w:numPr>
              <w:ind w:left="459"/>
              <w:jc w:val="left"/>
            </w:pPr>
            <w:r w:rsidRPr="00DD47DF">
              <w:rPr>
                <w:rFonts w:cs="Calibri"/>
                <w:bCs/>
              </w:rPr>
              <w:lastRenderedPageBreak/>
              <w:t>Nedostatečná adaptace přenosových a distribučních sítí na změnu zdrojové základny v energetice a nárůst a zm</w:t>
            </w:r>
            <w:r w:rsidR="009E2760" w:rsidRPr="00DD47DF">
              <w:rPr>
                <w:rFonts w:cs="Calibri"/>
                <w:bCs/>
              </w:rPr>
              <w:t xml:space="preserve">ěna charakteru odběrných míst, důsledkem čehož je </w:t>
            </w:r>
            <w:r w:rsidRPr="00DD47DF">
              <w:rPr>
                <w:rFonts w:cs="Calibri"/>
                <w:bCs/>
              </w:rPr>
              <w:t>zvýšení ztrátovosti a snížení bezpečnosti dodávek;</w:t>
            </w:r>
          </w:p>
          <w:p w14:paraId="39355276" w14:textId="77777777" w:rsidR="00D603D5" w:rsidRPr="00DD47DF" w:rsidRDefault="00D603D5" w:rsidP="00DA3512">
            <w:pPr>
              <w:pStyle w:val="Tabulka"/>
              <w:numPr>
                <w:ilvl w:val="0"/>
                <w:numId w:val="93"/>
              </w:numPr>
              <w:ind w:left="459"/>
              <w:jc w:val="left"/>
            </w:pPr>
            <w:r w:rsidRPr="00DD47DF">
              <w:rPr>
                <w:rFonts w:cs="Calibri"/>
                <w:bCs/>
              </w:rPr>
              <w:t>Neefektivní využívání zdrojů a nevyhovující technologická řešení výroby;</w:t>
            </w:r>
          </w:p>
          <w:p w14:paraId="4DA956FA" w14:textId="77777777" w:rsidR="00D603D5" w:rsidRPr="00DD47DF" w:rsidRDefault="00D603D5" w:rsidP="00DA3512">
            <w:pPr>
              <w:pStyle w:val="Tabulka"/>
              <w:numPr>
                <w:ilvl w:val="0"/>
                <w:numId w:val="93"/>
              </w:numPr>
              <w:ind w:left="459"/>
              <w:jc w:val="left"/>
            </w:pPr>
            <w:r w:rsidRPr="00DD47DF">
              <w:rPr>
                <w:rFonts w:cs="Calibri"/>
                <w:bCs/>
              </w:rPr>
              <w:t>Zastaralá a nedostatečně efektivní tepelně rozvodná zařízení (tepelné ztráty).</w:t>
            </w:r>
          </w:p>
        </w:tc>
      </w:tr>
      <w:tr w:rsidR="00D603D5" w:rsidRPr="00DD47DF" w14:paraId="4ACD5B3E" w14:textId="77777777" w:rsidTr="007D02F2">
        <w:trPr>
          <w:trHeight w:val="553"/>
        </w:trPr>
        <w:tc>
          <w:tcPr>
            <w:tcW w:w="2500" w:type="pct"/>
            <w:shd w:val="clear" w:color="auto" w:fill="B8CCE4" w:themeFill="accent1" w:themeFillTint="66"/>
            <w:vAlign w:val="center"/>
          </w:tcPr>
          <w:p w14:paraId="1D8EB1C2" w14:textId="77777777" w:rsidR="00D603D5" w:rsidRPr="00DD47DF" w:rsidRDefault="00D603D5" w:rsidP="007D02F2">
            <w:pPr>
              <w:pStyle w:val="Tabulka"/>
              <w:rPr>
                <w:b/>
                <w:sz w:val="24"/>
              </w:rPr>
            </w:pPr>
            <w:r w:rsidRPr="00DD47DF">
              <w:rPr>
                <w:b/>
              </w:rPr>
              <w:lastRenderedPageBreak/>
              <w:t>Příležitosti</w:t>
            </w:r>
          </w:p>
        </w:tc>
        <w:tc>
          <w:tcPr>
            <w:tcW w:w="2500" w:type="pct"/>
            <w:shd w:val="clear" w:color="auto" w:fill="B8CCE4" w:themeFill="accent1" w:themeFillTint="66"/>
            <w:vAlign w:val="center"/>
          </w:tcPr>
          <w:p w14:paraId="06461CD9" w14:textId="77777777" w:rsidR="00D603D5" w:rsidRPr="00DD47DF" w:rsidRDefault="00D603D5" w:rsidP="007D02F2">
            <w:pPr>
              <w:pStyle w:val="Tabulka"/>
              <w:rPr>
                <w:b/>
                <w:sz w:val="24"/>
              </w:rPr>
            </w:pPr>
            <w:r w:rsidRPr="00DD47DF">
              <w:rPr>
                <w:b/>
              </w:rPr>
              <w:t>Hrozby</w:t>
            </w:r>
          </w:p>
        </w:tc>
      </w:tr>
      <w:tr w:rsidR="00D603D5" w:rsidRPr="00DD47DF" w14:paraId="2DEE0E6E" w14:textId="77777777" w:rsidTr="007D02F2">
        <w:tc>
          <w:tcPr>
            <w:tcW w:w="2500" w:type="pct"/>
            <w:shd w:val="clear" w:color="auto" w:fill="auto"/>
          </w:tcPr>
          <w:p w14:paraId="43322C05"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OZE, včetně využití tepla / vzdálené kogenerace na stávajících bioplynových stanicích;</w:t>
            </w:r>
          </w:p>
          <w:p w14:paraId="76CF9521" w14:textId="77777777" w:rsidR="001D6C62" w:rsidRPr="00DD47DF" w:rsidRDefault="001D6C62" w:rsidP="00DA3512">
            <w:pPr>
              <w:pStyle w:val="Tabulka"/>
              <w:numPr>
                <w:ilvl w:val="0"/>
                <w:numId w:val="93"/>
              </w:numPr>
              <w:ind w:left="426"/>
              <w:jc w:val="left"/>
              <w:rPr>
                <w:sz w:val="24"/>
              </w:rPr>
            </w:pPr>
            <w:r w:rsidRPr="00DD47DF">
              <w:t>Zajistit rychlejší tempo ve snižování emisí skleníkových plynů a jiného znečištění podporou nových technologií;</w:t>
            </w:r>
          </w:p>
          <w:p w14:paraId="1499009D" w14:textId="77777777" w:rsidR="00D603D5" w:rsidRPr="00DD47DF" w:rsidRDefault="00D626B0" w:rsidP="00DA3512">
            <w:pPr>
              <w:pStyle w:val="Tabulka"/>
              <w:numPr>
                <w:ilvl w:val="0"/>
                <w:numId w:val="93"/>
              </w:numPr>
              <w:ind w:left="426"/>
              <w:jc w:val="left"/>
              <w:rPr>
                <w:sz w:val="24"/>
              </w:rPr>
            </w:pPr>
            <w:r w:rsidRPr="00DD47DF">
              <w:t>Využít</w:t>
            </w:r>
            <w:r w:rsidR="00D603D5" w:rsidRPr="00DD47DF">
              <w:t xml:space="preserve"> inteligentních sítí jako regulačního prvku pro distribuci a přenos elektrické energie;</w:t>
            </w:r>
          </w:p>
          <w:p w14:paraId="4CB9309F" w14:textId="77777777" w:rsidR="008A0BAB" w:rsidRPr="00DD47DF" w:rsidRDefault="008A0BAB" w:rsidP="00DA3512">
            <w:pPr>
              <w:pStyle w:val="Tabulka"/>
              <w:numPr>
                <w:ilvl w:val="0"/>
                <w:numId w:val="93"/>
              </w:numPr>
              <w:ind w:left="426"/>
              <w:jc w:val="left"/>
              <w:rPr>
                <w:sz w:val="24"/>
              </w:rPr>
            </w:pPr>
            <w:r w:rsidRPr="00DD47DF">
              <w:t>Přispět k dotvoření plně funkčního a propojeného vnitřního trhu s energií;</w:t>
            </w:r>
          </w:p>
          <w:p w14:paraId="778B1654" w14:textId="77777777" w:rsidR="00D603D5" w:rsidRPr="00DD47DF" w:rsidRDefault="00C94BAF" w:rsidP="00DA3512">
            <w:pPr>
              <w:pStyle w:val="Tabulka"/>
              <w:numPr>
                <w:ilvl w:val="0"/>
                <w:numId w:val="93"/>
              </w:numPr>
              <w:ind w:left="426"/>
              <w:jc w:val="left"/>
              <w:rPr>
                <w:sz w:val="24"/>
              </w:rPr>
            </w:pPr>
            <w:r w:rsidRPr="00DD47DF">
              <w:rPr>
                <w:rFonts w:cs="Calibri"/>
                <w:bCs/>
              </w:rPr>
              <w:t>Zvýšit n</w:t>
            </w:r>
            <w:r w:rsidR="00D603D5" w:rsidRPr="00DD47DF">
              <w:rPr>
                <w:rFonts w:cs="Calibri"/>
                <w:bCs/>
              </w:rPr>
              <w:t>ízký zájem firem v ČR realizovat riskantní a finančně náročné projekty v podobě zavádění nízkouhlíkových technologií v oblasti nakládání energií;</w:t>
            </w:r>
          </w:p>
          <w:p w14:paraId="2DE49B2A"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druhotných surovin </w:t>
            </w:r>
            <w:r w:rsidR="00D603D5" w:rsidRPr="00DD47DF">
              <w:t>vzhledem k nedostatečné surovinové základně ČR</w:t>
            </w:r>
            <w:r w:rsidR="00D603D5" w:rsidRPr="00DD47DF">
              <w:rPr>
                <w:rFonts w:cs="Calibri"/>
                <w:bCs/>
              </w:rPr>
              <w:t>;</w:t>
            </w:r>
          </w:p>
          <w:p w14:paraId="36215D78" w14:textId="77777777" w:rsidR="00D603D5" w:rsidRPr="00DD47DF" w:rsidRDefault="00D626B0" w:rsidP="00DA3512">
            <w:pPr>
              <w:pStyle w:val="Tabulka"/>
              <w:numPr>
                <w:ilvl w:val="0"/>
                <w:numId w:val="93"/>
              </w:numPr>
              <w:ind w:left="426"/>
              <w:jc w:val="left"/>
              <w:rPr>
                <w:sz w:val="24"/>
              </w:rPr>
            </w:pPr>
            <w:r w:rsidRPr="00DD47DF">
              <w:rPr>
                <w:rFonts w:cs="Calibri"/>
                <w:bCs/>
              </w:rPr>
              <w:t>Využít</w:t>
            </w:r>
            <w:r w:rsidR="00D603D5" w:rsidRPr="00DD47DF">
              <w:rPr>
                <w:rFonts w:cs="Calibri"/>
                <w:bCs/>
              </w:rPr>
              <w:t xml:space="preserve"> potenciál kombinované výroby elektřiny a tepla.</w:t>
            </w:r>
          </w:p>
        </w:tc>
        <w:tc>
          <w:tcPr>
            <w:tcW w:w="2500" w:type="pct"/>
            <w:shd w:val="clear" w:color="auto" w:fill="auto"/>
          </w:tcPr>
          <w:p w14:paraId="390B9BD0" w14:textId="77777777" w:rsidR="00D603D5" w:rsidRPr="00DD47DF" w:rsidRDefault="00D603D5" w:rsidP="00DA3512">
            <w:pPr>
              <w:pStyle w:val="Tabulka"/>
              <w:numPr>
                <w:ilvl w:val="0"/>
                <w:numId w:val="93"/>
              </w:numPr>
              <w:ind w:left="459"/>
              <w:jc w:val="left"/>
              <w:rPr>
                <w:sz w:val="24"/>
              </w:rPr>
            </w:pPr>
            <w:r w:rsidRPr="00DD47DF">
              <w:rPr>
                <w:rFonts w:cs="Calibri"/>
                <w:bCs/>
              </w:rPr>
              <w:t>Cena elektřiny zatížená podporou OZE a nároky na obnovu a rozvoj zastaralých sítí jako kritický faktor konkurenceschopnosti firem;</w:t>
            </w:r>
          </w:p>
          <w:p w14:paraId="0D653E87" w14:textId="77777777" w:rsidR="00D603D5" w:rsidRPr="00DD47DF" w:rsidRDefault="00D603D5" w:rsidP="00DA3512">
            <w:pPr>
              <w:pStyle w:val="Tabulka"/>
              <w:numPr>
                <w:ilvl w:val="0"/>
                <w:numId w:val="93"/>
              </w:numPr>
              <w:ind w:left="459"/>
              <w:jc w:val="left"/>
              <w:rPr>
                <w:sz w:val="24"/>
              </w:rPr>
            </w:pPr>
            <w:r w:rsidRPr="00DD47DF">
              <w:rPr>
                <w:rFonts w:cs="Calibri"/>
                <w:bCs/>
              </w:rPr>
              <w:t>Vnitřní dluh post-privatizačních podniků v podobě zastaralé výrobní infrastruktury, energeticky náročných budov snižuje prostředky, které mohou věnovat na VaVaI aktivity;</w:t>
            </w:r>
          </w:p>
          <w:p w14:paraId="001C6ADB" w14:textId="77777777" w:rsidR="00D603D5" w:rsidRPr="00DD47DF" w:rsidRDefault="00D603D5" w:rsidP="00DA3512">
            <w:pPr>
              <w:pStyle w:val="Tabulka"/>
              <w:numPr>
                <w:ilvl w:val="0"/>
                <w:numId w:val="93"/>
              </w:numPr>
              <w:ind w:left="459"/>
              <w:jc w:val="left"/>
              <w:rPr>
                <w:sz w:val="24"/>
              </w:rPr>
            </w:pPr>
            <w:r w:rsidRPr="00DD47DF">
              <w:t>Energetická soběstačnost je do značné míry závislá na využívání energie z černého a hnědého uhlí, jehož zásoby klesají; proto lze očekávat nárůst dovozní energetické závislosti;</w:t>
            </w:r>
          </w:p>
          <w:p w14:paraId="5D3C14AB" w14:textId="77777777" w:rsidR="00D603D5" w:rsidRPr="00DD47DF" w:rsidRDefault="00D603D5" w:rsidP="00DA3512">
            <w:pPr>
              <w:pStyle w:val="Tabulka"/>
              <w:numPr>
                <w:ilvl w:val="0"/>
                <w:numId w:val="93"/>
              </w:numPr>
              <w:ind w:left="459"/>
              <w:jc w:val="left"/>
              <w:rPr>
                <w:sz w:val="24"/>
              </w:rPr>
            </w:pPr>
            <w:r w:rsidRPr="00DD47DF">
              <w:rPr>
                <w:rFonts w:cs="Calibri"/>
                <w:bCs/>
              </w:rPr>
              <w:t>Neplánované přetoky elektrické energie z okolních států;</w:t>
            </w:r>
          </w:p>
          <w:p w14:paraId="64F1DE67" w14:textId="77777777" w:rsidR="00D603D5" w:rsidRPr="00DD47DF" w:rsidRDefault="00D603D5" w:rsidP="00DA3512">
            <w:pPr>
              <w:pStyle w:val="Tabulka"/>
              <w:numPr>
                <w:ilvl w:val="0"/>
                <w:numId w:val="93"/>
              </w:numPr>
              <w:ind w:left="459"/>
              <w:jc w:val="left"/>
              <w:rPr>
                <w:sz w:val="24"/>
              </w:rPr>
            </w:pPr>
            <w:r w:rsidRPr="00DD47DF">
              <w:rPr>
                <w:rFonts w:cs="Calibri"/>
                <w:bCs/>
              </w:rPr>
              <w:t>Technické zaostávání tepelně rozvodných zařízení (nedostatečné tepelně izolačními parametry, naddimenzování soustav a teploty provozního média).</w:t>
            </w:r>
          </w:p>
        </w:tc>
      </w:tr>
    </w:tbl>
    <w:p w14:paraId="20AC52DA" w14:textId="77777777" w:rsidR="008E4EE8" w:rsidRPr="00DD47DF" w:rsidRDefault="00782BE3" w:rsidP="008E4EE8">
      <w:pPr>
        <w:pStyle w:val="Standardntext"/>
        <w:spacing w:before="240"/>
      </w:pPr>
      <w:r w:rsidRPr="00DD47DF">
        <w:t>Pokud jde o problémovou oblast „Infrastruktura“, resp. hlavní pilíř „Energetická infrastruktura“, Dohoda o partnerství identifikuje tyto potřeby rozvoje: zvyšování podílu OZE (zejména biomasa a bioplyn) na spotřebě, posílení a modernizace přenosové soustavy a distribučních soustav s důrazem na zavádění prvků inteligentních sítí, snižování energetické a surovinové náročnosti výrobních a technologických procesů v průmyslu, zavádění eko-inovací do výrobních procesů a produktů, výstavba a modernizace systémů zásobování tepelnou energií a zdrojů kombinované výroby elektřiny a tepla. Na všechny tyto rozvojové potřeby reagují jednotlivé specifické cíle prioritní osy 3 Operačního programu.</w:t>
      </w:r>
    </w:p>
    <w:p w14:paraId="0DF33437" w14:textId="77777777" w:rsidR="00706A57" w:rsidRPr="00DD47DF" w:rsidRDefault="008E4EE8" w:rsidP="008E4EE8">
      <w:pPr>
        <w:pStyle w:val="Standardntext"/>
      </w:pPr>
      <w:r w:rsidRPr="00DD47DF">
        <w:t xml:space="preserve">S tím souvisí i problémová oblast významná z hlediska OP PIK, kterou je „Životní prostředí“. Mezi potřeby rozvoje v oblasti životního prostředí zahrnuje Dohoda o partnerství podporu opatření vedoucích k energetickým úsporám a využití OZE v podnikatelských budovách. Snížení energetické náročnosti české ekonomiky je přitom klíčovou oblastí, na níž se zaměřuje prioritní osa 3 Operačního programu. Do problémové oblasti „Životní prostředí“ dále spadá </w:t>
      </w:r>
      <w:r w:rsidRPr="00DD47DF">
        <w:lastRenderedPageBreak/>
        <w:t>také podpora regenerace brownfieldů, což je zároveň jedna z priorit, na kterou se soustředí prioritní osa 2 OP PIK.</w:t>
      </w:r>
    </w:p>
    <w:p w14:paraId="4626CC3D" w14:textId="77777777" w:rsidR="00570220" w:rsidRPr="00DD47DF" w:rsidRDefault="00570220" w:rsidP="00570220">
      <w:pPr>
        <w:pStyle w:val="Modrnadpis"/>
      </w:pPr>
      <w:r w:rsidRPr="00DD47DF">
        <w:t>ICT infrastruktura</w:t>
      </w:r>
    </w:p>
    <w:p w14:paraId="59762B15" w14:textId="77777777" w:rsidR="00570220" w:rsidRPr="00DD47DF" w:rsidRDefault="00570220" w:rsidP="00570220">
      <w:pPr>
        <w:pStyle w:val="Standardntext"/>
      </w:pPr>
      <w:r w:rsidRPr="00DD47DF">
        <w:t>Sofistikované produkty v oblasti</w:t>
      </w:r>
      <w:r w:rsidR="00782BE3" w:rsidRPr="00DD47DF">
        <w:t xml:space="preserve"> ICT</w:t>
      </w:r>
      <w:r w:rsidRPr="00DD47DF">
        <w:t xml:space="preserve"> a související služby, jsou považovány za prvky základního významu, bez nichž nelze efektivně realizovat žádné podnikatelské záměry ani zvyšovat kvalitu života společnosti. Jak bylo konstatováno ministry pro informační společnost členských států EU v tzv. Granadské deklaraci z 19. dubna 2010, „</w:t>
      </w:r>
      <w:r w:rsidRPr="00DD47DF">
        <w:rPr>
          <w:i/>
        </w:rPr>
        <w:t>ICT sektor je významným činitelem růstu a pracovních míst v hospodářství EU. ICT přispívá 50 procenty růstu produktivity a představuje klíčový zdroj inovací a nových podnikatelských příležitostí.</w:t>
      </w:r>
      <w:r w:rsidRPr="00DD47DF">
        <w:t>“ Zároveň bez dostatečně rozvinuté a dostupné technologické základny, tj. zejména bez vybudované adekvátní infrastruktury umožňující vysokorychlostní přístup k internetu, by efekty z využívání ICT ve výrobních i nevýrobních procesech byly na podstatně nižší úrovni.</w:t>
      </w:r>
      <w:r w:rsidR="00782BE3" w:rsidRPr="00DD47DF">
        <w:t>Dostupnost vysokorychlostního přístupu k internetu má strategický význam pro růst a inovace ČR ve všech odvětvích hospodářství a pro sociální a územní soudržnost. Rovněž umožňuje rozvoj nových druhů podnikání a umožňuje produkovat nové digitální služby. Základní infrastruktura pro informační a komunikační technologie nemá v ČR dostatečné geografické pokrytí. V současné době převládá v ČR vysokorychlostní připojení na bázi ADSL, bezdrátové připojení pomocí technologie WiFi a CATV. Pokud jde o přístupové sítě nové generace (NGA) pro vysokorychlostní přístup k internetu ČR zaostává za vyspělými zeměmi jak v míře pokrytí, tak v parametrech rychlosti a kvalitě poskytovaných služeb. To ilustruje i následující graf, který zobrazuje procentuální míru pokrytí vysokorychlostním přístupem k internetu (tj. nad 30 Mbit/s) v domácnostech jednotlivých členských států. V ČR disponuje vysokorychlostním přístupem k internetu 49 % domácností, zatímco v EU to je průměrně 53,8 % domácností.</w:t>
      </w:r>
    </w:p>
    <w:p w14:paraId="255FA630" w14:textId="77777777" w:rsidR="00570220" w:rsidRPr="00DD47DF" w:rsidRDefault="00570220" w:rsidP="00570220">
      <w:pPr>
        <w:pStyle w:val="Titulek"/>
        <w:keepNext/>
      </w:pPr>
      <w:r w:rsidRPr="00DD47DF">
        <w:lastRenderedPageBreak/>
        <w:t>Obrázek</w:t>
      </w:r>
      <w:r w:rsidR="00A10251" w:rsidRPr="00DD47DF">
        <w:t xml:space="preserve"> 9</w:t>
      </w:r>
      <w:r w:rsidRPr="00DD47DF">
        <w:t>: Míra pokrytí vysokorychlostním přístupem k internetu (v % domácností), 2012</w:t>
      </w:r>
    </w:p>
    <w:p w14:paraId="617745F1" w14:textId="77777777" w:rsidR="00570220" w:rsidRPr="00DD47DF" w:rsidRDefault="00570220" w:rsidP="00570220">
      <w:pPr>
        <w:pStyle w:val="Standardntext"/>
      </w:pPr>
      <w:r w:rsidRPr="00DD47DF">
        <w:rPr>
          <w:noProof/>
        </w:rPr>
        <w:drawing>
          <wp:inline distT="0" distB="0" distL="0" distR="0" wp14:anchorId="51361DC5" wp14:editId="2420F196">
            <wp:extent cx="5852160" cy="3894455"/>
            <wp:effectExtent l="0" t="0" r="0" b="0"/>
            <wp:docPr id="3"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3894455"/>
                    </a:xfrm>
                    <a:prstGeom prst="rect">
                      <a:avLst/>
                    </a:prstGeom>
                    <a:noFill/>
                    <a:ln>
                      <a:noFill/>
                    </a:ln>
                  </pic:spPr>
                </pic:pic>
              </a:graphicData>
            </a:graphic>
          </wp:inline>
        </w:drawing>
      </w:r>
    </w:p>
    <w:p w14:paraId="37C32BD5" w14:textId="77777777" w:rsidR="00570220" w:rsidRPr="00DD47DF" w:rsidRDefault="00570220" w:rsidP="00570220">
      <w:pPr>
        <w:pStyle w:val="Standardntext"/>
        <w:spacing w:after="240"/>
      </w:pPr>
      <w:r w:rsidRPr="00DD47DF">
        <w:t>Zdroj: Digital Agenda Scoreboard 2013 (SWD(2013) 217 final), 12. 6. 2013</w:t>
      </w:r>
    </w:p>
    <w:p w14:paraId="557558D4" w14:textId="77777777" w:rsidR="00570220" w:rsidRPr="00DD47DF" w:rsidRDefault="00782BE3" w:rsidP="00570220">
      <w:pPr>
        <w:pStyle w:val="Standardntext"/>
      </w:pPr>
      <w:r w:rsidRPr="00DD47DF">
        <w:t>Struktura hospodářství s  vysokým podílem regionálně sídlících MSP vyžaduje celoplošnou, moderní a kvalitativně vysoce hodnotnou nabídku infrastruktury ICT za konkurenceschopné ceny. Investice do komunikační infrastruktury provádějí na liberalizovaných trzích soukromé subjekty podle hospodářských kritérií, a tudíž především v regionech s vysokou perspektivou poptávky. Návratnost investic do realizace vysokorychlostních přístupových sítí v menších obcích nebo v odlehlých lokalitách je za horizontem reálných možností podnikatelských subjektů. To potvrzuje i graf výše, z něho je patrné, že pokrytí vysokorychlostním přístupem k internetu je ve venkovských oblastech výrazně nižší, než kolik činí míra pokrytí za celou ČR. Toto selhání tržního mechanismu dále vede k rozšíření tzv. „digitální propasti“ mezi venkovskými a městskými oblastmi. Méně obydlené oblasti v ČR by tak mohly zůstat v důsledku kapacitně nedostatečného připojení k internetu – dokonce i při stoupající poptávce – dlouhodobě vyloučeny z hospodářského rozvoje. Jako následek trvající stagnace potom hrozí v postižených oblastech růst nezaměstnanosti a úbytek obyvatelstva. Ke strukturálnímu překonání „digitální propasti“ z hlediska dostupnosti vysokorychlostního přístupu k internetu je nutný značný objem finančních prostředků, které nejsou, co se týče trhu, na základě geografické izolace a nepatrné hustoty obyvatelstva venkovských a odlehlých oblastí, v tomto rozsahu k dispozici.</w:t>
      </w:r>
      <w:r w:rsidR="00570220" w:rsidRPr="00DD47DF">
        <w:t xml:space="preserve"> </w:t>
      </w:r>
    </w:p>
    <w:p w14:paraId="11DD9DAD" w14:textId="77777777" w:rsidR="00570220" w:rsidRPr="00DD47DF" w:rsidRDefault="00570220" w:rsidP="00570220">
      <w:pPr>
        <w:pStyle w:val="Standardntext"/>
      </w:pPr>
      <w:r w:rsidRPr="00DD47DF">
        <w:lastRenderedPageBreak/>
        <w:t>Pokud jde o ICT sektor jako takový</w:t>
      </w:r>
      <w:r w:rsidRPr="00DD47DF">
        <w:rPr>
          <w:rStyle w:val="Znakapoznpodarou"/>
        </w:rPr>
        <w:footnoteReference w:id="25"/>
      </w:r>
      <w:r w:rsidRPr="00DD47DF">
        <w:t>, v Č</w:t>
      </w:r>
      <w:r w:rsidR="00782BE3" w:rsidRPr="00DD47DF">
        <w:t>R</w:t>
      </w:r>
      <w:r w:rsidRPr="00DD47DF">
        <w:t xml:space="preserve"> došlo v posledním desetiletí k jeho značnému rozvoji, a to jak ve výrobní části, tak i části služeb. V oblasti ICT sektoru je obecně problém, že řada českých firem jsou pouze dodavateli firem zahraničních. České firmy ve velké míře zůstávají na úrovni tzv. rodinných firem a těm, které chtějí růst, zase chybí zdroje na expanzi na nové trhy. Lze identifikovat nedostatečnou institucionální podporu ICT sektoru, a to zejména proto, že neexistuje jednotná koncepce pro podporu této oblasti. I přes nadprůměrnou produktivitu i dobrou exportní výkonnost těchto podniků, zůstává jejich znalostní intenzita na nízké úrovni se slabým důrazem na specializovanou znalostně náročnou produkci s vysokou přidanou hodnotou. Vztáhneme-li přidanou hodnotu sektoru IT služeb k HDP, vykazuje ČR za rok 2012 podle dat ČSÚ hodnotu 2,09 % (např. ve Švédsku činí tento poměr 2,5 %, ve Velké Británii 2,9 % a v Irsku, které je v této oblasti na špičce EU, dokonce 5,1 %). Podíváme-li se na tuto problematiku z jiného úhlu pohledu, totiž z hlediska zaměstnanosti, vykazuje ČR v mezinárodním srovnání lehce podprůměrné hodnoty. Jak je patrné z grafu níže, v ČR bylo v roce 2011 zaměstnáno v sektoru IT služeb 2,27 % osob z celkového počtu pracovníků zaměstnaných v podnikatelském sektoru, zatímco v EU to bylo v průměru 2,34 %.</w:t>
      </w:r>
    </w:p>
    <w:p w14:paraId="7DF6B575" w14:textId="77777777" w:rsidR="00570220" w:rsidRPr="00DD47DF" w:rsidRDefault="00570220" w:rsidP="00570220">
      <w:pPr>
        <w:pStyle w:val="Titulek"/>
        <w:keepNext/>
      </w:pPr>
      <w:r w:rsidRPr="00DD47DF">
        <w:t xml:space="preserve">Obrázek </w:t>
      </w:r>
      <w:r w:rsidR="00A10251" w:rsidRPr="00DD47DF">
        <w:t>10</w:t>
      </w:r>
      <w:r w:rsidRPr="00DD47DF">
        <w:t>: Zaměstnanost v sektoru IT služeb, 2011</w:t>
      </w:r>
    </w:p>
    <w:p w14:paraId="7C9C51DF" w14:textId="77777777" w:rsidR="00570220" w:rsidRPr="00DD47DF" w:rsidRDefault="00570220" w:rsidP="00570220">
      <w:pPr>
        <w:pStyle w:val="Standardntext"/>
      </w:pPr>
      <w:r w:rsidRPr="00DD47DF">
        <w:rPr>
          <w:noProof/>
        </w:rPr>
        <w:drawing>
          <wp:inline distT="0" distB="0" distL="0" distR="0" wp14:anchorId="1EE0CF93" wp14:editId="31880A34">
            <wp:extent cx="5841365" cy="4550410"/>
            <wp:effectExtent l="19050" t="19050" r="26035" b="21590"/>
            <wp:docPr id="3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1365" cy="4550410"/>
                    </a:xfrm>
                    <a:prstGeom prst="rect">
                      <a:avLst/>
                    </a:prstGeom>
                    <a:noFill/>
                    <a:ln w="9525" cmpd="sng">
                      <a:solidFill>
                        <a:srgbClr val="000000"/>
                      </a:solidFill>
                      <a:miter lim="800000"/>
                      <a:headEnd/>
                      <a:tailEnd/>
                    </a:ln>
                    <a:effectLst/>
                  </pic:spPr>
                </pic:pic>
              </a:graphicData>
            </a:graphic>
          </wp:inline>
        </w:drawing>
      </w:r>
    </w:p>
    <w:p w14:paraId="13FDC855" w14:textId="77777777" w:rsidR="00570220" w:rsidRPr="00DD47DF" w:rsidRDefault="00570220" w:rsidP="00570220">
      <w:pPr>
        <w:pStyle w:val="Standardntext"/>
        <w:spacing w:after="240"/>
      </w:pPr>
      <w:r w:rsidRPr="00DD47DF">
        <w:lastRenderedPageBreak/>
        <w:t>Zdroj: Informační ekonomika v číslech, ČSÚ</w:t>
      </w:r>
    </w:p>
    <w:p w14:paraId="09FB2326" w14:textId="77777777" w:rsidR="00570220" w:rsidRPr="00DD47DF" w:rsidRDefault="00570220" w:rsidP="00570220">
      <w:pPr>
        <w:pStyle w:val="Standardntext"/>
      </w:pPr>
      <w:r w:rsidRPr="00DD47DF">
        <w:t>V případě aplikace sofistikovaných IT řešení v podnicích má mnoho českých podniků značné rezervy. Níže je uvedeno několik ilustrativních příkladů, které ukazují nízkou míru elektronizace vnitropodnikových procesů a využívání dalších IT řešení.</w:t>
      </w:r>
      <w:r w:rsidRPr="00DD47DF">
        <w:rPr>
          <w:vertAlign w:val="superscript"/>
        </w:rPr>
        <w:footnoteReference w:id="26"/>
      </w:r>
    </w:p>
    <w:p w14:paraId="02801A1D" w14:textId="77777777" w:rsidR="00782BE3" w:rsidRPr="00DD47DF" w:rsidRDefault="00782BE3" w:rsidP="00782BE3">
      <w:pPr>
        <w:pStyle w:val="Standardntext"/>
      </w:pPr>
      <w:r w:rsidRPr="00DD47DF">
        <w:t>Například v oblasti elektronické výměny dat mezi podniky zaostává ČR s 23 % podniků uskutečňujících tuto výměnu za průměrem EU, kde tento poměr činí 50 %. Např. ve srovnání podílu firem využívajících firemní počítačové sítě a s nimi související technologie je výsledek 64,5 % pro ČR oproti 76,5 % pro průměr EU.</w:t>
      </w:r>
    </w:p>
    <w:p w14:paraId="07766B95" w14:textId="77777777" w:rsidR="00782BE3" w:rsidRPr="00DD47DF" w:rsidRDefault="00782BE3" w:rsidP="00782BE3">
      <w:pPr>
        <w:pStyle w:val="Standardntext"/>
      </w:pPr>
      <w:r w:rsidRPr="00DD47DF">
        <w:t>Mnoho podniků dnes využívá pro své fungování více samostatných informačních systémů (např. jeden pro řízení výroby, jiný pro logistiku, distribuci, správu majetku, prodej, fakturaci, účetnictví, personalistiku atd.) místo jednoho integrovaného. Pokud však má podnik různé informační systémy uvnitř organizace propojeny a dochází mezi nimi k automatizovanému sdílení dat, usnadňuje a zrychluje tak proces výroby a distribuce. Automatizované sdílení informací o přijatých i zadaných objednávkách elektronickou cestou v rámci informačního systému podniku používalo v lednu 2013 již zmiňovaných 51 % podniků. Softwarovou aplikaci ERP pro sdílení informací mezi různými funkčními oblastmi podniku používalo v lednu 2013 v ČR jen 24 % podniků. Mezi velikostními kategoriemi jsou v případě využívání ERP aplikace velmi výrazné rozdíly, kdy velkých podniků ji využívá 76 % a z malých pak pouhých 16 %.</w:t>
      </w:r>
    </w:p>
    <w:p w14:paraId="6509EA94" w14:textId="77777777" w:rsidR="00570220" w:rsidRPr="00DD47DF" w:rsidRDefault="00782BE3" w:rsidP="00782BE3">
      <w:pPr>
        <w:pStyle w:val="Standardntext"/>
      </w:pPr>
      <w:r w:rsidRPr="00DD47DF">
        <w:t>Dalším příkladem je nízká míra využívání elektronického prodeje přes webové stránky podniky nebo pomocí elektronické výměny dat přes internet či privátní mezipodnikové informační sítě. V roce 2012 prodávalo elektronickou cestou své zboží nebo služby 27 % podniků. Jako jednu z nejčastějších překážek, které limitují či zcela znemožňují podniku přijímat objednávky prostřednictvím webových stránek, uvádí podniky příliš vysoké náklady spojené se zavedením elektronického prodeje. S tím souvisí rovněž nízká míra využívání elektronické fakturace. V lednu 2013 zaslala fakturu elektronickou cestou v ČR více než polovina podniků s 10 a více zaměstnanci (56 %) a 79 % podniků fakturu touto cestou přijalo. Pouze 11 % podniků však zaslalo fakturu ve standardizovaném formátu určeném pro automatizované zpracování dat, tj. vystavilo e-fakturu. Pro zvýšení bezpečnosti je možné k zasílaným fakturám připojit elektronický podpis, což v lednu 2013 učinilo pouze 8 % podniků.</w:t>
      </w:r>
    </w:p>
    <w:p w14:paraId="48790A1F" w14:textId="77777777" w:rsidR="00570220" w:rsidRPr="00DD47DF" w:rsidRDefault="00782BE3" w:rsidP="00570220">
      <w:pPr>
        <w:pStyle w:val="Standardntext"/>
      </w:pPr>
      <w:r w:rsidRPr="00DD47DF">
        <w:t>Z pohledu využívání sdílených IT služeb jsou podniky v ČR značně konzervativní. Například nástup cloud computingu</w:t>
      </w:r>
      <w:r w:rsidRPr="00DD47DF">
        <w:rPr>
          <w:rStyle w:val="Znakapoznpodarou"/>
        </w:rPr>
        <w:footnoteReference w:id="27"/>
      </w:r>
      <w:r w:rsidRPr="00DD47DF">
        <w:t xml:space="preserve"> je v ČR oproti světu do značné míry zpožděný. Podle výzkumu z  roku 2010</w:t>
      </w:r>
      <w:r w:rsidRPr="00DD47DF">
        <w:rPr>
          <w:rStyle w:val="Znakapoznpodarou"/>
        </w:rPr>
        <w:footnoteReference w:id="28"/>
      </w:r>
      <w:r w:rsidRPr="00DD47DF">
        <w:t xml:space="preserve"> uvádějí pouze 4 % z 600 oslovených firem, že cloud computing využívají a jen 6 % ho plánuje nasadit během dalších 2 let. Může za to i špatná informovanost firem i laické veřejnosti. Z průzkumu provedeného v září 2011</w:t>
      </w:r>
      <w:r w:rsidRPr="00DD47DF">
        <w:rPr>
          <w:rStyle w:val="Znakapoznpodarou"/>
        </w:rPr>
        <w:footnoteReference w:id="29"/>
      </w:r>
      <w:r w:rsidRPr="00DD47DF">
        <w:t xml:space="preserve"> ve spolupráci s českým Googlem a AMSP </w:t>
      </w:r>
      <w:r w:rsidRPr="00DD47DF">
        <w:lastRenderedPageBreak/>
        <w:t>ČR vyšly následující výsledky: 16 % firem termín cloud computing nezná, ale nevědomky ho už využívá; po objasnění termínu projevilo o vyzkoušení cloud computingu zájem až 40 % podnikatelů a firem účastnících se výzkumu; 92 % uživatelů cloudových aplikací z řad MSP je spokojených a oceňuje zejména flexibilní přístup k informacím. Pokud jde o datová centra, neexistuje na rozdíl od okolních zemí jejich přímá podpora, a to i přes to, že ČR je svou zeměpisnou polohou, infrastrukturou a úrovní politické stability pro investory velmi zajímavá. Tím je výrazně snížena možnost dosáhnout snížení nákladů firem na IT. Přitom je potřeba počítat s tím, že flexibilita v tomto odvětví umožňuje přesuny datových center z místa na místo mnohem snáze, než je tomu u jiných technologií. Z tohoto důvodu je důležité vytvářet příznivé podmínky pro podnikání v této oblasti.</w:t>
      </w:r>
    </w:p>
    <w:p w14:paraId="66861410" w14:textId="77777777" w:rsidR="001652D9" w:rsidRPr="00DD47DF" w:rsidRDefault="001652D9" w:rsidP="00400C11">
      <w:pPr>
        <w:pStyle w:val="Modrnadpis"/>
        <w:rPr>
          <w:rFonts w:ascii="Calibri" w:hAnsi="Calibri" w:cs="Calibri"/>
          <w:b w:val="0"/>
          <w:bCs w:val="0"/>
          <w:szCs w:val="24"/>
        </w:rPr>
      </w:pPr>
      <w:r w:rsidRPr="00DD47DF">
        <w:t>SWOT analýza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4"/>
      </w:tblGrid>
      <w:tr w:rsidR="00D603D5" w:rsidRPr="00DD47DF" w14:paraId="6337ADD3" w14:textId="77777777" w:rsidTr="007D02F2">
        <w:trPr>
          <w:trHeight w:val="552"/>
        </w:trPr>
        <w:tc>
          <w:tcPr>
            <w:tcW w:w="2500" w:type="pct"/>
            <w:shd w:val="clear" w:color="auto" w:fill="B8CCE4" w:themeFill="accent1" w:themeFillTint="66"/>
            <w:vAlign w:val="center"/>
          </w:tcPr>
          <w:p w14:paraId="40BC8A9F" w14:textId="77777777" w:rsidR="00D603D5" w:rsidRPr="00DD47DF" w:rsidRDefault="00D603D5" w:rsidP="007D02F2">
            <w:pPr>
              <w:pStyle w:val="Tabulka"/>
              <w:rPr>
                <w:b/>
              </w:rPr>
            </w:pPr>
            <w:r w:rsidRPr="00DD47DF">
              <w:rPr>
                <w:b/>
              </w:rPr>
              <w:t>Silné stránky</w:t>
            </w:r>
          </w:p>
        </w:tc>
        <w:tc>
          <w:tcPr>
            <w:tcW w:w="2500" w:type="pct"/>
            <w:shd w:val="clear" w:color="auto" w:fill="B8CCE4" w:themeFill="accent1" w:themeFillTint="66"/>
            <w:vAlign w:val="center"/>
          </w:tcPr>
          <w:p w14:paraId="1C1EC351" w14:textId="77777777" w:rsidR="00D603D5" w:rsidRPr="00DD47DF" w:rsidRDefault="00D603D5" w:rsidP="007D02F2">
            <w:pPr>
              <w:pStyle w:val="Tabulka"/>
              <w:rPr>
                <w:b/>
              </w:rPr>
            </w:pPr>
            <w:r w:rsidRPr="00DD47DF">
              <w:rPr>
                <w:b/>
              </w:rPr>
              <w:t>Slabé stránky</w:t>
            </w:r>
          </w:p>
        </w:tc>
      </w:tr>
      <w:tr w:rsidR="00D603D5" w:rsidRPr="00DD47DF" w14:paraId="6E2248BB" w14:textId="77777777" w:rsidTr="007D02F2">
        <w:tc>
          <w:tcPr>
            <w:tcW w:w="2500" w:type="pct"/>
            <w:shd w:val="clear" w:color="auto" w:fill="auto"/>
          </w:tcPr>
          <w:p w14:paraId="6A1468B8" w14:textId="77777777" w:rsidR="00D603D5" w:rsidRPr="00DD47DF" w:rsidRDefault="00D603D5" w:rsidP="00DA3512">
            <w:pPr>
              <w:pStyle w:val="Tabulka"/>
              <w:numPr>
                <w:ilvl w:val="0"/>
                <w:numId w:val="93"/>
              </w:numPr>
              <w:ind w:left="426"/>
              <w:jc w:val="left"/>
            </w:pPr>
            <w:r w:rsidRPr="00DD47DF">
              <w:t>Poměrně vysoká míra využívání internetu ze strany českých domácností a spotřebitelů (poptávka po kvalitních službách);</w:t>
            </w:r>
          </w:p>
          <w:p w14:paraId="2C02385B" w14:textId="77777777" w:rsidR="00D603D5" w:rsidRPr="00DD47DF" w:rsidRDefault="00D603D5" w:rsidP="00DA3512">
            <w:pPr>
              <w:pStyle w:val="Tabulka"/>
              <w:numPr>
                <w:ilvl w:val="0"/>
                <w:numId w:val="93"/>
              </w:numPr>
              <w:ind w:left="426"/>
              <w:jc w:val="left"/>
            </w:pPr>
            <w:r w:rsidRPr="00DD47DF">
              <w:t>Trend rozvoje ICT sektoru v ČR ve výrobní části  i části služeb;</w:t>
            </w:r>
          </w:p>
          <w:p w14:paraId="6C38C8E8" w14:textId="77777777" w:rsidR="00D603D5" w:rsidRPr="00DD47DF" w:rsidRDefault="00D603D5" w:rsidP="00DA3512">
            <w:pPr>
              <w:pStyle w:val="Tabulka"/>
              <w:numPr>
                <w:ilvl w:val="0"/>
                <w:numId w:val="93"/>
              </w:numPr>
              <w:ind w:left="426"/>
              <w:jc w:val="left"/>
            </w:pPr>
            <w:r w:rsidRPr="00DD47DF">
              <w:t>Kvalitní technické kompetence a know-how.</w:t>
            </w:r>
          </w:p>
          <w:p w14:paraId="598061EB" w14:textId="77777777" w:rsidR="00D603D5" w:rsidRPr="00DD47DF" w:rsidRDefault="00D603D5" w:rsidP="007D02F2">
            <w:pPr>
              <w:pStyle w:val="Tabulka"/>
            </w:pPr>
          </w:p>
        </w:tc>
        <w:tc>
          <w:tcPr>
            <w:tcW w:w="2500" w:type="pct"/>
            <w:shd w:val="clear" w:color="auto" w:fill="auto"/>
          </w:tcPr>
          <w:p w14:paraId="2D39551B" w14:textId="77777777" w:rsidR="00D603D5" w:rsidRPr="00DD47DF" w:rsidRDefault="00D603D5" w:rsidP="00DA3512">
            <w:pPr>
              <w:pStyle w:val="Tabulka"/>
              <w:numPr>
                <w:ilvl w:val="0"/>
                <w:numId w:val="93"/>
              </w:numPr>
              <w:ind w:left="459"/>
              <w:jc w:val="left"/>
            </w:pPr>
            <w:r w:rsidRPr="00DD47DF">
              <w:rPr>
                <w:rFonts w:cs="Calibri"/>
                <w:bCs/>
              </w:rPr>
              <w:t>Nedostatečné geografické pokrytí vysokorychlostním přístupem k internetu a nedostatečná rychlost a kvalita poskytovaných služeb;</w:t>
            </w:r>
          </w:p>
          <w:p w14:paraId="0B82B365" w14:textId="77777777" w:rsidR="00D603D5" w:rsidRPr="00DD47DF" w:rsidRDefault="00D603D5" w:rsidP="00DA3512">
            <w:pPr>
              <w:pStyle w:val="Tabulka"/>
              <w:numPr>
                <w:ilvl w:val="0"/>
                <w:numId w:val="93"/>
              </w:numPr>
              <w:ind w:left="459"/>
              <w:jc w:val="left"/>
            </w:pPr>
            <w:r w:rsidRPr="00DD47DF">
              <w:rPr>
                <w:rFonts w:cs="Calibri"/>
                <w:bCs/>
              </w:rPr>
              <w:t>Nedostatečná míra využívání nových ICT trendů jako jsou sdílené služby, sofistikované ICT řešení, datová centra, které zvyšují efektivitu výsledků a zároveň nezvyšují náklady na ICT;</w:t>
            </w:r>
          </w:p>
          <w:p w14:paraId="3028E137" w14:textId="77777777" w:rsidR="00D603D5" w:rsidRPr="00DD47DF" w:rsidRDefault="00D603D5" w:rsidP="00DA3512">
            <w:pPr>
              <w:pStyle w:val="Tabulka"/>
              <w:numPr>
                <w:ilvl w:val="0"/>
                <w:numId w:val="93"/>
              </w:numPr>
              <w:ind w:left="459"/>
              <w:jc w:val="left"/>
            </w:pPr>
            <w:r w:rsidRPr="00DD47DF">
              <w:t>Řada českých ICT firem jsou pouze dodavateli firem zahraničních;</w:t>
            </w:r>
          </w:p>
          <w:p w14:paraId="2B54C550" w14:textId="77777777" w:rsidR="00D603D5" w:rsidRPr="00DD47DF" w:rsidRDefault="00D603D5" w:rsidP="00DA3512">
            <w:pPr>
              <w:pStyle w:val="Tabulka"/>
              <w:numPr>
                <w:ilvl w:val="0"/>
                <w:numId w:val="93"/>
              </w:numPr>
              <w:ind w:left="459"/>
              <w:jc w:val="left"/>
            </w:pPr>
            <w:r w:rsidRPr="00DD47DF">
              <w:t>Nízká motivace některých ICT firem (tzv. rodinné firmy) dále růst, příp. nedostatek vlastních zdrojů na expanzi na nové trhy.</w:t>
            </w:r>
          </w:p>
        </w:tc>
      </w:tr>
      <w:tr w:rsidR="00D603D5" w:rsidRPr="00DD47DF" w14:paraId="796E2680" w14:textId="77777777" w:rsidTr="007D02F2">
        <w:trPr>
          <w:trHeight w:val="553"/>
        </w:trPr>
        <w:tc>
          <w:tcPr>
            <w:tcW w:w="2500" w:type="pct"/>
            <w:shd w:val="clear" w:color="auto" w:fill="B8CCE4" w:themeFill="accent1" w:themeFillTint="66"/>
            <w:vAlign w:val="center"/>
          </w:tcPr>
          <w:p w14:paraId="344D1064" w14:textId="77777777" w:rsidR="00D603D5" w:rsidRPr="00DD47DF" w:rsidRDefault="00D603D5" w:rsidP="007D02F2">
            <w:pPr>
              <w:pStyle w:val="Tabulka"/>
              <w:rPr>
                <w:b/>
                <w:sz w:val="24"/>
              </w:rPr>
            </w:pPr>
            <w:r w:rsidRPr="00DD47DF">
              <w:rPr>
                <w:b/>
              </w:rPr>
              <w:t>Příležitosti</w:t>
            </w:r>
          </w:p>
        </w:tc>
        <w:tc>
          <w:tcPr>
            <w:tcW w:w="2500" w:type="pct"/>
            <w:shd w:val="clear" w:color="auto" w:fill="B8CCE4" w:themeFill="accent1" w:themeFillTint="66"/>
            <w:vAlign w:val="center"/>
          </w:tcPr>
          <w:p w14:paraId="0B7A99E2" w14:textId="77777777" w:rsidR="00D603D5" w:rsidRPr="00DD47DF" w:rsidRDefault="00D603D5" w:rsidP="007D02F2">
            <w:pPr>
              <w:pStyle w:val="Tabulka"/>
              <w:rPr>
                <w:b/>
                <w:sz w:val="24"/>
              </w:rPr>
            </w:pPr>
            <w:r w:rsidRPr="00DD47DF">
              <w:rPr>
                <w:b/>
              </w:rPr>
              <w:t>Hrozby</w:t>
            </w:r>
          </w:p>
        </w:tc>
      </w:tr>
      <w:tr w:rsidR="00D603D5" w:rsidRPr="00DD47DF" w14:paraId="1C4C12F7" w14:textId="77777777" w:rsidTr="007D02F2">
        <w:tc>
          <w:tcPr>
            <w:tcW w:w="2500" w:type="pct"/>
            <w:shd w:val="clear" w:color="auto" w:fill="auto"/>
          </w:tcPr>
          <w:p w14:paraId="11C7ED92" w14:textId="77777777" w:rsidR="00D603D5" w:rsidRPr="00DD47DF" w:rsidRDefault="00D603D5" w:rsidP="00DA3512">
            <w:pPr>
              <w:pStyle w:val="Tabulka"/>
              <w:numPr>
                <w:ilvl w:val="0"/>
                <w:numId w:val="93"/>
              </w:numPr>
              <w:ind w:left="426"/>
              <w:jc w:val="left"/>
              <w:rPr>
                <w:sz w:val="24"/>
              </w:rPr>
            </w:pPr>
            <w:r w:rsidRPr="00DD47DF">
              <w:rPr>
                <w:rFonts w:cs="Calibri"/>
                <w:bCs/>
              </w:rPr>
              <w:t xml:space="preserve">Zvýšení produktivity a zaměstnanosti v důsledku rozšíření vysokorychlostního přístupu k internetu a rozvoje moderních ICT systémů (např. vliv na </w:t>
            </w:r>
            <w:r w:rsidRPr="00DD47DF">
              <w:t>zrychlení vnitropodnikových procesů</w:t>
            </w:r>
            <w:r w:rsidRPr="00DD47DF">
              <w:rPr>
                <w:rFonts w:cs="Calibri"/>
                <w:bCs/>
              </w:rPr>
              <w:t>);</w:t>
            </w:r>
          </w:p>
          <w:p w14:paraId="3DF1B143" w14:textId="77777777" w:rsidR="00C94BAF" w:rsidRPr="00DD47DF" w:rsidRDefault="00C94BAF" w:rsidP="00DA3512">
            <w:pPr>
              <w:pStyle w:val="Tabulka"/>
              <w:numPr>
                <w:ilvl w:val="0"/>
                <w:numId w:val="93"/>
              </w:numPr>
              <w:ind w:left="426"/>
              <w:jc w:val="left"/>
              <w:rPr>
                <w:sz w:val="24"/>
              </w:rPr>
            </w:pPr>
            <w:r w:rsidRPr="00DD47DF">
              <w:rPr>
                <w:rFonts w:cs="Calibri"/>
                <w:bCs/>
              </w:rPr>
              <w:t>Vyšší využití sofistikovaných ICT nástrojů v rozhodování a reakci na požadavky trhu  (BI, data minning, práce se sociálními sítěmi);</w:t>
            </w:r>
          </w:p>
          <w:p w14:paraId="7C2A2C28" w14:textId="77777777" w:rsidR="00C94BAF" w:rsidRPr="00DD47DF" w:rsidRDefault="00C94BAF" w:rsidP="00DA3512">
            <w:pPr>
              <w:pStyle w:val="Tabulka"/>
              <w:numPr>
                <w:ilvl w:val="0"/>
                <w:numId w:val="93"/>
              </w:numPr>
              <w:ind w:left="426"/>
              <w:jc w:val="left"/>
              <w:rPr>
                <w:sz w:val="24"/>
              </w:rPr>
            </w:pPr>
            <w:r w:rsidRPr="00DD47DF">
              <w:rPr>
                <w:sz w:val="24"/>
              </w:rPr>
              <w:t xml:space="preserve">Zvýšení </w:t>
            </w:r>
            <w:r w:rsidRPr="00DD47DF">
              <w:rPr>
                <w:rFonts w:cs="Calibri"/>
                <w:bCs/>
              </w:rPr>
              <w:t>penetrace cloud řešení;</w:t>
            </w:r>
          </w:p>
          <w:p w14:paraId="78ECEC0B" w14:textId="77777777" w:rsidR="00C94BAF" w:rsidRPr="00DD47DF" w:rsidRDefault="00BB58F0" w:rsidP="00DA3512">
            <w:pPr>
              <w:pStyle w:val="Tabulka"/>
              <w:numPr>
                <w:ilvl w:val="0"/>
                <w:numId w:val="93"/>
              </w:numPr>
              <w:ind w:left="426"/>
              <w:jc w:val="left"/>
              <w:rPr>
                <w:sz w:val="24"/>
              </w:rPr>
            </w:pPr>
            <w:r w:rsidRPr="00DD47DF">
              <w:t>Větší podpora open standardů a interoperability;</w:t>
            </w:r>
          </w:p>
          <w:p w14:paraId="34286964" w14:textId="77777777" w:rsidR="00D603D5" w:rsidRPr="00DD47DF" w:rsidRDefault="00BB58F0" w:rsidP="00DA3512">
            <w:pPr>
              <w:pStyle w:val="Tabulka"/>
              <w:numPr>
                <w:ilvl w:val="0"/>
                <w:numId w:val="93"/>
              </w:numPr>
              <w:ind w:left="426"/>
              <w:jc w:val="left"/>
              <w:rPr>
                <w:sz w:val="24"/>
              </w:rPr>
            </w:pPr>
            <w:r w:rsidRPr="00DD47DF">
              <w:rPr>
                <w:rFonts w:cs="Calibri"/>
                <w:bCs/>
              </w:rPr>
              <w:t xml:space="preserve">Větší </w:t>
            </w:r>
            <w:r w:rsidR="00D603D5" w:rsidRPr="00DD47DF">
              <w:rPr>
                <w:rFonts w:cs="Calibri"/>
                <w:bCs/>
              </w:rPr>
              <w:t>využívání mobilních platforem apod.</w:t>
            </w:r>
          </w:p>
        </w:tc>
        <w:tc>
          <w:tcPr>
            <w:tcW w:w="2500" w:type="pct"/>
            <w:shd w:val="clear" w:color="auto" w:fill="auto"/>
          </w:tcPr>
          <w:p w14:paraId="0D6003DD" w14:textId="77777777" w:rsidR="00D603D5" w:rsidRPr="00DD47DF" w:rsidRDefault="00D603D5" w:rsidP="00DA3512">
            <w:pPr>
              <w:pStyle w:val="Tabulka"/>
              <w:numPr>
                <w:ilvl w:val="0"/>
                <w:numId w:val="93"/>
              </w:numPr>
              <w:ind w:left="459"/>
              <w:jc w:val="left"/>
              <w:rPr>
                <w:sz w:val="24"/>
              </w:rPr>
            </w:pPr>
            <w:r w:rsidRPr="00DD47DF">
              <w:t>Růst nezaměstnanosti a úbytek obyvatelstva ve venkovských oblastech v důsledku prohloubení tzv. „digitální propast“ mezi venkovskými a městskými oblastmi;</w:t>
            </w:r>
          </w:p>
          <w:p w14:paraId="3780E34B" w14:textId="77777777" w:rsidR="00D603D5" w:rsidRPr="00DD47DF" w:rsidRDefault="00D603D5" w:rsidP="00DA3512">
            <w:pPr>
              <w:pStyle w:val="Tabulka"/>
              <w:numPr>
                <w:ilvl w:val="0"/>
                <w:numId w:val="93"/>
              </w:numPr>
              <w:ind w:left="459"/>
              <w:jc w:val="left"/>
              <w:rPr>
                <w:sz w:val="24"/>
              </w:rPr>
            </w:pPr>
            <w:r w:rsidRPr="00DD47DF">
              <w:rPr>
                <w:rFonts w:cs="Calibri"/>
                <w:bCs/>
              </w:rPr>
              <w:t>Nesjednocení aplikační praxe některých ustanovení zákona o elektronických komunikacích a stavebního zákona a zjednodušení pravidel stavebního a územního řízení pro oblast elektronických komunikací;</w:t>
            </w:r>
          </w:p>
          <w:p w14:paraId="669C7BF3" w14:textId="77777777" w:rsidR="00D603D5" w:rsidRPr="00DD47DF" w:rsidRDefault="00D603D5" w:rsidP="00DA3512">
            <w:pPr>
              <w:pStyle w:val="Tabulka"/>
              <w:numPr>
                <w:ilvl w:val="0"/>
                <w:numId w:val="93"/>
              </w:numPr>
              <w:ind w:left="459"/>
              <w:jc w:val="left"/>
              <w:rPr>
                <w:sz w:val="24"/>
              </w:rPr>
            </w:pPr>
            <w:r w:rsidRPr="00DD47DF">
              <w:rPr>
                <w:rFonts w:cs="Calibri"/>
                <w:bCs/>
              </w:rPr>
              <w:t>Investiční pobídky pro výstavbu datových center v okolních zemích.</w:t>
            </w:r>
          </w:p>
        </w:tc>
      </w:tr>
    </w:tbl>
    <w:p w14:paraId="2D80409C" w14:textId="77777777" w:rsidR="007F5300" w:rsidRPr="00DD47DF" w:rsidRDefault="00782BE3" w:rsidP="005C17DA">
      <w:pPr>
        <w:pStyle w:val="Standardntext"/>
        <w:spacing w:before="240" w:after="0"/>
      </w:pPr>
      <w:r w:rsidRPr="00DD47DF">
        <w:t xml:space="preserve">U problémové oblasti „Infrastruktura“, resp. hlavní pilíř „ICT infrastruktura“ reagují cíle OP PIK na tyto rozvojové potřeby: rozvoj infrastruktury pro vysokorychlostní přístup k internetu umožňující minimální přenosové rychlosti 30 Mbit/s důrazem na území bez stávající možnosti </w:t>
      </w:r>
      <w:r w:rsidRPr="00DD47DF">
        <w:lastRenderedPageBreak/>
        <w:t>přístupu k vysokorychlostnímu internetu a dále posílení tvorby a fungování ICT aplikací a služeb, včetně sdílených služeb zahrnujících budování a modernizaci datových center. Tyto potřeby rozvoje pokrývá prioritní osa 4 OP PIK.</w:t>
      </w:r>
    </w:p>
    <w:p w14:paraId="2C3B60F6" w14:textId="77777777" w:rsidR="00AC44E9" w:rsidRPr="00DD47DF" w:rsidRDefault="00AC44E9" w:rsidP="00187044">
      <w:pPr>
        <w:pStyle w:val="Modrnadpis"/>
        <w:keepNext w:val="0"/>
        <w:keepLines w:val="0"/>
      </w:pPr>
      <w:r w:rsidRPr="00DD47DF">
        <w:t xml:space="preserve">Soulad </w:t>
      </w:r>
      <w:r w:rsidR="00187044" w:rsidRPr="00DD47DF">
        <w:t>s pravidly veřejné podpory</w:t>
      </w:r>
    </w:p>
    <w:p w14:paraId="7D03915C" w14:textId="77777777" w:rsidR="00782BE3" w:rsidRPr="00DD47DF" w:rsidRDefault="00782BE3" w:rsidP="00782BE3">
      <w:pPr>
        <w:pStyle w:val="Standardntext"/>
      </w:pPr>
      <w:r w:rsidRPr="00DD47DF">
        <w:t xml:space="preserve">Rozhodnutím o schválení Operačního programu nejsou dotčeny postoje EK, pokud jde o soulad jakékoli operace podporované v rámci programu s procesními a hmotněprávními pravidly pro poskytování VP platnými v době, kdy je podpora poskytnuta. </w:t>
      </w:r>
    </w:p>
    <w:p w14:paraId="0CEC6804" w14:textId="77777777" w:rsidR="00782BE3" w:rsidRPr="00DD47DF" w:rsidRDefault="00782BE3" w:rsidP="00782BE3">
      <w:pPr>
        <w:pStyle w:val="Standardntext"/>
      </w:pPr>
      <w:r w:rsidRPr="00DD47DF">
        <w:t>Poskytnutí VP spadající do oblasti působnosti čl. 107 (1) Smlouvy o fungování EU, vyžaduje předchozí souhlas EK podle čl. 108 (3) Smlouvy, s výjimkou případů, kdy je podpora vyňata podle nařízení o výjimce přijatého EK na základě nařízení Rady (ES) č. 994/98 ze dne 7. 5. 1998 o použití čl. 92 a 93 na určité kategorie horizontální podpory a jeho změn nebo podle rozhodnutí Komise ze dne 20. 12. 2011 o použití čl. 106 (2) Smlouvy na státní podporu ve formě vyrovnávací platby za závazek veřejné služby udělené určitým podnikům pověřeným poskytováním služeb obecného hospodářského zájmu, nebo je poskytnuta jako obecná podpora de minimis.</w:t>
      </w:r>
    </w:p>
    <w:p w14:paraId="645F2303" w14:textId="77777777" w:rsidR="00AC44E9" w:rsidRPr="00DD47DF" w:rsidRDefault="00782BE3" w:rsidP="00782BE3">
      <w:pPr>
        <w:pStyle w:val="Standardntext"/>
      </w:pPr>
      <w:r w:rsidRPr="00DD47DF">
        <w:t>Je-li podpora z fondů poskytnuta velkému podniku dle čll. 14 Nařízení 651/2014, řídicí orgán se ujistí, že finanční příspěvek fondu nezpůsobí značné ztráty pracovních míst s ohledem na stávající rozmístění v rámci Unie.</w:t>
      </w:r>
    </w:p>
    <w:p w14:paraId="30CF27D2" w14:textId="77777777" w:rsidR="005C17DA" w:rsidRPr="00DD47DF" w:rsidRDefault="005C17DA" w:rsidP="005C17DA">
      <w:pPr>
        <w:pStyle w:val="Standardntext"/>
        <w:spacing w:before="240"/>
        <w:rPr>
          <w:b/>
          <w:color w:val="4F81BD" w:themeColor="accent1"/>
        </w:rPr>
      </w:pPr>
      <w:r w:rsidRPr="00DD47DF">
        <w:rPr>
          <w:b/>
          <w:color w:val="4F81BD" w:themeColor="accent1"/>
        </w:rPr>
        <w:t>Nepodporované aktivity</w:t>
      </w:r>
    </w:p>
    <w:p w14:paraId="16377530" w14:textId="6AAAA7B7" w:rsidR="008473BB" w:rsidRPr="00DD47DF" w:rsidRDefault="00113861" w:rsidP="00AC44E9">
      <w:pPr>
        <w:pStyle w:val="Standardntext"/>
      </w:pPr>
      <w:r w:rsidRPr="00700E39">
        <w:t xml:space="preserve">V souladu s tzv. Pozičním dokumentem EK (říjen 2012) </w:t>
      </w:r>
      <w:r w:rsidRPr="00700E39">
        <w:rPr>
          <w:b/>
        </w:rPr>
        <w:t xml:space="preserve">nebudou v OP PIK podporována žádná komerční turistická zařízení </w:t>
      </w:r>
      <w:r w:rsidRPr="00700E39">
        <w:t>jako hotely, volnočasová zařízení, lázně, restaurace, která musí být financována pouze soukromými prostředky. Vynětí těchto oblastí se vztahuje na podporu formou dotací ve všech prioritních osách / specifických cílech OP PIK, vyjma režimu regionální podpory zaměřeného na cestovní ruch v podporovaném regionu</w:t>
      </w:r>
      <w:r w:rsidR="004E7165" w:rsidRPr="004E7165">
        <w:rPr>
          <w:lang w:eastAsia="x-none"/>
        </w:rPr>
        <w:t xml:space="preserve"> a ve strukturálně postižených uhelných regionech v souladu se strategickým rámcem a akčním plánem strategie hospodářské restrukturalizace Moravskoslezského, Ústeckého a Karlovarského kraje (RE:START)</w:t>
      </w:r>
      <w:r w:rsidRPr="00700E39">
        <w:t xml:space="preserve">, jenž má obzvlášť pozitivní dopad na regionální rozvoj v rámci diversifikace a odhalování hospodářského potenciálu </w:t>
      </w:r>
      <w:r w:rsidR="004E7165" w:rsidRPr="004E7165">
        <w:t>dotčených</w:t>
      </w:r>
      <w:r w:rsidRPr="00700E39">
        <w:t xml:space="preserve"> oblastí</w:t>
      </w:r>
      <w:r w:rsidR="00763F4D" w:rsidRPr="00763F4D">
        <w:t xml:space="preserve"> a dále vyjma podpory dle čl. 38 a 41 oddílu 7, Nařízení 651/2014, která by byla realizována pouze v rámci specifického cíle 3.2</w:t>
      </w:r>
      <w:r w:rsidRPr="00700E39">
        <w:t>.</w:t>
      </w:r>
    </w:p>
    <w:p w14:paraId="68977A5E" w14:textId="77777777" w:rsidR="005C17DA" w:rsidRPr="00DD47DF" w:rsidRDefault="005C17DA" w:rsidP="005C17DA">
      <w:pPr>
        <w:pStyle w:val="Standardntext"/>
        <w:spacing w:before="240"/>
        <w:rPr>
          <w:b/>
          <w:color w:val="4F81BD" w:themeColor="accent1"/>
        </w:rPr>
      </w:pPr>
      <w:r w:rsidRPr="00DD47DF">
        <w:rPr>
          <w:b/>
          <w:color w:val="4F81BD" w:themeColor="accent1"/>
        </w:rPr>
        <w:t>Udržitelnost investic</w:t>
      </w:r>
    </w:p>
    <w:p w14:paraId="163E5060" w14:textId="77777777" w:rsidR="007B4977" w:rsidRPr="00DD47DF" w:rsidRDefault="005C17DA" w:rsidP="00AC44E9">
      <w:pPr>
        <w:pStyle w:val="Standardntext"/>
        <w:sectPr w:rsidR="007B4977" w:rsidRPr="00DD47DF" w:rsidSect="00CF7B55">
          <w:headerReference w:type="default" r:id="rId21"/>
          <w:footerReference w:type="default" r:id="rId22"/>
          <w:pgSz w:w="11906" w:h="16838"/>
          <w:pgMar w:top="1418" w:right="1276" w:bottom="1276" w:left="1418" w:header="709" w:footer="709" w:gutter="0"/>
          <w:cols w:space="708"/>
          <w:docGrid w:linePitch="272"/>
        </w:sectPr>
      </w:pPr>
      <w:r w:rsidRPr="00DD47DF">
        <w:t>Udržitelnost investic v rámci OP PIK bude v souladu s čl. 71 nařízení č. 1303/2013 obecně pět let v případě velkých podniků a tři roky v případě malých a středních podniků. Toto obecné pravidlo se v případě malých a středních podniků může lišit podle specifických cílů programu či aktivit definovaných v rámci specifického cíle, kde i u této skupiny příjemců může být stanovena doba udržitelnosti na pět let. Tato skutečnost bude vždy specifikována v příslušné výzvě k předkládání žádostí o podporu.</w:t>
      </w:r>
    </w:p>
    <w:p w14:paraId="6F9E3FC0" w14:textId="77777777" w:rsidR="00606523" w:rsidRPr="00DD47DF" w:rsidRDefault="00606523" w:rsidP="00606523">
      <w:pPr>
        <w:pStyle w:val="Nadpis3"/>
        <w:rPr>
          <w:rFonts w:cs="Calibri"/>
        </w:rPr>
      </w:pPr>
      <w:bookmarkStart w:id="16" w:name="_Toc129005362"/>
      <w:r w:rsidRPr="00DD47DF">
        <w:rPr>
          <w:rFonts w:cs="Calibri"/>
        </w:rPr>
        <w:lastRenderedPageBreak/>
        <w:t>Odůvodnění výběru tematických cílů a odpovídajících investičních priorit s ohledem na dohodu o partnerství na základě určení regionálních a případně 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bookmarkEnd w:id="16"/>
    </w:p>
    <w:p w14:paraId="25009087" w14:textId="77777777" w:rsidR="00297A5A" w:rsidRPr="00DD47DF" w:rsidRDefault="00297A5A" w:rsidP="00F843E4">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w:t>
      </w:r>
      <w:r w:rsidR="002756E7" w:rsidRPr="00DD47DF">
        <w:rPr>
          <w:noProof/>
        </w:rPr>
        <w:fldChar w:fldCharType="end"/>
      </w:r>
      <w:r w:rsidRPr="00DD47DF">
        <w:t xml:space="preserve">: </w:t>
      </w:r>
      <w:r w:rsidR="006271CC" w:rsidRPr="00DD47DF">
        <w:t>O</w:t>
      </w:r>
      <w:r w:rsidR="00F843E4" w:rsidRPr="00DD47DF">
        <w:t>důvodnění výběru tematických cílů a investičních priorit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17"/>
        <w:gridCol w:w="4109"/>
        <w:gridCol w:w="8532"/>
      </w:tblGrid>
      <w:tr w:rsidR="009072F3" w:rsidRPr="00DD47DF" w14:paraId="24D277D0" w14:textId="77777777">
        <w:trPr>
          <w:jc w:val="center"/>
        </w:trPr>
        <w:tc>
          <w:tcPr>
            <w:tcW w:w="567" w:type="pct"/>
            <w:shd w:val="clear" w:color="auto" w:fill="95B3D7"/>
          </w:tcPr>
          <w:p w14:paraId="21B5548D" w14:textId="77777777" w:rsidR="009072F3" w:rsidRPr="00DD47DF" w:rsidRDefault="001E2583" w:rsidP="0022028B">
            <w:pPr>
              <w:pStyle w:val="Tabulka"/>
              <w:rPr>
                <w:rFonts w:cs="Calibri"/>
                <w:b/>
                <w:vertAlign w:val="superscript"/>
              </w:rPr>
            </w:pPr>
            <w:r w:rsidRPr="00DD47DF">
              <w:rPr>
                <w:rFonts w:cs="Calibri"/>
                <w:b/>
              </w:rPr>
              <w:t>Vybraný t</w:t>
            </w:r>
            <w:r w:rsidR="00A01ABB" w:rsidRPr="00DD47DF">
              <w:rPr>
                <w:rFonts w:cs="Calibri"/>
                <w:b/>
              </w:rPr>
              <w:t>ematický cíl</w:t>
            </w:r>
          </w:p>
        </w:tc>
        <w:tc>
          <w:tcPr>
            <w:tcW w:w="1441" w:type="pct"/>
            <w:shd w:val="clear" w:color="auto" w:fill="95B3D7"/>
          </w:tcPr>
          <w:p w14:paraId="44795FF7" w14:textId="77777777" w:rsidR="009072F3" w:rsidRPr="00DD47DF" w:rsidRDefault="001E2583" w:rsidP="0022028B">
            <w:pPr>
              <w:pStyle w:val="Tabulka"/>
              <w:rPr>
                <w:rFonts w:cs="Calibri"/>
                <w:b/>
                <w:vertAlign w:val="superscript"/>
              </w:rPr>
            </w:pPr>
            <w:r w:rsidRPr="00DD47DF">
              <w:rPr>
                <w:rFonts w:cs="Calibri"/>
                <w:b/>
              </w:rPr>
              <w:t>Vybraná i</w:t>
            </w:r>
            <w:r w:rsidR="00A01ABB" w:rsidRPr="00DD47DF">
              <w:rPr>
                <w:rFonts w:cs="Calibri"/>
                <w:b/>
              </w:rPr>
              <w:t>nvestiční priorita</w:t>
            </w:r>
          </w:p>
        </w:tc>
        <w:tc>
          <w:tcPr>
            <w:tcW w:w="2992" w:type="pct"/>
            <w:shd w:val="clear" w:color="auto" w:fill="95B3D7"/>
          </w:tcPr>
          <w:p w14:paraId="7F637027" w14:textId="77777777" w:rsidR="009072F3" w:rsidRPr="00DD47DF" w:rsidRDefault="006271CC" w:rsidP="0022028B">
            <w:pPr>
              <w:pStyle w:val="Tabulka"/>
              <w:rPr>
                <w:rFonts w:cs="Calibri"/>
                <w:b/>
              </w:rPr>
            </w:pPr>
            <w:r w:rsidRPr="00DD47DF">
              <w:rPr>
                <w:rFonts w:cs="Calibri"/>
                <w:b/>
              </w:rPr>
              <w:t>O</w:t>
            </w:r>
            <w:r w:rsidR="00A01ABB" w:rsidRPr="00DD47DF">
              <w:rPr>
                <w:rFonts w:cs="Calibri"/>
                <w:b/>
              </w:rPr>
              <w:t>důvodnění výběru</w:t>
            </w:r>
          </w:p>
        </w:tc>
      </w:tr>
      <w:tr w:rsidR="003252E1" w:rsidRPr="00DD47DF" w14:paraId="3FBCAFF1" w14:textId="77777777">
        <w:trPr>
          <w:jc w:val="center"/>
        </w:trPr>
        <w:tc>
          <w:tcPr>
            <w:tcW w:w="567" w:type="pct"/>
            <w:shd w:val="clear" w:color="auto" w:fill="B8CCE4"/>
            <w:vAlign w:val="center"/>
          </w:tcPr>
          <w:p w14:paraId="394B32EA" w14:textId="77777777" w:rsidR="003252E1" w:rsidRPr="00DD47DF" w:rsidRDefault="009D7E8A" w:rsidP="0022028B">
            <w:pPr>
              <w:pStyle w:val="Tabulka"/>
              <w:jc w:val="left"/>
              <w:rPr>
                <w:rFonts w:cs="Calibri"/>
              </w:rPr>
            </w:pPr>
            <w:r w:rsidRPr="00DD47DF">
              <w:rPr>
                <w:rFonts w:cs="Calibri"/>
              </w:rPr>
              <w:t>1</w:t>
            </w:r>
            <w:r w:rsidR="00CC5E04" w:rsidRPr="00DD47DF">
              <w:rPr>
                <w:rFonts w:cs="Calibri"/>
              </w:rPr>
              <w:t>)</w:t>
            </w:r>
            <w:r w:rsidR="003252E1" w:rsidRPr="00DD47DF">
              <w:rPr>
                <w:rFonts w:cs="Calibri"/>
              </w:rPr>
              <w:t xml:space="preserve"> Posílení výzkumu, technologického rozvoje a inovací</w:t>
            </w:r>
          </w:p>
          <w:p w14:paraId="14ED185F" w14:textId="77777777" w:rsidR="003252E1" w:rsidRPr="00DD47DF" w:rsidRDefault="003252E1" w:rsidP="0022028B">
            <w:pPr>
              <w:pStyle w:val="Tabulka"/>
              <w:jc w:val="left"/>
              <w:rPr>
                <w:rFonts w:cs="Calibri"/>
              </w:rPr>
            </w:pPr>
          </w:p>
        </w:tc>
        <w:tc>
          <w:tcPr>
            <w:tcW w:w="1441" w:type="pct"/>
            <w:shd w:val="clear" w:color="auto" w:fill="DBE5F1"/>
            <w:vAlign w:val="center"/>
          </w:tcPr>
          <w:p w14:paraId="66CCB46C" w14:textId="77777777" w:rsidR="003252E1" w:rsidRPr="00DD47DF" w:rsidRDefault="00B54D2B" w:rsidP="0022028B">
            <w:pPr>
              <w:pStyle w:val="Tabulka"/>
              <w:jc w:val="left"/>
              <w:rPr>
                <w:rFonts w:cs="Calibri"/>
              </w:rPr>
            </w:pPr>
            <w:r w:rsidRPr="00DD47DF">
              <w:rPr>
                <w:rFonts w:cs="Calibri"/>
              </w:rPr>
              <w:t xml:space="preserve">1 b) </w:t>
            </w:r>
            <w:r w:rsidR="002641C7" w:rsidRPr="00DD47DF">
              <w:rPr>
                <w:rFonts w:cs="Calibri"/>
              </w:rPr>
              <w:t>Podpora podnikových investic do výzkumu a inovací a vytváření</w:t>
            </w:r>
            <w:r w:rsidR="000534DA" w:rsidRPr="00DD47DF">
              <w:rPr>
                <w:rFonts w:cs="Calibri"/>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p>
        </w:tc>
        <w:tc>
          <w:tcPr>
            <w:tcW w:w="2992" w:type="pct"/>
            <w:shd w:val="clear" w:color="auto" w:fill="auto"/>
          </w:tcPr>
          <w:p w14:paraId="5632911D" w14:textId="77777777" w:rsidR="003252E1" w:rsidRPr="00DD47DF" w:rsidRDefault="003252E1" w:rsidP="0022028B">
            <w:pPr>
              <w:pStyle w:val="Tabulka"/>
              <w:jc w:val="left"/>
              <w:rPr>
                <w:rFonts w:cs="Calibri"/>
                <w:bCs/>
              </w:rPr>
            </w:pPr>
            <w:r w:rsidRPr="00DD47DF">
              <w:rPr>
                <w:rFonts w:cs="Calibri"/>
                <w:bCs/>
                <w:u w:val="single"/>
              </w:rPr>
              <w:t>E</w:t>
            </w:r>
            <w:r w:rsidR="00A82B68" w:rsidRPr="00DD47DF">
              <w:rPr>
                <w:rFonts w:cs="Calibri"/>
                <w:bCs/>
                <w:u w:val="single"/>
              </w:rPr>
              <w:t>U</w:t>
            </w:r>
            <w:r w:rsidRPr="00DD47DF">
              <w:rPr>
                <w:rFonts w:cs="Calibri"/>
                <w:bCs/>
                <w:u w:val="single"/>
              </w:rPr>
              <w:t xml:space="preserve"> 2020</w:t>
            </w:r>
            <w:r w:rsidR="002135F1" w:rsidRPr="00DD47DF">
              <w:rPr>
                <w:rFonts w:cs="Calibri"/>
                <w:bCs/>
              </w:rPr>
              <w:t xml:space="preserve">: </w:t>
            </w:r>
            <w:r w:rsidR="006B691E" w:rsidRPr="00DD47DF">
              <w:rPr>
                <w:rFonts w:cs="Calibri"/>
              </w:rPr>
              <w:t>N</w:t>
            </w:r>
            <w:r w:rsidR="00D25653" w:rsidRPr="00DD47DF">
              <w:rPr>
                <w:rFonts w:cs="Calibri"/>
                <w:bCs/>
              </w:rPr>
              <w:t xml:space="preserve">avýšení investic do </w:t>
            </w:r>
            <w:r w:rsidRPr="00DD47DF">
              <w:rPr>
                <w:rFonts w:cs="Calibri"/>
                <w:bCs/>
              </w:rPr>
              <w:t xml:space="preserve">výzkumu a vývoje </w:t>
            </w:r>
            <w:r w:rsidR="00D25653" w:rsidRPr="00DD47DF">
              <w:rPr>
                <w:rFonts w:cs="Calibri"/>
                <w:bCs/>
              </w:rPr>
              <w:t xml:space="preserve">na úroveň </w:t>
            </w:r>
            <w:r w:rsidRPr="00DD47DF">
              <w:rPr>
                <w:rFonts w:cs="Calibri"/>
                <w:bCs/>
              </w:rPr>
              <w:t>3 % HDP</w:t>
            </w:r>
            <w:r w:rsidR="00CC607A" w:rsidRPr="00DD47DF">
              <w:rPr>
                <w:rFonts w:cs="Calibri"/>
                <w:bCs/>
              </w:rPr>
              <w:t xml:space="preserve"> E</w:t>
            </w:r>
            <w:r w:rsidR="00F27EC3" w:rsidRPr="00DD47DF">
              <w:rPr>
                <w:rFonts w:cs="Calibri"/>
                <w:bCs/>
              </w:rPr>
              <w:t>U</w:t>
            </w:r>
            <w:r w:rsidR="0031231B" w:rsidRPr="00DD47DF">
              <w:rPr>
                <w:rFonts w:cs="Calibri"/>
                <w:bCs/>
              </w:rPr>
              <w:t xml:space="preserve">; stěžejní iniciativa </w:t>
            </w:r>
            <w:r w:rsidR="0031231B" w:rsidRPr="00DD47DF">
              <w:rPr>
                <w:rFonts w:cs="Calibri"/>
                <w:bCs/>
                <w:i/>
              </w:rPr>
              <w:t>Inovace v Unii</w:t>
            </w:r>
          </w:p>
          <w:p w14:paraId="6CF5E55E" w14:textId="77777777" w:rsidR="00A93D30" w:rsidRPr="00DD47DF" w:rsidRDefault="002135F1" w:rsidP="0022028B">
            <w:pPr>
              <w:pStyle w:val="Tabulka"/>
              <w:jc w:val="left"/>
              <w:rPr>
                <w:rFonts w:cs="Calibri"/>
                <w:bCs/>
              </w:rPr>
            </w:pPr>
            <w:r w:rsidRPr="00DD47DF">
              <w:rPr>
                <w:rFonts w:cs="Calibri"/>
                <w:bCs/>
                <w:u w:val="single"/>
              </w:rPr>
              <w:t>N</w:t>
            </w:r>
            <w:r w:rsidR="00A82B68" w:rsidRPr="00DD47DF">
              <w:rPr>
                <w:rFonts w:cs="Calibri"/>
                <w:bCs/>
                <w:u w:val="single"/>
              </w:rPr>
              <w:t>PR</w:t>
            </w:r>
            <w:r w:rsidR="00F20211" w:rsidRPr="00DD47DF">
              <w:rPr>
                <w:rFonts w:cs="Calibri"/>
                <w:bCs/>
                <w:u w:val="single"/>
              </w:rPr>
              <w:t xml:space="preserve"> </w:t>
            </w:r>
            <w:r w:rsidR="00066396" w:rsidRPr="00DD47DF">
              <w:rPr>
                <w:rFonts w:cs="Calibri"/>
                <w:bCs/>
                <w:u w:val="single"/>
              </w:rPr>
              <w:t>201</w:t>
            </w:r>
            <w:r w:rsidR="000D30CB" w:rsidRPr="00DD47DF">
              <w:rPr>
                <w:rFonts w:cs="Calibri"/>
                <w:bCs/>
                <w:u w:val="single"/>
              </w:rPr>
              <w:t>4</w:t>
            </w:r>
            <w:r w:rsidRPr="00DD47DF">
              <w:rPr>
                <w:rFonts w:cs="Calibri"/>
                <w:bCs/>
              </w:rPr>
              <w:t xml:space="preserve">: </w:t>
            </w:r>
            <w:r w:rsidR="000C080E" w:rsidRPr="00DD47DF">
              <w:rPr>
                <w:rFonts w:cs="Calibri"/>
                <w:bCs/>
              </w:rPr>
              <w:t>Posilovat význam výzkumných a inovačních aktivit a produkce s vyšší přidanou hodnotou jako klíčových předpokladů pro zvyšování konkurenceschopnosti českých firem</w:t>
            </w:r>
          </w:p>
          <w:p w14:paraId="306D2D34" w14:textId="77777777" w:rsidR="008E6C8D" w:rsidRPr="00DD47DF" w:rsidRDefault="00CE70D6" w:rsidP="0022028B">
            <w:pPr>
              <w:pStyle w:val="Tabulka"/>
              <w:jc w:val="left"/>
              <w:rPr>
                <w:rFonts w:cs="Calibri"/>
                <w:bCs/>
              </w:rPr>
            </w:pPr>
            <w:r w:rsidRPr="00DD47DF">
              <w:rPr>
                <w:rFonts w:cs="Calibri"/>
                <w:bCs/>
                <w:u w:val="single"/>
              </w:rPr>
              <w:t>Poziční dokument</w:t>
            </w:r>
            <w:r w:rsidRPr="00DD47DF">
              <w:rPr>
                <w:rFonts w:cs="Calibri"/>
                <w:bCs/>
              </w:rPr>
              <w:t xml:space="preserve">: </w:t>
            </w:r>
            <w:r w:rsidR="005522AA" w:rsidRPr="00DD47DF">
              <w:rPr>
                <w:rFonts w:cs="Calibri"/>
                <w:bCs/>
              </w:rPr>
              <w:t>Podpora podnikových investic do výzkumu a inovací, vývoje produktů a služeb, obchodování s výsledky výzkumu, přenosu technologií, rozvoje</w:t>
            </w:r>
            <w:r w:rsidR="00F41CE5" w:rsidRPr="00DD47DF">
              <w:rPr>
                <w:rFonts w:cs="Calibri"/>
                <w:bCs/>
              </w:rPr>
              <w:t xml:space="preserve"> klastrů, aplikovaných inovací, p</w:t>
            </w:r>
            <w:r w:rsidR="005522AA" w:rsidRPr="00DD47DF">
              <w:rPr>
                <w:rFonts w:cs="Calibri"/>
                <w:bCs/>
              </w:rPr>
              <w:t>odpora technolo</w:t>
            </w:r>
            <w:r w:rsidR="00F41CE5" w:rsidRPr="00DD47DF">
              <w:rPr>
                <w:rFonts w:cs="Calibri"/>
                <w:bCs/>
              </w:rPr>
              <w:t>gického a aplikovaného výzkumu</w:t>
            </w:r>
          </w:p>
          <w:p w14:paraId="676BE6A6" w14:textId="77777777" w:rsidR="004E68E5" w:rsidRPr="00DD47DF" w:rsidRDefault="004E68E5" w:rsidP="0022028B">
            <w:pPr>
              <w:pStyle w:val="Tabulka"/>
              <w:jc w:val="left"/>
              <w:rPr>
                <w:rFonts w:cs="Calibri"/>
                <w:bCs/>
              </w:rPr>
            </w:pPr>
            <w:r w:rsidRPr="00DD47DF">
              <w:rPr>
                <w:rFonts w:cs="Calibri"/>
                <w:bCs/>
                <w:u w:val="single"/>
              </w:rPr>
              <w:t>SMK</w:t>
            </w:r>
            <w:r w:rsidRPr="00DD47DF">
              <w:rPr>
                <w:rFonts w:cs="Calibri"/>
                <w:bCs/>
              </w:rPr>
              <w:t>: zvýšení spolupráce mezi podnikovým a VaV sektorem a spolupráce mezi podniky, rozvoj služeb pro inovační podnikání</w:t>
            </w:r>
          </w:p>
          <w:p w14:paraId="317C6870" w14:textId="77777777" w:rsidR="00AD561F" w:rsidRPr="00DD47DF" w:rsidRDefault="00AD561F" w:rsidP="00AD561F">
            <w:pPr>
              <w:pStyle w:val="Tabulka"/>
              <w:jc w:val="left"/>
              <w:rPr>
                <w:rFonts w:cs="Calibri"/>
                <w:bCs/>
              </w:rPr>
            </w:pPr>
            <w:r w:rsidRPr="00DD47DF">
              <w:rPr>
                <w:rFonts w:cs="Calibri"/>
                <w:bCs/>
                <w:u w:val="single"/>
              </w:rPr>
              <w:t>Dohoda o partnerství:</w:t>
            </w:r>
          </w:p>
          <w:p w14:paraId="0CBF6D61" w14:textId="77777777" w:rsidR="00AD561F" w:rsidRPr="00DD47DF" w:rsidRDefault="00AD561F" w:rsidP="00AD561F">
            <w:pPr>
              <w:pStyle w:val="Tabulka"/>
              <w:jc w:val="left"/>
              <w:rPr>
                <w:rFonts w:cs="Calibri"/>
                <w:bCs/>
              </w:rPr>
            </w:pPr>
            <w:r w:rsidRPr="00DD47DF">
              <w:rPr>
                <w:rFonts w:cs="Calibri"/>
                <w:b/>
                <w:bCs/>
              </w:rPr>
              <w:t>Problémová oblast:</w:t>
            </w:r>
            <w:r w:rsidRPr="00DD47DF">
              <w:rPr>
                <w:rFonts w:cs="Calibri"/>
                <w:bCs/>
              </w:rPr>
              <w:t xml:space="preserve"> Výzkumný a inovační systém; </w:t>
            </w:r>
            <w:bookmarkStart w:id="17" w:name="_Toc374702859"/>
            <w:r w:rsidRPr="00DD47DF">
              <w:rPr>
                <w:rFonts w:cs="Calibri"/>
                <w:bCs/>
              </w:rPr>
              <w:t>Konkurenceschopné podniky</w:t>
            </w:r>
            <w:bookmarkEnd w:id="17"/>
          </w:p>
          <w:p w14:paraId="26D3C9CD"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Slabá orientace výzkumu na přínosy pro společnost; Slabý endogenní podnikatelský sektor.</w:t>
            </w:r>
          </w:p>
          <w:p w14:paraId="25F193B8" w14:textId="77777777" w:rsidR="00AD561F" w:rsidRPr="00DD47DF" w:rsidRDefault="00AD561F" w:rsidP="00AD561F">
            <w:pPr>
              <w:pStyle w:val="Tabulka"/>
              <w:jc w:val="left"/>
              <w:rPr>
                <w:rFonts w:cs="Calibri"/>
                <w:bCs/>
              </w:rPr>
            </w:pPr>
            <w:r w:rsidRPr="00DD47DF">
              <w:rPr>
                <w:rFonts w:cs="Calibri"/>
                <w:b/>
                <w:bCs/>
              </w:rPr>
              <w:t xml:space="preserve">Priorita financování: </w:t>
            </w:r>
            <w:r w:rsidRPr="00DD47DF">
              <w:rPr>
                <w:rFonts w:cs="Calibri"/>
                <w:bCs/>
              </w:rPr>
              <w:t>Výzkumný a inovační systém propojený s aplikační sférou a směřující ke komerčně využitelným výsledkům</w:t>
            </w:r>
          </w:p>
        </w:tc>
      </w:tr>
      <w:tr w:rsidR="00066396" w:rsidRPr="00DD47DF" w14:paraId="3E8B0458" w14:textId="77777777">
        <w:trPr>
          <w:jc w:val="center"/>
        </w:trPr>
        <w:tc>
          <w:tcPr>
            <w:tcW w:w="567" w:type="pct"/>
            <w:vMerge w:val="restart"/>
            <w:shd w:val="clear" w:color="auto" w:fill="B8CCE4"/>
            <w:vAlign w:val="center"/>
          </w:tcPr>
          <w:p w14:paraId="44B68FEF" w14:textId="77777777" w:rsidR="00066396" w:rsidRPr="00DD47DF" w:rsidRDefault="009D7E8A" w:rsidP="0022028B">
            <w:pPr>
              <w:pStyle w:val="Tabulka"/>
              <w:jc w:val="left"/>
              <w:rPr>
                <w:rFonts w:cs="Calibri"/>
              </w:rPr>
            </w:pPr>
            <w:r w:rsidRPr="00DD47DF">
              <w:rPr>
                <w:rFonts w:cs="Calibri"/>
              </w:rPr>
              <w:t>2</w:t>
            </w:r>
            <w:r w:rsidR="00CC5E04" w:rsidRPr="00DD47DF">
              <w:rPr>
                <w:rFonts w:cs="Calibri"/>
              </w:rPr>
              <w:t>)</w:t>
            </w:r>
            <w:r w:rsidR="00066396" w:rsidRPr="00DD47DF">
              <w:rPr>
                <w:rFonts w:cs="Calibri"/>
              </w:rPr>
              <w:t xml:space="preserve"> </w:t>
            </w:r>
            <w:r w:rsidR="001B1FD9" w:rsidRPr="00DD47DF">
              <w:rPr>
                <w:rFonts w:cs="Calibri"/>
              </w:rPr>
              <w:t xml:space="preserve">Zlepšení přístupu, využití a kvality informačních a </w:t>
            </w:r>
            <w:r w:rsidR="001B1FD9" w:rsidRPr="00DD47DF">
              <w:rPr>
                <w:rFonts w:cs="Calibri"/>
              </w:rPr>
              <w:lastRenderedPageBreak/>
              <w:t>komunikačních technologií</w:t>
            </w:r>
          </w:p>
          <w:p w14:paraId="2ABCA66E" w14:textId="77777777" w:rsidR="00066396" w:rsidRPr="00DD47DF" w:rsidRDefault="00066396" w:rsidP="0022028B">
            <w:pPr>
              <w:pStyle w:val="Tabulka"/>
              <w:jc w:val="left"/>
              <w:rPr>
                <w:rFonts w:cs="Calibri"/>
              </w:rPr>
            </w:pPr>
          </w:p>
        </w:tc>
        <w:tc>
          <w:tcPr>
            <w:tcW w:w="1441" w:type="pct"/>
            <w:shd w:val="clear" w:color="auto" w:fill="DBE5F1"/>
            <w:vAlign w:val="center"/>
          </w:tcPr>
          <w:p w14:paraId="2249A54D" w14:textId="77777777" w:rsidR="00066396" w:rsidRPr="00DD47DF" w:rsidRDefault="00B54D2B" w:rsidP="0022028B">
            <w:pPr>
              <w:pStyle w:val="Tabulka"/>
              <w:jc w:val="left"/>
              <w:rPr>
                <w:rFonts w:cs="Calibri"/>
              </w:rPr>
            </w:pPr>
            <w:r w:rsidRPr="00DD47DF">
              <w:rPr>
                <w:rFonts w:cs="Calibri"/>
              </w:rPr>
              <w:lastRenderedPageBreak/>
              <w:t xml:space="preserve">2 a) </w:t>
            </w:r>
            <w:r w:rsidR="00066396" w:rsidRPr="00DD47DF">
              <w:rPr>
                <w:rFonts w:cs="Calibri"/>
              </w:rPr>
              <w:t>Rozšiřování širokopásmového připojení a zavádění vysokorychlostních sítí a podpora zavádění vznikajících technologií a sítí pro digitální hospodářství</w:t>
            </w:r>
          </w:p>
        </w:tc>
        <w:tc>
          <w:tcPr>
            <w:tcW w:w="2992" w:type="pct"/>
            <w:shd w:val="clear" w:color="auto" w:fill="auto"/>
          </w:tcPr>
          <w:p w14:paraId="7E573E8E" w14:textId="77777777" w:rsidR="0031231B" w:rsidRPr="00DD47DF" w:rsidRDefault="0031231B" w:rsidP="001B092B">
            <w:pPr>
              <w:pStyle w:val="Tabulka"/>
              <w:jc w:val="left"/>
              <w:rPr>
                <w:rFonts w:cs="Calibri"/>
                <w:bCs/>
                <w:u w:val="single"/>
              </w:rPr>
            </w:pPr>
            <w:r w:rsidRPr="00DD47DF">
              <w:rPr>
                <w:rFonts w:cs="Calibri"/>
                <w:bCs/>
                <w:u w:val="single"/>
              </w:rPr>
              <w:t>EU 2020</w:t>
            </w:r>
            <w:r w:rsidRPr="00DD47DF">
              <w:rPr>
                <w:rFonts w:cs="Calibri"/>
                <w:bCs/>
              </w:rPr>
              <w:t xml:space="preserve">: Stěžejní </w:t>
            </w:r>
            <w:r w:rsidRPr="00DD47DF">
              <w:rPr>
                <w:rFonts w:cs="Calibri"/>
              </w:rPr>
              <w:t xml:space="preserve">iniciativa </w:t>
            </w:r>
            <w:r w:rsidRPr="00DD47DF">
              <w:rPr>
                <w:rFonts w:cs="Calibri"/>
                <w:i/>
              </w:rPr>
              <w:t>Digitální agenda pro Evropu</w:t>
            </w:r>
          </w:p>
          <w:p w14:paraId="7407C7A4" w14:textId="77777777" w:rsidR="001B092B" w:rsidRPr="00DD47DF" w:rsidRDefault="001B092B" w:rsidP="001B092B">
            <w:pPr>
              <w:pStyle w:val="Tabulka"/>
              <w:jc w:val="left"/>
              <w:rPr>
                <w:rFonts w:cs="Calibri"/>
                <w:bCs/>
              </w:rPr>
            </w:pPr>
            <w:r w:rsidRPr="00DD47DF">
              <w:rPr>
                <w:rFonts w:cs="Calibri"/>
                <w:bCs/>
                <w:u w:val="single"/>
              </w:rPr>
              <w:t>NPR 201</w:t>
            </w:r>
            <w:r w:rsidR="000C080E" w:rsidRPr="00DD47DF">
              <w:rPr>
                <w:rFonts w:cs="Calibri"/>
                <w:bCs/>
                <w:u w:val="single"/>
              </w:rPr>
              <w:t>4</w:t>
            </w:r>
            <w:r w:rsidRPr="00DD47DF">
              <w:rPr>
                <w:rFonts w:cs="Calibri"/>
                <w:bCs/>
              </w:rPr>
              <w:t xml:space="preserve">: </w:t>
            </w:r>
            <w:r w:rsidR="000C080E" w:rsidRPr="00DD47DF">
              <w:rPr>
                <w:rFonts w:cs="Calibri"/>
                <w:bCs/>
              </w:rPr>
              <w:t>Podpora výstavby vysokorychlostních sítí elektronických komunikací</w:t>
            </w:r>
          </w:p>
          <w:p w14:paraId="6982DABB" w14:textId="77777777" w:rsidR="001B092B" w:rsidRPr="00DD47DF" w:rsidRDefault="001B092B" w:rsidP="001B092B">
            <w:pPr>
              <w:pStyle w:val="Tabulka"/>
              <w:jc w:val="left"/>
              <w:rPr>
                <w:rFonts w:cs="Calibri"/>
                <w:bCs/>
              </w:rPr>
            </w:pPr>
            <w:r w:rsidRPr="00DD47DF">
              <w:rPr>
                <w:rFonts w:cs="Calibri"/>
                <w:bCs/>
                <w:u w:val="single"/>
              </w:rPr>
              <w:t>SMK</w:t>
            </w:r>
            <w:r w:rsidRPr="00DD47DF">
              <w:rPr>
                <w:rFonts w:cs="Calibri"/>
                <w:bCs/>
              </w:rPr>
              <w:t xml:space="preserve">: Rozšíření přístupu k vysokorychlostnímu internetu, a to jak ve všech obydlených, tak v </w:t>
            </w:r>
            <w:r w:rsidRPr="00DD47DF">
              <w:rPr>
                <w:rFonts w:cs="Calibri"/>
                <w:bCs/>
              </w:rPr>
              <w:lastRenderedPageBreak/>
              <w:t>méně dostupných lokalitách, aby byla zvýšena možnost podnikání s využitím internetu</w:t>
            </w:r>
          </w:p>
          <w:p w14:paraId="5C0E3763" w14:textId="77777777" w:rsidR="00066396" w:rsidRPr="00DD47DF" w:rsidRDefault="001B092B" w:rsidP="001B092B">
            <w:pPr>
              <w:pStyle w:val="Tabulka"/>
              <w:jc w:val="left"/>
              <w:rPr>
                <w:rFonts w:cs="Calibri"/>
                <w:bCs/>
              </w:rPr>
            </w:pPr>
            <w:r w:rsidRPr="00DD47DF">
              <w:rPr>
                <w:rFonts w:cs="Calibri"/>
                <w:bCs/>
                <w:u w:val="single"/>
              </w:rPr>
              <w:t>Digitální Česko 2</w:t>
            </w:r>
            <w:r w:rsidRPr="00DD47DF">
              <w:rPr>
                <w:rFonts w:cs="Calibri"/>
                <w:bCs/>
              </w:rPr>
              <w:t>: Rozvíjet vysokorychlostní přístupové sítě k internetu umožňující přenosové rychlosti 30 Mbit/s do roku 2020 pro všechny obyvatele a 100 Mbit/s minimálně pro polovinu domácností</w:t>
            </w:r>
          </w:p>
          <w:p w14:paraId="286FA9AF"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5ECD5472"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ICT infrastruktura</w:t>
            </w:r>
          </w:p>
          <w:p w14:paraId="062D8A43"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Nedostatečné pokrytí vysokorychlostním internetem především venkovského území</w:t>
            </w:r>
          </w:p>
          <w:p w14:paraId="1C1DCE96" w14:textId="77777777" w:rsidR="00AD561F" w:rsidRPr="00DD47DF" w:rsidRDefault="00AD561F" w:rsidP="00AD561F">
            <w:pPr>
              <w:pStyle w:val="Tabulka"/>
              <w:jc w:val="left"/>
              <w:rPr>
                <w:rFonts w:cs="Calibri"/>
                <w:bCs/>
                <w:u w:val="single"/>
              </w:rPr>
            </w:pPr>
            <w:r w:rsidRPr="00DD47DF">
              <w:rPr>
                <w:rFonts w:cs="Calibri"/>
                <w:b/>
                <w:bCs/>
              </w:rPr>
              <w:t>Priorita financování:</w:t>
            </w:r>
            <w:r w:rsidRPr="00DD47DF">
              <w:rPr>
                <w:b/>
                <w:szCs w:val="24"/>
              </w:rPr>
              <w:t xml:space="preserve"> </w:t>
            </w:r>
            <w:r w:rsidRPr="00DD47DF">
              <w:rPr>
                <w:szCs w:val="24"/>
              </w:rPr>
              <w:t>Udržitelná infrastruktura umožňující konkurenceschopnost ekonomiky a odpovídající obslužnost území</w:t>
            </w:r>
          </w:p>
        </w:tc>
      </w:tr>
      <w:tr w:rsidR="00066396" w:rsidRPr="00DD47DF" w14:paraId="0687F307" w14:textId="77777777">
        <w:trPr>
          <w:jc w:val="center"/>
        </w:trPr>
        <w:tc>
          <w:tcPr>
            <w:tcW w:w="567" w:type="pct"/>
            <w:vMerge/>
            <w:shd w:val="clear" w:color="auto" w:fill="B8CCE4"/>
            <w:vAlign w:val="center"/>
          </w:tcPr>
          <w:p w14:paraId="7632721E" w14:textId="77777777" w:rsidR="00066396" w:rsidRPr="00DD47DF" w:rsidRDefault="00066396" w:rsidP="0022028B">
            <w:pPr>
              <w:pStyle w:val="Tabulka"/>
              <w:jc w:val="left"/>
              <w:rPr>
                <w:rFonts w:cs="Calibri"/>
              </w:rPr>
            </w:pPr>
          </w:p>
        </w:tc>
        <w:tc>
          <w:tcPr>
            <w:tcW w:w="1441" w:type="pct"/>
            <w:shd w:val="clear" w:color="auto" w:fill="DBE5F1"/>
            <w:vAlign w:val="center"/>
          </w:tcPr>
          <w:p w14:paraId="0850D40D" w14:textId="77777777" w:rsidR="00066396" w:rsidRPr="00DD47DF" w:rsidRDefault="00B54D2B" w:rsidP="0022028B">
            <w:pPr>
              <w:pStyle w:val="Tabulka"/>
              <w:jc w:val="left"/>
              <w:rPr>
                <w:rFonts w:cs="Calibri"/>
              </w:rPr>
            </w:pPr>
            <w:r w:rsidRPr="00DD47DF">
              <w:rPr>
                <w:rFonts w:cs="Calibri"/>
              </w:rPr>
              <w:t xml:space="preserve">2 b) </w:t>
            </w:r>
            <w:r w:rsidR="007A45F6" w:rsidRPr="00DD47DF">
              <w:rPr>
                <w:rFonts w:cs="Calibri"/>
              </w:rPr>
              <w:t>Vyvíjení produktů a služeb v oblasti IKT, elektronický obchod a zvyšování poptávky po IKT</w:t>
            </w:r>
          </w:p>
          <w:p w14:paraId="1FE3A09C" w14:textId="77777777" w:rsidR="00066396" w:rsidRPr="00DD47DF" w:rsidRDefault="00066396" w:rsidP="0022028B">
            <w:pPr>
              <w:pStyle w:val="Tabulka"/>
              <w:jc w:val="left"/>
              <w:rPr>
                <w:rFonts w:cs="Calibri"/>
              </w:rPr>
            </w:pPr>
          </w:p>
        </w:tc>
        <w:tc>
          <w:tcPr>
            <w:tcW w:w="2992" w:type="pct"/>
            <w:shd w:val="clear" w:color="auto" w:fill="auto"/>
          </w:tcPr>
          <w:p w14:paraId="7A9548C0" w14:textId="77777777" w:rsidR="00A863BB" w:rsidRPr="00DD47DF" w:rsidRDefault="00A863BB" w:rsidP="0022028B">
            <w:pPr>
              <w:pStyle w:val="Tabulka"/>
              <w:jc w:val="left"/>
              <w:rPr>
                <w:rFonts w:cs="Calibri"/>
              </w:rPr>
            </w:pPr>
            <w:r w:rsidRPr="00DD47DF">
              <w:rPr>
                <w:rFonts w:cs="Calibri"/>
                <w:bCs/>
                <w:u w:val="single"/>
              </w:rPr>
              <w:t>N</w:t>
            </w:r>
            <w:r w:rsidR="001B092B" w:rsidRPr="00DD47DF">
              <w:rPr>
                <w:rFonts w:cs="Calibri"/>
                <w:bCs/>
                <w:u w:val="single"/>
              </w:rPr>
              <w:t>PR</w:t>
            </w:r>
            <w:r w:rsidRPr="00DD47DF">
              <w:rPr>
                <w:rFonts w:cs="Calibri"/>
                <w:bCs/>
                <w:u w:val="single"/>
              </w:rPr>
              <w:t xml:space="preserve"> 201</w:t>
            </w:r>
            <w:r w:rsidR="000C080E" w:rsidRPr="00DD47DF">
              <w:rPr>
                <w:rFonts w:cs="Calibri"/>
                <w:bCs/>
                <w:u w:val="single"/>
              </w:rPr>
              <w:t>4</w:t>
            </w:r>
            <w:r w:rsidRPr="00DD47DF">
              <w:rPr>
                <w:rFonts w:cs="Calibri"/>
                <w:bCs/>
              </w:rPr>
              <w:t>:</w:t>
            </w:r>
            <w:r w:rsidRPr="00DD47DF">
              <w:rPr>
                <w:rFonts w:cs="Calibri"/>
              </w:rPr>
              <w:t xml:space="preserve"> </w:t>
            </w:r>
            <w:r w:rsidR="000C080E" w:rsidRPr="00DD47DF">
              <w:rPr>
                <w:rFonts w:cs="Calibri"/>
                <w:bCs/>
              </w:rPr>
              <w:t>Podpora zvyšování dostupnosti ICT</w:t>
            </w:r>
          </w:p>
          <w:p w14:paraId="4C14E3E9" w14:textId="77777777" w:rsidR="00F41CE5" w:rsidRPr="00DD47DF" w:rsidRDefault="00F41CE5" w:rsidP="00F41CE5">
            <w:pPr>
              <w:pStyle w:val="Tabulka"/>
              <w:jc w:val="left"/>
              <w:rPr>
                <w:rFonts w:cs="Calibri"/>
                <w:bCs/>
              </w:rPr>
            </w:pPr>
            <w:r w:rsidRPr="00DD47DF">
              <w:rPr>
                <w:rFonts w:cs="Calibri"/>
                <w:bCs/>
                <w:u w:val="single"/>
              </w:rPr>
              <w:t>Poziční dokument</w:t>
            </w:r>
            <w:r w:rsidRPr="00DD47DF">
              <w:rPr>
                <w:rFonts w:cs="Calibri"/>
                <w:bCs/>
              </w:rPr>
              <w:t>: Rozvoj digitálních služeb a kompetencí a kvality informačních a komunikačních technologií</w:t>
            </w:r>
            <w:r w:rsidR="001B092B" w:rsidRPr="00DD47DF">
              <w:rPr>
                <w:rFonts w:cs="Calibri"/>
                <w:bCs/>
              </w:rPr>
              <w:t xml:space="preserve"> a lepší přístup ke školení, poradenství a službám v rámci ICT pro malé a střední podniky</w:t>
            </w:r>
          </w:p>
          <w:p w14:paraId="58784CB7" w14:textId="77777777" w:rsidR="00066396" w:rsidRPr="00DD47DF" w:rsidRDefault="00066396" w:rsidP="001B092B">
            <w:pPr>
              <w:pStyle w:val="Tabulka"/>
              <w:jc w:val="left"/>
              <w:rPr>
                <w:rFonts w:cs="Calibri"/>
                <w:bCs/>
              </w:rPr>
            </w:pPr>
            <w:r w:rsidRPr="00DD47DF">
              <w:rPr>
                <w:rFonts w:cs="Calibri"/>
                <w:bCs/>
                <w:u w:val="single"/>
              </w:rPr>
              <w:t xml:space="preserve">Koncepce podpory </w:t>
            </w:r>
            <w:r w:rsidR="001B092B" w:rsidRPr="00DD47DF">
              <w:rPr>
                <w:rFonts w:cs="Calibri"/>
                <w:bCs/>
                <w:u w:val="single"/>
              </w:rPr>
              <w:t>MSP</w:t>
            </w:r>
            <w:r w:rsidRPr="00DD47DF">
              <w:rPr>
                <w:rFonts w:cs="Calibri"/>
                <w:bCs/>
              </w:rPr>
              <w:t xml:space="preserve">: </w:t>
            </w:r>
            <w:r w:rsidR="001B092B" w:rsidRPr="00DD47DF">
              <w:rPr>
                <w:rFonts w:cs="Calibri"/>
                <w:bCs/>
              </w:rPr>
              <w:t xml:space="preserve">Podpora aktivit zaměřených na rozvoj digitální ekonomiky, neboť </w:t>
            </w:r>
            <w:r w:rsidR="00197903" w:rsidRPr="00DD47DF">
              <w:rPr>
                <w:rFonts w:cs="Calibri"/>
                <w:bCs/>
              </w:rPr>
              <w:t>ICT technologie podporují inovační procesy</w:t>
            </w:r>
            <w:r w:rsidR="001B092B" w:rsidRPr="00DD47DF">
              <w:rPr>
                <w:rFonts w:cs="Calibri"/>
                <w:bCs/>
              </w:rPr>
              <w:t>;</w:t>
            </w:r>
            <w:r w:rsidR="00197903" w:rsidRPr="00DD47DF">
              <w:rPr>
                <w:rFonts w:cs="Calibri"/>
                <w:bCs/>
              </w:rPr>
              <w:t xml:space="preserve"> rozvoj ICT v</w:t>
            </w:r>
            <w:r w:rsidR="008476DD" w:rsidRPr="00DD47DF">
              <w:rPr>
                <w:rFonts w:cs="Calibri"/>
                <w:bCs/>
              </w:rPr>
              <w:t> </w:t>
            </w:r>
            <w:r w:rsidR="00197903" w:rsidRPr="00DD47DF">
              <w:rPr>
                <w:rFonts w:cs="Calibri"/>
                <w:bCs/>
              </w:rPr>
              <w:t>podnicích</w:t>
            </w:r>
            <w:r w:rsidR="008476DD" w:rsidRPr="00DD47DF">
              <w:rPr>
                <w:rFonts w:cs="Calibri"/>
                <w:bCs/>
              </w:rPr>
              <w:t xml:space="preserve"> a centr</w:t>
            </w:r>
            <w:r w:rsidR="001B092B" w:rsidRPr="00DD47DF">
              <w:rPr>
                <w:rFonts w:cs="Calibri"/>
                <w:bCs/>
              </w:rPr>
              <w:t>ech</w:t>
            </w:r>
            <w:r w:rsidR="008476DD" w:rsidRPr="00DD47DF">
              <w:rPr>
                <w:rFonts w:cs="Calibri"/>
                <w:bCs/>
              </w:rPr>
              <w:t xml:space="preserve"> progresivních ICT služeb</w:t>
            </w:r>
          </w:p>
          <w:p w14:paraId="1A23F7FA"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70ECF015"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w:t>
            </w:r>
            <w:r w:rsidR="00CC45C6" w:rsidRPr="00DD47DF">
              <w:rPr>
                <w:rFonts w:cs="Calibri"/>
                <w:bCs/>
              </w:rPr>
              <w:t>I</w:t>
            </w:r>
            <w:r w:rsidRPr="00DD47DF">
              <w:rPr>
                <w:rFonts w:cs="Calibri"/>
                <w:bCs/>
              </w:rPr>
              <w:t>CT infrastruktura</w:t>
            </w:r>
          </w:p>
          <w:p w14:paraId="4CC353A8"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Nedostatečná nabídka ICT služeb </w:t>
            </w:r>
          </w:p>
          <w:p w14:paraId="7C6D41F3" w14:textId="77777777" w:rsidR="00AD561F" w:rsidRPr="00DD47DF" w:rsidRDefault="00AD561F" w:rsidP="00AD561F">
            <w:pPr>
              <w:pStyle w:val="Tabulka"/>
              <w:jc w:val="left"/>
              <w:rPr>
                <w:rFonts w:cs="Calibri"/>
              </w:rPr>
            </w:pPr>
            <w:r w:rsidRPr="00DD47DF">
              <w:rPr>
                <w:rFonts w:cs="Calibri"/>
                <w:b/>
                <w:bCs/>
              </w:rPr>
              <w:t>Priorita financování:</w:t>
            </w:r>
            <w:r w:rsidRPr="00DD47DF">
              <w:rPr>
                <w:b/>
                <w:szCs w:val="24"/>
              </w:rPr>
              <w:t xml:space="preserve"> </w:t>
            </w:r>
            <w:r w:rsidRPr="00DD47DF">
              <w:rPr>
                <w:szCs w:val="24"/>
              </w:rPr>
              <w:t xml:space="preserve">Udržitelná infrastruktura umožňující konkurenceschopnost ekonomiky </w:t>
            </w:r>
            <w:r w:rsidR="00CC45C6" w:rsidRPr="00DD47DF">
              <w:rPr>
                <w:szCs w:val="24"/>
              </w:rPr>
              <w:t>a odpovídající obslužnost území</w:t>
            </w:r>
          </w:p>
        </w:tc>
      </w:tr>
      <w:tr w:rsidR="00A863BB" w:rsidRPr="00DD47DF" w14:paraId="0D50544F" w14:textId="77777777">
        <w:trPr>
          <w:jc w:val="center"/>
        </w:trPr>
        <w:tc>
          <w:tcPr>
            <w:tcW w:w="567" w:type="pct"/>
            <w:vMerge w:val="restart"/>
            <w:shd w:val="clear" w:color="auto" w:fill="B8CCE4"/>
            <w:vAlign w:val="center"/>
          </w:tcPr>
          <w:p w14:paraId="28830ED0" w14:textId="77777777" w:rsidR="00A863BB" w:rsidRPr="00DD47DF" w:rsidRDefault="009D7E8A" w:rsidP="0022028B">
            <w:pPr>
              <w:pStyle w:val="Tabulka"/>
              <w:jc w:val="left"/>
              <w:rPr>
                <w:rFonts w:cs="Calibri"/>
              </w:rPr>
            </w:pPr>
            <w:r w:rsidRPr="00DD47DF">
              <w:rPr>
                <w:rFonts w:cs="Calibri"/>
              </w:rPr>
              <w:t>3</w:t>
            </w:r>
            <w:r w:rsidR="00CC5E04" w:rsidRPr="00DD47DF">
              <w:rPr>
                <w:rFonts w:cs="Calibri"/>
              </w:rPr>
              <w:t>)</w:t>
            </w:r>
            <w:r w:rsidR="00A863BB" w:rsidRPr="00DD47DF">
              <w:rPr>
                <w:rFonts w:cs="Calibri"/>
              </w:rPr>
              <w:t xml:space="preserve"> Zvýšení konkurenceschopnosti malých a středních podniků, odvětví zemědělství (v </w:t>
            </w:r>
            <w:r w:rsidR="00A863BB" w:rsidRPr="00DD47DF">
              <w:rPr>
                <w:rFonts w:cs="Calibri"/>
              </w:rPr>
              <w:lastRenderedPageBreak/>
              <w:t xml:space="preserve">případě EZFRV) a rybářství a akvakultury (v případě </w:t>
            </w:r>
            <w:r w:rsidR="001B1FD9" w:rsidRPr="00DD47DF">
              <w:rPr>
                <w:rFonts w:cs="Calibri"/>
              </w:rPr>
              <w:t>EMFF</w:t>
            </w:r>
            <w:r w:rsidR="00A863BB" w:rsidRPr="00DD47DF">
              <w:rPr>
                <w:rFonts w:cs="Calibri"/>
              </w:rPr>
              <w:t>)</w:t>
            </w:r>
          </w:p>
          <w:p w14:paraId="46DC0F0A" w14:textId="77777777" w:rsidR="00A863BB" w:rsidRPr="00DD47DF" w:rsidRDefault="00A863BB" w:rsidP="0022028B">
            <w:pPr>
              <w:pStyle w:val="Tabulka"/>
              <w:jc w:val="left"/>
              <w:rPr>
                <w:rFonts w:cs="Calibri"/>
              </w:rPr>
            </w:pPr>
          </w:p>
        </w:tc>
        <w:tc>
          <w:tcPr>
            <w:tcW w:w="1441" w:type="pct"/>
            <w:shd w:val="clear" w:color="auto" w:fill="DBE5F1"/>
            <w:vAlign w:val="center"/>
          </w:tcPr>
          <w:p w14:paraId="0339C56F" w14:textId="77777777" w:rsidR="00A863BB" w:rsidRPr="00DD47DF" w:rsidRDefault="00B54D2B" w:rsidP="00F27EC3">
            <w:pPr>
              <w:pStyle w:val="Tabulka"/>
              <w:jc w:val="left"/>
              <w:rPr>
                <w:rFonts w:cs="Calibri"/>
              </w:rPr>
            </w:pPr>
            <w:r w:rsidRPr="00DD47DF">
              <w:rPr>
                <w:rFonts w:cs="Calibri"/>
              </w:rPr>
              <w:lastRenderedPageBreak/>
              <w:t xml:space="preserve">3 a) </w:t>
            </w:r>
            <w:r w:rsidR="00DB5E8B" w:rsidRPr="00DD47DF">
              <w:rPr>
                <w:rFonts w:cs="Calibri"/>
              </w:rPr>
              <w:t>P</w:t>
            </w:r>
            <w:r w:rsidR="00F27EC3" w:rsidRPr="00DD47DF">
              <w:rPr>
                <w:rFonts w:cs="Calibri"/>
              </w:rPr>
              <w:t>odpora podnikání, zejména usnadněním hospodářského využívání nových myšlenek a podporou zakládání nových firem</w:t>
            </w:r>
            <w:r w:rsidR="00A863BB" w:rsidRPr="00DD47DF">
              <w:rPr>
                <w:rFonts w:cs="Calibri"/>
              </w:rPr>
              <w:t>, mimo jiné prostřednictvím podnikatelských inkubátorů</w:t>
            </w:r>
          </w:p>
        </w:tc>
        <w:tc>
          <w:tcPr>
            <w:tcW w:w="2992" w:type="pct"/>
            <w:shd w:val="clear" w:color="auto" w:fill="auto"/>
          </w:tcPr>
          <w:p w14:paraId="5A57DBC9" w14:textId="77777777" w:rsidR="00F27EC3" w:rsidRPr="00DD47DF" w:rsidRDefault="00F27EC3" w:rsidP="0022028B">
            <w:pPr>
              <w:pStyle w:val="Tabulka"/>
              <w:jc w:val="left"/>
              <w:rPr>
                <w:rFonts w:cs="Calibri"/>
                <w:bCs/>
                <w:u w:val="single"/>
              </w:rPr>
            </w:pPr>
            <w:r w:rsidRPr="00DD47DF">
              <w:rPr>
                <w:rFonts w:cs="Calibri"/>
                <w:bCs/>
                <w:u w:val="single"/>
              </w:rPr>
              <w:t>EU 2020</w:t>
            </w:r>
            <w:r w:rsidRPr="00DD47DF">
              <w:rPr>
                <w:rFonts w:cs="Calibri"/>
                <w:bCs/>
              </w:rPr>
              <w:t xml:space="preserve">: Zvýšit zaměstnanost v kategorii 20–64 let na 75 %, stěžejní iniciativa </w:t>
            </w:r>
            <w:r w:rsidRPr="00DD47DF">
              <w:rPr>
                <w:rFonts w:cs="Calibri"/>
                <w:bCs/>
                <w:i/>
              </w:rPr>
              <w:t>Průmyslová politika pro éru globalizace</w:t>
            </w:r>
          </w:p>
          <w:p w14:paraId="77978B28" w14:textId="77777777" w:rsidR="00674E89" w:rsidRPr="00DD47DF" w:rsidRDefault="00674E89" w:rsidP="0022028B">
            <w:pPr>
              <w:pStyle w:val="Tabulka"/>
              <w:jc w:val="left"/>
              <w:rPr>
                <w:rFonts w:cs="Calibri"/>
                <w:bCs/>
              </w:rPr>
            </w:pPr>
            <w:r w:rsidRPr="00DD47DF">
              <w:rPr>
                <w:rFonts w:cs="Calibri"/>
                <w:bCs/>
                <w:u w:val="single"/>
              </w:rPr>
              <w:t>N</w:t>
            </w:r>
            <w:r w:rsidR="00CE6947" w:rsidRPr="00DD47DF">
              <w:rPr>
                <w:rFonts w:cs="Calibri"/>
                <w:bCs/>
                <w:u w:val="single"/>
              </w:rPr>
              <w:t>PR</w:t>
            </w:r>
            <w:r w:rsidRPr="00DD47DF">
              <w:rPr>
                <w:rFonts w:cs="Calibri"/>
                <w:bCs/>
                <w:u w:val="single"/>
              </w:rPr>
              <w:t xml:space="preserve"> 201</w:t>
            </w:r>
            <w:r w:rsidR="000C080E" w:rsidRPr="00DD47DF">
              <w:rPr>
                <w:rFonts w:cs="Calibri"/>
                <w:bCs/>
                <w:u w:val="single"/>
              </w:rPr>
              <w:t>4</w:t>
            </w:r>
            <w:r w:rsidRPr="00DD47DF">
              <w:rPr>
                <w:rFonts w:cs="Calibri"/>
                <w:bCs/>
              </w:rPr>
              <w:t xml:space="preserve">: </w:t>
            </w:r>
            <w:r w:rsidR="001B7C6F" w:rsidRPr="00DD47DF">
              <w:rPr>
                <w:rFonts w:cs="Calibri"/>
                <w:bCs/>
              </w:rPr>
              <w:t>Rozvoj malých a středních podniků, včetně podpory rozvojového a provozního financování</w:t>
            </w:r>
          </w:p>
          <w:p w14:paraId="0BC265E9"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05361C" w:rsidRPr="00DD47DF">
              <w:rPr>
                <w:rFonts w:cs="Calibri"/>
                <w:bCs/>
              </w:rPr>
              <w:t xml:space="preserve">Rozvoj služeb poradenství </w:t>
            </w:r>
            <w:r w:rsidR="00D311DF" w:rsidRPr="00DD47DF">
              <w:rPr>
                <w:rFonts w:cs="Calibri"/>
                <w:bCs/>
              </w:rPr>
              <w:t>při</w:t>
            </w:r>
            <w:r w:rsidR="0005361C" w:rsidRPr="00DD47DF">
              <w:rPr>
                <w:rFonts w:cs="Calibri"/>
                <w:bCs/>
              </w:rPr>
              <w:t xml:space="preserve"> zakládání nových podniků; </w:t>
            </w:r>
            <w:r w:rsidR="00D311DF" w:rsidRPr="00DD47DF">
              <w:rPr>
                <w:rFonts w:cs="Calibri"/>
                <w:bCs/>
              </w:rPr>
              <w:t>v</w:t>
            </w:r>
            <w:r w:rsidR="004B2B4D" w:rsidRPr="00DD47DF">
              <w:rPr>
                <w:rFonts w:cs="Calibri"/>
                <w:bCs/>
              </w:rPr>
              <w:t xml:space="preserve">ytvoření škály finančních nástrojů na podporu zakládání nových </w:t>
            </w:r>
            <w:r w:rsidR="00D311DF" w:rsidRPr="00DD47DF">
              <w:rPr>
                <w:rFonts w:cs="Calibri"/>
                <w:bCs/>
              </w:rPr>
              <w:t>podniků</w:t>
            </w:r>
            <w:r w:rsidR="004B2B4D" w:rsidRPr="00DD47DF">
              <w:rPr>
                <w:rFonts w:cs="Calibri"/>
                <w:bCs/>
              </w:rPr>
              <w:t xml:space="preserve"> a pro rozvoj stávajících </w:t>
            </w:r>
            <w:r w:rsidR="00D311DF" w:rsidRPr="00DD47DF">
              <w:rPr>
                <w:rFonts w:cs="Calibri"/>
                <w:bCs/>
              </w:rPr>
              <w:t>firem</w:t>
            </w:r>
            <w:r w:rsidR="004B2B4D" w:rsidRPr="00DD47DF">
              <w:rPr>
                <w:rFonts w:cs="Calibri"/>
                <w:bCs/>
              </w:rPr>
              <w:t xml:space="preserve"> </w:t>
            </w:r>
            <w:r w:rsidR="004B2B4D" w:rsidRPr="00DD47DF">
              <w:rPr>
                <w:rFonts w:cs="Calibri"/>
                <w:bCs/>
              </w:rPr>
              <w:lastRenderedPageBreak/>
              <w:t>s potenciálem růstu</w:t>
            </w:r>
          </w:p>
          <w:p w14:paraId="3BCC502B" w14:textId="77777777" w:rsidR="00F27EC3" w:rsidRPr="00DD47DF" w:rsidRDefault="00F27EC3" w:rsidP="0022028B">
            <w:pPr>
              <w:pStyle w:val="Tabulka"/>
              <w:jc w:val="left"/>
              <w:rPr>
                <w:rFonts w:cs="Calibri"/>
                <w:bCs/>
              </w:rPr>
            </w:pPr>
            <w:r w:rsidRPr="00DD47DF">
              <w:rPr>
                <w:rFonts w:cs="Calibri"/>
                <w:bCs/>
                <w:u w:val="single"/>
              </w:rPr>
              <w:t>SMK</w:t>
            </w:r>
            <w:r w:rsidRPr="00DD47DF">
              <w:rPr>
                <w:rFonts w:cs="Calibri"/>
                <w:bCs/>
              </w:rPr>
              <w:t>: Rozvoj alternativních zdrojů financování pro podnikatelské záměry (např. seed fond)</w:t>
            </w:r>
          </w:p>
          <w:p w14:paraId="282C6820" w14:textId="77777777" w:rsidR="00A863BB" w:rsidRPr="00DD47DF" w:rsidRDefault="000075B7" w:rsidP="00CE6947">
            <w:pPr>
              <w:pStyle w:val="Tabulka"/>
              <w:jc w:val="left"/>
              <w:rPr>
                <w:rFonts w:cs="Calibri"/>
                <w:bCs/>
              </w:rPr>
            </w:pPr>
            <w:r w:rsidRPr="00DD47DF">
              <w:rPr>
                <w:rFonts w:cs="Calibri"/>
                <w:bCs/>
                <w:u w:val="single"/>
              </w:rPr>
              <w:t>Koncepce podpory MSP</w:t>
            </w:r>
            <w:r w:rsidRPr="00DD47DF">
              <w:rPr>
                <w:rFonts w:cs="Calibri"/>
                <w:bCs/>
              </w:rPr>
              <w:t xml:space="preserve">: Za </w:t>
            </w:r>
            <w:r w:rsidR="00F27EC3" w:rsidRPr="00DD47DF">
              <w:rPr>
                <w:rFonts w:cs="Calibri"/>
                <w:bCs/>
              </w:rPr>
              <w:t>jeden z podstatných nedostatků</w:t>
            </w:r>
            <w:r w:rsidRPr="00DD47DF">
              <w:rPr>
                <w:rFonts w:cs="Calibri"/>
                <w:bCs/>
              </w:rPr>
              <w:t xml:space="preserve"> inovačního systému ČR lze považovat</w:t>
            </w:r>
            <w:r w:rsidR="00E97A52" w:rsidRPr="00DD47DF">
              <w:rPr>
                <w:rFonts w:cs="Calibri"/>
                <w:bCs/>
              </w:rPr>
              <w:t xml:space="preserve"> relativně nižší dostupnost finančních zdrojů </w:t>
            </w:r>
            <w:r w:rsidR="00CE6947" w:rsidRPr="00DD47DF">
              <w:rPr>
                <w:rFonts w:cs="Calibri"/>
                <w:bCs/>
              </w:rPr>
              <w:t>ve formě rizikového kapitálu</w:t>
            </w:r>
          </w:p>
          <w:p w14:paraId="4AA359AF"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77B4620B"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5E22272C"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5F45A178" w14:textId="77777777" w:rsidR="00AD561F" w:rsidRPr="00DD47DF" w:rsidRDefault="00AD561F" w:rsidP="00AD561F">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w:t>
            </w:r>
            <w:r w:rsidR="00CC45C6" w:rsidRPr="00DD47DF">
              <w:rPr>
                <w:szCs w:val="24"/>
              </w:rPr>
              <w:t xml:space="preserve"> k nízkouhlíkovému hospodářství</w:t>
            </w:r>
          </w:p>
        </w:tc>
      </w:tr>
      <w:tr w:rsidR="00A863BB" w:rsidRPr="00DD47DF" w14:paraId="2FE286FC" w14:textId="77777777">
        <w:trPr>
          <w:jc w:val="center"/>
        </w:trPr>
        <w:tc>
          <w:tcPr>
            <w:tcW w:w="567" w:type="pct"/>
            <w:vMerge/>
            <w:shd w:val="clear" w:color="auto" w:fill="B8CCE4"/>
            <w:vAlign w:val="center"/>
          </w:tcPr>
          <w:p w14:paraId="5DBF1AC3" w14:textId="77777777" w:rsidR="00A863BB" w:rsidRPr="00DD47DF" w:rsidRDefault="00A863BB" w:rsidP="0022028B">
            <w:pPr>
              <w:pStyle w:val="Tabulka"/>
              <w:jc w:val="left"/>
              <w:rPr>
                <w:rFonts w:cs="Calibri"/>
              </w:rPr>
            </w:pPr>
          </w:p>
        </w:tc>
        <w:tc>
          <w:tcPr>
            <w:tcW w:w="1441" w:type="pct"/>
            <w:shd w:val="clear" w:color="auto" w:fill="DBE5F1"/>
            <w:vAlign w:val="center"/>
          </w:tcPr>
          <w:p w14:paraId="0772904C" w14:textId="77777777" w:rsidR="00A863BB" w:rsidRPr="00DD47DF" w:rsidRDefault="00B54D2B" w:rsidP="0022028B">
            <w:pPr>
              <w:pStyle w:val="Tabulka"/>
              <w:jc w:val="left"/>
              <w:rPr>
                <w:rFonts w:cs="Calibri"/>
              </w:rPr>
            </w:pPr>
            <w:r w:rsidRPr="00DD47DF">
              <w:rPr>
                <w:rFonts w:cs="Calibri"/>
              </w:rPr>
              <w:t xml:space="preserve">3 b) </w:t>
            </w:r>
            <w:r w:rsidR="008C7D72" w:rsidRPr="00DD47DF">
              <w:rPr>
                <w:rFonts w:cs="Calibri"/>
              </w:rPr>
              <w:t>Vyvíjení a provádění nových obchodních modelů</w:t>
            </w:r>
            <w:r w:rsidR="00A863BB" w:rsidRPr="00DD47DF">
              <w:rPr>
                <w:rFonts w:cs="Calibri"/>
              </w:rPr>
              <w:t xml:space="preserve"> pro MSP, zejména pro oblast mezinárodního obchodu</w:t>
            </w:r>
          </w:p>
          <w:p w14:paraId="511664D6" w14:textId="77777777" w:rsidR="00A863BB" w:rsidRPr="00DD47DF" w:rsidRDefault="00A863BB" w:rsidP="0022028B">
            <w:pPr>
              <w:pStyle w:val="Tabulka"/>
              <w:jc w:val="left"/>
              <w:rPr>
                <w:rFonts w:cs="Calibri"/>
              </w:rPr>
            </w:pPr>
          </w:p>
        </w:tc>
        <w:tc>
          <w:tcPr>
            <w:tcW w:w="2992" w:type="pct"/>
            <w:shd w:val="clear" w:color="auto" w:fill="auto"/>
          </w:tcPr>
          <w:p w14:paraId="63274C8B" w14:textId="77777777" w:rsidR="00700EE6" w:rsidRPr="00DD47DF" w:rsidRDefault="00700EE6" w:rsidP="0022028B">
            <w:pPr>
              <w:pStyle w:val="Tabulka"/>
              <w:jc w:val="left"/>
              <w:rPr>
                <w:rFonts w:cs="Calibri"/>
                <w:bCs/>
                <w:u w:val="single"/>
              </w:rPr>
            </w:pPr>
            <w:r w:rsidRPr="00DD47DF">
              <w:rPr>
                <w:rFonts w:cs="Calibri"/>
                <w:bCs/>
                <w:u w:val="single"/>
              </w:rPr>
              <w:t>NPR 2014</w:t>
            </w:r>
            <w:r w:rsidRPr="00DD47DF">
              <w:rPr>
                <w:rFonts w:cs="Calibri"/>
                <w:bCs/>
              </w:rPr>
              <w:t>: Rozvoj malých a středních podniků, včetně rozvoje klíčových dovedností</w:t>
            </w:r>
          </w:p>
          <w:p w14:paraId="75B0526D"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4B2B4D" w:rsidRPr="00DD47DF">
              <w:rPr>
                <w:rFonts w:cs="Calibri"/>
                <w:bCs/>
              </w:rPr>
              <w:t xml:space="preserve">Rozvoj </w:t>
            </w:r>
            <w:r w:rsidR="005F1729" w:rsidRPr="00DD47DF">
              <w:rPr>
                <w:rFonts w:cs="Calibri"/>
                <w:bCs/>
              </w:rPr>
              <w:t xml:space="preserve">služeb poradenství při </w:t>
            </w:r>
            <w:r w:rsidR="004B2B4D" w:rsidRPr="00DD47DF">
              <w:rPr>
                <w:rFonts w:cs="Calibri"/>
                <w:bCs/>
              </w:rPr>
              <w:t xml:space="preserve">přístupu </w:t>
            </w:r>
            <w:r w:rsidR="005F1729" w:rsidRPr="00DD47DF">
              <w:rPr>
                <w:rFonts w:cs="Calibri"/>
                <w:bCs/>
              </w:rPr>
              <w:t xml:space="preserve">podniků </w:t>
            </w:r>
            <w:r w:rsidR="004B2B4D" w:rsidRPr="00DD47DF">
              <w:rPr>
                <w:rFonts w:cs="Calibri"/>
                <w:bCs/>
              </w:rPr>
              <w:t>k novým trhům</w:t>
            </w:r>
          </w:p>
          <w:p w14:paraId="085708F3" w14:textId="77777777" w:rsidR="00A863BB" w:rsidRPr="00DD47DF" w:rsidRDefault="00A863BB" w:rsidP="0022028B">
            <w:pPr>
              <w:pStyle w:val="Tabulka"/>
              <w:jc w:val="left"/>
              <w:rPr>
                <w:rFonts w:cs="Calibri"/>
                <w:bCs/>
              </w:rPr>
            </w:pPr>
            <w:r w:rsidRPr="00DD47DF">
              <w:rPr>
                <w:rFonts w:cs="Calibri"/>
                <w:bCs/>
                <w:u w:val="single"/>
              </w:rPr>
              <w:t>S</w:t>
            </w:r>
            <w:r w:rsidR="005F1729" w:rsidRPr="00DD47DF">
              <w:rPr>
                <w:rFonts w:cs="Calibri"/>
                <w:bCs/>
                <w:u w:val="single"/>
              </w:rPr>
              <w:t>MK</w:t>
            </w:r>
            <w:r w:rsidRPr="00DD47DF">
              <w:rPr>
                <w:rFonts w:cs="Calibri"/>
                <w:bCs/>
              </w:rPr>
              <w:t xml:space="preserve">: </w:t>
            </w:r>
            <w:r w:rsidR="005F1729" w:rsidRPr="00DD47DF">
              <w:rPr>
                <w:rFonts w:cs="Calibri"/>
                <w:bCs/>
              </w:rPr>
              <w:t>Z</w:t>
            </w:r>
            <w:r w:rsidR="00DF4A5B" w:rsidRPr="00DD47DF">
              <w:rPr>
                <w:rFonts w:cs="Calibri"/>
                <w:bCs/>
              </w:rPr>
              <w:t xml:space="preserve">výšení schopnosti producentů identifikovat koncové trhy a rozvoj netechnických kompetencí </w:t>
            </w:r>
            <w:r w:rsidR="005821F5" w:rsidRPr="00DD47DF">
              <w:rPr>
                <w:rFonts w:cs="Calibri"/>
                <w:bCs/>
              </w:rPr>
              <w:t>podniků</w:t>
            </w:r>
            <w:r w:rsidR="00DF4A5B" w:rsidRPr="00DD47DF">
              <w:rPr>
                <w:rFonts w:cs="Calibri"/>
                <w:bCs/>
              </w:rPr>
              <w:t xml:space="preserve"> souvisejících se získáváním nových trhů</w:t>
            </w:r>
          </w:p>
          <w:p w14:paraId="0DFF14BE" w14:textId="77777777" w:rsidR="00652335" w:rsidRPr="00DD47DF" w:rsidRDefault="00652335" w:rsidP="0022028B">
            <w:pPr>
              <w:pStyle w:val="Tabulka"/>
              <w:jc w:val="left"/>
              <w:rPr>
                <w:rFonts w:cs="Calibri"/>
                <w:bCs/>
              </w:rPr>
            </w:pPr>
            <w:r w:rsidRPr="00DD47DF">
              <w:rPr>
                <w:rFonts w:cs="Calibri"/>
                <w:bCs/>
                <w:u w:val="single"/>
              </w:rPr>
              <w:t>NIS</w:t>
            </w:r>
            <w:r w:rsidRPr="00DD47DF">
              <w:rPr>
                <w:rFonts w:cs="Calibri"/>
                <w:bCs/>
              </w:rPr>
              <w:t>: Rozvoj špičkových poradenských služeb jako je technolo</w:t>
            </w:r>
            <w:r w:rsidR="001F0603" w:rsidRPr="00DD47DF">
              <w:rPr>
                <w:rFonts w:cs="Calibri"/>
                <w:bCs/>
              </w:rPr>
              <w:t>gický foresight, mentoring, kouč</w:t>
            </w:r>
            <w:r w:rsidRPr="00DD47DF">
              <w:rPr>
                <w:rFonts w:cs="Calibri"/>
                <w:bCs/>
              </w:rPr>
              <w:t>ing, účast na zahraničních veletrzích</w:t>
            </w:r>
          </w:p>
          <w:p w14:paraId="0DCB74EC" w14:textId="77777777" w:rsidR="00A863BB" w:rsidRPr="00DD47DF" w:rsidRDefault="00A863BB" w:rsidP="005F1729">
            <w:pPr>
              <w:pStyle w:val="Tabulka"/>
              <w:jc w:val="left"/>
              <w:rPr>
                <w:rFonts w:cs="Calibri"/>
              </w:rPr>
            </w:pPr>
            <w:r w:rsidRPr="00DD47DF">
              <w:rPr>
                <w:rFonts w:cs="Calibri"/>
                <w:u w:val="single"/>
              </w:rPr>
              <w:t xml:space="preserve">Koncepce podpory </w:t>
            </w:r>
            <w:r w:rsidR="005F1729" w:rsidRPr="00DD47DF">
              <w:rPr>
                <w:rFonts w:cs="Calibri"/>
                <w:u w:val="single"/>
              </w:rPr>
              <w:t>MSP</w:t>
            </w:r>
            <w:r w:rsidRPr="00DD47DF">
              <w:rPr>
                <w:rFonts w:cs="Calibri"/>
              </w:rPr>
              <w:t>:</w:t>
            </w:r>
            <w:r w:rsidR="00E3355D" w:rsidRPr="00DD47DF">
              <w:rPr>
                <w:rFonts w:cs="Calibri"/>
              </w:rPr>
              <w:t xml:space="preserve"> </w:t>
            </w:r>
            <w:r w:rsidR="005F1729" w:rsidRPr="00DD47DF">
              <w:rPr>
                <w:rFonts w:cs="Calibri"/>
              </w:rPr>
              <w:t>N</w:t>
            </w:r>
            <w:r w:rsidR="00E3355D" w:rsidRPr="00DD47DF">
              <w:rPr>
                <w:rFonts w:cs="Calibri"/>
              </w:rPr>
              <w:t xml:space="preserve">abídnout </w:t>
            </w:r>
            <w:r w:rsidR="005F1729" w:rsidRPr="00DD47DF">
              <w:rPr>
                <w:rFonts w:cs="Calibri"/>
              </w:rPr>
              <w:t>MSP</w:t>
            </w:r>
            <w:r w:rsidR="00E3355D" w:rsidRPr="00DD47DF">
              <w:rPr>
                <w:rFonts w:cs="Calibri"/>
              </w:rPr>
              <w:t xml:space="preserve"> </w:t>
            </w:r>
            <w:r w:rsidR="005F1729" w:rsidRPr="00DD47DF">
              <w:rPr>
                <w:rFonts w:cs="Calibri"/>
              </w:rPr>
              <w:t>inovační</w:t>
            </w:r>
            <w:r w:rsidR="00E3355D" w:rsidRPr="00DD47DF">
              <w:rPr>
                <w:rFonts w:cs="Calibri"/>
              </w:rPr>
              <w:t xml:space="preserve"> typ poradenských služeb</w:t>
            </w:r>
            <w:r w:rsidR="005F1729" w:rsidRPr="00DD47DF">
              <w:rPr>
                <w:rFonts w:cs="Calibri"/>
              </w:rPr>
              <w:t xml:space="preserve">, který jim pomůže </w:t>
            </w:r>
            <w:r w:rsidR="00E3355D" w:rsidRPr="00DD47DF">
              <w:rPr>
                <w:rFonts w:cs="Calibri"/>
              </w:rPr>
              <w:t xml:space="preserve">efektivněji vytipovat oblasti, </w:t>
            </w:r>
            <w:r w:rsidR="005F1729" w:rsidRPr="00DD47DF">
              <w:rPr>
                <w:rFonts w:cs="Calibri"/>
              </w:rPr>
              <w:t>v nichž</w:t>
            </w:r>
            <w:r w:rsidR="00E3355D" w:rsidRPr="00DD47DF">
              <w:rPr>
                <w:rFonts w:cs="Calibri"/>
              </w:rPr>
              <w:t xml:space="preserve"> mají potenciál a schopnosti dlouhodob</w:t>
            </w:r>
            <w:bookmarkStart w:id="18" w:name="Temp"/>
            <w:bookmarkEnd w:id="18"/>
            <w:r w:rsidR="00E3355D" w:rsidRPr="00DD47DF">
              <w:rPr>
                <w:rFonts w:cs="Calibri"/>
              </w:rPr>
              <w:t>ě obstát v globální soutěži</w:t>
            </w:r>
            <w:r w:rsidR="005F1729" w:rsidRPr="00DD47DF">
              <w:rPr>
                <w:rFonts w:cs="Calibri"/>
              </w:rPr>
              <w:t>;</w:t>
            </w:r>
            <w:r w:rsidR="00DC5729" w:rsidRPr="00DD47DF">
              <w:rPr>
                <w:rFonts w:cs="Calibri"/>
              </w:rPr>
              <w:t xml:space="preserve"> podpora jejich účasti na specializovaných vele</w:t>
            </w:r>
            <w:r w:rsidR="005F1729" w:rsidRPr="00DD47DF">
              <w:rPr>
                <w:rFonts w:cs="Calibri"/>
              </w:rPr>
              <w:t>trzích a výstavách v zahraničí</w:t>
            </w:r>
          </w:p>
          <w:p w14:paraId="5151488A" w14:textId="77777777" w:rsidR="00AD561F" w:rsidRPr="00DD47DF" w:rsidRDefault="00AD561F" w:rsidP="00AD561F">
            <w:pPr>
              <w:pStyle w:val="Tabulka"/>
              <w:jc w:val="left"/>
              <w:rPr>
                <w:rFonts w:cs="Calibri"/>
                <w:bCs/>
                <w:u w:val="single"/>
              </w:rPr>
            </w:pPr>
            <w:r w:rsidRPr="00DD47DF">
              <w:rPr>
                <w:rFonts w:cs="Calibri"/>
                <w:bCs/>
                <w:u w:val="single"/>
              </w:rPr>
              <w:t>Dohoda o partnerství:</w:t>
            </w:r>
          </w:p>
          <w:p w14:paraId="3658C8ED" w14:textId="77777777" w:rsidR="00AD561F" w:rsidRPr="00DD47DF" w:rsidRDefault="00AD561F" w:rsidP="00AD561F">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0720EA11" w14:textId="77777777" w:rsidR="00AD561F" w:rsidRPr="00DD47DF" w:rsidRDefault="00AD561F" w:rsidP="00AD561F">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14C049F9" w14:textId="77777777" w:rsidR="00AD561F" w:rsidRPr="00DD47DF" w:rsidRDefault="00AD561F" w:rsidP="00AD561F">
            <w:pPr>
              <w:pStyle w:val="Tabulka"/>
              <w:jc w:val="left"/>
              <w:rPr>
                <w:rFonts w:cs="Calibri"/>
              </w:rPr>
            </w:pPr>
            <w:r w:rsidRPr="00DD47DF">
              <w:rPr>
                <w:rFonts w:cs="Calibri"/>
                <w:b/>
                <w:bCs/>
              </w:rPr>
              <w:t xml:space="preserve">Priorita financování: </w:t>
            </w:r>
            <w:r w:rsidRPr="00DD47DF">
              <w:rPr>
                <w:szCs w:val="24"/>
              </w:rPr>
              <w:t>Podniky využívající výsledků VaV, konkurenceschopné na globálním trhu a přispívající k nízko</w:t>
            </w:r>
            <w:r w:rsidR="00CC45C6" w:rsidRPr="00DD47DF">
              <w:rPr>
                <w:szCs w:val="24"/>
              </w:rPr>
              <w:t>uhlíkovému hospodářství</w:t>
            </w:r>
          </w:p>
        </w:tc>
      </w:tr>
      <w:tr w:rsidR="00A863BB" w:rsidRPr="00DD47DF" w14:paraId="4464D3CE" w14:textId="77777777">
        <w:trPr>
          <w:jc w:val="center"/>
        </w:trPr>
        <w:tc>
          <w:tcPr>
            <w:tcW w:w="567" w:type="pct"/>
            <w:vMerge/>
            <w:shd w:val="clear" w:color="auto" w:fill="B8CCE4"/>
            <w:vAlign w:val="center"/>
          </w:tcPr>
          <w:p w14:paraId="20614DDC" w14:textId="77777777" w:rsidR="00A863BB" w:rsidRPr="00DD47DF" w:rsidRDefault="00A863BB" w:rsidP="0022028B">
            <w:pPr>
              <w:pStyle w:val="Tabulka"/>
              <w:jc w:val="left"/>
              <w:rPr>
                <w:rFonts w:cs="Calibri"/>
              </w:rPr>
            </w:pPr>
          </w:p>
        </w:tc>
        <w:tc>
          <w:tcPr>
            <w:tcW w:w="1441" w:type="pct"/>
            <w:shd w:val="clear" w:color="auto" w:fill="DBE5F1"/>
            <w:vAlign w:val="center"/>
          </w:tcPr>
          <w:p w14:paraId="4FF4C25E" w14:textId="77777777" w:rsidR="00A863BB" w:rsidRPr="00DD47DF" w:rsidRDefault="00B54D2B" w:rsidP="0022028B">
            <w:pPr>
              <w:pStyle w:val="Tabulka"/>
              <w:jc w:val="left"/>
              <w:rPr>
                <w:rFonts w:cs="Calibri"/>
              </w:rPr>
            </w:pPr>
            <w:r w:rsidRPr="00DD47DF">
              <w:rPr>
                <w:rFonts w:cs="Calibri"/>
              </w:rPr>
              <w:t xml:space="preserve">3 c) </w:t>
            </w:r>
            <w:r w:rsidR="002641C7" w:rsidRPr="00DD47DF">
              <w:rPr>
                <w:rFonts w:cs="Calibri"/>
              </w:rPr>
              <w:t>Podpora vytváření a rozšiřování vyspělých</w:t>
            </w:r>
            <w:r w:rsidR="00A863BB" w:rsidRPr="00DD47DF">
              <w:rPr>
                <w:rFonts w:cs="Calibri"/>
              </w:rPr>
              <w:t xml:space="preserve"> kapacit pro rozvoj produktů a služeb</w:t>
            </w:r>
          </w:p>
          <w:p w14:paraId="7BD17AFE" w14:textId="77777777" w:rsidR="00A863BB" w:rsidRPr="00DD47DF" w:rsidRDefault="00A863BB" w:rsidP="0022028B">
            <w:pPr>
              <w:pStyle w:val="Tabulka"/>
              <w:jc w:val="left"/>
              <w:rPr>
                <w:rFonts w:cs="Calibri"/>
              </w:rPr>
            </w:pPr>
          </w:p>
        </w:tc>
        <w:tc>
          <w:tcPr>
            <w:tcW w:w="2992" w:type="pct"/>
            <w:shd w:val="clear" w:color="auto" w:fill="auto"/>
          </w:tcPr>
          <w:p w14:paraId="2E68633A"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4B2B4D" w:rsidRPr="00DD47DF">
              <w:rPr>
                <w:rFonts w:cs="Calibri"/>
                <w:bCs/>
              </w:rPr>
              <w:t>Zlepšení celkového podnikatelského prostředí pro malé a střední podniky prostřednictvím poskytnutí příslušné infrastruktury, modernizace a vylepšení stávajících průmyslových areálů a renovace brownfield</w:t>
            </w:r>
            <w:r w:rsidR="00BF7E1C" w:rsidRPr="00DD47DF">
              <w:rPr>
                <w:rFonts w:cs="Calibri"/>
                <w:bCs/>
              </w:rPr>
              <w:t>ů</w:t>
            </w:r>
            <w:r w:rsidR="0022698D" w:rsidRPr="00DD47DF">
              <w:rPr>
                <w:rFonts w:cs="Calibri"/>
                <w:bCs/>
              </w:rPr>
              <w:t>;</w:t>
            </w:r>
            <w:r w:rsidR="004B2B4D" w:rsidRPr="00DD47DF">
              <w:rPr>
                <w:rFonts w:cs="Calibri"/>
                <w:bCs/>
              </w:rPr>
              <w:t xml:space="preserve"> </w:t>
            </w:r>
            <w:r w:rsidR="0022698D" w:rsidRPr="00DD47DF">
              <w:rPr>
                <w:rFonts w:cs="Calibri"/>
                <w:bCs/>
              </w:rPr>
              <w:t>r</w:t>
            </w:r>
            <w:r w:rsidR="00D63CF5" w:rsidRPr="00DD47DF">
              <w:rPr>
                <w:rFonts w:cs="Calibri"/>
                <w:bCs/>
              </w:rPr>
              <w:t>ozvoj odborného vzdělávání odpovídajícího požada</w:t>
            </w:r>
            <w:r w:rsidR="0022698D" w:rsidRPr="00DD47DF">
              <w:rPr>
                <w:rFonts w:cs="Calibri"/>
                <w:bCs/>
              </w:rPr>
              <w:t>vkům trhu</w:t>
            </w:r>
          </w:p>
          <w:p w14:paraId="75B372C5" w14:textId="77777777" w:rsidR="00F27EC3" w:rsidRPr="00DD47DF" w:rsidRDefault="00F27EC3" w:rsidP="0022028B">
            <w:pPr>
              <w:pStyle w:val="Tabulka"/>
              <w:jc w:val="left"/>
              <w:rPr>
                <w:rFonts w:cs="Calibri"/>
                <w:bCs/>
              </w:rPr>
            </w:pPr>
            <w:r w:rsidRPr="00DD47DF">
              <w:rPr>
                <w:rFonts w:cs="Calibri"/>
                <w:bCs/>
                <w:u w:val="single"/>
              </w:rPr>
              <w:t>SRR</w:t>
            </w:r>
            <w:r w:rsidRPr="00DD47DF">
              <w:rPr>
                <w:rFonts w:cs="Calibri"/>
                <w:bCs/>
              </w:rPr>
              <w:t>: Rozšíření a zkvalitnění různých typů podnikatelské infrastruktury,</w:t>
            </w:r>
            <w:r w:rsidRPr="00DD47DF">
              <w:rPr>
                <w:rFonts w:cs="Calibri"/>
              </w:rPr>
              <w:t xml:space="preserve"> </w:t>
            </w:r>
            <w:r w:rsidRPr="00DD47DF">
              <w:rPr>
                <w:rFonts w:cs="Calibri"/>
                <w:bCs/>
              </w:rPr>
              <w:t xml:space="preserve">revitalizace </w:t>
            </w:r>
            <w:r w:rsidRPr="00DD47DF">
              <w:rPr>
                <w:rFonts w:cs="Calibri"/>
                <w:bCs/>
              </w:rPr>
              <w:lastRenderedPageBreak/>
              <w:t>brow</w:t>
            </w:r>
            <w:r w:rsidR="00BF7E1C" w:rsidRPr="00DD47DF">
              <w:rPr>
                <w:rFonts w:cs="Calibri"/>
                <w:bCs/>
              </w:rPr>
              <w:t>nfieldů</w:t>
            </w:r>
            <w:r w:rsidRPr="00DD47DF">
              <w:rPr>
                <w:rFonts w:cs="Calibri"/>
                <w:bCs/>
              </w:rPr>
              <w:t xml:space="preserve"> pro výrobní aktivity, zapojení zaměstnavatelů do odborného vzdělávání</w:t>
            </w:r>
          </w:p>
          <w:p w14:paraId="0046F372" w14:textId="77777777" w:rsidR="00A863BB" w:rsidRPr="00DD47DF" w:rsidRDefault="0022698D" w:rsidP="0022028B">
            <w:pPr>
              <w:pStyle w:val="Tabulka"/>
              <w:jc w:val="left"/>
              <w:rPr>
                <w:rFonts w:cs="Calibri"/>
                <w:bCs/>
              </w:rPr>
            </w:pPr>
            <w:r w:rsidRPr="00DD47DF">
              <w:rPr>
                <w:rFonts w:cs="Calibri"/>
                <w:u w:val="single"/>
              </w:rPr>
              <w:t>Koncepce podpory MSP</w:t>
            </w:r>
            <w:r w:rsidRPr="00DD47DF">
              <w:rPr>
                <w:rFonts w:cs="Calibri"/>
              </w:rPr>
              <w:t xml:space="preserve">: </w:t>
            </w:r>
            <w:r w:rsidRPr="00DD47DF">
              <w:rPr>
                <w:rFonts w:cs="Calibri"/>
                <w:bCs/>
              </w:rPr>
              <w:t>Rozvoj dalšího profesního vzdělávání zaměstnavatelů a zaměstnanců v MSP; regenerace brownfield</w:t>
            </w:r>
            <w:r w:rsidR="00BF7E1C" w:rsidRPr="00DD47DF">
              <w:rPr>
                <w:rFonts w:cs="Calibri"/>
                <w:bCs/>
              </w:rPr>
              <w:t>ů</w:t>
            </w:r>
            <w:r w:rsidRPr="00DD47DF">
              <w:rPr>
                <w:rFonts w:cs="Calibri"/>
                <w:bCs/>
              </w:rPr>
              <w:t xml:space="preserve"> za účelem další podnikatelské činnosti</w:t>
            </w:r>
          </w:p>
          <w:p w14:paraId="3CF603E7"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45008432"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 a částečně Ochrana životního prostředí</w:t>
            </w:r>
          </w:p>
          <w:p w14:paraId="3FDC3AC5"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Slabý endogenní podnikatelský sektor</w:t>
            </w:r>
          </w:p>
          <w:p w14:paraId="7EC771C7" w14:textId="77777777" w:rsidR="00CC45C6" w:rsidRPr="00DD47DF" w:rsidRDefault="00CC45C6" w:rsidP="00CC45C6">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w:t>
            </w:r>
          </w:p>
        </w:tc>
      </w:tr>
      <w:tr w:rsidR="00066396" w:rsidRPr="00DD47DF" w14:paraId="44B8208F" w14:textId="77777777">
        <w:trPr>
          <w:jc w:val="center"/>
        </w:trPr>
        <w:tc>
          <w:tcPr>
            <w:tcW w:w="567" w:type="pct"/>
            <w:vMerge w:val="restart"/>
            <w:shd w:val="clear" w:color="auto" w:fill="B8CCE4"/>
            <w:vAlign w:val="center"/>
          </w:tcPr>
          <w:p w14:paraId="6B1E710E" w14:textId="77777777" w:rsidR="00066396" w:rsidRPr="00DD47DF" w:rsidRDefault="00906900" w:rsidP="0022028B">
            <w:pPr>
              <w:pStyle w:val="Tabulka"/>
              <w:jc w:val="left"/>
              <w:rPr>
                <w:rFonts w:cs="Calibri"/>
              </w:rPr>
            </w:pPr>
            <w:r w:rsidRPr="00DD47DF">
              <w:rPr>
                <w:rFonts w:cs="Calibri"/>
              </w:rPr>
              <w:lastRenderedPageBreak/>
              <w:t>4</w:t>
            </w:r>
            <w:r w:rsidR="00CC5E04" w:rsidRPr="00DD47DF">
              <w:rPr>
                <w:rFonts w:cs="Calibri"/>
              </w:rPr>
              <w:t>)</w:t>
            </w:r>
            <w:r w:rsidRPr="00DD47DF">
              <w:rPr>
                <w:rFonts w:cs="Calibri"/>
              </w:rPr>
              <w:t xml:space="preserve"> </w:t>
            </w:r>
            <w:r w:rsidR="00066396" w:rsidRPr="00DD47DF">
              <w:rPr>
                <w:rFonts w:cs="Calibri"/>
              </w:rPr>
              <w:t>Podpora přechodu na nízkouhlíkové hospodářství ve všech odvětvích</w:t>
            </w:r>
          </w:p>
        </w:tc>
        <w:tc>
          <w:tcPr>
            <w:tcW w:w="1441" w:type="pct"/>
            <w:shd w:val="clear" w:color="auto" w:fill="DBE5F1"/>
            <w:vAlign w:val="center"/>
          </w:tcPr>
          <w:p w14:paraId="09E42385" w14:textId="77777777" w:rsidR="00066396" w:rsidRPr="00DD47DF" w:rsidRDefault="00B54D2B" w:rsidP="0022028B">
            <w:pPr>
              <w:pStyle w:val="Tabulka"/>
              <w:jc w:val="left"/>
              <w:rPr>
                <w:rFonts w:cs="Calibri"/>
              </w:rPr>
            </w:pPr>
            <w:r w:rsidRPr="00DD47DF">
              <w:rPr>
                <w:rFonts w:cs="Calibri"/>
              </w:rPr>
              <w:t xml:space="preserve">4 a) </w:t>
            </w:r>
            <w:r w:rsidR="00AA66A2" w:rsidRPr="00DD47DF">
              <w:rPr>
                <w:rFonts w:cs="Calibri"/>
              </w:rPr>
              <w:t>Podpora výroby a distribuce energie pocházející z obnovitelných zdrojů</w:t>
            </w:r>
          </w:p>
        </w:tc>
        <w:tc>
          <w:tcPr>
            <w:tcW w:w="2992" w:type="pct"/>
            <w:shd w:val="clear" w:color="auto" w:fill="auto"/>
          </w:tcPr>
          <w:p w14:paraId="10335B7E" w14:textId="77777777" w:rsidR="00066396" w:rsidRPr="00DD47DF" w:rsidRDefault="00CC7932" w:rsidP="0022028B">
            <w:pPr>
              <w:pStyle w:val="Tabulka"/>
              <w:jc w:val="left"/>
              <w:rPr>
                <w:rFonts w:cs="Calibri"/>
              </w:rPr>
            </w:pPr>
            <w:r w:rsidRPr="00DD47DF">
              <w:rPr>
                <w:rFonts w:cs="Calibri"/>
                <w:u w:val="single"/>
              </w:rPr>
              <w:t>EU</w:t>
            </w:r>
            <w:r w:rsidR="00066396" w:rsidRPr="00DD47DF">
              <w:rPr>
                <w:rFonts w:cs="Calibri"/>
                <w:u w:val="single"/>
              </w:rPr>
              <w:t xml:space="preserve"> 2020</w:t>
            </w:r>
            <w:r w:rsidR="00066396" w:rsidRPr="00DD47DF">
              <w:rPr>
                <w:rFonts w:cs="Calibri"/>
              </w:rPr>
              <w:t xml:space="preserve">: </w:t>
            </w:r>
            <w:r w:rsidR="0022698D" w:rsidRPr="00DD47DF">
              <w:rPr>
                <w:rFonts w:cs="Calibri"/>
              </w:rPr>
              <w:t>Z</w:t>
            </w:r>
            <w:r w:rsidR="00066396" w:rsidRPr="00DD47DF">
              <w:rPr>
                <w:rFonts w:cs="Calibri"/>
              </w:rPr>
              <w:t>výšit podíl OZE v celkové spotřebě v EU na 20 %</w:t>
            </w:r>
            <w:r w:rsidR="00EF27CE" w:rsidRPr="00DD47DF">
              <w:rPr>
                <w:rFonts w:cs="Calibri"/>
              </w:rPr>
              <w:t xml:space="preserve"> do roku 2020</w:t>
            </w:r>
            <w:r w:rsidR="00652335" w:rsidRPr="00DD47DF">
              <w:rPr>
                <w:rFonts w:cs="Calibri"/>
              </w:rPr>
              <w:t xml:space="preserve">, stěžejní iniciativa </w:t>
            </w:r>
            <w:r w:rsidR="00652335" w:rsidRPr="00DD47DF">
              <w:rPr>
                <w:rFonts w:cs="Calibri"/>
                <w:i/>
              </w:rPr>
              <w:t>Evropa méně náročná na zdroje</w:t>
            </w:r>
          </w:p>
          <w:p w14:paraId="1D49B0C4" w14:textId="77777777" w:rsidR="00066396" w:rsidRPr="00DD47DF" w:rsidRDefault="00CC7932" w:rsidP="0022028B">
            <w:pPr>
              <w:pStyle w:val="Tabulka"/>
              <w:jc w:val="left"/>
              <w:rPr>
                <w:rFonts w:cs="Calibri"/>
                <w:bCs/>
              </w:rPr>
            </w:pPr>
            <w:r w:rsidRPr="00DD47DF">
              <w:rPr>
                <w:rFonts w:cs="Calibri"/>
                <w:bCs/>
                <w:u w:val="single"/>
              </w:rPr>
              <w:t xml:space="preserve">NPR </w:t>
            </w:r>
            <w:r w:rsidR="009648EE" w:rsidRPr="00DD47DF">
              <w:rPr>
                <w:rFonts w:cs="Calibri"/>
                <w:bCs/>
                <w:u w:val="single"/>
              </w:rPr>
              <w:t>201</w:t>
            </w:r>
            <w:r w:rsidR="00C12521" w:rsidRPr="00DD47DF">
              <w:rPr>
                <w:rFonts w:cs="Calibri"/>
                <w:bCs/>
                <w:u w:val="single"/>
              </w:rPr>
              <w:t>4</w:t>
            </w:r>
            <w:r w:rsidR="009648EE" w:rsidRPr="00DD47DF">
              <w:rPr>
                <w:rFonts w:cs="Calibri"/>
                <w:bCs/>
                <w:u w:val="single"/>
              </w:rPr>
              <w:t>:</w:t>
            </w:r>
            <w:r w:rsidR="009648EE" w:rsidRPr="00DD47DF">
              <w:rPr>
                <w:rFonts w:cs="Calibri"/>
                <w:bCs/>
              </w:rPr>
              <w:t xml:space="preserve"> </w:t>
            </w:r>
            <w:r w:rsidR="00FE6CE5" w:rsidRPr="00DD47DF">
              <w:rPr>
                <w:rFonts w:cs="Calibri"/>
                <w:bCs/>
              </w:rPr>
              <w:t>Podpora rozvoje kapacit OZE, využití energetického potenciálu biomasy</w:t>
            </w:r>
          </w:p>
          <w:p w14:paraId="2F0F0753"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CC7932" w:rsidRPr="00DD47DF">
              <w:rPr>
                <w:rFonts w:cs="Calibri"/>
                <w:bCs/>
              </w:rPr>
              <w:t>V</w:t>
            </w:r>
            <w:r w:rsidR="00260981" w:rsidRPr="00DD47DF">
              <w:rPr>
                <w:rFonts w:cs="Calibri"/>
                <w:bCs/>
              </w:rPr>
              <w:t xml:space="preserve">yužívání </w:t>
            </w:r>
            <w:r w:rsidR="00CC7932" w:rsidRPr="00DD47DF">
              <w:rPr>
                <w:rFonts w:cs="Calibri"/>
                <w:bCs/>
              </w:rPr>
              <w:t>OZE</w:t>
            </w:r>
            <w:r w:rsidR="00260981" w:rsidRPr="00DD47DF">
              <w:rPr>
                <w:rFonts w:cs="Calibri"/>
                <w:bCs/>
              </w:rPr>
              <w:t xml:space="preserve"> ve výrobě elektric</w:t>
            </w:r>
            <w:r w:rsidR="00CC7932" w:rsidRPr="00DD47DF">
              <w:rPr>
                <w:rFonts w:cs="Calibri"/>
                <w:bCs/>
              </w:rPr>
              <w:t>ké energie, vytápění a chlazení</w:t>
            </w:r>
          </w:p>
          <w:p w14:paraId="6E98D6DD" w14:textId="77777777" w:rsidR="00066396" w:rsidRPr="00DD47DF" w:rsidRDefault="00066396" w:rsidP="0022028B">
            <w:pPr>
              <w:pStyle w:val="Tabulka"/>
              <w:jc w:val="left"/>
              <w:rPr>
                <w:rFonts w:cs="Calibri"/>
                <w:bCs/>
              </w:rPr>
            </w:pPr>
            <w:r w:rsidRPr="00DD47DF">
              <w:rPr>
                <w:rFonts w:cs="Calibri"/>
                <w:bCs/>
                <w:u w:val="single"/>
              </w:rPr>
              <w:t>S</w:t>
            </w:r>
            <w:r w:rsidR="00EF27CE" w:rsidRPr="00DD47DF">
              <w:rPr>
                <w:rFonts w:cs="Calibri"/>
                <w:bCs/>
                <w:u w:val="single"/>
              </w:rPr>
              <w:t>MK</w:t>
            </w:r>
            <w:r w:rsidRPr="00DD47DF">
              <w:rPr>
                <w:rFonts w:cs="Calibri"/>
                <w:bCs/>
              </w:rPr>
              <w:t xml:space="preserve">: </w:t>
            </w:r>
            <w:r w:rsidR="00CC7932" w:rsidRPr="00DD47DF">
              <w:rPr>
                <w:rFonts w:cs="Calibri"/>
                <w:bCs/>
              </w:rPr>
              <w:t>D</w:t>
            </w:r>
            <w:r w:rsidR="005102BB" w:rsidRPr="00DD47DF">
              <w:rPr>
                <w:rFonts w:cs="Calibri"/>
              </w:rPr>
              <w:t xml:space="preserve">osažení vyváženého energetického mixu, zvýšení využívání </w:t>
            </w:r>
            <w:r w:rsidR="00CC7932" w:rsidRPr="00DD47DF">
              <w:rPr>
                <w:rFonts w:cs="Calibri"/>
              </w:rPr>
              <w:t>OZE</w:t>
            </w:r>
          </w:p>
          <w:p w14:paraId="7877C2B6" w14:textId="77777777" w:rsidR="00066396" w:rsidRPr="00DD47DF" w:rsidRDefault="00066396" w:rsidP="00EF27CE">
            <w:pPr>
              <w:pStyle w:val="Tabulka"/>
              <w:jc w:val="left"/>
              <w:rPr>
                <w:rFonts w:cs="Calibri"/>
              </w:rPr>
            </w:pPr>
            <w:r w:rsidRPr="00DD47DF">
              <w:rPr>
                <w:rFonts w:cs="Calibri"/>
                <w:bCs/>
                <w:u w:val="single"/>
              </w:rPr>
              <w:t xml:space="preserve">Aktualizace </w:t>
            </w:r>
            <w:r w:rsidR="00EF27CE" w:rsidRPr="00DD47DF">
              <w:rPr>
                <w:rFonts w:cs="Calibri"/>
                <w:bCs/>
                <w:u w:val="single"/>
              </w:rPr>
              <w:t>SEK</w:t>
            </w:r>
            <w:r w:rsidRPr="00DD47DF">
              <w:rPr>
                <w:rFonts w:cs="Calibri"/>
                <w:bCs/>
              </w:rPr>
              <w:t xml:space="preserve">: </w:t>
            </w:r>
            <w:r w:rsidR="00EF27CE" w:rsidRPr="00DD47DF">
              <w:rPr>
                <w:rFonts w:cs="Calibri"/>
                <w:bCs/>
              </w:rPr>
              <w:t>R</w:t>
            </w:r>
            <w:r w:rsidR="004611C2" w:rsidRPr="00DD47DF">
              <w:rPr>
                <w:rFonts w:cs="Calibri"/>
              </w:rPr>
              <w:t xml:space="preserve">ozvoj a efektivní využití </w:t>
            </w:r>
            <w:r w:rsidR="00EF27CE" w:rsidRPr="00DD47DF">
              <w:rPr>
                <w:rFonts w:cs="Calibri"/>
              </w:rPr>
              <w:t>OZE</w:t>
            </w:r>
            <w:r w:rsidR="004611C2" w:rsidRPr="00DD47DF">
              <w:rPr>
                <w:rFonts w:cs="Calibri"/>
              </w:rPr>
              <w:t xml:space="preserve"> v souladu s ekonomickými možnostm</w:t>
            </w:r>
            <w:r w:rsidR="00F1702B" w:rsidRPr="00DD47DF">
              <w:rPr>
                <w:rFonts w:cs="Calibri"/>
              </w:rPr>
              <w:t>i</w:t>
            </w:r>
            <w:r w:rsidR="00193331" w:rsidRPr="00DD47DF">
              <w:rPr>
                <w:rFonts w:cs="Calibri"/>
              </w:rPr>
              <w:t xml:space="preserve"> a přírodními geograficko-geologicko-klimatickými podmínkami ČR</w:t>
            </w:r>
            <w:r w:rsidR="00F1702B" w:rsidRPr="00DD47DF">
              <w:rPr>
                <w:rFonts w:cs="Calibri"/>
              </w:rPr>
              <w:t>;</w:t>
            </w:r>
            <w:r w:rsidR="004611C2" w:rsidRPr="00DD47DF">
              <w:rPr>
                <w:rFonts w:cs="Calibri"/>
              </w:rPr>
              <w:t xml:space="preserve"> využít potenciál biomasy</w:t>
            </w:r>
          </w:p>
          <w:p w14:paraId="2575A5A6"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2D608994"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6B8AB60D"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Závislost na neobnovitelných zdrojích energie, nízká orientace na využití obnovitelných zdrojů energie</w:t>
            </w:r>
          </w:p>
          <w:p w14:paraId="4376EEE8" w14:textId="77777777" w:rsidR="00CC45C6" w:rsidRPr="00DD47DF" w:rsidRDefault="00CC45C6" w:rsidP="00CC45C6">
            <w:pPr>
              <w:pStyle w:val="Tabulka"/>
              <w:jc w:val="left"/>
              <w:rPr>
                <w:rFonts w:cs="Calibri"/>
                <w:color w:val="000000"/>
              </w:rPr>
            </w:pPr>
            <w:r w:rsidRPr="00DD47DF">
              <w:rPr>
                <w:rFonts w:cs="Calibri"/>
                <w:b/>
                <w:bCs/>
              </w:rPr>
              <w:t xml:space="preserve">Priorita financování: </w:t>
            </w:r>
            <w:r w:rsidRPr="00DD47DF">
              <w:rPr>
                <w:szCs w:val="24"/>
              </w:rPr>
              <w:t>Udržitelná infrastruktura umožňující konkurenceschopnost ekonomiky a odpovídající obslužnost území</w:t>
            </w:r>
          </w:p>
        </w:tc>
      </w:tr>
      <w:tr w:rsidR="00066396" w:rsidRPr="00DD47DF" w14:paraId="1A2AE137" w14:textId="77777777">
        <w:trPr>
          <w:jc w:val="center"/>
        </w:trPr>
        <w:tc>
          <w:tcPr>
            <w:tcW w:w="567" w:type="pct"/>
            <w:vMerge/>
            <w:shd w:val="clear" w:color="auto" w:fill="B8CCE4"/>
            <w:vAlign w:val="center"/>
          </w:tcPr>
          <w:p w14:paraId="66C5E577" w14:textId="77777777" w:rsidR="00066396" w:rsidRPr="00DD47DF" w:rsidRDefault="00066396" w:rsidP="0022028B">
            <w:pPr>
              <w:pStyle w:val="Tabulka"/>
              <w:jc w:val="left"/>
              <w:rPr>
                <w:rFonts w:cs="Calibri"/>
              </w:rPr>
            </w:pPr>
          </w:p>
        </w:tc>
        <w:tc>
          <w:tcPr>
            <w:tcW w:w="1441" w:type="pct"/>
            <w:shd w:val="clear" w:color="auto" w:fill="DBE5F1"/>
            <w:vAlign w:val="center"/>
          </w:tcPr>
          <w:p w14:paraId="5100E610" w14:textId="77777777" w:rsidR="00066396" w:rsidRPr="00DD47DF" w:rsidRDefault="00B54D2B" w:rsidP="0022028B">
            <w:pPr>
              <w:pStyle w:val="Tabulka"/>
              <w:jc w:val="left"/>
              <w:rPr>
                <w:rFonts w:cs="Calibri"/>
              </w:rPr>
            </w:pPr>
            <w:r w:rsidRPr="00DD47DF">
              <w:rPr>
                <w:rFonts w:cs="Calibri"/>
              </w:rPr>
              <w:t xml:space="preserve">4 b) </w:t>
            </w:r>
            <w:r w:rsidR="00066396" w:rsidRPr="00DD47DF">
              <w:rPr>
                <w:rFonts w:cs="Calibri"/>
              </w:rPr>
              <w:t>Podpora energetické účinnosti a využívání energie z obnovitelných zdrojů v podnicích</w:t>
            </w:r>
          </w:p>
          <w:p w14:paraId="2A86D9DE" w14:textId="77777777" w:rsidR="00066396" w:rsidRPr="00DD47DF" w:rsidRDefault="00066396" w:rsidP="0022028B">
            <w:pPr>
              <w:pStyle w:val="Tabulka"/>
              <w:jc w:val="left"/>
              <w:rPr>
                <w:rFonts w:cs="Calibri"/>
              </w:rPr>
            </w:pPr>
          </w:p>
        </w:tc>
        <w:tc>
          <w:tcPr>
            <w:tcW w:w="2992" w:type="pct"/>
            <w:shd w:val="clear" w:color="auto" w:fill="auto"/>
          </w:tcPr>
          <w:p w14:paraId="1260DC43" w14:textId="77777777" w:rsidR="00066396" w:rsidRPr="00DD47DF" w:rsidRDefault="00EF27CE" w:rsidP="0022028B">
            <w:pPr>
              <w:pStyle w:val="Tabulka"/>
              <w:jc w:val="left"/>
              <w:rPr>
                <w:rFonts w:cs="Calibri"/>
                <w:bCs/>
              </w:rPr>
            </w:pPr>
            <w:r w:rsidRPr="00DD47DF">
              <w:rPr>
                <w:rFonts w:cs="Calibri"/>
                <w:bCs/>
                <w:u w:val="single"/>
              </w:rPr>
              <w:t>EU</w:t>
            </w:r>
            <w:r w:rsidR="00066396" w:rsidRPr="00DD47DF">
              <w:rPr>
                <w:rFonts w:cs="Calibri"/>
                <w:bCs/>
                <w:u w:val="single"/>
              </w:rPr>
              <w:t xml:space="preserve"> 2020</w:t>
            </w:r>
            <w:r w:rsidR="00066396" w:rsidRPr="00DD47DF">
              <w:rPr>
                <w:rFonts w:cs="Calibri"/>
                <w:bCs/>
              </w:rPr>
              <w:t xml:space="preserve">: </w:t>
            </w:r>
            <w:r w:rsidRPr="00DD47DF">
              <w:rPr>
                <w:rFonts w:cs="Calibri"/>
                <w:bCs/>
              </w:rPr>
              <w:t>Z</w:t>
            </w:r>
            <w:r w:rsidR="00066396" w:rsidRPr="00DD47DF">
              <w:rPr>
                <w:rFonts w:cs="Calibri"/>
                <w:bCs/>
              </w:rPr>
              <w:t>výšit energetickou účinnost v EU o 20 %</w:t>
            </w:r>
            <w:r w:rsidRPr="00DD47DF">
              <w:rPr>
                <w:rFonts w:cs="Calibri"/>
                <w:bCs/>
              </w:rPr>
              <w:t xml:space="preserve"> do roku 2020</w:t>
            </w:r>
            <w:r w:rsidR="001C4C18" w:rsidRPr="00DD47DF">
              <w:rPr>
                <w:rFonts w:cs="Calibri"/>
                <w:bCs/>
              </w:rPr>
              <w:t xml:space="preserve">, </w:t>
            </w:r>
            <w:r w:rsidR="001C4C18" w:rsidRPr="00DD47DF">
              <w:rPr>
                <w:rFonts w:cs="Calibri"/>
              </w:rPr>
              <w:t xml:space="preserve">stěžejní iniciativa </w:t>
            </w:r>
            <w:r w:rsidR="001C4C18" w:rsidRPr="00DD47DF">
              <w:rPr>
                <w:rFonts w:cs="Calibri"/>
                <w:i/>
              </w:rPr>
              <w:t>Evropa méně náročná na zdroje</w:t>
            </w:r>
          </w:p>
          <w:p w14:paraId="28EEBC2D" w14:textId="77777777" w:rsidR="00066396" w:rsidRPr="00DD47DF" w:rsidRDefault="009648EE" w:rsidP="0022028B">
            <w:pPr>
              <w:pStyle w:val="Tabulka"/>
              <w:jc w:val="left"/>
              <w:rPr>
                <w:rFonts w:cs="Calibri"/>
                <w:bCs/>
              </w:rPr>
            </w:pPr>
            <w:r w:rsidRPr="00DD47DF">
              <w:rPr>
                <w:rFonts w:cs="Calibri"/>
                <w:bCs/>
                <w:u w:val="single"/>
              </w:rPr>
              <w:t>N</w:t>
            </w:r>
            <w:r w:rsidR="009B50CC" w:rsidRPr="00DD47DF">
              <w:rPr>
                <w:rFonts w:cs="Calibri"/>
                <w:bCs/>
                <w:u w:val="single"/>
              </w:rPr>
              <w:t xml:space="preserve">PR </w:t>
            </w:r>
            <w:r w:rsidRPr="00DD47DF">
              <w:rPr>
                <w:rFonts w:cs="Calibri"/>
                <w:bCs/>
                <w:u w:val="single"/>
              </w:rPr>
              <w:t>2013</w:t>
            </w:r>
            <w:r w:rsidRPr="00DD47DF">
              <w:rPr>
                <w:rFonts w:cs="Calibri"/>
                <w:bCs/>
              </w:rPr>
              <w:t xml:space="preserve">: </w:t>
            </w:r>
            <w:r w:rsidR="009B50CC" w:rsidRPr="00DD47DF">
              <w:rPr>
                <w:rFonts w:cs="Calibri"/>
                <w:bCs/>
              </w:rPr>
              <w:t>Dosažení cíle vyplývajícího z i</w:t>
            </w:r>
            <w:r w:rsidRPr="00DD47DF">
              <w:rPr>
                <w:rFonts w:cs="Calibri"/>
                <w:bCs/>
              </w:rPr>
              <w:t>mplementace směrnice o energetické účinnosti</w:t>
            </w:r>
          </w:p>
          <w:p w14:paraId="69B5C8E9" w14:textId="77777777" w:rsidR="009B50CC"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260981" w:rsidRPr="00DD47DF">
              <w:rPr>
                <w:rFonts w:cs="Calibri"/>
                <w:bCs/>
              </w:rPr>
              <w:t>Zlepšení energetické náročnosti budov zvýšením jejich energetické účinnosti a využívání</w:t>
            </w:r>
            <w:r w:rsidR="009B50CC" w:rsidRPr="00DD47DF">
              <w:rPr>
                <w:rFonts w:cs="Calibri"/>
                <w:bCs/>
              </w:rPr>
              <w:t>m OZE</w:t>
            </w:r>
          </w:p>
          <w:p w14:paraId="7DE9862E" w14:textId="77777777" w:rsidR="00066396" w:rsidRPr="00DD47DF" w:rsidRDefault="00066396" w:rsidP="009B50CC">
            <w:pPr>
              <w:pStyle w:val="Tabulka"/>
              <w:jc w:val="left"/>
              <w:rPr>
                <w:rFonts w:cs="Calibri"/>
                <w:bCs/>
              </w:rPr>
            </w:pPr>
            <w:r w:rsidRPr="00DD47DF">
              <w:rPr>
                <w:rFonts w:cs="Calibri"/>
                <w:bCs/>
                <w:u w:val="single"/>
              </w:rPr>
              <w:t>Aktualizace S</w:t>
            </w:r>
            <w:r w:rsidR="009B50CC" w:rsidRPr="00DD47DF">
              <w:rPr>
                <w:rFonts w:cs="Calibri"/>
                <w:bCs/>
                <w:u w:val="single"/>
              </w:rPr>
              <w:t>EK</w:t>
            </w:r>
            <w:r w:rsidRPr="00DD47DF">
              <w:rPr>
                <w:rFonts w:cs="Calibri"/>
                <w:bCs/>
              </w:rPr>
              <w:t>:</w:t>
            </w:r>
            <w:r w:rsidR="00BA4E72" w:rsidRPr="00DD47DF">
              <w:rPr>
                <w:rFonts w:cs="Calibri"/>
                <w:bCs/>
              </w:rPr>
              <w:t xml:space="preserve"> </w:t>
            </w:r>
            <w:r w:rsidR="00852093" w:rsidRPr="00DD47DF">
              <w:rPr>
                <w:rFonts w:cs="Calibri"/>
                <w:bCs/>
              </w:rPr>
              <w:t xml:space="preserve">Podporovat procesy vedoucí k energetickým úsporám a </w:t>
            </w:r>
            <w:r w:rsidR="0007268F" w:rsidRPr="00DD47DF">
              <w:rPr>
                <w:rFonts w:cs="Calibri"/>
                <w:bCs/>
              </w:rPr>
              <w:t>rekonstrukce zařízení a technologií za úč</w:t>
            </w:r>
            <w:r w:rsidR="009B50CC" w:rsidRPr="00DD47DF">
              <w:rPr>
                <w:rFonts w:cs="Calibri"/>
                <w:bCs/>
              </w:rPr>
              <w:t>elem zvýšení jejich efektivity; p</w:t>
            </w:r>
            <w:r w:rsidR="00852093" w:rsidRPr="00DD47DF">
              <w:rPr>
                <w:rFonts w:cs="Calibri"/>
                <w:bCs/>
              </w:rPr>
              <w:t xml:space="preserve">odporovat zavádění energetického </w:t>
            </w:r>
            <w:r w:rsidR="00852093" w:rsidRPr="00DD47DF">
              <w:rPr>
                <w:rFonts w:cs="Calibri"/>
                <w:bCs/>
              </w:rPr>
              <w:lastRenderedPageBreak/>
              <w:t>managementu a metody EPC ve veř</w:t>
            </w:r>
            <w:r w:rsidR="009B50CC" w:rsidRPr="00DD47DF">
              <w:rPr>
                <w:rFonts w:cs="Calibri"/>
                <w:bCs/>
              </w:rPr>
              <w:t>ejném a podnikatelském sektoru</w:t>
            </w:r>
          </w:p>
          <w:p w14:paraId="02CD965D"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240E26CF"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w:t>
            </w:r>
          </w:p>
          <w:p w14:paraId="4DF38F72"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Vysoká energetická a surovinová náročnost hospodářství a rostoucí ceny energií</w:t>
            </w:r>
          </w:p>
          <w:p w14:paraId="13D2D465" w14:textId="77777777" w:rsidR="00CC45C6" w:rsidRPr="00DD47DF" w:rsidRDefault="00CC45C6" w:rsidP="00CC45C6">
            <w:pPr>
              <w:pStyle w:val="Tabulka"/>
              <w:jc w:val="left"/>
              <w:rPr>
                <w:rFonts w:cs="Calibri"/>
                <w:bCs/>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 Udržitelná infrastruktura umožňující konkurenceschopnost ekonomiky a odpovídající obslužnost území</w:t>
            </w:r>
          </w:p>
        </w:tc>
      </w:tr>
      <w:tr w:rsidR="00066396" w:rsidRPr="00DD47DF" w14:paraId="4DD91E30" w14:textId="77777777">
        <w:trPr>
          <w:jc w:val="center"/>
        </w:trPr>
        <w:tc>
          <w:tcPr>
            <w:tcW w:w="567" w:type="pct"/>
            <w:vMerge/>
            <w:shd w:val="clear" w:color="auto" w:fill="auto"/>
            <w:vAlign w:val="center"/>
          </w:tcPr>
          <w:p w14:paraId="7A0EA922" w14:textId="77777777" w:rsidR="00066396" w:rsidRPr="00DD47DF" w:rsidRDefault="00066396" w:rsidP="0022028B">
            <w:pPr>
              <w:pStyle w:val="Tabulka"/>
              <w:jc w:val="left"/>
              <w:rPr>
                <w:rFonts w:cs="Calibri"/>
              </w:rPr>
            </w:pPr>
          </w:p>
        </w:tc>
        <w:tc>
          <w:tcPr>
            <w:tcW w:w="1441" w:type="pct"/>
            <w:shd w:val="clear" w:color="auto" w:fill="DBE5F1"/>
            <w:vAlign w:val="center"/>
          </w:tcPr>
          <w:p w14:paraId="1F7B795C" w14:textId="77777777" w:rsidR="00066396" w:rsidRPr="00DD47DF" w:rsidRDefault="00B54D2B" w:rsidP="0022028B">
            <w:pPr>
              <w:pStyle w:val="Tabulka"/>
              <w:jc w:val="left"/>
              <w:rPr>
                <w:rFonts w:cs="Calibri"/>
              </w:rPr>
            </w:pPr>
            <w:r w:rsidRPr="00DD47DF">
              <w:rPr>
                <w:rFonts w:cs="Calibri"/>
              </w:rPr>
              <w:t xml:space="preserve">4 d) </w:t>
            </w:r>
            <w:r w:rsidR="00AA66A2" w:rsidRPr="00DD47DF">
              <w:rPr>
                <w:rFonts w:cs="Calibri"/>
              </w:rPr>
              <w:t>Rozvoj a zavádění inteligentních distribučních soustav, jež fungují na hladině nízkého a středního napětí</w:t>
            </w:r>
          </w:p>
          <w:p w14:paraId="5EEB8993" w14:textId="77777777" w:rsidR="00066396" w:rsidRPr="00DD47DF" w:rsidRDefault="00066396" w:rsidP="0022028B">
            <w:pPr>
              <w:pStyle w:val="Tabulka"/>
              <w:jc w:val="left"/>
              <w:rPr>
                <w:rFonts w:cs="Calibri"/>
              </w:rPr>
            </w:pPr>
          </w:p>
        </w:tc>
        <w:tc>
          <w:tcPr>
            <w:tcW w:w="2992" w:type="pct"/>
            <w:shd w:val="clear" w:color="auto" w:fill="auto"/>
          </w:tcPr>
          <w:p w14:paraId="0D09AD5D" w14:textId="77777777" w:rsidR="00CC256A"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260981" w:rsidRPr="00DD47DF">
              <w:rPr>
                <w:rFonts w:cs="Calibri"/>
                <w:bCs/>
              </w:rPr>
              <w:t>Podpora dalšího rozvoje distribučních sítí nízkovoltaické elektrické energie, včetně uvedení inteligentních měřičů e</w:t>
            </w:r>
            <w:r w:rsidR="00CC256A" w:rsidRPr="00DD47DF">
              <w:rPr>
                <w:rFonts w:cs="Calibri"/>
                <w:bCs/>
              </w:rPr>
              <w:t>lektrické energie</w:t>
            </w:r>
          </w:p>
          <w:p w14:paraId="474C7DE9" w14:textId="77777777" w:rsidR="00CC256A" w:rsidRPr="00DD47DF" w:rsidRDefault="00CC256A" w:rsidP="0022028B">
            <w:pPr>
              <w:pStyle w:val="Tabulka"/>
              <w:jc w:val="left"/>
              <w:rPr>
                <w:rFonts w:cs="Calibri"/>
                <w:bCs/>
              </w:rPr>
            </w:pPr>
            <w:r w:rsidRPr="00DD47DF">
              <w:rPr>
                <w:rFonts w:cs="Calibri"/>
                <w:bCs/>
                <w:u w:val="single"/>
              </w:rPr>
              <w:t>SMK</w:t>
            </w:r>
            <w:r w:rsidRPr="00DD47DF">
              <w:rPr>
                <w:rFonts w:cs="Calibri"/>
                <w:bCs/>
              </w:rPr>
              <w:t xml:space="preserve">: </w:t>
            </w:r>
            <w:r w:rsidR="009636EC" w:rsidRPr="00DD47DF">
              <w:rPr>
                <w:rFonts w:cs="Calibri"/>
                <w:bCs/>
              </w:rPr>
              <w:t xml:space="preserve">Posílení </w:t>
            </w:r>
            <w:r w:rsidR="009636EC" w:rsidRPr="00DD47DF">
              <w:rPr>
                <w:rFonts w:cs="Calibri"/>
              </w:rPr>
              <w:t>energetické</w:t>
            </w:r>
            <w:r w:rsidR="00F26347" w:rsidRPr="00DD47DF">
              <w:rPr>
                <w:rFonts w:cs="Calibri"/>
              </w:rPr>
              <w:t xml:space="preserve"> bezpečnosti ČR prostřednictvím</w:t>
            </w:r>
            <w:r w:rsidRPr="00DD47DF">
              <w:rPr>
                <w:rFonts w:cs="Calibri"/>
              </w:rPr>
              <w:t xml:space="preserve"> posilování energetických sítí</w:t>
            </w:r>
          </w:p>
          <w:p w14:paraId="5C87252A" w14:textId="77777777" w:rsidR="00066396" w:rsidRPr="00DD47DF" w:rsidRDefault="00066396" w:rsidP="00CC256A">
            <w:pPr>
              <w:pStyle w:val="Tabulka"/>
              <w:jc w:val="left"/>
              <w:rPr>
                <w:rFonts w:cs="Calibri"/>
                <w:bCs/>
              </w:rPr>
            </w:pPr>
            <w:r w:rsidRPr="00DD47DF">
              <w:rPr>
                <w:rFonts w:cs="Calibri"/>
                <w:bCs/>
                <w:u w:val="single"/>
              </w:rPr>
              <w:t xml:space="preserve">Aktualizace </w:t>
            </w:r>
            <w:r w:rsidR="00CC256A" w:rsidRPr="00DD47DF">
              <w:rPr>
                <w:rFonts w:cs="Calibri"/>
                <w:bCs/>
                <w:u w:val="single"/>
              </w:rPr>
              <w:t>SEK</w:t>
            </w:r>
            <w:r w:rsidRPr="00DD47DF">
              <w:rPr>
                <w:rFonts w:cs="Calibri"/>
                <w:bCs/>
              </w:rPr>
              <w:t>:</w:t>
            </w:r>
            <w:r w:rsidR="00BA4E72" w:rsidRPr="00DD47DF">
              <w:rPr>
                <w:rFonts w:cs="Calibri"/>
                <w:bCs/>
              </w:rPr>
              <w:t xml:space="preserve"> </w:t>
            </w:r>
            <w:r w:rsidR="0007268F" w:rsidRPr="00DD47DF">
              <w:rPr>
                <w:rFonts w:cs="Calibri"/>
                <w:bCs/>
              </w:rPr>
              <w:t xml:space="preserve">Zajistit obnovu a rozvoj distribučních soustav včetně </w:t>
            </w:r>
            <w:r w:rsidR="00F26347" w:rsidRPr="00DD47DF">
              <w:rPr>
                <w:rFonts w:cs="Calibri"/>
                <w:bCs/>
              </w:rPr>
              <w:t>nasazení tzv. smart prvků</w:t>
            </w:r>
          </w:p>
          <w:p w14:paraId="47A9AE13" w14:textId="77777777" w:rsidR="00FA6499" w:rsidRPr="00DD47DF" w:rsidRDefault="00FA6499" w:rsidP="00CC45C6">
            <w:pPr>
              <w:pStyle w:val="Tabulka"/>
              <w:jc w:val="left"/>
              <w:rPr>
                <w:rFonts w:cs="Calibri"/>
                <w:b/>
                <w:bCs/>
              </w:rPr>
            </w:pPr>
            <w:r w:rsidRPr="00DD47DF">
              <w:rPr>
                <w:rFonts w:cs="Calibri"/>
                <w:bCs/>
                <w:u w:val="single"/>
              </w:rPr>
              <w:t>Dohoda o partnerství:</w:t>
            </w:r>
          </w:p>
          <w:p w14:paraId="5387E55E"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1F773884"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w:t>
            </w:r>
            <w:r w:rsidR="00050A91" w:rsidRPr="00DD47DF">
              <w:rPr>
                <w:rFonts w:cs="Calibri"/>
                <w:bCs/>
              </w:rPr>
              <w:t>Nedostatečná modernost a kapacita distribučních soustav z pohledu připojení distribuovaných (včetně intermitentních) zdrojů energie, dálkové spotřeby, spolehlivosti provozu a akumulace energie</w:t>
            </w:r>
          </w:p>
          <w:p w14:paraId="3BBFF2F9" w14:textId="77777777" w:rsidR="00CC45C6" w:rsidRPr="00DD47DF" w:rsidRDefault="00CC45C6" w:rsidP="00CC45C6">
            <w:pPr>
              <w:pStyle w:val="Tabulka"/>
              <w:jc w:val="left"/>
              <w:rPr>
                <w:rFonts w:cs="Calibri"/>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r w:rsidR="00066396" w:rsidRPr="00DD47DF" w14:paraId="0D43545F" w14:textId="77777777">
        <w:trPr>
          <w:jc w:val="center"/>
        </w:trPr>
        <w:tc>
          <w:tcPr>
            <w:tcW w:w="567" w:type="pct"/>
            <w:vMerge/>
            <w:shd w:val="clear" w:color="auto" w:fill="auto"/>
            <w:vAlign w:val="center"/>
          </w:tcPr>
          <w:p w14:paraId="1D67E836" w14:textId="77777777" w:rsidR="00066396" w:rsidRPr="00DD47DF" w:rsidRDefault="00066396" w:rsidP="0022028B">
            <w:pPr>
              <w:pStyle w:val="Tabulka"/>
              <w:jc w:val="left"/>
              <w:rPr>
                <w:rFonts w:cs="Calibri"/>
              </w:rPr>
            </w:pPr>
          </w:p>
        </w:tc>
        <w:tc>
          <w:tcPr>
            <w:tcW w:w="1441" w:type="pct"/>
            <w:shd w:val="clear" w:color="auto" w:fill="DBE5F1"/>
            <w:vAlign w:val="center"/>
          </w:tcPr>
          <w:p w14:paraId="3644321D" w14:textId="77777777" w:rsidR="00066396" w:rsidRPr="00DD47DF" w:rsidRDefault="00B54D2B" w:rsidP="0022028B">
            <w:pPr>
              <w:pStyle w:val="Tabulka"/>
              <w:jc w:val="left"/>
              <w:rPr>
                <w:rFonts w:cs="Calibri"/>
              </w:rPr>
            </w:pPr>
            <w:r w:rsidRPr="00DD47DF">
              <w:rPr>
                <w:rFonts w:cs="Calibri"/>
              </w:rPr>
              <w:t xml:space="preserve">4 f) </w:t>
            </w:r>
            <w:r w:rsidR="002641C7" w:rsidRPr="00DD47DF">
              <w:rPr>
                <w:rFonts w:cs="Calibri"/>
              </w:rPr>
              <w:t>Podpora výzkumu a inovací a zavádění nízkouhlíkových technologií</w:t>
            </w:r>
          </w:p>
          <w:p w14:paraId="71435BD9" w14:textId="77777777" w:rsidR="00066396" w:rsidRPr="00DD47DF" w:rsidRDefault="00066396" w:rsidP="0022028B">
            <w:pPr>
              <w:pStyle w:val="Tabulka"/>
              <w:jc w:val="left"/>
              <w:rPr>
                <w:rFonts w:cs="Calibri"/>
              </w:rPr>
            </w:pPr>
          </w:p>
        </w:tc>
        <w:tc>
          <w:tcPr>
            <w:tcW w:w="2992" w:type="pct"/>
            <w:shd w:val="clear" w:color="auto" w:fill="auto"/>
          </w:tcPr>
          <w:p w14:paraId="40278174" w14:textId="77777777" w:rsidR="00BA292F" w:rsidRPr="00DD47DF" w:rsidRDefault="00511660" w:rsidP="0022028B">
            <w:pPr>
              <w:pStyle w:val="Tabulka"/>
              <w:jc w:val="left"/>
              <w:rPr>
                <w:rFonts w:cs="Calibri"/>
              </w:rPr>
            </w:pPr>
            <w:r w:rsidRPr="00DD47DF">
              <w:rPr>
                <w:rFonts w:cs="Calibri"/>
                <w:bCs/>
                <w:u w:val="single"/>
              </w:rPr>
              <w:t>N</w:t>
            </w:r>
            <w:r w:rsidR="00BA292F" w:rsidRPr="00DD47DF">
              <w:rPr>
                <w:rFonts w:cs="Calibri"/>
                <w:bCs/>
                <w:u w:val="single"/>
              </w:rPr>
              <w:t>PR</w:t>
            </w:r>
            <w:r w:rsidRPr="00DD47DF">
              <w:rPr>
                <w:rFonts w:cs="Calibri"/>
                <w:bCs/>
                <w:u w:val="single"/>
              </w:rPr>
              <w:t xml:space="preserve"> 201</w:t>
            </w:r>
            <w:r w:rsidR="00C12521" w:rsidRPr="00DD47DF">
              <w:rPr>
                <w:rFonts w:cs="Calibri"/>
                <w:bCs/>
                <w:u w:val="single"/>
              </w:rPr>
              <w:t>4</w:t>
            </w:r>
            <w:r w:rsidRPr="00DD47DF">
              <w:rPr>
                <w:rFonts w:cs="Calibri"/>
                <w:bCs/>
              </w:rPr>
              <w:t>:</w:t>
            </w:r>
            <w:r w:rsidR="008C3E51" w:rsidRPr="00DD47DF">
              <w:rPr>
                <w:rFonts w:cs="Calibri"/>
              </w:rPr>
              <w:t xml:space="preserve"> </w:t>
            </w:r>
            <w:r w:rsidR="00C12521" w:rsidRPr="00DD47DF">
              <w:rPr>
                <w:rFonts w:cs="Calibri"/>
              </w:rPr>
              <w:t>Podpora technologií umožňujících efektivní využívání druhotných surovin</w:t>
            </w:r>
          </w:p>
          <w:p w14:paraId="469E0F17" w14:textId="77777777" w:rsidR="00066396" w:rsidRPr="00DD47DF" w:rsidRDefault="00066396" w:rsidP="0022028B">
            <w:pPr>
              <w:pStyle w:val="Tabulka"/>
              <w:jc w:val="left"/>
              <w:rPr>
                <w:rFonts w:cs="Calibri"/>
                <w:bCs/>
              </w:rPr>
            </w:pPr>
            <w:r w:rsidRPr="00DD47DF">
              <w:rPr>
                <w:rFonts w:cs="Calibri"/>
                <w:bCs/>
                <w:u w:val="single"/>
              </w:rPr>
              <w:t xml:space="preserve">Koncepce podpory </w:t>
            </w:r>
            <w:r w:rsidR="00BA292F" w:rsidRPr="00DD47DF">
              <w:rPr>
                <w:rFonts w:cs="Calibri"/>
                <w:bCs/>
                <w:u w:val="single"/>
              </w:rPr>
              <w:t>MSP</w:t>
            </w:r>
            <w:r w:rsidRPr="00DD47DF">
              <w:rPr>
                <w:rFonts w:cs="Calibri"/>
                <w:bCs/>
              </w:rPr>
              <w:t xml:space="preserve">: </w:t>
            </w:r>
            <w:r w:rsidR="00BA292F" w:rsidRPr="00DD47DF">
              <w:rPr>
                <w:rFonts w:cs="Calibri"/>
                <w:bCs/>
              </w:rPr>
              <w:t>Z</w:t>
            </w:r>
            <w:r w:rsidR="00B33473" w:rsidRPr="00DD47DF">
              <w:rPr>
                <w:rFonts w:cs="Calibri"/>
                <w:bCs/>
              </w:rPr>
              <w:t>avádění inovací v hledán</w:t>
            </w:r>
            <w:r w:rsidR="00BA292F" w:rsidRPr="00DD47DF">
              <w:rPr>
                <w:rFonts w:cs="Calibri"/>
                <w:bCs/>
              </w:rPr>
              <w:t>í nových alternativních zdrojů,</w:t>
            </w:r>
            <w:r w:rsidR="00B33473" w:rsidRPr="00DD47DF">
              <w:rPr>
                <w:rFonts w:cs="Calibri"/>
                <w:bCs/>
              </w:rPr>
              <w:t xml:space="preserve"> v oblasti úspor energie a vyšší</w:t>
            </w:r>
            <w:r w:rsidR="00BA292F" w:rsidRPr="00DD47DF">
              <w:rPr>
                <w:rFonts w:cs="Calibri"/>
                <w:bCs/>
              </w:rPr>
              <w:t>ho využívání druhotných surovin</w:t>
            </w:r>
          </w:p>
          <w:p w14:paraId="38B5B7ED" w14:textId="77777777" w:rsidR="002356D6" w:rsidRPr="00DD47DF" w:rsidRDefault="002356D6" w:rsidP="0022028B">
            <w:pPr>
              <w:pStyle w:val="Tabulka"/>
              <w:jc w:val="left"/>
              <w:rPr>
                <w:rFonts w:cs="Calibri"/>
                <w:bCs/>
              </w:rPr>
            </w:pPr>
            <w:r w:rsidRPr="00DD47DF">
              <w:rPr>
                <w:rFonts w:cs="Calibri"/>
                <w:bCs/>
                <w:u w:val="single"/>
              </w:rPr>
              <w:t>Politika druhotných surovin ČR</w:t>
            </w:r>
            <w:r w:rsidRPr="00DD47DF">
              <w:rPr>
                <w:rFonts w:cs="Calibri"/>
                <w:bCs/>
              </w:rPr>
              <w:t>: Podpořit inovace zabezpečující získávání druhotných surovin v kvalitě vhodné pro další využití v průmyslu a podpořit využívání druhotných surovin jako nástroje pro snižování energetické a materiálové náročnosti průmyslové výroby</w:t>
            </w:r>
          </w:p>
          <w:p w14:paraId="2E5DDF62"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624F75BC"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Konkurenceschopné podniky a částečně Ochrana životního prostředí</w:t>
            </w:r>
          </w:p>
          <w:p w14:paraId="1D64A3E9" w14:textId="77777777" w:rsidR="00CC45C6" w:rsidRPr="00DD47DF" w:rsidRDefault="00CC45C6" w:rsidP="00CC45C6">
            <w:pPr>
              <w:pStyle w:val="Tabulka"/>
              <w:jc w:val="left"/>
              <w:rPr>
                <w:rFonts w:cs="Calibri"/>
                <w:bCs/>
              </w:rPr>
            </w:pPr>
            <w:r w:rsidRPr="00DD47DF">
              <w:rPr>
                <w:rFonts w:cs="Calibri"/>
                <w:b/>
                <w:bCs/>
              </w:rPr>
              <w:lastRenderedPageBreak/>
              <w:t>Identifikované problémy relevantní pro OP PIK:</w:t>
            </w:r>
            <w:r w:rsidRPr="00DD47DF">
              <w:rPr>
                <w:rFonts w:cs="Calibri"/>
                <w:bCs/>
              </w:rPr>
              <w:t xml:space="preserve"> Vysoká energetická a surovinová náročnost hospodářství a rostoucí ceny energií</w:t>
            </w:r>
          </w:p>
          <w:p w14:paraId="38F0E9BA" w14:textId="77777777" w:rsidR="00CC45C6" w:rsidRPr="00DD47DF" w:rsidRDefault="00CC45C6" w:rsidP="00CC45C6">
            <w:pPr>
              <w:pStyle w:val="Tabulka"/>
              <w:jc w:val="left"/>
              <w:rPr>
                <w:rFonts w:cs="Calibri"/>
                <w:color w:val="000000"/>
              </w:rPr>
            </w:pPr>
            <w:r w:rsidRPr="00DD47DF">
              <w:rPr>
                <w:rFonts w:cs="Calibri"/>
                <w:b/>
                <w:bCs/>
              </w:rPr>
              <w:t xml:space="preserve">Priorita financování: </w:t>
            </w:r>
            <w:r w:rsidRPr="00DD47DF">
              <w:rPr>
                <w:szCs w:val="24"/>
              </w:rPr>
              <w:t>Podniky využívající výsledků VaV, konkurenceschopné na globálním trhu a přispívající k nízkouhlíkovému hospodářství, Udržitelná infrastruktura umožňující konkurenceschopnost ekonomiky, Ochrana životního prostředí a krajiny a přizpůsobení se změně klimatu</w:t>
            </w:r>
          </w:p>
        </w:tc>
      </w:tr>
      <w:tr w:rsidR="00066396" w:rsidRPr="00DD47DF" w14:paraId="27760969" w14:textId="77777777">
        <w:trPr>
          <w:jc w:val="center"/>
        </w:trPr>
        <w:tc>
          <w:tcPr>
            <w:tcW w:w="567" w:type="pct"/>
            <w:vMerge/>
            <w:shd w:val="clear" w:color="auto" w:fill="auto"/>
            <w:vAlign w:val="center"/>
          </w:tcPr>
          <w:p w14:paraId="6B088525" w14:textId="77777777" w:rsidR="00066396" w:rsidRPr="00DD47DF" w:rsidRDefault="00066396" w:rsidP="0022028B">
            <w:pPr>
              <w:pStyle w:val="Tabulka"/>
              <w:jc w:val="left"/>
              <w:rPr>
                <w:rFonts w:cs="Calibri"/>
              </w:rPr>
            </w:pPr>
          </w:p>
        </w:tc>
        <w:tc>
          <w:tcPr>
            <w:tcW w:w="1441" w:type="pct"/>
            <w:shd w:val="clear" w:color="auto" w:fill="DBE5F1"/>
            <w:vAlign w:val="center"/>
          </w:tcPr>
          <w:p w14:paraId="40E8C4F7" w14:textId="77777777" w:rsidR="00066396" w:rsidRPr="00DD47DF" w:rsidRDefault="00B54D2B" w:rsidP="0022028B">
            <w:pPr>
              <w:pStyle w:val="Tabulka"/>
              <w:jc w:val="left"/>
              <w:rPr>
                <w:rFonts w:cs="Calibri"/>
              </w:rPr>
            </w:pPr>
            <w:r w:rsidRPr="00DD47DF">
              <w:rPr>
                <w:rFonts w:cs="Calibri"/>
              </w:rPr>
              <w:t xml:space="preserve">4 g) </w:t>
            </w:r>
            <w:r w:rsidR="00066396" w:rsidRPr="00DD47DF">
              <w:rPr>
                <w:rFonts w:cs="Calibri"/>
              </w:rPr>
              <w:t>Podpora využívání vysoce účinné kombinované výroby tepla a elektřiny na základě poptávky po užitečném teple</w:t>
            </w:r>
          </w:p>
          <w:p w14:paraId="3CD9208E" w14:textId="77777777" w:rsidR="00066396" w:rsidRPr="00DD47DF" w:rsidRDefault="00066396" w:rsidP="0022028B">
            <w:pPr>
              <w:pStyle w:val="Tabulka"/>
              <w:jc w:val="left"/>
              <w:rPr>
                <w:rFonts w:cs="Calibri"/>
              </w:rPr>
            </w:pPr>
          </w:p>
        </w:tc>
        <w:tc>
          <w:tcPr>
            <w:tcW w:w="2992" w:type="pct"/>
            <w:shd w:val="clear" w:color="auto" w:fill="auto"/>
          </w:tcPr>
          <w:p w14:paraId="70C2C5D8" w14:textId="77777777" w:rsidR="003F6EA6" w:rsidRPr="00DD47DF" w:rsidRDefault="003F6EA6" w:rsidP="0022028B">
            <w:pPr>
              <w:pStyle w:val="Tabulka"/>
              <w:jc w:val="left"/>
              <w:rPr>
                <w:rFonts w:cs="Calibri"/>
                <w:bCs/>
              </w:rPr>
            </w:pPr>
            <w:r w:rsidRPr="00DD47DF">
              <w:rPr>
                <w:rFonts w:cs="Calibri"/>
                <w:bCs/>
                <w:u w:val="single"/>
              </w:rPr>
              <w:t>Poziční dokument</w:t>
            </w:r>
            <w:r w:rsidRPr="00DD47DF">
              <w:rPr>
                <w:rFonts w:cs="Calibri"/>
                <w:bCs/>
              </w:rPr>
              <w:t xml:space="preserve">: </w:t>
            </w:r>
            <w:r w:rsidR="00FB134C" w:rsidRPr="00DD47DF">
              <w:rPr>
                <w:rFonts w:cs="Calibri"/>
                <w:bCs/>
              </w:rPr>
              <w:t>Zlepšení</w:t>
            </w:r>
            <w:r w:rsidR="00A1474A" w:rsidRPr="00DD47DF">
              <w:rPr>
                <w:rFonts w:cs="Calibri"/>
                <w:bCs/>
              </w:rPr>
              <w:t xml:space="preserve"> účinnosti místních zařízení pro dálkové vytápění a z</w:t>
            </w:r>
            <w:r w:rsidR="00260981" w:rsidRPr="00DD47DF">
              <w:rPr>
                <w:rFonts w:cs="Calibri"/>
                <w:bCs/>
              </w:rPr>
              <w:t>výšení účinnos</w:t>
            </w:r>
            <w:r w:rsidR="00FB134C" w:rsidRPr="00DD47DF">
              <w:rPr>
                <w:rFonts w:cs="Calibri"/>
                <w:bCs/>
              </w:rPr>
              <w:t>ti distribučních tepelných sítí</w:t>
            </w:r>
          </w:p>
          <w:p w14:paraId="7B2CDCA3" w14:textId="77777777" w:rsidR="00066396" w:rsidRPr="00DD47DF" w:rsidRDefault="00066396" w:rsidP="0022028B">
            <w:pPr>
              <w:pStyle w:val="Tabulka"/>
              <w:jc w:val="left"/>
              <w:rPr>
                <w:rFonts w:cs="Calibri"/>
                <w:bCs/>
              </w:rPr>
            </w:pPr>
            <w:r w:rsidRPr="00DD47DF">
              <w:rPr>
                <w:rFonts w:cs="Calibri"/>
                <w:bCs/>
                <w:u w:val="single"/>
              </w:rPr>
              <w:t xml:space="preserve">Koncepce podpory </w:t>
            </w:r>
            <w:r w:rsidR="00FB134C" w:rsidRPr="00DD47DF">
              <w:rPr>
                <w:rFonts w:cs="Calibri"/>
                <w:bCs/>
                <w:u w:val="single"/>
              </w:rPr>
              <w:t>MSP</w:t>
            </w:r>
            <w:r w:rsidRPr="00DD47DF">
              <w:rPr>
                <w:rFonts w:cs="Calibri"/>
                <w:bCs/>
              </w:rPr>
              <w:t xml:space="preserve">: </w:t>
            </w:r>
            <w:r w:rsidR="00D93658" w:rsidRPr="00DD47DF">
              <w:rPr>
                <w:rFonts w:cs="Calibri"/>
                <w:bCs/>
              </w:rPr>
              <w:t>Z</w:t>
            </w:r>
            <w:r w:rsidR="00B33473" w:rsidRPr="00DD47DF">
              <w:rPr>
                <w:rFonts w:cs="Calibri"/>
                <w:bCs/>
              </w:rPr>
              <w:t>vyšování energetické účinnosti zaváděním kombinované výroby elektřiny a tepla</w:t>
            </w:r>
            <w:r w:rsidR="00D93658" w:rsidRPr="00DD47DF">
              <w:rPr>
                <w:rFonts w:cs="Calibri"/>
                <w:bCs/>
              </w:rPr>
              <w:t>;</w:t>
            </w:r>
            <w:r w:rsidR="00B33473" w:rsidRPr="00DD47DF">
              <w:rPr>
                <w:rFonts w:cs="Calibri"/>
                <w:bCs/>
              </w:rPr>
              <w:t xml:space="preserve"> </w:t>
            </w:r>
            <w:r w:rsidR="00D846F4" w:rsidRPr="00DD47DF">
              <w:rPr>
                <w:rFonts w:cs="Calibri"/>
                <w:bCs/>
              </w:rPr>
              <w:t>modernizace, rekonstrukce a sn</w:t>
            </w:r>
            <w:r w:rsidR="00D93658" w:rsidRPr="00DD47DF">
              <w:rPr>
                <w:rFonts w:cs="Calibri"/>
                <w:bCs/>
              </w:rPr>
              <w:t>ižování ztrát v rozvodech tepla</w:t>
            </w:r>
          </w:p>
          <w:p w14:paraId="03194C15" w14:textId="77777777" w:rsidR="00066396" w:rsidRPr="00DD47DF" w:rsidRDefault="00066396" w:rsidP="00FB134C">
            <w:pPr>
              <w:pStyle w:val="Tabulka"/>
              <w:jc w:val="left"/>
              <w:rPr>
                <w:rFonts w:cs="Calibri"/>
                <w:bCs/>
              </w:rPr>
            </w:pPr>
            <w:r w:rsidRPr="00DD47DF">
              <w:rPr>
                <w:rFonts w:cs="Calibri"/>
                <w:bCs/>
                <w:u w:val="single"/>
              </w:rPr>
              <w:t xml:space="preserve">Aktualizace </w:t>
            </w:r>
            <w:r w:rsidR="00FB134C" w:rsidRPr="00DD47DF">
              <w:rPr>
                <w:rFonts w:cs="Calibri"/>
                <w:bCs/>
                <w:u w:val="single"/>
              </w:rPr>
              <w:t>SEK</w:t>
            </w:r>
            <w:r w:rsidRPr="00DD47DF">
              <w:rPr>
                <w:rFonts w:cs="Calibri"/>
                <w:bCs/>
              </w:rPr>
              <w:t>:</w:t>
            </w:r>
            <w:r w:rsidR="006A7841" w:rsidRPr="00DD47DF">
              <w:rPr>
                <w:rFonts w:cs="Calibri"/>
                <w:bCs/>
              </w:rPr>
              <w:t xml:space="preserve"> </w:t>
            </w:r>
            <w:r w:rsidR="00852093" w:rsidRPr="00DD47DF">
              <w:rPr>
                <w:rFonts w:cs="Calibri"/>
                <w:bCs/>
              </w:rPr>
              <w:t>Dlouhodobě udržet rozsah soustav zásobování teplem</w:t>
            </w:r>
            <w:r w:rsidR="00FB134C" w:rsidRPr="00DD47DF">
              <w:rPr>
                <w:rFonts w:cs="Calibri"/>
                <w:bCs/>
              </w:rPr>
              <w:t>; p</w:t>
            </w:r>
            <w:r w:rsidR="00852093" w:rsidRPr="00DD47DF">
              <w:rPr>
                <w:rFonts w:cs="Calibri"/>
                <w:bCs/>
              </w:rPr>
              <w:t xml:space="preserve">odporovat vysoce účinnou kogenerační výrobu </w:t>
            </w:r>
            <w:r w:rsidR="006A7841" w:rsidRPr="00DD47DF">
              <w:rPr>
                <w:rFonts w:cs="Calibri"/>
                <w:bCs/>
              </w:rPr>
              <w:t>s efektivním využitím tepelných čerpadel a související sn</w:t>
            </w:r>
            <w:r w:rsidR="00FB134C" w:rsidRPr="00DD47DF">
              <w:rPr>
                <w:rFonts w:cs="Calibri"/>
                <w:bCs/>
              </w:rPr>
              <w:t>ížení ztrát v distribuci tepla</w:t>
            </w:r>
          </w:p>
          <w:p w14:paraId="7C8886A2" w14:textId="77777777" w:rsidR="00CC45C6" w:rsidRPr="00DD47DF" w:rsidRDefault="00CC45C6" w:rsidP="00CC45C6">
            <w:pPr>
              <w:pStyle w:val="Tabulka"/>
              <w:jc w:val="left"/>
              <w:rPr>
                <w:rFonts w:cs="Calibri"/>
                <w:bCs/>
                <w:u w:val="single"/>
              </w:rPr>
            </w:pPr>
            <w:r w:rsidRPr="00DD47DF">
              <w:rPr>
                <w:rFonts w:cs="Calibri"/>
                <w:bCs/>
                <w:u w:val="single"/>
              </w:rPr>
              <w:t>Dohoda o partnerství:</w:t>
            </w:r>
          </w:p>
          <w:p w14:paraId="1CA20039" w14:textId="77777777" w:rsidR="00CC45C6" w:rsidRPr="00DD47DF" w:rsidRDefault="00CC45C6" w:rsidP="00CC45C6">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0DEF4F92" w14:textId="77777777" w:rsidR="00CC45C6" w:rsidRPr="00DD47DF" w:rsidRDefault="00CC45C6" w:rsidP="00CC45C6">
            <w:pPr>
              <w:pStyle w:val="Tabulka"/>
              <w:jc w:val="left"/>
              <w:rPr>
                <w:rFonts w:cs="Calibri"/>
                <w:bCs/>
              </w:rPr>
            </w:pPr>
            <w:r w:rsidRPr="00DD47DF">
              <w:rPr>
                <w:rFonts w:cs="Calibri"/>
                <w:b/>
                <w:bCs/>
              </w:rPr>
              <w:t>Identifikované problémy relevantní pro OP PIK:</w:t>
            </w:r>
            <w:r w:rsidRPr="00DD47DF">
              <w:rPr>
                <w:rFonts w:cs="Calibri"/>
                <w:bCs/>
              </w:rPr>
              <w:t xml:space="preserve"> Vysoký podíl ztrát tepelné energie v tepelných rozvodných zařízeních a nevyužitý potenciál kombinované výroby elektřiny a tepla</w:t>
            </w:r>
          </w:p>
          <w:p w14:paraId="30CC44BE" w14:textId="77777777" w:rsidR="00CC45C6" w:rsidRPr="00DD47DF" w:rsidRDefault="00CC45C6" w:rsidP="00CC45C6">
            <w:pPr>
              <w:pStyle w:val="Tabulka"/>
              <w:jc w:val="left"/>
              <w:rPr>
                <w:rFonts w:cs="Calibri"/>
                <w:color w:val="000000"/>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r w:rsidR="00DB5E8B" w:rsidRPr="00DD47DF" w14:paraId="5A64AAE5" w14:textId="77777777">
        <w:trPr>
          <w:jc w:val="center"/>
        </w:trPr>
        <w:tc>
          <w:tcPr>
            <w:tcW w:w="567" w:type="pct"/>
            <w:shd w:val="clear" w:color="auto" w:fill="B8CCE4"/>
            <w:vAlign w:val="center"/>
          </w:tcPr>
          <w:p w14:paraId="7653D98F" w14:textId="77777777" w:rsidR="00DB5E8B" w:rsidRPr="00DD47DF" w:rsidRDefault="00DB5E8B" w:rsidP="0022028B">
            <w:pPr>
              <w:pStyle w:val="Tabulka"/>
              <w:jc w:val="left"/>
              <w:rPr>
                <w:rFonts w:cs="Calibri"/>
              </w:rPr>
            </w:pPr>
            <w:r w:rsidRPr="00DD47DF">
              <w:rPr>
                <w:rFonts w:cs="Calibri"/>
              </w:rPr>
              <w:t>7</w:t>
            </w:r>
            <w:r w:rsidR="00CC5E04" w:rsidRPr="00DD47DF">
              <w:rPr>
                <w:rFonts w:cs="Calibri"/>
              </w:rPr>
              <w:t>)</w:t>
            </w:r>
            <w:r w:rsidRPr="00DD47DF">
              <w:rPr>
                <w:rFonts w:cs="Calibri"/>
              </w:rPr>
              <w:t xml:space="preserve"> Podpora udržitelné dopravy a odstraňování překážek v klíčových síťových infrastrukturách</w:t>
            </w:r>
          </w:p>
        </w:tc>
        <w:tc>
          <w:tcPr>
            <w:tcW w:w="1441" w:type="pct"/>
            <w:shd w:val="clear" w:color="auto" w:fill="DBE5F1"/>
            <w:vAlign w:val="center"/>
          </w:tcPr>
          <w:p w14:paraId="09CE29AE" w14:textId="77777777" w:rsidR="00DB5E8B" w:rsidRPr="00DD47DF" w:rsidRDefault="00B54D2B" w:rsidP="0022028B">
            <w:pPr>
              <w:pStyle w:val="Tabulka"/>
              <w:jc w:val="left"/>
              <w:rPr>
                <w:rFonts w:cs="Calibri"/>
              </w:rPr>
            </w:pPr>
            <w:r w:rsidRPr="00DD47DF">
              <w:rPr>
                <w:rFonts w:cs="Calibri"/>
              </w:rPr>
              <w:t xml:space="preserve">7 e) </w:t>
            </w:r>
            <w:r w:rsidR="00DB5E8B" w:rsidRPr="00DD47DF">
              <w:rPr>
                <w:rFonts w:cs="Calibri"/>
              </w:rPr>
              <w:t>Zvyšování energetické účinnosti a zabezpečení dodávek prostřednictvím rozvoje inteligentních systémů pro distribuci, skladování a přenos energie a prostřednictvím integrace distribuované výroby z obnovitelných zdrojů</w:t>
            </w:r>
          </w:p>
        </w:tc>
        <w:tc>
          <w:tcPr>
            <w:tcW w:w="2992" w:type="pct"/>
            <w:shd w:val="clear" w:color="auto" w:fill="auto"/>
          </w:tcPr>
          <w:p w14:paraId="4521ACE3" w14:textId="77777777" w:rsidR="00DB5E8B" w:rsidRPr="00DD47DF" w:rsidRDefault="00DB5E8B" w:rsidP="00DB5E8B">
            <w:pPr>
              <w:pStyle w:val="Tabulka"/>
              <w:jc w:val="left"/>
              <w:rPr>
                <w:rFonts w:cs="Calibri"/>
                <w:bCs/>
              </w:rPr>
            </w:pPr>
            <w:r w:rsidRPr="00DD47DF">
              <w:rPr>
                <w:rFonts w:cs="Calibri"/>
                <w:bCs/>
                <w:u w:val="single"/>
              </w:rPr>
              <w:t>NPR 201</w:t>
            </w:r>
            <w:r w:rsidR="00C12521" w:rsidRPr="00DD47DF">
              <w:rPr>
                <w:rFonts w:cs="Calibri"/>
                <w:bCs/>
                <w:u w:val="single"/>
              </w:rPr>
              <w:t>4</w:t>
            </w:r>
            <w:r w:rsidRPr="00DD47DF">
              <w:rPr>
                <w:rFonts w:cs="Calibri"/>
                <w:bCs/>
              </w:rPr>
              <w:t>:</w:t>
            </w:r>
            <w:r w:rsidRPr="00DD47DF">
              <w:rPr>
                <w:rFonts w:cs="Calibri"/>
              </w:rPr>
              <w:t xml:space="preserve"> </w:t>
            </w:r>
            <w:r w:rsidR="00050A91" w:rsidRPr="00DD47DF">
              <w:rPr>
                <w:rFonts w:cs="Calibri"/>
              </w:rPr>
              <w:t>Posílení kapacity přenosových sítí</w:t>
            </w:r>
          </w:p>
          <w:p w14:paraId="37F24E8A" w14:textId="77777777" w:rsidR="00DB5E8B" w:rsidRPr="00DD47DF" w:rsidRDefault="00DB5E8B" w:rsidP="00DB5E8B">
            <w:pPr>
              <w:pStyle w:val="Tabulka"/>
              <w:jc w:val="left"/>
              <w:rPr>
                <w:rFonts w:cs="Calibri"/>
              </w:rPr>
            </w:pPr>
            <w:r w:rsidRPr="00DD47DF">
              <w:rPr>
                <w:rFonts w:cs="Calibri"/>
                <w:bCs/>
                <w:u w:val="single"/>
              </w:rPr>
              <w:t>SMK</w:t>
            </w:r>
            <w:r w:rsidRPr="00DD47DF">
              <w:rPr>
                <w:rFonts w:cs="Calibri"/>
                <w:bCs/>
              </w:rPr>
              <w:t xml:space="preserve">: Posílení </w:t>
            </w:r>
            <w:r w:rsidRPr="00DD47DF">
              <w:rPr>
                <w:rFonts w:cs="Calibri"/>
              </w:rPr>
              <w:t>energetické bezpečnosti ČR, opatření v oblasti výstavby zálohových zdrojů, posilování energetických sítí</w:t>
            </w:r>
          </w:p>
          <w:p w14:paraId="65BBE84F" w14:textId="77777777" w:rsidR="00F26347" w:rsidRPr="00DD47DF" w:rsidRDefault="00F26347" w:rsidP="00F26347">
            <w:pPr>
              <w:pStyle w:val="Tabulka"/>
              <w:jc w:val="left"/>
              <w:rPr>
                <w:rFonts w:cs="Calibri"/>
              </w:rPr>
            </w:pPr>
            <w:r w:rsidRPr="00DD47DF">
              <w:rPr>
                <w:rFonts w:cs="Calibri"/>
                <w:u w:val="single"/>
              </w:rPr>
              <w:t>SRR</w:t>
            </w:r>
            <w:r w:rsidRPr="00DD47DF">
              <w:rPr>
                <w:rFonts w:cs="Calibri"/>
              </w:rPr>
              <w:t xml:space="preserve">: </w:t>
            </w:r>
            <w:r w:rsidR="00FA6499" w:rsidRPr="00DD47DF">
              <w:rPr>
                <w:rFonts w:cs="Calibri"/>
              </w:rPr>
              <w:t>M</w:t>
            </w:r>
            <w:r w:rsidRPr="00DD47DF">
              <w:rPr>
                <w:rFonts w:cs="Calibri"/>
              </w:rPr>
              <w:t>odernizace energetických sítí a zajištění bezpečnosti dodávek energií vzhledem k </w:t>
            </w:r>
            <w:r w:rsidR="007419E7" w:rsidRPr="00DD47DF">
              <w:rPr>
                <w:rFonts w:cs="Calibri"/>
              </w:rPr>
              <w:t>nárůstu</w:t>
            </w:r>
            <w:r w:rsidRPr="00DD47DF">
              <w:rPr>
                <w:rFonts w:cs="Calibri"/>
              </w:rPr>
              <w:t xml:space="preserve"> nárok</w:t>
            </w:r>
            <w:r w:rsidR="007419E7" w:rsidRPr="00DD47DF">
              <w:rPr>
                <w:rFonts w:cs="Calibri"/>
              </w:rPr>
              <w:t>ů</w:t>
            </w:r>
            <w:r w:rsidRPr="00DD47DF">
              <w:rPr>
                <w:rFonts w:cs="Calibri"/>
              </w:rPr>
              <w:t xml:space="preserve"> na přenosovou soustavu v důsledku rozvoje OZE v </w:t>
            </w:r>
            <w:r w:rsidR="00FA6499" w:rsidRPr="00DD47DF">
              <w:rPr>
                <w:rFonts w:cs="Calibri"/>
              </w:rPr>
              <w:t>Německu</w:t>
            </w:r>
          </w:p>
          <w:p w14:paraId="74CC1947" w14:textId="77777777" w:rsidR="00DB5E8B" w:rsidRPr="00DD47DF" w:rsidRDefault="00DB5E8B" w:rsidP="00F26347">
            <w:pPr>
              <w:pStyle w:val="Tabulka"/>
              <w:jc w:val="left"/>
              <w:rPr>
                <w:rFonts w:cs="Calibri"/>
                <w:bCs/>
              </w:rPr>
            </w:pPr>
            <w:r w:rsidRPr="00DD47DF">
              <w:rPr>
                <w:rFonts w:cs="Calibri"/>
                <w:bCs/>
                <w:u w:val="single"/>
              </w:rPr>
              <w:t>Aktualizace SEK</w:t>
            </w:r>
            <w:r w:rsidRPr="00DD47DF">
              <w:rPr>
                <w:rFonts w:cs="Calibri"/>
                <w:bCs/>
              </w:rPr>
              <w:t>:</w:t>
            </w:r>
            <w:r w:rsidR="00BA4E72" w:rsidRPr="00DD47DF">
              <w:rPr>
                <w:rFonts w:cs="Calibri"/>
                <w:bCs/>
              </w:rPr>
              <w:t xml:space="preserve"> </w:t>
            </w:r>
            <w:r w:rsidR="00F26347" w:rsidRPr="00DD47DF">
              <w:rPr>
                <w:rFonts w:cs="Calibri"/>
                <w:bCs/>
              </w:rPr>
              <w:t>Obnova a modernizace přenosové soustavy a zvyšování její odolnosti při vzniku krizových situací, zajištění</w:t>
            </w:r>
            <w:r w:rsidRPr="00DD47DF">
              <w:rPr>
                <w:rFonts w:cs="Calibri"/>
                <w:bCs/>
              </w:rPr>
              <w:t xml:space="preserve"> připravenost</w:t>
            </w:r>
            <w:r w:rsidR="00F26347" w:rsidRPr="00DD47DF">
              <w:rPr>
                <w:rFonts w:cs="Calibri"/>
                <w:bCs/>
              </w:rPr>
              <w:t>i</w:t>
            </w:r>
            <w:r w:rsidRPr="00DD47DF">
              <w:rPr>
                <w:rFonts w:cs="Calibri"/>
                <w:bCs/>
              </w:rPr>
              <w:t xml:space="preserve"> přenosové soustavy k připojení nových výrobních kapacit</w:t>
            </w:r>
          </w:p>
          <w:p w14:paraId="54F2BF4A" w14:textId="77777777" w:rsidR="00FA6499" w:rsidRPr="00DD47DF" w:rsidRDefault="00FA6499" w:rsidP="00DB5E8B">
            <w:pPr>
              <w:pStyle w:val="Tabulka"/>
              <w:jc w:val="left"/>
              <w:rPr>
                <w:rFonts w:cs="Calibri"/>
                <w:b/>
                <w:bCs/>
              </w:rPr>
            </w:pPr>
            <w:r w:rsidRPr="00DD47DF">
              <w:rPr>
                <w:rFonts w:cs="Calibri"/>
                <w:bCs/>
                <w:u w:val="single"/>
              </w:rPr>
              <w:t>Dohoda o partnerství:</w:t>
            </w:r>
          </w:p>
          <w:p w14:paraId="7FA15584" w14:textId="77777777" w:rsidR="00DB5E8B" w:rsidRPr="00DD47DF" w:rsidRDefault="00DB5E8B" w:rsidP="00DB5E8B">
            <w:pPr>
              <w:pStyle w:val="Tabulka"/>
              <w:jc w:val="left"/>
              <w:rPr>
                <w:rFonts w:cs="Calibri"/>
                <w:b/>
                <w:bCs/>
              </w:rPr>
            </w:pPr>
            <w:r w:rsidRPr="00DD47DF">
              <w:rPr>
                <w:rFonts w:cs="Calibri"/>
                <w:b/>
                <w:bCs/>
              </w:rPr>
              <w:t>Problémová oblast:</w:t>
            </w:r>
            <w:r w:rsidRPr="00DD47DF">
              <w:rPr>
                <w:rFonts w:cs="Calibri"/>
                <w:bCs/>
              </w:rPr>
              <w:t xml:space="preserve"> Energetická infrastruktura</w:t>
            </w:r>
          </w:p>
          <w:p w14:paraId="6B5AAEC6" w14:textId="77777777" w:rsidR="00DB5E8B" w:rsidRPr="00DD47DF" w:rsidRDefault="00DB5E8B" w:rsidP="00DB5E8B">
            <w:pPr>
              <w:pStyle w:val="Tabulka"/>
              <w:jc w:val="left"/>
              <w:rPr>
                <w:rFonts w:cs="Calibri"/>
                <w:bCs/>
              </w:rPr>
            </w:pPr>
            <w:r w:rsidRPr="00DD47DF">
              <w:rPr>
                <w:rFonts w:cs="Calibri"/>
                <w:b/>
                <w:bCs/>
              </w:rPr>
              <w:lastRenderedPageBreak/>
              <w:t>Identifikované problémy relevantní pro OP PIK:</w:t>
            </w:r>
            <w:r w:rsidRPr="00DD47DF">
              <w:rPr>
                <w:rFonts w:cs="Calibri"/>
                <w:bCs/>
              </w:rPr>
              <w:t xml:space="preserve"> Nedostatečná modernost a kapacita přenosové soustavy </w:t>
            </w:r>
            <w:r w:rsidR="00050A91" w:rsidRPr="00DD47DF">
              <w:rPr>
                <w:rFonts w:cs="Calibri"/>
                <w:bCs/>
              </w:rPr>
              <w:t>zajišťující nárůst spotřeby, připojení nových zdrojů a tranzitní nároky na přenosovou soustavu v ČR ve směru sever – jih, garantující bezpečnost, odolnost a spolehlivost provozu na současné úrovni</w:t>
            </w:r>
          </w:p>
          <w:p w14:paraId="10EFCBA8" w14:textId="77777777" w:rsidR="00DB5E8B" w:rsidRPr="00DD47DF" w:rsidRDefault="00DB5E8B" w:rsidP="00DB5E8B">
            <w:pPr>
              <w:pStyle w:val="Tabulka"/>
              <w:jc w:val="left"/>
              <w:rPr>
                <w:rFonts w:cs="Calibri"/>
                <w:bCs/>
                <w:u w:val="single"/>
              </w:rPr>
            </w:pPr>
            <w:r w:rsidRPr="00DD47DF">
              <w:rPr>
                <w:rFonts w:cs="Calibri"/>
                <w:b/>
                <w:bCs/>
              </w:rPr>
              <w:t>Priorita financování:</w:t>
            </w:r>
            <w:r w:rsidRPr="00DD47DF">
              <w:rPr>
                <w:szCs w:val="24"/>
              </w:rPr>
              <w:t xml:space="preserve"> Udržitelná infrastruktura umožňující konkurenceschopnost ekonomiky a odpovídající obslužnost území</w:t>
            </w:r>
          </w:p>
        </w:tc>
      </w:tr>
    </w:tbl>
    <w:p w14:paraId="62FCFC3D" w14:textId="77777777" w:rsidR="00297A5A" w:rsidRPr="00DD47DF" w:rsidRDefault="00066396" w:rsidP="00906900">
      <w:pPr>
        <w:pStyle w:val="Standardntext"/>
        <w:spacing w:before="120"/>
        <w:sectPr w:rsidR="00297A5A" w:rsidRPr="00DD47DF" w:rsidSect="00E963F0">
          <w:headerReference w:type="default" r:id="rId23"/>
          <w:footerReference w:type="default" r:id="rId24"/>
          <w:pgSz w:w="16838" w:h="11906" w:orient="landscape" w:code="9"/>
          <w:pgMar w:top="1418" w:right="1418" w:bottom="1276" w:left="1276" w:header="709" w:footer="709" w:gutter="0"/>
          <w:cols w:space="708"/>
          <w:docGrid w:linePitch="272"/>
        </w:sectPr>
      </w:pPr>
      <w:r w:rsidRPr="00DD47DF">
        <w:rPr>
          <w:b/>
        </w:rPr>
        <w:lastRenderedPageBreak/>
        <w:t>Pozn.:</w:t>
      </w:r>
      <w:r w:rsidRPr="00DD47DF">
        <w:t xml:space="preserve"> </w:t>
      </w:r>
      <w:r w:rsidR="00981FDB" w:rsidRPr="00DD47DF">
        <w:t>Znění tematických cílů</w:t>
      </w:r>
      <w:r w:rsidRPr="00DD47DF">
        <w:t xml:space="preserve"> dle čl. 9 </w:t>
      </w:r>
      <w:r w:rsidR="00981FDB" w:rsidRPr="00DD47DF">
        <w:t>obecného nařízení a investičních priorit</w:t>
      </w:r>
      <w:r w:rsidRPr="00DD47DF">
        <w:t xml:space="preserve"> dle čl. 5 </w:t>
      </w:r>
      <w:r w:rsidR="00A30521" w:rsidRPr="00DD47DF">
        <w:t xml:space="preserve">nařízení </w:t>
      </w:r>
      <w:r w:rsidR="00BF360E" w:rsidRPr="00DD47DF">
        <w:t>o</w:t>
      </w:r>
      <w:r w:rsidR="0017188B" w:rsidRPr="00DD47DF">
        <w:t> </w:t>
      </w:r>
      <w:r w:rsidR="0059287E" w:rsidRPr="00DD47DF">
        <w:t>EFRR</w:t>
      </w:r>
      <w:r w:rsidRPr="00DD47DF">
        <w:t>.</w:t>
      </w:r>
    </w:p>
    <w:p w14:paraId="1E65A354" w14:textId="77777777" w:rsidR="00DD0FDA" w:rsidRPr="00DD47DF" w:rsidRDefault="006271CC" w:rsidP="009C7BE0">
      <w:pPr>
        <w:pStyle w:val="Nadpis2"/>
        <w:spacing w:line="240" w:lineRule="auto"/>
        <w:rPr>
          <w:rFonts w:cs="Calibri"/>
        </w:rPr>
      </w:pPr>
      <w:bookmarkStart w:id="19" w:name="_Toc351464354"/>
      <w:bookmarkStart w:id="20" w:name="_Toc129005363"/>
      <w:r w:rsidRPr="00DD47DF">
        <w:rPr>
          <w:rFonts w:cs="Calibri"/>
        </w:rPr>
        <w:lastRenderedPageBreak/>
        <w:t>O</w:t>
      </w:r>
      <w:r w:rsidR="001E2583" w:rsidRPr="00DD47DF">
        <w:rPr>
          <w:rFonts w:cs="Calibri"/>
        </w:rPr>
        <w:t xml:space="preserve">důvodnění </w:t>
      </w:r>
      <w:r w:rsidRPr="00DD47DF">
        <w:rPr>
          <w:rFonts w:cs="Calibri"/>
        </w:rPr>
        <w:t xml:space="preserve">přidělení </w:t>
      </w:r>
      <w:r w:rsidR="001E2583" w:rsidRPr="00DD47DF">
        <w:rPr>
          <w:rFonts w:cs="Calibri"/>
        </w:rPr>
        <w:t>finančních alokací</w:t>
      </w:r>
      <w:bookmarkEnd w:id="19"/>
      <w:bookmarkEnd w:id="20"/>
      <w:r w:rsidR="001E2583" w:rsidRPr="00DD47DF">
        <w:rPr>
          <w:rFonts w:cs="Calibri"/>
        </w:rPr>
        <w:t xml:space="preserve"> </w:t>
      </w:r>
    </w:p>
    <w:p w14:paraId="3C3787F6" w14:textId="77777777" w:rsidR="00BE7303" w:rsidRPr="00DD47DF" w:rsidRDefault="00BE7303" w:rsidP="00BE7303">
      <w:pPr>
        <w:pStyle w:val="Standardntext"/>
      </w:pPr>
      <w:r w:rsidRPr="00DD47DF">
        <w:t>OP PIK disponuje alokací 4 331 mil. EUR (EFRR) přidělené z národní obálky na základě:</w:t>
      </w:r>
    </w:p>
    <w:p w14:paraId="3967B5EB" w14:textId="77777777" w:rsidR="00BE7303" w:rsidRPr="00DD47DF" w:rsidRDefault="00BE7303" w:rsidP="00DA3512">
      <w:pPr>
        <w:pStyle w:val="Standardntext"/>
        <w:numPr>
          <w:ilvl w:val="0"/>
          <w:numId w:val="95"/>
        </w:numPr>
        <w:spacing w:after="0"/>
      </w:pPr>
      <w:r w:rsidRPr="00DD47DF">
        <w:t xml:space="preserve">analýzy disparit a rozvojových potřeb, v návaznosti na to stanovených priorit financování ČR v Dohodě o partnerství, </w:t>
      </w:r>
    </w:p>
    <w:p w14:paraId="5ABAD222" w14:textId="77777777" w:rsidR="00BE7303" w:rsidRPr="00DD47DF" w:rsidRDefault="00BE7303" w:rsidP="00DA3512">
      <w:pPr>
        <w:pStyle w:val="Standardntext"/>
        <w:numPr>
          <w:ilvl w:val="0"/>
          <w:numId w:val="95"/>
        </w:numPr>
        <w:spacing w:after="0"/>
      </w:pPr>
      <w:r w:rsidRPr="00DD47DF">
        <w:t>doporučení útvarů EK k prioritám financování ČR v období 2014-2020,</w:t>
      </w:r>
    </w:p>
    <w:p w14:paraId="4C1C536B" w14:textId="77777777" w:rsidR="00BE7303" w:rsidRPr="00DD47DF" w:rsidRDefault="00BE7303" w:rsidP="00DA3512">
      <w:pPr>
        <w:pStyle w:val="Standardntext"/>
        <w:numPr>
          <w:ilvl w:val="0"/>
          <w:numId w:val="95"/>
        </w:numPr>
        <w:ind w:left="714" w:hanging="357"/>
      </w:pPr>
      <w:r w:rsidRPr="00DD47DF">
        <w:t>věcného zaměření OP PIK, jeho úlohy jako programu přispívajícího k naplňování tematických cílů (TC) 1, 2, 3, 4 a 7, při respektování požadavků na tematickou koncentraci.</w:t>
      </w:r>
    </w:p>
    <w:p w14:paraId="75B90D61" w14:textId="77777777" w:rsidR="00BE7303" w:rsidRPr="00DD47DF" w:rsidRDefault="00BE7303" w:rsidP="00BE7303">
      <w:pPr>
        <w:pStyle w:val="Standardntext"/>
        <w:spacing w:after="0"/>
      </w:pPr>
      <w:r w:rsidRPr="00DD47DF">
        <w:t>Rozdělení alokace OP PIK mezi prioritní osy a investiční priority vychází ze:</w:t>
      </w:r>
    </w:p>
    <w:p w14:paraId="57433673" w14:textId="77777777" w:rsidR="00BE7303" w:rsidRPr="00DD47DF" w:rsidRDefault="00BE7303" w:rsidP="00DA3512">
      <w:pPr>
        <w:pStyle w:val="Standardntext"/>
        <w:numPr>
          <w:ilvl w:val="0"/>
          <w:numId w:val="96"/>
        </w:numPr>
        <w:spacing w:after="0"/>
      </w:pPr>
      <w:r w:rsidRPr="00DD47DF">
        <w:t>strategie programu a věcného zaměření prioritních os (PO) a specifických cílů,</w:t>
      </w:r>
    </w:p>
    <w:p w14:paraId="488CCF7D" w14:textId="77777777" w:rsidR="00BE7303" w:rsidRPr="00DD47DF" w:rsidRDefault="00BE7303" w:rsidP="00DA3512">
      <w:pPr>
        <w:pStyle w:val="Standardntext"/>
        <w:numPr>
          <w:ilvl w:val="0"/>
          <w:numId w:val="96"/>
        </w:numPr>
        <w:spacing w:after="0"/>
      </w:pPr>
      <w:r w:rsidRPr="00DD47DF">
        <w:t xml:space="preserve">analytických podkladů a strategických dokumentů ČR s vazbou na OP PIK, </w:t>
      </w:r>
    </w:p>
    <w:p w14:paraId="5D00D5F6" w14:textId="77777777" w:rsidR="00BE7303" w:rsidRPr="00DD47DF" w:rsidRDefault="00BE7303" w:rsidP="00DA3512">
      <w:pPr>
        <w:pStyle w:val="Standardntext"/>
        <w:numPr>
          <w:ilvl w:val="0"/>
          <w:numId w:val="96"/>
        </w:numPr>
        <w:spacing w:after="0"/>
      </w:pPr>
      <w:r w:rsidRPr="00DD47DF">
        <w:t>zkušeností z programového období 2007-2013,</w:t>
      </w:r>
    </w:p>
    <w:p w14:paraId="041D1942" w14:textId="77777777" w:rsidR="00BE7303" w:rsidRPr="00DD47DF" w:rsidRDefault="00BE7303" w:rsidP="00DA3512">
      <w:pPr>
        <w:pStyle w:val="Standardntext"/>
        <w:numPr>
          <w:ilvl w:val="0"/>
          <w:numId w:val="96"/>
        </w:numPr>
        <w:spacing w:after="0"/>
      </w:pPr>
      <w:r w:rsidRPr="00DD47DF">
        <w:t>diskusí s partnery,</w:t>
      </w:r>
    </w:p>
    <w:p w14:paraId="6B5EB91D" w14:textId="77777777" w:rsidR="00BE7303" w:rsidRPr="00DD47DF" w:rsidRDefault="00BE7303" w:rsidP="00DA3512">
      <w:pPr>
        <w:pStyle w:val="Standardntext"/>
        <w:numPr>
          <w:ilvl w:val="0"/>
          <w:numId w:val="96"/>
        </w:numPr>
      </w:pPr>
      <w:r w:rsidRPr="00DD47DF">
        <w:t>mapování absorpční kapacity na straně potencionálních příjemců</w:t>
      </w:r>
      <w:r w:rsidRPr="00DD47DF">
        <w:rPr>
          <w:rStyle w:val="Znakapoznpodarou"/>
        </w:rPr>
        <w:footnoteReference w:id="30"/>
      </w:r>
      <w:r w:rsidRPr="00DD47DF">
        <w:t xml:space="preserve">.    </w:t>
      </w:r>
    </w:p>
    <w:p w14:paraId="2BF079F5" w14:textId="77777777" w:rsidR="00BE7303" w:rsidRPr="00DD47DF" w:rsidRDefault="00BE7303" w:rsidP="00BE7303">
      <w:pPr>
        <w:spacing w:after="120"/>
        <w:jc w:val="both"/>
        <w:rPr>
          <w:sz w:val="24"/>
          <w:szCs w:val="24"/>
        </w:rPr>
      </w:pPr>
      <w:r w:rsidRPr="00DD47DF">
        <w:rPr>
          <w:sz w:val="24"/>
          <w:szCs w:val="24"/>
        </w:rPr>
        <w:t>Míra spolufinancování PO 1 – 4 se vztahuje na celkové způsobilé výdaje</w:t>
      </w:r>
      <w:r w:rsidRPr="00DD47DF">
        <w:rPr>
          <w:rStyle w:val="Znakapoznpodarou"/>
          <w:szCs w:val="24"/>
        </w:rPr>
        <w:footnoteReference w:id="31"/>
      </w:r>
      <w:r w:rsidRPr="00DD47DF">
        <w:rPr>
          <w:sz w:val="24"/>
          <w:szCs w:val="24"/>
        </w:rPr>
        <w:t>. Při stanovení národního spolufinancování se vychází z materiálu MF definujícího podíl národního spolufinancování dle příjemců podpory. Pro OP PIK je stanoveno nulové spolufinancování podnikatelských subjektů z veřejných zdrojů s tím, že v případě, že bude prokázána dostatečná absorpční kapacita OP PIK (tzn. zazávazkovaný podíl prostředků z EFRR bude k 31. 12. 2017 minimálně o 15 % vyšší než součet alokací na roky 2014-2017) a zároveň nebude v roce 2017 uplatněno automatické zrušení závazku, vláda ČR rozhodne o zvýšení příspěvku státního rozpočtu až do výše 15 % alokace programu (EFRR)</w:t>
      </w:r>
      <w:r w:rsidRPr="00DD47DF">
        <w:rPr>
          <w:sz w:val="24"/>
          <w:szCs w:val="24"/>
          <w:vertAlign w:val="superscript"/>
        </w:rPr>
        <w:footnoteReference w:id="32"/>
      </w:r>
      <w:r w:rsidRPr="00DD47DF">
        <w:rPr>
          <w:sz w:val="24"/>
          <w:szCs w:val="24"/>
        </w:rPr>
        <w:t xml:space="preserve">. Při splnění této podmínky bude tedy v letech 2018-2020 přiděleno OP PIK národní spolufinancování ze státního rozpočtu až do výše 761 658 109 EUR. </w:t>
      </w:r>
    </w:p>
    <w:p w14:paraId="43837F8D" w14:textId="77777777" w:rsidR="00BE7303" w:rsidRPr="00DD47DF" w:rsidRDefault="00BE7303" w:rsidP="00BE7303">
      <w:pPr>
        <w:pStyle w:val="Standardntext"/>
      </w:pPr>
      <w:r w:rsidRPr="00DD47DF">
        <w:t>Největší část finanční alokace OP PIK (</w:t>
      </w:r>
      <w:r w:rsidR="002756E7" w:rsidRPr="00DD47DF">
        <w:t>téměř</w:t>
      </w:r>
      <w:r w:rsidR="00CA2C89" w:rsidRPr="00DD47DF">
        <w:t xml:space="preserve"> </w:t>
      </w:r>
      <w:r w:rsidRPr="00DD47DF">
        <w:t xml:space="preserve">60 %) připadá na PO 1 a 3, které mají bezprostřední vazbu na plnění vybraných hlavních cílů strategie Evropa 2020. </w:t>
      </w:r>
    </w:p>
    <w:p w14:paraId="26C10C01" w14:textId="7209031A" w:rsidR="00BE7303" w:rsidRPr="00DD47DF" w:rsidRDefault="00BE7303" w:rsidP="00BE7303">
      <w:pPr>
        <w:spacing w:after="120"/>
        <w:jc w:val="both"/>
        <w:rPr>
          <w:sz w:val="24"/>
          <w:szCs w:val="24"/>
        </w:rPr>
      </w:pPr>
      <w:r w:rsidRPr="00DD47DF">
        <w:rPr>
          <w:sz w:val="24"/>
          <w:szCs w:val="24"/>
        </w:rPr>
        <w:t>Intervence v </w:t>
      </w:r>
      <w:r w:rsidRPr="00DD47DF">
        <w:rPr>
          <w:b/>
          <w:sz w:val="24"/>
          <w:szCs w:val="24"/>
        </w:rPr>
        <w:t>PO 1</w:t>
      </w:r>
      <w:r w:rsidRPr="00DD47DF">
        <w:rPr>
          <w:sz w:val="24"/>
          <w:szCs w:val="24"/>
        </w:rPr>
        <w:t xml:space="preserve"> (vazba na TC 1) cílí na zvýšení výdajů soukromého sektoru na výzkumné a inovační činnosti. V souladu s RIS3 je potřeba podpořit investice do zlepšení kvality infrastruktury pro výzkum a technologický rozvoj s prioritou modernizace a rozšíření výzkumného vybavení, dále finančně náročné investice do podnikového VaV a inovací, do vývoje produktů a služeb a obchodování s výsledky výzkumu. Problémem v ČR je nedostatečná spolupráce ve VaV mezi soukromou a veřejnou sférou, proto je zapotřebí podporovat projekty přenosu technologií, vytváření sítí, rozvoje klastrů a aplikovaných inovací prostřednictvím konceptu inteligentní specializace, projekty technologického a aplikovaného výzkumu, mezinárodní spolupráce a také ochrany duševního vlastnictví. Důraz je v OP PIK dáván na větší koncentraci veřejných zdrojů v souladu s RIS3. Výrazně menší objem prostředků než v období 2007-2013 bude směrován do rozvoje infrastruktury pro VaV, což </w:t>
      </w:r>
      <w:r w:rsidRPr="00DD47DF">
        <w:rPr>
          <w:sz w:val="24"/>
          <w:szCs w:val="24"/>
        </w:rPr>
        <w:lastRenderedPageBreak/>
        <w:t>souvisí se změnou zaměření od kvantity k vyšší kvalitě služeb již vybudované infrastruktury. Potenciál pro rozvoj inovačního systému v ČR je naopak spatřován v aplikovaném průmyslovém výzkumu / KETs, který je novou oblastí podpory v OP PIK, přičemž má přímou vazbu na hlavní cíl strategie Evropa 2020 zvýšit investice do VaV. Řádově nižší objemy finančních prostředků jsou směrovány na finančně méně náročné projekty partnerství a spolupráce a také na nové aktivity typu proof-of-concept. Dominantní podíl alokace v rámci PO-1 je předpokládán pro intervence na zvýšení inovační výkonnosti podniků (cca 22,5 % alokace programu), největší podíl půjde tedy na individuální projekty podniků, neboť inovační infrastruktura je již do značné míry vytvořena.</w:t>
      </w:r>
    </w:p>
    <w:p w14:paraId="56F65CA7" w14:textId="77777777" w:rsidR="00BE7303" w:rsidRPr="00DD47DF" w:rsidRDefault="00BE7303" w:rsidP="00BE7303">
      <w:pPr>
        <w:pStyle w:val="Standardntext"/>
      </w:pPr>
      <w:r w:rsidRPr="00DD47DF">
        <w:t>V </w:t>
      </w:r>
      <w:r w:rsidRPr="00DD47DF">
        <w:rPr>
          <w:b/>
        </w:rPr>
        <w:t>PO 2</w:t>
      </w:r>
      <w:r w:rsidRPr="00DD47DF">
        <w:t xml:space="preserve"> (vazba na TC 3) </w:t>
      </w:r>
      <w:r w:rsidR="00FD57C0" w:rsidRPr="00DD47DF">
        <w:t xml:space="preserve">dojde </w:t>
      </w:r>
      <w:r w:rsidRPr="00DD47DF">
        <w:t xml:space="preserve">oproti období 2007-2013 k posunu ve formě podpory poskytované začínajícím a rozvojovým MSP od dotací směrem k finančním nástrojům (FN); </w:t>
      </w:r>
      <w:r w:rsidR="00FD57C0" w:rsidRPr="00DD47DF">
        <w:t>které v této prioritní ose zamýšlí řídící orgán uplatnit. Konkrétní podobu finančních nástrojů stanoví předběžné posouzení podle čl. 37 odst. 2 obecného nařízení.</w:t>
      </w:r>
      <w:r w:rsidRPr="00DD47DF">
        <w:t xml:space="preserve">. Alokace na podporu poradenských služeb a internacionalizaci MSP byly oproti období 2007-2013 mírně redukovány, což mj. souvisí i se snahou o jejich větší koncentraci na specializované, cílené služby. Hlavní důraz by měl být kladen na systémové projekty (nové i pokračování stávajících úspěšných), namísto individuálních podpor. Menšími alokacemi ve srovnání s obdobím 2007-2013 disponuje OP PIK pro modernizaci stávajících průmyslových areálů a brownfieldů a na rozvoj infrastruktury pro odborné vzdělávání v podnicích. Namísto extenzivní podpory těchto projektů by se mělo jednat o cílené intervence reagující na specifické potřeby v regionech ČR.      </w:t>
      </w:r>
    </w:p>
    <w:p w14:paraId="444D47C9" w14:textId="77777777" w:rsidR="00BE7303" w:rsidRPr="00DD47DF" w:rsidRDefault="00BE7303" w:rsidP="00BE7303">
      <w:pPr>
        <w:spacing w:after="120"/>
        <w:jc w:val="both"/>
        <w:rPr>
          <w:sz w:val="24"/>
          <w:szCs w:val="24"/>
        </w:rPr>
      </w:pPr>
      <w:r w:rsidRPr="00DD47DF">
        <w:rPr>
          <w:b/>
          <w:sz w:val="24"/>
          <w:szCs w:val="24"/>
        </w:rPr>
        <w:t xml:space="preserve">PO 3 </w:t>
      </w:r>
      <w:r w:rsidRPr="00DD47DF">
        <w:rPr>
          <w:sz w:val="24"/>
          <w:szCs w:val="24"/>
        </w:rPr>
        <w:t xml:space="preserve">(vazba na TC 4) představuje nástroj pro dosažení nákladově efektivního, nízkouhlíkového hospodářství. PO 3 přímo přispívá k naplňování hlavního cíle strategie Evropa 2020 zaměřeného na nárůst energetické účinnosti (pro PO 3 přidělena druhá nejvyšší alokace OP PIK). Strategické dokumenty ČR i doporučení EK identifikují v oblasti energetiky řadu investičně náročných potřeb spočívajících mj. v modernizaci zařízení na výrobu elektrické energie, distribuce a transformace za účelem zvýšení energetické účinnosti průmyslu, zvýšení účinnosti distribučních tepelných sítí, dále v oblasti úspor energie, kdy je důležité zlepšit energetickou náročnost budov a průmyslových odvětví, a také v oblasti využívání OZE ve výrobě elektrické energie, včetně příslušných investic do energetické infrastruktury a technologií. Potřeby byly identifikovány v oblasti uplatňování ekoinovací a ekologických technologií v MSP. Významných energetických úspor v průmyslu již bylo dosaženo díky podpoře z OPPI, nicméně v procesu zvyšování energetické účinnosti je nutné pokračovat, což potvrzují i podkladové analýzy, které potvrdily stále značný přetrvávající potenciál v této oblasti. Nově budou v OP PIK podpořena klíčová modernizační opatření v přenosové síti (ve vazbě na TC 7) a v distribučních sítích, neboť ČR musí reagovat na významné změny v energetickém mixu, které ohrožují bezpečnost dodávek elektrické energie. </w:t>
      </w:r>
    </w:p>
    <w:p w14:paraId="63C7D10B" w14:textId="77777777" w:rsidR="00BE7303" w:rsidRPr="00DD47DF" w:rsidRDefault="00BE7303" w:rsidP="00BE7303">
      <w:pPr>
        <w:pStyle w:val="Standardntext"/>
      </w:pPr>
      <w:r w:rsidRPr="00DD47DF">
        <w:rPr>
          <w:b/>
        </w:rPr>
        <w:t>PO 4</w:t>
      </w:r>
      <w:r w:rsidRPr="00DD47DF">
        <w:t xml:space="preserve"> (vazba na TC 2) přispěje zvýšením pokrytí vysokorychlostním přístupem k internetu ke zlepšení přístupu k ICT, zejména v méně rozvinutých regionech. Jde o nový typ intervencí, které nebyly dosud z fondů EU v ČR podporovány. Přidělená alokace reflektuje možnosti OP PIK. Intervence budou směřovat do lokalit, ve kterých neexistuje žádný provozovatel sítě pro vysokorychlostní přístup k internetu umožňující zajišťování služby reálnou rychlostí alespoň 30 Mbit/s a není pravděpodobné, že by v ní do tří let nějaký poskytovatel vybudoval infrastrukturu pro poskytování této služby. Očekávané výsledky OP PIK jsou založené na propočtech finanční náročnosti těchto typů investic. Zhruba srovnatelná alokace jako v období 2007-2013 bude přidělena na rozvoj vysoce sofistikovaných ICT řešení, sdílených služeb a datových center.    </w:t>
      </w:r>
    </w:p>
    <w:p w14:paraId="03AB89D6" w14:textId="77777777" w:rsidR="00BE7303" w:rsidRPr="00DD47DF" w:rsidRDefault="00BE7303" w:rsidP="00BE7303">
      <w:pPr>
        <w:pStyle w:val="Standardntext"/>
      </w:pPr>
      <w:r w:rsidRPr="00DD47DF">
        <w:lastRenderedPageBreak/>
        <w:t>Pro</w:t>
      </w:r>
      <w:r w:rsidRPr="00DD47DF">
        <w:rPr>
          <w:b/>
        </w:rPr>
        <w:t xml:space="preserve"> PO 5 </w:t>
      </w:r>
      <w:r w:rsidRPr="00DD47DF">
        <w:t>je předpokládána alokace ve výši 2,9 % z celkové alokace programu. Její rozdělení na specifické cíle vychází ze zkušeností s realizací technické pomoci v OPPI a ve vazbě na alokaci a aktivity OPTP.</w:t>
      </w:r>
    </w:p>
    <w:p w14:paraId="66D38D5D" w14:textId="77777777" w:rsidR="004A17B3" w:rsidRPr="00DD47DF" w:rsidRDefault="004A17B3" w:rsidP="0094785C">
      <w:pPr>
        <w:pStyle w:val="Standardntext"/>
      </w:pPr>
    </w:p>
    <w:p w14:paraId="5CE31295" w14:textId="77777777" w:rsidR="000733A8" w:rsidRPr="00DD47DF" w:rsidRDefault="000733A8" w:rsidP="001D1607">
      <w:pPr>
        <w:pStyle w:val="Standardntext"/>
        <w:rPr>
          <w:bCs/>
          <w:color w:val="FF0000"/>
        </w:rPr>
        <w:sectPr w:rsidR="000733A8" w:rsidRPr="00DD47DF" w:rsidSect="00297A5A">
          <w:headerReference w:type="default" r:id="rId25"/>
          <w:footerReference w:type="default" r:id="rId26"/>
          <w:type w:val="continuous"/>
          <w:pgSz w:w="11906" w:h="16838"/>
          <w:pgMar w:top="1418" w:right="1276" w:bottom="1276" w:left="1418" w:header="709" w:footer="709" w:gutter="0"/>
          <w:cols w:space="708"/>
          <w:docGrid w:linePitch="272"/>
        </w:sectPr>
      </w:pPr>
    </w:p>
    <w:p w14:paraId="0E4CCA41" w14:textId="77777777" w:rsidR="00676C59" w:rsidRPr="00DD47DF" w:rsidRDefault="004C54D5" w:rsidP="001D1607">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w:t>
      </w:r>
      <w:r w:rsidR="002756E7" w:rsidRPr="00DD47DF">
        <w:rPr>
          <w:noProof/>
        </w:rPr>
        <w:fldChar w:fldCharType="end"/>
      </w:r>
      <w:r w:rsidR="00676C59" w:rsidRPr="00DD47DF">
        <w:t xml:space="preserve">: Přehled investiční strategie </w:t>
      </w:r>
      <w:r w:rsidR="00C277A8" w:rsidRPr="00DD47DF">
        <w:t xml:space="preserve">operačního </w:t>
      </w:r>
      <w:r w:rsidR="00676C59" w:rsidRPr="00DD47DF">
        <w:t>programu</w:t>
      </w:r>
      <w:r w:rsidR="00811581" w:rsidRPr="00DD47DF">
        <w:rPr>
          <w:rStyle w:val="Znakapoznpodarou"/>
        </w:rPr>
        <w:footnoteReference w:id="33"/>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00"/>
        <w:gridCol w:w="709"/>
        <w:gridCol w:w="1445"/>
        <w:gridCol w:w="1330"/>
        <w:gridCol w:w="1619"/>
        <w:gridCol w:w="3119"/>
        <w:gridCol w:w="2254"/>
        <w:gridCol w:w="1882"/>
      </w:tblGrid>
      <w:tr w:rsidR="001366EB" w:rsidRPr="00DD47DF" w14:paraId="3BEAE05E" w14:textId="77777777">
        <w:trPr>
          <w:jc w:val="center"/>
        </w:trPr>
        <w:tc>
          <w:tcPr>
            <w:tcW w:w="1900" w:type="dxa"/>
            <w:shd w:val="clear" w:color="auto" w:fill="B8CCE4"/>
          </w:tcPr>
          <w:p w14:paraId="32F7D736" w14:textId="77777777" w:rsidR="001366EB" w:rsidRPr="00DD47DF" w:rsidRDefault="001366EB" w:rsidP="00B91AC2">
            <w:pPr>
              <w:pStyle w:val="Tabulka"/>
              <w:keepNext/>
              <w:keepLines/>
              <w:rPr>
                <w:rFonts w:cs="Calibri"/>
                <w:b/>
              </w:rPr>
            </w:pPr>
            <w:r w:rsidRPr="00DD47DF">
              <w:rPr>
                <w:rFonts w:cs="Calibri"/>
                <w:b/>
              </w:rPr>
              <w:t>Prioritní osa</w:t>
            </w:r>
          </w:p>
        </w:tc>
        <w:tc>
          <w:tcPr>
            <w:tcW w:w="709" w:type="dxa"/>
            <w:shd w:val="clear" w:color="auto" w:fill="B8CCE4"/>
          </w:tcPr>
          <w:p w14:paraId="690803EA" w14:textId="77777777" w:rsidR="00B91AC2" w:rsidRPr="00DD47DF" w:rsidRDefault="001366EB" w:rsidP="00703630">
            <w:pPr>
              <w:pStyle w:val="Tabulka"/>
              <w:keepNext/>
              <w:keepLines/>
              <w:rPr>
                <w:rFonts w:cs="Calibri"/>
                <w:b/>
              </w:rPr>
            </w:pPr>
            <w:r w:rsidRPr="00DD47DF">
              <w:rPr>
                <w:rFonts w:cs="Calibri"/>
                <w:b/>
              </w:rPr>
              <w:t>Fond</w:t>
            </w:r>
          </w:p>
        </w:tc>
        <w:tc>
          <w:tcPr>
            <w:tcW w:w="1445" w:type="dxa"/>
            <w:shd w:val="clear" w:color="auto" w:fill="B8CCE4"/>
          </w:tcPr>
          <w:p w14:paraId="738B04EB" w14:textId="77777777" w:rsidR="00B91AC2" w:rsidRPr="00DD47DF" w:rsidRDefault="00C277A8" w:rsidP="00703630">
            <w:pPr>
              <w:pStyle w:val="Tabulka"/>
              <w:keepNext/>
              <w:keepLines/>
              <w:rPr>
                <w:rFonts w:cs="Calibri"/>
                <w:b/>
              </w:rPr>
            </w:pPr>
            <w:r w:rsidRPr="00DD47DF">
              <w:rPr>
                <w:rFonts w:cs="Calibri"/>
                <w:b/>
              </w:rPr>
              <w:t>Podpora</w:t>
            </w:r>
            <w:r w:rsidR="00B91AC2" w:rsidRPr="00DD47DF">
              <w:rPr>
                <w:rFonts w:cs="Calibri"/>
                <w:b/>
              </w:rPr>
              <w:t xml:space="preserve"> </w:t>
            </w:r>
            <w:r w:rsidR="001366EB" w:rsidRPr="00DD47DF">
              <w:rPr>
                <w:rFonts w:cs="Calibri"/>
                <w:b/>
              </w:rPr>
              <w:t>U</w:t>
            </w:r>
            <w:r w:rsidR="00B91AC2" w:rsidRPr="00DD47DF">
              <w:rPr>
                <w:rFonts w:cs="Calibri"/>
                <w:b/>
              </w:rPr>
              <w:t>nie</w:t>
            </w:r>
            <w:r w:rsidR="00ED2F09" w:rsidRPr="00DD47DF">
              <w:rPr>
                <w:rFonts w:cs="Calibri"/>
                <w:b/>
              </w:rPr>
              <w:t xml:space="preserve"> </w:t>
            </w:r>
            <w:r w:rsidR="00A74A51" w:rsidRPr="00DD47DF">
              <w:rPr>
                <w:rFonts w:cs="Calibri"/>
                <w:b/>
              </w:rPr>
              <w:t>(</w:t>
            </w:r>
            <w:r w:rsidR="00ED2F09" w:rsidRPr="00DD47DF">
              <w:rPr>
                <w:rFonts w:cs="Calibri"/>
                <w:b/>
              </w:rPr>
              <w:t>EUR</w:t>
            </w:r>
            <w:r w:rsidR="00A74A51" w:rsidRPr="00DD47DF">
              <w:rPr>
                <w:rFonts w:cs="Calibri"/>
                <w:b/>
              </w:rPr>
              <w:t>)</w:t>
            </w:r>
          </w:p>
        </w:tc>
        <w:tc>
          <w:tcPr>
            <w:tcW w:w="1330" w:type="dxa"/>
            <w:shd w:val="clear" w:color="auto" w:fill="B8CCE4"/>
          </w:tcPr>
          <w:p w14:paraId="37488E34" w14:textId="77777777" w:rsidR="00B91AC2" w:rsidRPr="00DD47DF" w:rsidRDefault="00846C82" w:rsidP="00703630">
            <w:pPr>
              <w:pStyle w:val="Tabulka"/>
              <w:keepNext/>
              <w:keepLines/>
              <w:rPr>
                <w:rFonts w:cs="Calibri"/>
                <w:b/>
              </w:rPr>
            </w:pPr>
            <w:r w:rsidRPr="00DD47DF">
              <w:rPr>
                <w:rFonts w:cs="Calibri"/>
                <w:b/>
              </w:rPr>
              <w:t>P</w:t>
            </w:r>
            <w:r w:rsidR="00C277A8" w:rsidRPr="00DD47DF">
              <w:rPr>
                <w:rFonts w:cs="Calibri"/>
                <w:b/>
              </w:rPr>
              <w:t>odíl celkové</w:t>
            </w:r>
            <w:r w:rsidRPr="00DD47DF">
              <w:rPr>
                <w:rFonts w:cs="Calibri"/>
                <w:b/>
              </w:rPr>
              <w:t xml:space="preserve"> </w:t>
            </w:r>
            <w:r w:rsidR="00C277A8" w:rsidRPr="00DD47DF">
              <w:rPr>
                <w:rFonts w:cs="Calibri"/>
                <w:b/>
              </w:rPr>
              <w:t>podpory</w:t>
            </w:r>
            <w:r w:rsidRPr="00DD47DF">
              <w:rPr>
                <w:rFonts w:cs="Calibri"/>
                <w:b/>
              </w:rPr>
              <w:t xml:space="preserve"> Unie operační</w:t>
            </w:r>
            <w:r w:rsidR="00C277A8" w:rsidRPr="00DD47DF">
              <w:rPr>
                <w:rFonts w:cs="Calibri"/>
                <w:b/>
              </w:rPr>
              <w:t>mu</w:t>
            </w:r>
            <w:r w:rsidRPr="00DD47DF">
              <w:rPr>
                <w:rFonts w:cs="Calibri"/>
                <w:b/>
              </w:rPr>
              <w:t xml:space="preserve"> program</w:t>
            </w:r>
            <w:r w:rsidR="00C277A8" w:rsidRPr="00DD47DF">
              <w:rPr>
                <w:rFonts w:cs="Calibri"/>
                <w:b/>
              </w:rPr>
              <w:t>u</w:t>
            </w:r>
          </w:p>
        </w:tc>
        <w:tc>
          <w:tcPr>
            <w:tcW w:w="1619" w:type="dxa"/>
            <w:shd w:val="clear" w:color="auto" w:fill="B8CCE4"/>
          </w:tcPr>
          <w:p w14:paraId="75842AD8" w14:textId="77777777" w:rsidR="001366EB" w:rsidRPr="00DD47DF" w:rsidRDefault="001366EB" w:rsidP="00B91AC2">
            <w:pPr>
              <w:pStyle w:val="Tabulka"/>
              <w:keepNext/>
              <w:keepLines/>
              <w:rPr>
                <w:rFonts w:cs="Calibri"/>
                <w:b/>
              </w:rPr>
            </w:pPr>
            <w:r w:rsidRPr="00DD47DF">
              <w:rPr>
                <w:rFonts w:cs="Calibri"/>
                <w:b/>
              </w:rPr>
              <w:t>Tematický cíl</w:t>
            </w:r>
          </w:p>
          <w:p w14:paraId="6A6C8505" w14:textId="77777777" w:rsidR="00B91AC2" w:rsidRPr="00DD47DF" w:rsidRDefault="00B91AC2" w:rsidP="00703630">
            <w:pPr>
              <w:pStyle w:val="Tabulka"/>
              <w:keepNext/>
              <w:keepLines/>
              <w:jc w:val="left"/>
              <w:rPr>
                <w:rFonts w:cs="Calibri"/>
              </w:rPr>
            </w:pPr>
          </w:p>
        </w:tc>
        <w:tc>
          <w:tcPr>
            <w:tcW w:w="3119" w:type="dxa"/>
            <w:shd w:val="clear" w:color="auto" w:fill="B8CCE4"/>
          </w:tcPr>
          <w:p w14:paraId="60380807" w14:textId="77777777" w:rsidR="00846C82" w:rsidRPr="00DD47DF" w:rsidRDefault="001366EB" w:rsidP="00703630">
            <w:pPr>
              <w:pStyle w:val="Tabulka"/>
              <w:keepNext/>
              <w:keepLines/>
              <w:rPr>
                <w:rFonts w:cs="Calibri"/>
                <w:b/>
              </w:rPr>
            </w:pPr>
            <w:r w:rsidRPr="00DD47DF">
              <w:rPr>
                <w:rFonts w:cs="Calibri"/>
                <w:b/>
              </w:rPr>
              <w:t>Investiční priority</w:t>
            </w:r>
          </w:p>
        </w:tc>
        <w:tc>
          <w:tcPr>
            <w:tcW w:w="2254" w:type="dxa"/>
            <w:shd w:val="clear" w:color="auto" w:fill="B8CCE4"/>
          </w:tcPr>
          <w:p w14:paraId="6098CE01" w14:textId="77777777" w:rsidR="00846C82" w:rsidRPr="00DD47DF" w:rsidRDefault="001366EB" w:rsidP="00703630">
            <w:pPr>
              <w:pStyle w:val="Tabulka"/>
              <w:keepNext/>
              <w:keepLines/>
              <w:rPr>
                <w:rFonts w:cs="Calibri"/>
                <w:b/>
              </w:rPr>
            </w:pPr>
            <w:r w:rsidRPr="00DD47DF">
              <w:rPr>
                <w:rFonts w:cs="Calibri"/>
                <w:b/>
              </w:rPr>
              <w:t>Specifické cíle odpovídající investiční prioritě</w:t>
            </w:r>
          </w:p>
        </w:tc>
        <w:tc>
          <w:tcPr>
            <w:tcW w:w="1882" w:type="dxa"/>
            <w:shd w:val="clear" w:color="auto" w:fill="B8CCE4"/>
            <w:vAlign w:val="center"/>
          </w:tcPr>
          <w:p w14:paraId="6123F7EB" w14:textId="77777777" w:rsidR="001366EB" w:rsidRPr="00DD47DF" w:rsidRDefault="00846C82" w:rsidP="00BA1E1C">
            <w:pPr>
              <w:pStyle w:val="Tabulka"/>
              <w:keepNext/>
              <w:keepLines/>
              <w:rPr>
                <w:rFonts w:cs="Calibri"/>
                <w:b/>
              </w:rPr>
            </w:pPr>
            <w:r w:rsidRPr="00DD47DF">
              <w:rPr>
                <w:rFonts w:cs="Calibri"/>
                <w:b/>
              </w:rPr>
              <w:t xml:space="preserve">Společné a specifické </w:t>
            </w:r>
            <w:r w:rsidR="00703630" w:rsidRPr="00DD47DF">
              <w:rPr>
                <w:rFonts w:cs="Calibri"/>
                <w:b/>
              </w:rPr>
              <w:t xml:space="preserve">programové </w:t>
            </w:r>
            <w:r w:rsidR="00C277A8" w:rsidRPr="00DD47DF">
              <w:rPr>
                <w:rFonts w:cs="Calibri"/>
                <w:b/>
              </w:rPr>
              <w:t>ukazatele výsledků, pro které byl stanoven cíl</w:t>
            </w:r>
          </w:p>
        </w:tc>
      </w:tr>
      <w:tr w:rsidR="00BD619A" w:rsidRPr="00DD47DF" w14:paraId="7F2CABA6" w14:textId="77777777">
        <w:trPr>
          <w:jc w:val="center"/>
        </w:trPr>
        <w:tc>
          <w:tcPr>
            <w:tcW w:w="1900" w:type="dxa"/>
            <w:vMerge w:val="restart"/>
            <w:shd w:val="clear" w:color="auto" w:fill="DBE5F1"/>
            <w:vAlign w:val="center"/>
          </w:tcPr>
          <w:p w14:paraId="3CAE4280" w14:textId="77777777" w:rsidR="00BD619A" w:rsidRPr="00DD47DF" w:rsidRDefault="00BD619A" w:rsidP="001D1607">
            <w:pPr>
              <w:pStyle w:val="Tabulka"/>
              <w:keepNext/>
              <w:keepLines/>
              <w:jc w:val="left"/>
              <w:rPr>
                <w:rFonts w:cs="Calibri"/>
              </w:rPr>
            </w:pPr>
            <w:r w:rsidRPr="00DD47DF">
              <w:rPr>
                <w:rFonts w:cs="Calibri"/>
              </w:rPr>
              <w:t>PO 1: Rozvoj výzkumu a vývoje pro inovace</w:t>
            </w:r>
          </w:p>
          <w:p w14:paraId="043A05DD" w14:textId="77777777" w:rsidR="00BD619A" w:rsidRPr="00DD47DF" w:rsidRDefault="00BD619A" w:rsidP="001D1607">
            <w:pPr>
              <w:pStyle w:val="Tabulka"/>
              <w:keepNext/>
              <w:keepLines/>
              <w:rPr>
                <w:rFonts w:cs="Calibri"/>
              </w:rPr>
            </w:pPr>
          </w:p>
        </w:tc>
        <w:tc>
          <w:tcPr>
            <w:tcW w:w="709" w:type="dxa"/>
            <w:vMerge w:val="restart"/>
            <w:vAlign w:val="center"/>
          </w:tcPr>
          <w:p w14:paraId="40FFAF33" w14:textId="77777777" w:rsidR="00BD619A" w:rsidRPr="00DD47DF" w:rsidRDefault="00BD619A" w:rsidP="00D40246">
            <w:pPr>
              <w:pStyle w:val="Tabulka"/>
              <w:keepNext/>
              <w:keepLines/>
              <w:rPr>
                <w:rFonts w:cs="Calibri"/>
              </w:rPr>
            </w:pPr>
            <w:r w:rsidRPr="00DD47DF">
              <w:rPr>
                <w:rFonts w:cs="Calibri"/>
              </w:rPr>
              <w:t>EFRR</w:t>
            </w:r>
          </w:p>
        </w:tc>
        <w:tc>
          <w:tcPr>
            <w:tcW w:w="1445" w:type="dxa"/>
            <w:vMerge w:val="restart"/>
            <w:vAlign w:val="center"/>
          </w:tcPr>
          <w:p w14:paraId="2BF10F0C" w14:textId="39B88352" w:rsidR="00BD619A" w:rsidRPr="00DD47DF" w:rsidRDefault="00E0634C" w:rsidP="00D40246">
            <w:pPr>
              <w:pStyle w:val="Tabulka"/>
              <w:keepNext/>
              <w:keepLines/>
              <w:rPr>
                <w:rFonts w:cs="Calibri"/>
              </w:rPr>
            </w:pPr>
            <w:r w:rsidRPr="00E0634C">
              <w:rPr>
                <w:rFonts w:cs="Calibri"/>
              </w:rPr>
              <w:t>1 255 221 763</w:t>
            </w:r>
          </w:p>
        </w:tc>
        <w:tc>
          <w:tcPr>
            <w:tcW w:w="1330" w:type="dxa"/>
            <w:vMerge w:val="restart"/>
            <w:vAlign w:val="center"/>
          </w:tcPr>
          <w:p w14:paraId="59DAF8D4" w14:textId="72EF681C" w:rsidR="00BD619A" w:rsidRPr="00DD47DF" w:rsidRDefault="00374BD9" w:rsidP="00E0634C">
            <w:pPr>
              <w:pStyle w:val="Tabulka"/>
              <w:keepNext/>
              <w:keepLines/>
              <w:rPr>
                <w:rFonts w:cs="Calibri"/>
              </w:rPr>
            </w:pPr>
            <w:r w:rsidRPr="00374BD9">
              <w:rPr>
                <w:rFonts w:cs="Calibri"/>
              </w:rPr>
              <w:t>32,</w:t>
            </w:r>
            <w:r w:rsidR="00E0634C">
              <w:rPr>
                <w:rFonts w:cs="Calibri"/>
              </w:rPr>
              <w:t>60</w:t>
            </w:r>
            <w:r w:rsidR="00E0634C" w:rsidRPr="00BB4A21">
              <w:rPr>
                <w:rFonts w:cs="Calibri"/>
              </w:rPr>
              <w:t xml:space="preserve"> </w:t>
            </w:r>
            <w:r w:rsidR="00BB4A21" w:rsidRPr="00BB4A21">
              <w:rPr>
                <w:rFonts w:cs="Calibri"/>
              </w:rPr>
              <w:t>%</w:t>
            </w:r>
          </w:p>
        </w:tc>
        <w:tc>
          <w:tcPr>
            <w:tcW w:w="1619" w:type="dxa"/>
            <w:vMerge w:val="restart"/>
            <w:vAlign w:val="center"/>
          </w:tcPr>
          <w:p w14:paraId="4088C311" w14:textId="77777777" w:rsidR="00BD619A" w:rsidRPr="00DD47DF" w:rsidRDefault="00BD619A" w:rsidP="00D40246">
            <w:pPr>
              <w:pStyle w:val="Tabulka"/>
              <w:keepNext/>
              <w:keepLines/>
              <w:rPr>
                <w:rFonts w:cs="Calibri"/>
              </w:rPr>
            </w:pPr>
            <w:r w:rsidRPr="00DD47DF">
              <w:rPr>
                <w:rFonts w:cs="Calibri"/>
              </w:rPr>
              <w:t>1</w:t>
            </w:r>
            <w:r w:rsidR="00CC5E04" w:rsidRPr="00DD47DF">
              <w:rPr>
                <w:rFonts w:cs="Calibri"/>
              </w:rPr>
              <w:t>)</w:t>
            </w:r>
            <w:r w:rsidRPr="00DD47DF">
              <w:rPr>
                <w:rFonts w:cs="Calibri"/>
              </w:rPr>
              <w:t xml:space="preserve"> Posílení výzkumu, technologického rozvoje a inovací</w:t>
            </w:r>
          </w:p>
        </w:tc>
        <w:tc>
          <w:tcPr>
            <w:tcW w:w="3119" w:type="dxa"/>
            <w:vMerge w:val="restart"/>
            <w:shd w:val="clear" w:color="auto" w:fill="auto"/>
            <w:vAlign w:val="center"/>
          </w:tcPr>
          <w:p w14:paraId="59B04C26" w14:textId="77777777" w:rsidR="00BD619A" w:rsidRPr="00DD47DF" w:rsidRDefault="00B54D2B" w:rsidP="00BE6D25">
            <w:pPr>
              <w:pStyle w:val="Tabulka"/>
              <w:widowControl w:val="0"/>
              <w:rPr>
                <w:rFonts w:cs="Calibri"/>
              </w:rPr>
            </w:pPr>
            <w:r w:rsidRPr="00DD47DF">
              <w:rPr>
                <w:rFonts w:cs="Calibri"/>
              </w:rPr>
              <w:t xml:space="preserve">1 b) </w:t>
            </w:r>
            <w:r w:rsidR="002641C7" w:rsidRPr="00DD47DF">
              <w:rPr>
                <w:rFonts w:cs="Calibri"/>
              </w:rPr>
              <w:t>Podpora podnikových investic do výzkumu a inovací a vytváření</w:t>
            </w:r>
            <w:r w:rsidR="000534DA" w:rsidRPr="00DD47DF">
              <w:rPr>
                <w:rFonts w:cs="Calibri"/>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w:t>
            </w:r>
            <w:r w:rsidR="000534DA" w:rsidRPr="00DD47DF">
              <w:rPr>
                <w:rFonts w:cs="Calibri"/>
              </w:rPr>
              <w:lastRenderedPageBreak/>
              <w:t>oblasti klíčových technologií a šíření technologií pro všeobecné použití</w:t>
            </w:r>
          </w:p>
        </w:tc>
        <w:tc>
          <w:tcPr>
            <w:tcW w:w="2254" w:type="dxa"/>
            <w:shd w:val="clear" w:color="auto" w:fill="auto"/>
            <w:vAlign w:val="center"/>
          </w:tcPr>
          <w:p w14:paraId="5B663A00" w14:textId="77777777" w:rsidR="00BD619A" w:rsidRPr="00DD47DF" w:rsidRDefault="00BD619A" w:rsidP="001D1607">
            <w:pPr>
              <w:pStyle w:val="Tabulka"/>
              <w:keepNext/>
              <w:keepLines/>
              <w:rPr>
                <w:rFonts w:cs="Calibri"/>
              </w:rPr>
            </w:pPr>
            <w:r w:rsidRPr="00DD47DF">
              <w:rPr>
                <w:rFonts w:cs="Calibri"/>
              </w:rPr>
              <w:lastRenderedPageBreak/>
              <w:t>1.1 - Zvýšit inovační výkonnost podniků</w:t>
            </w:r>
          </w:p>
        </w:tc>
        <w:tc>
          <w:tcPr>
            <w:tcW w:w="1882" w:type="dxa"/>
            <w:vAlign w:val="center"/>
          </w:tcPr>
          <w:p w14:paraId="7BCBF6ED" w14:textId="77777777" w:rsidR="005873D6" w:rsidRDefault="00A15054" w:rsidP="00BA1E1C">
            <w:pPr>
              <w:pStyle w:val="Tabulka"/>
              <w:keepNext/>
              <w:keepLines/>
              <w:rPr>
                <w:rFonts w:cs="Calibri"/>
              </w:rPr>
            </w:pPr>
            <w:r w:rsidRPr="00DD47DF">
              <w:t xml:space="preserve"> </w:t>
            </w:r>
            <w:r w:rsidRPr="00DD47DF">
              <w:rPr>
                <w:rFonts w:cs="Calibri"/>
              </w:rPr>
              <w:t>Podnikové výdaje na VaV v podnikatelském sektoru jako % HDP - regiony ČR (mimo hl. m. Praha)</w:t>
            </w:r>
          </w:p>
          <w:p w14:paraId="5ACCD5A3" w14:textId="77777777" w:rsidR="00BD619A" w:rsidRPr="00DD47DF" w:rsidRDefault="008E48D1" w:rsidP="00BA1E1C">
            <w:pPr>
              <w:pStyle w:val="Tabulka"/>
              <w:keepNext/>
              <w:keepLines/>
              <w:rPr>
                <w:rFonts w:cs="Calibri"/>
              </w:rPr>
            </w:pPr>
            <w:r w:rsidRPr="00DD47DF">
              <w:rPr>
                <w:rFonts w:cs="Calibri"/>
              </w:rPr>
              <w:t>Tržby z inovované produkce jako % celkových tržeb podniků s produktovou inovací</w:t>
            </w:r>
          </w:p>
        </w:tc>
      </w:tr>
      <w:tr w:rsidR="00BD619A" w:rsidRPr="00DD47DF" w14:paraId="45403E9C" w14:textId="77777777">
        <w:trPr>
          <w:jc w:val="center"/>
        </w:trPr>
        <w:tc>
          <w:tcPr>
            <w:tcW w:w="1900" w:type="dxa"/>
            <w:vMerge/>
            <w:shd w:val="clear" w:color="auto" w:fill="DBE5F1"/>
            <w:vAlign w:val="center"/>
          </w:tcPr>
          <w:p w14:paraId="6FC1EC8C" w14:textId="77777777" w:rsidR="00BD619A" w:rsidRPr="00DD47DF" w:rsidRDefault="00BD619A" w:rsidP="001D1607">
            <w:pPr>
              <w:pStyle w:val="Tabulka"/>
              <w:keepNext/>
              <w:keepLines/>
              <w:rPr>
                <w:rFonts w:cs="Calibri"/>
              </w:rPr>
            </w:pPr>
          </w:p>
        </w:tc>
        <w:tc>
          <w:tcPr>
            <w:tcW w:w="709" w:type="dxa"/>
            <w:vMerge/>
            <w:vAlign w:val="center"/>
          </w:tcPr>
          <w:p w14:paraId="7D9CB0C4" w14:textId="77777777" w:rsidR="00BD619A" w:rsidRPr="00DD47DF" w:rsidRDefault="00BD619A" w:rsidP="00D40246">
            <w:pPr>
              <w:pStyle w:val="Tabulka"/>
              <w:keepNext/>
              <w:keepLines/>
              <w:rPr>
                <w:rFonts w:cs="Calibri"/>
              </w:rPr>
            </w:pPr>
          </w:p>
        </w:tc>
        <w:tc>
          <w:tcPr>
            <w:tcW w:w="1445" w:type="dxa"/>
            <w:vMerge/>
            <w:vAlign w:val="center"/>
          </w:tcPr>
          <w:p w14:paraId="7F363D6B" w14:textId="77777777" w:rsidR="00BD619A" w:rsidRPr="00DD47DF" w:rsidRDefault="00BD619A" w:rsidP="00D40246">
            <w:pPr>
              <w:pStyle w:val="Tabulka"/>
              <w:keepNext/>
              <w:keepLines/>
              <w:rPr>
                <w:rFonts w:cs="Calibri"/>
              </w:rPr>
            </w:pPr>
          </w:p>
        </w:tc>
        <w:tc>
          <w:tcPr>
            <w:tcW w:w="1330" w:type="dxa"/>
            <w:vMerge/>
            <w:vAlign w:val="center"/>
          </w:tcPr>
          <w:p w14:paraId="5EDF3991" w14:textId="77777777" w:rsidR="00BD619A" w:rsidRPr="00DD47DF" w:rsidRDefault="00BD619A" w:rsidP="00D40246">
            <w:pPr>
              <w:pStyle w:val="Tabulka"/>
              <w:keepNext/>
              <w:keepLines/>
              <w:rPr>
                <w:rFonts w:cs="Calibri"/>
              </w:rPr>
            </w:pPr>
          </w:p>
        </w:tc>
        <w:tc>
          <w:tcPr>
            <w:tcW w:w="1619" w:type="dxa"/>
            <w:vMerge/>
            <w:vAlign w:val="center"/>
          </w:tcPr>
          <w:p w14:paraId="34B047B8" w14:textId="77777777" w:rsidR="00BD619A" w:rsidRPr="00DD47DF" w:rsidRDefault="00BD619A" w:rsidP="00D40246">
            <w:pPr>
              <w:pStyle w:val="Tabulka"/>
              <w:keepNext/>
              <w:keepLines/>
              <w:rPr>
                <w:rFonts w:cs="Calibri"/>
              </w:rPr>
            </w:pPr>
          </w:p>
        </w:tc>
        <w:tc>
          <w:tcPr>
            <w:tcW w:w="3119" w:type="dxa"/>
            <w:vMerge/>
            <w:shd w:val="clear" w:color="auto" w:fill="auto"/>
            <w:vAlign w:val="center"/>
          </w:tcPr>
          <w:p w14:paraId="69BC21BA" w14:textId="77777777" w:rsidR="00BD619A" w:rsidRPr="00DD47DF" w:rsidRDefault="00BD619A" w:rsidP="001D1607">
            <w:pPr>
              <w:pStyle w:val="Tabulka"/>
              <w:keepNext/>
              <w:keepLines/>
              <w:rPr>
                <w:rFonts w:cs="Calibri"/>
              </w:rPr>
            </w:pPr>
          </w:p>
        </w:tc>
        <w:tc>
          <w:tcPr>
            <w:tcW w:w="2254" w:type="dxa"/>
            <w:shd w:val="clear" w:color="auto" w:fill="auto"/>
            <w:vAlign w:val="center"/>
          </w:tcPr>
          <w:p w14:paraId="7166CC23" w14:textId="77777777" w:rsidR="00BD619A" w:rsidRPr="00DD47DF" w:rsidRDefault="00BD619A" w:rsidP="00771951">
            <w:pPr>
              <w:pStyle w:val="Tabulka"/>
              <w:keepNext/>
              <w:keepLines/>
              <w:rPr>
                <w:rFonts w:cs="Calibri"/>
              </w:rPr>
            </w:pPr>
            <w:r w:rsidRPr="00DD47DF">
              <w:rPr>
                <w:rFonts w:cs="Calibri"/>
              </w:rPr>
              <w:t>1.2 – Zvýšit intenzitu a účinnost spolupráce ve výzkumu, vývoji a inovacích</w:t>
            </w:r>
          </w:p>
        </w:tc>
        <w:tc>
          <w:tcPr>
            <w:tcW w:w="1882" w:type="dxa"/>
            <w:vAlign w:val="center"/>
          </w:tcPr>
          <w:p w14:paraId="0FB24651" w14:textId="77777777" w:rsidR="00BD619A" w:rsidRPr="00DD47DF" w:rsidRDefault="008E48D1" w:rsidP="00BA1E1C">
            <w:pPr>
              <w:pStyle w:val="Tabulka"/>
              <w:keepNext/>
              <w:keepLines/>
              <w:rPr>
                <w:rFonts w:cs="Calibri"/>
              </w:rPr>
            </w:pPr>
            <w:r w:rsidRPr="00DD47DF">
              <w:rPr>
                <w:rFonts w:cs="Calibri"/>
              </w:rPr>
              <w:t xml:space="preserve">Výdaje podnikatelského sektoru na provádění VaV ve vládním a vysokoškolském </w:t>
            </w:r>
            <w:r w:rsidRPr="00DD47DF">
              <w:rPr>
                <w:rFonts w:cs="Calibri"/>
              </w:rPr>
              <w:lastRenderedPageBreak/>
              <w:t>sektoru jako % celkových výdajů na provádění VaV v těchto sektorech</w:t>
            </w:r>
          </w:p>
        </w:tc>
      </w:tr>
      <w:tr w:rsidR="00BE6D25" w:rsidRPr="00DD47DF" w14:paraId="3B1BE0F9" w14:textId="77777777">
        <w:trPr>
          <w:trHeight w:val="364"/>
          <w:jc w:val="center"/>
        </w:trPr>
        <w:tc>
          <w:tcPr>
            <w:tcW w:w="1900" w:type="dxa"/>
            <w:vMerge w:val="restart"/>
            <w:shd w:val="clear" w:color="auto" w:fill="DBE5F1"/>
            <w:vAlign w:val="center"/>
          </w:tcPr>
          <w:p w14:paraId="4CAEAE74" w14:textId="77777777" w:rsidR="00BE6D25" w:rsidRPr="00DD47DF" w:rsidRDefault="00BE6D25" w:rsidP="005821F5">
            <w:pPr>
              <w:pStyle w:val="Tabulka"/>
              <w:jc w:val="left"/>
              <w:rPr>
                <w:rFonts w:cs="Calibri"/>
              </w:rPr>
            </w:pPr>
            <w:r w:rsidRPr="00DD47DF">
              <w:rPr>
                <w:rFonts w:cs="Calibri"/>
              </w:rPr>
              <w:lastRenderedPageBreak/>
              <w:t xml:space="preserve">PO 2: Rozvoj podnikání a konkurenceschopnosti malých a středních </w:t>
            </w:r>
            <w:r w:rsidR="005821F5" w:rsidRPr="00DD47DF">
              <w:rPr>
                <w:rFonts w:cs="Calibri"/>
              </w:rPr>
              <w:t>podniků</w:t>
            </w:r>
            <w:r w:rsidRPr="00DD47DF">
              <w:rPr>
                <w:rFonts w:cs="Calibri"/>
              </w:rPr>
              <w:t xml:space="preserve"> </w:t>
            </w:r>
          </w:p>
        </w:tc>
        <w:tc>
          <w:tcPr>
            <w:tcW w:w="709" w:type="dxa"/>
            <w:vAlign w:val="center"/>
          </w:tcPr>
          <w:p w14:paraId="6467726D"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6F9DBB14" w14:textId="060E2FE7" w:rsidR="00BE6D25" w:rsidRPr="00DD47DF" w:rsidRDefault="003944CB" w:rsidP="00D40246">
            <w:pPr>
              <w:pStyle w:val="Tabulka"/>
              <w:rPr>
                <w:rFonts w:cs="Calibri"/>
              </w:rPr>
            </w:pPr>
            <w:r w:rsidRPr="00FD59E7">
              <w:rPr>
                <w:rFonts w:cs="Calibri"/>
              </w:rPr>
              <w:t>917 869 783</w:t>
            </w:r>
          </w:p>
        </w:tc>
        <w:tc>
          <w:tcPr>
            <w:tcW w:w="1330" w:type="dxa"/>
            <w:vAlign w:val="center"/>
          </w:tcPr>
          <w:p w14:paraId="111ED54C" w14:textId="69506836" w:rsidR="00BE6D25" w:rsidRPr="00DD47DF" w:rsidRDefault="003944CB" w:rsidP="00D71E1E">
            <w:pPr>
              <w:pStyle w:val="Tabulka"/>
              <w:rPr>
                <w:rFonts w:cs="Calibri"/>
              </w:rPr>
            </w:pPr>
            <w:r>
              <w:rPr>
                <w:rFonts w:cs="Calibri"/>
              </w:rPr>
              <w:t>23,84</w:t>
            </w:r>
            <w:r w:rsidR="00BB4A21" w:rsidRPr="00BB4A21">
              <w:rPr>
                <w:rFonts w:cs="Calibri"/>
              </w:rPr>
              <w:t>%</w:t>
            </w:r>
          </w:p>
        </w:tc>
        <w:tc>
          <w:tcPr>
            <w:tcW w:w="1619" w:type="dxa"/>
            <w:vMerge w:val="restart"/>
            <w:vAlign w:val="center"/>
          </w:tcPr>
          <w:p w14:paraId="66E96ECB" w14:textId="77777777" w:rsidR="00BE6D25" w:rsidRPr="00DD47DF" w:rsidRDefault="00BE6D25" w:rsidP="00D40246">
            <w:pPr>
              <w:pStyle w:val="Tabulka"/>
              <w:rPr>
                <w:rFonts w:cs="Calibri"/>
              </w:rPr>
            </w:pPr>
            <w:r w:rsidRPr="00DD47DF">
              <w:rPr>
                <w:rFonts w:cs="Calibri"/>
              </w:rPr>
              <w:t>3</w:t>
            </w:r>
            <w:r w:rsidR="00CC5E04" w:rsidRPr="00DD47DF">
              <w:rPr>
                <w:rFonts w:cs="Calibri"/>
              </w:rPr>
              <w:t>)</w:t>
            </w:r>
            <w:r w:rsidRPr="00DD47DF">
              <w:rPr>
                <w:rFonts w:cs="Calibri"/>
              </w:rPr>
              <w:t xml:space="preserve"> Zvýšení konkurenceschopnosti malých a středních podniků, odvětví zemědělství (v případě EZFRV) a rybářství a akvakultury (v případě </w:t>
            </w:r>
            <w:r w:rsidR="001B1FD9" w:rsidRPr="00DD47DF">
              <w:rPr>
                <w:rFonts w:cs="Calibri"/>
              </w:rPr>
              <w:t>EMFF</w:t>
            </w:r>
            <w:r w:rsidRPr="00DD47DF">
              <w:rPr>
                <w:rFonts w:cs="Calibri"/>
              </w:rPr>
              <w:t>)</w:t>
            </w:r>
          </w:p>
        </w:tc>
        <w:tc>
          <w:tcPr>
            <w:tcW w:w="3119" w:type="dxa"/>
            <w:shd w:val="clear" w:color="auto" w:fill="auto"/>
            <w:vAlign w:val="center"/>
          </w:tcPr>
          <w:p w14:paraId="244C45B4" w14:textId="77777777" w:rsidR="00BE6D25" w:rsidRPr="00DD47DF" w:rsidRDefault="00B54D2B" w:rsidP="00BE6D25">
            <w:pPr>
              <w:pStyle w:val="Tabulka"/>
              <w:widowControl w:val="0"/>
              <w:rPr>
                <w:rFonts w:cs="Calibri"/>
              </w:rPr>
            </w:pPr>
            <w:r w:rsidRPr="00DD47DF">
              <w:rPr>
                <w:rFonts w:cs="Calibri"/>
              </w:rPr>
              <w:t xml:space="preserve">3 a) </w:t>
            </w:r>
            <w:r w:rsidR="00F27EC3" w:rsidRPr="00DD47DF">
              <w:rPr>
                <w:rFonts w:cs="Calibri"/>
              </w:rPr>
              <w:t>Podpora podnikání, zejména usnadněním hospodářského využívání nových myšlenek a podporou zakládání nových firem</w:t>
            </w:r>
            <w:r w:rsidR="00BE6D25" w:rsidRPr="00DD47DF">
              <w:rPr>
                <w:rFonts w:cs="Calibri"/>
              </w:rPr>
              <w:t>, mimo jiné prostřednictvím podnikatelských inkubátorů</w:t>
            </w:r>
          </w:p>
        </w:tc>
        <w:tc>
          <w:tcPr>
            <w:tcW w:w="2254" w:type="dxa"/>
            <w:shd w:val="clear" w:color="auto" w:fill="auto"/>
            <w:vAlign w:val="center"/>
          </w:tcPr>
          <w:p w14:paraId="1D1AC9B5" w14:textId="77777777" w:rsidR="00BE6D25" w:rsidRPr="00DD47DF" w:rsidRDefault="00BE6D25" w:rsidP="00CE3F25">
            <w:pPr>
              <w:pStyle w:val="Tabulka"/>
              <w:rPr>
                <w:rFonts w:cs="Calibri"/>
              </w:rPr>
            </w:pPr>
            <w:r w:rsidRPr="00DD47DF">
              <w:rPr>
                <w:rFonts w:cs="Calibri"/>
              </w:rPr>
              <w:t xml:space="preserve">2.1 – </w:t>
            </w:r>
            <w:r w:rsidR="00CE3F25" w:rsidRPr="00DD47DF">
              <w:rPr>
                <w:rFonts w:cs="Calibri"/>
              </w:rPr>
              <w:t>Zvýšit konkurenceschopnost začínajících a rozvojových MSP</w:t>
            </w:r>
          </w:p>
        </w:tc>
        <w:tc>
          <w:tcPr>
            <w:tcW w:w="1882" w:type="dxa"/>
            <w:vAlign w:val="center"/>
          </w:tcPr>
          <w:p w14:paraId="27B8EAE3" w14:textId="77777777" w:rsidR="00BE6D25" w:rsidRPr="00DD47DF" w:rsidRDefault="008E48D1" w:rsidP="00BA1E1C">
            <w:pPr>
              <w:pStyle w:val="Tabulka"/>
              <w:rPr>
                <w:rFonts w:cs="Calibri"/>
              </w:rPr>
            </w:pPr>
            <w:r w:rsidRPr="00DD47DF">
              <w:rPr>
                <w:rFonts w:cs="Calibri"/>
              </w:rPr>
              <w:t>Přidaná hodnota MSP jako % přidané hodnoty ČR</w:t>
            </w:r>
          </w:p>
          <w:p w14:paraId="7C17E0E6" w14:textId="77777777" w:rsidR="00282822" w:rsidRPr="00DD47DF" w:rsidRDefault="00282822" w:rsidP="00BA1E1C">
            <w:pPr>
              <w:pStyle w:val="Tabulka"/>
              <w:rPr>
                <w:rFonts w:cs="Calibri"/>
              </w:rPr>
            </w:pPr>
            <w:r w:rsidRPr="00DD47DF">
              <w:rPr>
                <w:rFonts w:cs="Calibri"/>
              </w:rPr>
              <w:t>Míra přežití vzniklých podniků</w:t>
            </w:r>
          </w:p>
        </w:tc>
      </w:tr>
      <w:tr w:rsidR="00BE6D25" w:rsidRPr="00DD47DF" w14:paraId="46FFC858" w14:textId="77777777">
        <w:trPr>
          <w:trHeight w:val="599"/>
          <w:jc w:val="center"/>
        </w:trPr>
        <w:tc>
          <w:tcPr>
            <w:tcW w:w="1900" w:type="dxa"/>
            <w:vMerge/>
            <w:shd w:val="clear" w:color="auto" w:fill="DBE5F1"/>
            <w:vAlign w:val="center"/>
          </w:tcPr>
          <w:p w14:paraId="37928F64" w14:textId="77777777" w:rsidR="00BE6D25" w:rsidRPr="00DD47DF" w:rsidRDefault="00BE6D25" w:rsidP="000E0E9B">
            <w:pPr>
              <w:pStyle w:val="Tabulka"/>
              <w:rPr>
                <w:rFonts w:cs="Calibri"/>
              </w:rPr>
            </w:pPr>
          </w:p>
        </w:tc>
        <w:tc>
          <w:tcPr>
            <w:tcW w:w="709" w:type="dxa"/>
            <w:vAlign w:val="center"/>
          </w:tcPr>
          <w:p w14:paraId="0C93CE7E"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1D655F1D" w14:textId="012E726F" w:rsidR="00BE6D25" w:rsidRPr="00DD47DF" w:rsidRDefault="00E0634C" w:rsidP="00D40246">
            <w:pPr>
              <w:pStyle w:val="Tabulka"/>
              <w:rPr>
                <w:rFonts w:cs="Calibri"/>
              </w:rPr>
            </w:pPr>
            <w:r w:rsidRPr="00E0634C">
              <w:rPr>
                <w:rFonts w:cs="Calibri"/>
              </w:rPr>
              <w:t>52 740 420</w:t>
            </w:r>
          </w:p>
        </w:tc>
        <w:tc>
          <w:tcPr>
            <w:tcW w:w="1330" w:type="dxa"/>
            <w:vAlign w:val="center"/>
          </w:tcPr>
          <w:p w14:paraId="54FE9CDF" w14:textId="78AC45E5" w:rsidR="00BE6D25" w:rsidRPr="00DD47DF" w:rsidRDefault="00847395" w:rsidP="00E0634C">
            <w:pPr>
              <w:pStyle w:val="Tabulka"/>
              <w:rPr>
                <w:rFonts w:cs="Calibri"/>
              </w:rPr>
            </w:pPr>
            <w:r w:rsidRPr="00DD47DF">
              <w:rPr>
                <w:rFonts w:cs="Calibri"/>
              </w:rPr>
              <w:t>1,</w:t>
            </w:r>
            <w:r w:rsidR="00E0634C" w:rsidRPr="00DD47DF">
              <w:rPr>
                <w:rFonts w:cs="Calibri"/>
              </w:rPr>
              <w:t>3</w:t>
            </w:r>
            <w:r w:rsidR="00E0634C">
              <w:rPr>
                <w:rFonts w:cs="Calibri"/>
              </w:rPr>
              <w:t>7</w:t>
            </w:r>
            <w:r w:rsidR="00E0634C" w:rsidRPr="00DD47DF">
              <w:rPr>
                <w:rFonts w:cs="Calibri"/>
              </w:rPr>
              <w:t xml:space="preserve"> </w:t>
            </w:r>
            <w:r w:rsidR="00A74A51" w:rsidRPr="00DD47DF">
              <w:rPr>
                <w:rFonts w:cs="Calibri"/>
              </w:rPr>
              <w:t>%</w:t>
            </w:r>
          </w:p>
        </w:tc>
        <w:tc>
          <w:tcPr>
            <w:tcW w:w="1619" w:type="dxa"/>
            <w:vMerge/>
            <w:vAlign w:val="center"/>
          </w:tcPr>
          <w:p w14:paraId="46D4FFD6" w14:textId="77777777" w:rsidR="00BE6D25" w:rsidRPr="00DD47DF" w:rsidRDefault="00BE6D25" w:rsidP="00D40246">
            <w:pPr>
              <w:pStyle w:val="Tabulka"/>
              <w:rPr>
                <w:rFonts w:cs="Calibri"/>
              </w:rPr>
            </w:pPr>
          </w:p>
        </w:tc>
        <w:tc>
          <w:tcPr>
            <w:tcW w:w="3119" w:type="dxa"/>
            <w:shd w:val="clear" w:color="auto" w:fill="auto"/>
            <w:vAlign w:val="center"/>
          </w:tcPr>
          <w:p w14:paraId="74679300" w14:textId="77777777" w:rsidR="00BE6D25" w:rsidRPr="00DD47DF" w:rsidRDefault="00B54D2B" w:rsidP="00BE6D25">
            <w:pPr>
              <w:pStyle w:val="Tabulka"/>
              <w:widowControl w:val="0"/>
              <w:rPr>
                <w:rFonts w:cs="Calibri"/>
              </w:rPr>
            </w:pPr>
            <w:r w:rsidRPr="00DD47DF">
              <w:rPr>
                <w:rFonts w:cs="Calibri"/>
              </w:rPr>
              <w:t xml:space="preserve">3 b) </w:t>
            </w:r>
            <w:r w:rsidR="008C7D72" w:rsidRPr="00DD47DF">
              <w:rPr>
                <w:rFonts w:cs="Calibri"/>
              </w:rPr>
              <w:t>Vyvíjení a provádění nových obchodních modelů</w:t>
            </w:r>
            <w:r w:rsidR="00BE6D25" w:rsidRPr="00DD47DF">
              <w:rPr>
                <w:rFonts w:cs="Calibri"/>
              </w:rPr>
              <w:t xml:space="preserve"> pro MSP, zejména pro oblast mezinárodního obchodu</w:t>
            </w:r>
          </w:p>
        </w:tc>
        <w:tc>
          <w:tcPr>
            <w:tcW w:w="2254" w:type="dxa"/>
            <w:shd w:val="clear" w:color="auto" w:fill="auto"/>
            <w:vAlign w:val="center"/>
          </w:tcPr>
          <w:p w14:paraId="447F542C" w14:textId="77777777" w:rsidR="00BE6D25" w:rsidRPr="00DD47DF" w:rsidRDefault="00BE6D25" w:rsidP="000E0E9B">
            <w:pPr>
              <w:pStyle w:val="Tabulka"/>
              <w:rPr>
                <w:rFonts w:cs="Calibri"/>
              </w:rPr>
            </w:pPr>
            <w:r w:rsidRPr="00DD47DF">
              <w:rPr>
                <w:rFonts w:cs="Calibri"/>
              </w:rPr>
              <w:t xml:space="preserve">2.2 - </w:t>
            </w:r>
            <w:r w:rsidR="00FF3A47" w:rsidRPr="00DD47DF">
              <w:rPr>
                <w:rFonts w:cs="Calibri"/>
              </w:rPr>
              <w:t>Zvýšit internacionalizaci malých a středních podniků</w:t>
            </w:r>
          </w:p>
        </w:tc>
        <w:tc>
          <w:tcPr>
            <w:tcW w:w="1882" w:type="dxa"/>
            <w:vAlign w:val="center"/>
          </w:tcPr>
          <w:p w14:paraId="63CCE87C" w14:textId="77777777" w:rsidR="00BE6D25" w:rsidRPr="00DD47DF" w:rsidRDefault="008E48D1" w:rsidP="00BA1E1C">
            <w:pPr>
              <w:pStyle w:val="Tabulka"/>
              <w:rPr>
                <w:rFonts w:cs="Calibri"/>
              </w:rPr>
            </w:pPr>
            <w:r w:rsidRPr="00DD47DF">
              <w:rPr>
                <w:rFonts w:cs="Calibri"/>
              </w:rPr>
              <w:t>Podíl exportu MSP/celkovým výkonům MSP</w:t>
            </w:r>
          </w:p>
        </w:tc>
      </w:tr>
      <w:tr w:rsidR="00BD619A" w:rsidRPr="00DD47DF" w14:paraId="619F8449" w14:textId="77777777">
        <w:trPr>
          <w:jc w:val="center"/>
        </w:trPr>
        <w:tc>
          <w:tcPr>
            <w:tcW w:w="1900" w:type="dxa"/>
            <w:vMerge/>
            <w:shd w:val="clear" w:color="auto" w:fill="DBE5F1"/>
            <w:vAlign w:val="center"/>
          </w:tcPr>
          <w:p w14:paraId="5DB5B601" w14:textId="77777777" w:rsidR="00BD619A" w:rsidRPr="00DD47DF" w:rsidRDefault="00BD619A" w:rsidP="000E0E9B">
            <w:pPr>
              <w:pStyle w:val="Tabulka"/>
              <w:rPr>
                <w:rFonts w:cs="Calibri"/>
              </w:rPr>
            </w:pPr>
          </w:p>
        </w:tc>
        <w:tc>
          <w:tcPr>
            <w:tcW w:w="709" w:type="dxa"/>
            <w:vMerge w:val="restart"/>
            <w:vAlign w:val="center"/>
          </w:tcPr>
          <w:p w14:paraId="1F141CA2" w14:textId="77777777" w:rsidR="00BD619A" w:rsidRPr="00DD47DF" w:rsidRDefault="00BD619A" w:rsidP="00D40246">
            <w:pPr>
              <w:pStyle w:val="Tabulka"/>
              <w:rPr>
                <w:rFonts w:cs="Calibri"/>
              </w:rPr>
            </w:pPr>
            <w:r w:rsidRPr="00DD47DF">
              <w:rPr>
                <w:rFonts w:cs="Calibri"/>
              </w:rPr>
              <w:t>EFRR</w:t>
            </w:r>
          </w:p>
        </w:tc>
        <w:tc>
          <w:tcPr>
            <w:tcW w:w="1445" w:type="dxa"/>
            <w:vMerge w:val="restart"/>
            <w:vAlign w:val="center"/>
          </w:tcPr>
          <w:p w14:paraId="619B2547" w14:textId="04025EE0" w:rsidR="00BD619A" w:rsidRPr="00DD47DF" w:rsidRDefault="00E0634C" w:rsidP="00D40246">
            <w:pPr>
              <w:pStyle w:val="Tabulka"/>
              <w:rPr>
                <w:rFonts w:cs="Calibri"/>
              </w:rPr>
            </w:pPr>
            <w:r w:rsidRPr="00E0634C">
              <w:rPr>
                <w:rFonts w:cs="Calibri"/>
              </w:rPr>
              <w:t>233 693 041</w:t>
            </w:r>
          </w:p>
        </w:tc>
        <w:tc>
          <w:tcPr>
            <w:tcW w:w="1330" w:type="dxa"/>
            <w:vMerge w:val="restart"/>
            <w:vAlign w:val="center"/>
          </w:tcPr>
          <w:p w14:paraId="17F1F800" w14:textId="69FE7470" w:rsidR="00BD619A" w:rsidRPr="00DD47DF" w:rsidRDefault="00E0634C" w:rsidP="00D40246">
            <w:pPr>
              <w:pStyle w:val="Tabulka"/>
              <w:rPr>
                <w:rFonts w:cs="Calibri"/>
              </w:rPr>
            </w:pPr>
            <w:r w:rsidRPr="00E0634C">
              <w:rPr>
                <w:rFonts w:cs="Calibri"/>
              </w:rPr>
              <w:t>6,07</w:t>
            </w:r>
            <w:r w:rsidR="00BB4A21" w:rsidRPr="00BB4A21">
              <w:rPr>
                <w:rFonts w:cs="Calibri"/>
              </w:rPr>
              <w:t>%</w:t>
            </w:r>
          </w:p>
        </w:tc>
        <w:tc>
          <w:tcPr>
            <w:tcW w:w="1619" w:type="dxa"/>
            <w:vMerge/>
            <w:vAlign w:val="center"/>
          </w:tcPr>
          <w:p w14:paraId="38C3DE5C" w14:textId="77777777" w:rsidR="00BD619A" w:rsidRPr="00DD47DF" w:rsidRDefault="00BD619A" w:rsidP="00D40246">
            <w:pPr>
              <w:pStyle w:val="Tabulka"/>
              <w:rPr>
                <w:rFonts w:cs="Calibri"/>
              </w:rPr>
            </w:pPr>
          </w:p>
        </w:tc>
        <w:tc>
          <w:tcPr>
            <w:tcW w:w="3119" w:type="dxa"/>
            <w:vMerge w:val="restart"/>
            <w:shd w:val="clear" w:color="auto" w:fill="auto"/>
            <w:vAlign w:val="center"/>
          </w:tcPr>
          <w:p w14:paraId="4D363867" w14:textId="77777777" w:rsidR="00BD619A" w:rsidRPr="00DD47DF" w:rsidRDefault="00B54D2B" w:rsidP="00BE6D25">
            <w:pPr>
              <w:pStyle w:val="Tabulka"/>
              <w:widowControl w:val="0"/>
              <w:rPr>
                <w:rFonts w:cs="Calibri"/>
              </w:rPr>
            </w:pPr>
            <w:r w:rsidRPr="00DD47DF">
              <w:rPr>
                <w:rFonts w:cs="Calibri"/>
              </w:rPr>
              <w:t xml:space="preserve">3 c) </w:t>
            </w:r>
            <w:r w:rsidR="002641C7" w:rsidRPr="00DD47DF">
              <w:rPr>
                <w:rFonts w:cs="Calibri"/>
              </w:rPr>
              <w:t>Podpora vytváření a rozšiřování vyspělých</w:t>
            </w:r>
            <w:r w:rsidR="00BD619A" w:rsidRPr="00DD47DF">
              <w:rPr>
                <w:rFonts w:cs="Calibri"/>
              </w:rPr>
              <w:t xml:space="preserve"> kapacit pro rozvoj produktů a služeb</w:t>
            </w:r>
          </w:p>
        </w:tc>
        <w:tc>
          <w:tcPr>
            <w:tcW w:w="2254" w:type="dxa"/>
            <w:shd w:val="clear" w:color="auto" w:fill="auto"/>
            <w:vAlign w:val="center"/>
          </w:tcPr>
          <w:p w14:paraId="341E9E1C" w14:textId="77777777" w:rsidR="00BD619A" w:rsidRPr="00DD47DF" w:rsidRDefault="00BD619A" w:rsidP="00771951">
            <w:pPr>
              <w:pStyle w:val="Tabulka"/>
              <w:rPr>
                <w:rFonts w:cs="Calibri"/>
              </w:rPr>
            </w:pPr>
            <w:r w:rsidRPr="00DD47DF">
              <w:rPr>
                <w:rFonts w:cs="Calibri"/>
              </w:rPr>
              <w:t>2.3 – Zvýšit využitelnost infrastruktury pro podnikání</w:t>
            </w:r>
          </w:p>
        </w:tc>
        <w:tc>
          <w:tcPr>
            <w:tcW w:w="1882" w:type="dxa"/>
            <w:vAlign w:val="center"/>
          </w:tcPr>
          <w:p w14:paraId="15A47815" w14:textId="77777777" w:rsidR="00BD619A" w:rsidRPr="00DD47DF" w:rsidRDefault="00831F28" w:rsidP="00BA1E1C">
            <w:pPr>
              <w:pStyle w:val="Tabulka"/>
              <w:rPr>
                <w:rFonts w:cs="Calibri"/>
              </w:rPr>
            </w:pPr>
            <w:r w:rsidRPr="00DD47DF">
              <w:rPr>
                <w:rFonts w:cs="Calibri"/>
              </w:rPr>
              <w:t>Celková rozloha regenerovaných lokalit v Národní databázi brownfieldů pro ekonomické využití MSP</w:t>
            </w:r>
          </w:p>
        </w:tc>
      </w:tr>
      <w:tr w:rsidR="00BD619A" w:rsidRPr="00DD47DF" w14:paraId="6B12AF52" w14:textId="77777777">
        <w:trPr>
          <w:jc w:val="center"/>
        </w:trPr>
        <w:tc>
          <w:tcPr>
            <w:tcW w:w="1900" w:type="dxa"/>
            <w:vMerge/>
            <w:shd w:val="clear" w:color="auto" w:fill="DBE5F1"/>
            <w:vAlign w:val="center"/>
          </w:tcPr>
          <w:p w14:paraId="3FA2C960" w14:textId="77777777" w:rsidR="00BD619A" w:rsidRPr="00DD47DF" w:rsidRDefault="00BD619A" w:rsidP="000E0E9B">
            <w:pPr>
              <w:pStyle w:val="Tabulka"/>
              <w:rPr>
                <w:rFonts w:cs="Calibri"/>
              </w:rPr>
            </w:pPr>
          </w:p>
        </w:tc>
        <w:tc>
          <w:tcPr>
            <w:tcW w:w="709" w:type="dxa"/>
            <w:vMerge/>
            <w:vAlign w:val="center"/>
          </w:tcPr>
          <w:p w14:paraId="63142E15" w14:textId="77777777" w:rsidR="00BD619A" w:rsidRPr="00DD47DF" w:rsidRDefault="00BD619A" w:rsidP="00D40246">
            <w:pPr>
              <w:pStyle w:val="Tabulka"/>
              <w:rPr>
                <w:rFonts w:cs="Calibri"/>
              </w:rPr>
            </w:pPr>
          </w:p>
        </w:tc>
        <w:tc>
          <w:tcPr>
            <w:tcW w:w="1445" w:type="dxa"/>
            <w:vMerge/>
            <w:vAlign w:val="center"/>
          </w:tcPr>
          <w:p w14:paraId="1838BD0A" w14:textId="77777777" w:rsidR="00BD619A" w:rsidRPr="00DD47DF" w:rsidRDefault="00BD619A" w:rsidP="00D40246">
            <w:pPr>
              <w:pStyle w:val="Tabulka"/>
              <w:rPr>
                <w:rFonts w:cs="Calibri"/>
              </w:rPr>
            </w:pPr>
          </w:p>
        </w:tc>
        <w:tc>
          <w:tcPr>
            <w:tcW w:w="1330" w:type="dxa"/>
            <w:vMerge/>
            <w:vAlign w:val="center"/>
          </w:tcPr>
          <w:p w14:paraId="53B8E134" w14:textId="77777777" w:rsidR="00BD619A" w:rsidRPr="00DD47DF" w:rsidRDefault="00BD619A" w:rsidP="00D40246">
            <w:pPr>
              <w:pStyle w:val="Tabulka"/>
              <w:rPr>
                <w:rFonts w:cs="Calibri"/>
              </w:rPr>
            </w:pPr>
          </w:p>
        </w:tc>
        <w:tc>
          <w:tcPr>
            <w:tcW w:w="1619" w:type="dxa"/>
            <w:vMerge/>
            <w:vAlign w:val="center"/>
          </w:tcPr>
          <w:p w14:paraId="76A4670C" w14:textId="77777777" w:rsidR="00BD619A" w:rsidRPr="00DD47DF" w:rsidRDefault="00BD619A" w:rsidP="00D40246">
            <w:pPr>
              <w:pStyle w:val="Tabulka"/>
              <w:rPr>
                <w:rFonts w:cs="Calibri"/>
              </w:rPr>
            </w:pPr>
          </w:p>
        </w:tc>
        <w:tc>
          <w:tcPr>
            <w:tcW w:w="3119" w:type="dxa"/>
            <w:vMerge/>
            <w:shd w:val="clear" w:color="auto" w:fill="auto"/>
            <w:vAlign w:val="center"/>
          </w:tcPr>
          <w:p w14:paraId="1C122B6D" w14:textId="77777777" w:rsidR="00BD619A" w:rsidRPr="00DD47DF" w:rsidRDefault="00BD619A" w:rsidP="000E0E9B">
            <w:pPr>
              <w:pStyle w:val="Tabulka"/>
              <w:rPr>
                <w:rFonts w:cs="Calibri"/>
              </w:rPr>
            </w:pPr>
          </w:p>
        </w:tc>
        <w:tc>
          <w:tcPr>
            <w:tcW w:w="2254" w:type="dxa"/>
            <w:shd w:val="clear" w:color="auto" w:fill="auto"/>
            <w:vAlign w:val="center"/>
          </w:tcPr>
          <w:p w14:paraId="0018B604" w14:textId="77777777" w:rsidR="00BD619A" w:rsidRPr="00DD47DF" w:rsidRDefault="00BD619A" w:rsidP="00AC3ECC">
            <w:pPr>
              <w:pStyle w:val="Tabulka"/>
              <w:rPr>
                <w:rFonts w:cs="Calibri"/>
              </w:rPr>
            </w:pPr>
            <w:r w:rsidRPr="00DD47DF">
              <w:rPr>
                <w:rFonts w:cs="Calibri"/>
              </w:rPr>
              <w:t xml:space="preserve">2.4 - </w:t>
            </w:r>
            <w:r w:rsidR="00AC3ECC" w:rsidRPr="00DD47DF">
              <w:rPr>
                <w:rFonts w:cs="Calibri"/>
              </w:rPr>
              <w:t>Zvýšit kapacitu pro odborné vzdělávání v MSP</w:t>
            </w:r>
          </w:p>
        </w:tc>
        <w:tc>
          <w:tcPr>
            <w:tcW w:w="1882" w:type="dxa"/>
            <w:vAlign w:val="center"/>
          </w:tcPr>
          <w:p w14:paraId="4F0B5A85" w14:textId="77777777" w:rsidR="00BD619A" w:rsidRPr="00DD47DF" w:rsidRDefault="00CD4307" w:rsidP="00CD4307">
            <w:pPr>
              <w:pStyle w:val="Tabulka"/>
              <w:rPr>
                <w:rFonts w:cs="Calibri"/>
              </w:rPr>
            </w:pPr>
            <w:r w:rsidRPr="00DD47DF">
              <w:t xml:space="preserve"> </w:t>
            </w:r>
            <w:r w:rsidRPr="00DD47DF">
              <w:rPr>
                <w:rFonts w:cs="Calibri"/>
              </w:rPr>
              <w:t>Podíl účastníků</w:t>
            </w:r>
            <w:r w:rsidR="00CB650E" w:rsidRPr="00DD47DF">
              <w:rPr>
                <w:rFonts w:cs="Calibri"/>
              </w:rPr>
              <w:t xml:space="preserve"> </w:t>
            </w:r>
            <w:r w:rsidRPr="00DD47DF">
              <w:rPr>
                <w:rFonts w:cs="Calibri"/>
              </w:rPr>
              <w:t>kurzů dalšího odborného vzdělávání na celkovém počtu</w:t>
            </w:r>
            <w:r w:rsidR="00CB650E" w:rsidRPr="00DD47DF">
              <w:rPr>
                <w:rFonts w:cs="Calibri"/>
              </w:rPr>
              <w:t xml:space="preserve"> </w:t>
            </w:r>
            <w:r w:rsidRPr="00DD47DF">
              <w:rPr>
                <w:rFonts w:cs="Calibri"/>
              </w:rPr>
              <w:t>zaměstnaných osob u malých podniků</w:t>
            </w:r>
          </w:p>
          <w:p w14:paraId="019C7A76" w14:textId="77777777" w:rsidR="00CD4307" w:rsidRPr="00DD47DF" w:rsidRDefault="00CD4307" w:rsidP="00DA11F9">
            <w:pPr>
              <w:pStyle w:val="Tabulka"/>
              <w:rPr>
                <w:rFonts w:cs="Calibri"/>
              </w:rPr>
            </w:pPr>
            <w:r w:rsidRPr="00DD47DF">
              <w:rPr>
                <w:rFonts w:cs="Calibri"/>
              </w:rPr>
              <w:t>Podíl účastníků</w:t>
            </w:r>
            <w:r w:rsidR="00DA11F9" w:rsidRPr="00DD47DF">
              <w:rPr>
                <w:rFonts w:cs="Calibri"/>
              </w:rPr>
              <w:t xml:space="preserve"> </w:t>
            </w:r>
            <w:r w:rsidRPr="00DD47DF">
              <w:rPr>
                <w:rFonts w:cs="Calibri"/>
              </w:rPr>
              <w:t xml:space="preserve">kurzů dalšího </w:t>
            </w:r>
            <w:r w:rsidRPr="00DD47DF">
              <w:rPr>
                <w:rFonts w:cs="Calibri"/>
              </w:rPr>
              <w:lastRenderedPageBreak/>
              <w:t>odborného vzdělávání na celkovém počtu</w:t>
            </w:r>
            <w:r w:rsidR="00CB650E" w:rsidRPr="00DD47DF">
              <w:rPr>
                <w:rFonts w:cs="Calibri"/>
              </w:rPr>
              <w:t xml:space="preserve"> </w:t>
            </w:r>
            <w:r w:rsidRPr="00DD47DF">
              <w:rPr>
                <w:rFonts w:cs="Calibri"/>
              </w:rPr>
              <w:t>zaměstnaných osob u středních podniků</w:t>
            </w:r>
          </w:p>
        </w:tc>
      </w:tr>
      <w:tr w:rsidR="00DB5E8B" w:rsidRPr="00DD47DF" w14:paraId="393A4EFB" w14:textId="77777777">
        <w:trPr>
          <w:jc w:val="center"/>
        </w:trPr>
        <w:tc>
          <w:tcPr>
            <w:tcW w:w="1900" w:type="dxa"/>
            <w:vMerge w:val="restart"/>
            <w:shd w:val="clear" w:color="auto" w:fill="DBE5F1"/>
            <w:vAlign w:val="center"/>
          </w:tcPr>
          <w:p w14:paraId="46DCCE4E" w14:textId="77777777" w:rsidR="00DB5E8B" w:rsidRPr="00DD47DF" w:rsidRDefault="00DB5E8B" w:rsidP="009670FD">
            <w:pPr>
              <w:pStyle w:val="Tabulka"/>
              <w:jc w:val="left"/>
              <w:rPr>
                <w:rFonts w:cs="Calibri"/>
              </w:rPr>
            </w:pPr>
            <w:r w:rsidRPr="00DD47DF">
              <w:rPr>
                <w:rFonts w:cs="Calibri"/>
              </w:rPr>
              <w:lastRenderedPageBreak/>
              <w:t xml:space="preserve">PO 3: Účinné nakládání energií, rozvoj energetické infrastruktury a obnovitelných zdrojů energie, podpora zavádění nových technologií v oblasti nakládání energií a druhotných surovin </w:t>
            </w:r>
          </w:p>
          <w:p w14:paraId="1FE372E9" w14:textId="77777777" w:rsidR="00DB5E8B" w:rsidRPr="00DD47DF" w:rsidRDefault="00DB5E8B" w:rsidP="000E0E9B">
            <w:pPr>
              <w:pStyle w:val="Tabulka"/>
              <w:rPr>
                <w:rFonts w:cs="Calibri"/>
              </w:rPr>
            </w:pPr>
          </w:p>
        </w:tc>
        <w:tc>
          <w:tcPr>
            <w:tcW w:w="709" w:type="dxa"/>
            <w:vAlign w:val="center"/>
          </w:tcPr>
          <w:p w14:paraId="73BC0FAF"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10B2B1E0" w14:textId="015A4811" w:rsidR="00DB5E8B" w:rsidRPr="00DD47DF" w:rsidRDefault="00374BD9" w:rsidP="00D40246">
            <w:pPr>
              <w:pStyle w:val="Tabulka"/>
              <w:rPr>
                <w:rFonts w:cs="Calibri"/>
              </w:rPr>
            </w:pPr>
            <w:r w:rsidRPr="00374BD9">
              <w:rPr>
                <w:rFonts w:cs="Calibri"/>
              </w:rPr>
              <w:t>34 289 176</w:t>
            </w:r>
          </w:p>
        </w:tc>
        <w:tc>
          <w:tcPr>
            <w:tcW w:w="1330" w:type="dxa"/>
            <w:vAlign w:val="center"/>
          </w:tcPr>
          <w:p w14:paraId="325E973F" w14:textId="0154560C" w:rsidR="00DB5E8B" w:rsidRPr="00DD47DF" w:rsidRDefault="00374BD9" w:rsidP="00E0634C">
            <w:pPr>
              <w:pStyle w:val="Tabulka"/>
              <w:rPr>
                <w:rFonts w:cs="Calibri"/>
              </w:rPr>
            </w:pPr>
            <w:r w:rsidRPr="00374BD9">
              <w:rPr>
                <w:rFonts w:cs="Calibri"/>
              </w:rPr>
              <w:t>0,</w:t>
            </w:r>
            <w:r w:rsidR="00E0634C" w:rsidRPr="00374BD9">
              <w:rPr>
                <w:rFonts w:cs="Calibri"/>
              </w:rPr>
              <w:t>8</w:t>
            </w:r>
            <w:r w:rsidR="00E0634C">
              <w:rPr>
                <w:rFonts w:cs="Calibri"/>
              </w:rPr>
              <w:t>9</w:t>
            </w:r>
            <w:r w:rsidR="00E0634C" w:rsidRPr="00DD47DF">
              <w:rPr>
                <w:rFonts w:cs="Calibri"/>
              </w:rPr>
              <w:t xml:space="preserve"> </w:t>
            </w:r>
            <w:r w:rsidR="00DB5E8B" w:rsidRPr="00DD47DF">
              <w:rPr>
                <w:rFonts w:cs="Calibri"/>
              </w:rPr>
              <w:t>%</w:t>
            </w:r>
          </w:p>
        </w:tc>
        <w:tc>
          <w:tcPr>
            <w:tcW w:w="1619" w:type="dxa"/>
            <w:vMerge w:val="restart"/>
            <w:vAlign w:val="center"/>
          </w:tcPr>
          <w:p w14:paraId="71DD208E" w14:textId="77777777" w:rsidR="00DB5E8B" w:rsidRPr="00DD47DF" w:rsidRDefault="00DB5E8B" w:rsidP="00D40246">
            <w:pPr>
              <w:pStyle w:val="Tabulka"/>
              <w:rPr>
                <w:rFonts w:cs="Calibri"/>
              </w:rPr>
            </w:pPr>
            <w:r w:rsidRPr="00DD47DF">
              <w:rPr>
                <w:rFonts w:cs="Calibri"/>
              </w:rPr>
              <w:t>4</w:t>
            </w:r>
            <w:r w:rsidR="00CC5E04" w:rsidRPr="00DD47DF">
              <w:rPr>
                <w:rFonts w:cs="Calibri"/>
              </w:rPr>
              <w:t>)</w:t>
            </w:r>
            <w:r w:rsidRPr="00DD47DF">
              <w:rPr>
                <w:rFonts w:cs="Calibri"/>
              </w:rPr>
              <w:t xml:space="preserve"> Podpora přechodu na nízkouhlíkové hospodářství ve všech odvětvích</w:t>
            </w:r>
          </w:p>
        </w:tc>
        <w:tc>
          <w:tcPr>
            <w:tcW w:w="3119" w:type="dxa"/>
            <w:shd w:val="clear" w:color="auto" w:fill="auto"/>
            <w:vAlign w:val="center"/>
          </w:tcPr>
          <w:p w14:paraId="4B36CB2A" w14:textId="77777777" w:rsidR="00DB5E8B" w:rsidRPr="00DD47DF" w:rsidRDefault="00B54D2B" w:rsidP="00BE6D25">
            <w:pPr>
              <w:pStyle w:val="Tabulka"/>
              <w:widowControl w:val="0"/>
              <w:rPr>
                <w:rFonts w:cs="Calibri"/>
              </w:rPr>
            </w:pPr>
            <w:r w:rsidRPr="00DD47DF">
              <w:rPr>
                <w:rFonts w:cs="Calibri"/>
              </w:rPr>
              <w:t xml:space="preserve">4 a) </w:t>
            </w:r>
            <w:r w:rsidR="00DB5E8B" w:rsidRPr="00DD47DF">
              <w:rPr>
                <w:rFonts w:cs="Calibri"/>
              </w:rPr>
              <w:t>Podpora výroby a distribuce energie pocházející z obnovitelných zdrojů</w:t>
            </w:r>
          </w:p>
        </w:tc>
        <w:tc>
          <w:tcPr>
            <w:tcW w:w="2254" w:type="dxa"/>
            <w:shd w:val="clear" w:color="auto" w:fill="auto"/>
            <w:vAlign w:val="center"/>
          </w:tcPr>
          <w:p w14:paraId="101CF389" w14:textId="77777777" w:rsidR="00DB5E8B" w:rsidRPr="00DD47DF" w:rsidRDefault="00DB5E8B" w:rsidP="00771951">
            <w:pPr>
              <w:pStyle w:val="Tabulka"/>
              <w:rPr>
                <w:rFonts w:cs="Calibri"/>
              </w:rPr>
            </w:pPr>
            <w:r w:rsidRPr="00DD47DF">
              <w:rPr>
                <w:rFonts w:cs="Calibri"/>
              </w:rPr>
              <w:t>3.1 – Zvýšit podíl výroby energie z obnovitelných zdrojů na hrubé konečné spotřebě ČR</w:t>
            </w:r>
          </w:p>
        </w:tc>
        <w:tc>
          <w:tcPr>
            <w:tcW w:w="1882" w:type="dxa"/>
            <w:vAlign w:val="center"/>
          </w:tcPr>
          <w:p w14:paraId="41B78A1D" w14:textId="77777777" w:rsidR="00DB5E8B" w:rsidRPr="00DD47DF" w:rsidRDefault="000817E2" w:rsidP="00BA1E1C">
            <w:pPr>
              <w:pStyle w:val="Tabulka"/>
              <w:rPr>
                <w:rFonts w:cs="Calibri"/>
              </w:rPr>
            </w:pPr>
            <w:r w:rsidRPr="00DD47DF">
              <w:rPr>
                <w:rFonts w:cs="Calibri"/>
              </w:rPr>
              <w:t>Celkový instalovaný výkon</w:t>
            </w:r>
            <w:r w:rsidR="000B5A68" w:rsidRPr="00DD47DF">
              <w:rPr>
                <w:rFonts w:cs="Calibri"/>
              </w:rPr>
              <w:t xml:space="preserve"> z OZE</w:t>
            </w:r>
          </w:p>
        </w:tc>
      </w:tr>
      <w:tr w:rsidR="00DB5E8B" w:rsidRPr="00DD47DF" w14:paraId="6638DDA3" w14:textId="77777777">
        <w:trPr>
          <w:jc w:val="center"/>
        </w:trPr>
        <w:tc>
          <w:tcPr>
            <w:tcW w:w="1900" w:type="dxa"/>
            <w:vMerge/>
            <w:shd w:val="clear" w:color="auto" w:fill="DBE5F1"/>
            <w:vAlign w:val="center"/>
          </w:tcPr>
          <w:p w14:paraId="0CF4C1DD" w14:textId="77777777" w:rsidR="00DB5E8B" w:rsidRPr="00DD47DF" w:rsidRDefault="00DB5E8B" w:rsidP="000E0E9B">
            <w:pPr>
              <w:pStyle w:val="Tabulka"/>
              <w:rPr>
                <w:rFonts w:cs="Calibri"/>
              </w:rPr>
            </w:pPr>
          </w:p>
        </w:tc>
        <w:tc>
          <w:tcPr>
            <w:tcW w:w="709" w:type="dxa"/>
            <w:vAlign w:val="center"/>
          </w:tcPr>
          <w:p w14:paraId="24BDE420"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23E552E1" w14:textId="1B75BBD1" w:rsidR="00DB5E8B" w:rsidRPr="00DD47DF" w:rsidRDefault="00E0634C" w:rsidP="00D40246">
            <w:pPr>
              <w:pStyle w:val="Tabulka"/>
              <w:rPr>
                <w:rFonts w:cs="Calibri"/>
              </w:rPr>
            </w:pPr>
            <w:r w:rsidRPr="00E0634C">
              <w:rPr>
                <w:rFonts w:cs="Calibri"/>
              </w:rPr>
              <w:t>608 102 866</w:t>
            </w:r>
          </w:p>
        </w:tc>
        <w:tc>
          <w:tcPr>
            <w:tcW w:w="1330" w:type="dxa"/>
            <w:vAlign w:val="center"/>
          </w:tcPr>
          <w:p w14:paraId="2FA93E82" w14:textId="01AA785B" w:rsidR="00DB5E8B" w:rsidRPr="00DD47DF" w:rsidRDefault="00374BD9" w:rsidP="00E0634C">
            <w:pPr>
              <w:pStyle w:val="Tabulka"/>
              <w:rPr>
                <w:rFonts w:cs="Calibri"/>
              </w:rPr>
            </w:pPr>
            <w:r w:rsidRPr="00374BD9">
              <w:rPr>
                <w:rFonts w:cs="Calibri"/>
              </w:rPr>
              <w:t>15,</w:t>
            </w:r>
            <w:r w:rsidR="00E0634C">
              <w:rPr>
                <w:rFonts w:cs="Calibri"/>
              </w:rPr>
              <w:t>79</w:t>
            </w:r>
            <w:r w:rsidR="00E0634C" w:rsidRPr="00DD47DF">
              <w:rPr>
                <w:rFonts w:cs="Calibri"/>
              </w:rPr>
              <w:t xml:space="preserve"> </w:t>
            </w:r>
            <w:r w:rsidR="00DB5E8B" w:rsidRPr="00DD47DF">
              <w:rPr>
                <w:rFonts w:cs="Calibri"/>
              </w:rPr>
              <w:t>%</w:t>
            </w:r>
          </w:p>
        </w:tc>
        <w:tc>
          <w:tcPr>
            <w:tcW w:w="1619" w:type="dxa"/>
            <w:vMerge/>
            <w:vAlign w:val="center"/>
          </w:tcPr>
          <w:p w14:paraId="0ACFC09F" w14:textId="77777777" w:rsidR="00DB5E8B" w:rsidRPr="00DD47DF" w:rsidRDefault="00DB5E8B" w:rsidP="00D40246">
            <w:pPr>
              <w:pStyle w:val="Tabulka"/>
              <w:rPr>
                <w:rFonts w:cs="Calibri"/>
              </w:rPr>
            </w:pPr>
          </w:p>
        </w:tc>
        <w:tc>
          <w:tcPr>
            <w:tcW w:w="3119" w:type="dxa"/>
            <w:shd w:val="clear" w:color="auto" w:fill="auto"/>
            <w:vAlign w:val="center"/>
          </w:tcPr>
          <w:p w14:paraId="5F1D3A80" w14:textId="77777777" w:rsidR="00DB5E8B" w:rsidRPr="00DD47DF" w:rsidRDefault="00B54D2B" w:rsidP="00BE6D25">
            <w:pPr>
              <w:pStyle w:val="Tabulka"/>
              <w:widowControl w:val="0"/>
              <w:rPr>
                <w:rFonts w:cs="Calibri"/>
              </w:rPr>
            </w:pPr>
            <w:r w:rsidRPr="00DD47DF">
              <w:rPr>
                <w:rFonts w:cs="Calibri"/>
              </w:rPr>
              <w:t xml:space="preserve">4 b) </w:t>
            </w:r>
            <w:r w:rsidR="00DB5E8B" w:rsidRPr="00DD47DF">
              <w:rPr>
                <w:rFonts w:cs="Calibri"/>
              </w:rPr>
              <w:t>Podpora energetické účinnosti a využívání energie z obnovitelných zdrojů v podnicích</w:t>
            </w:r>
          </w:p>
        </w:tc>
        <w:tc>
          <w:tcPr>
            <w:tcW w:w="2254" w:type="dxa"/>
            <w:shd w:val="clear" w:color="auto" w:fill="auto"/>
            <w:vAlign w:val="center"/>
          </w:tcPr>
          <w:p w14:paraId="7F5A16D0" w14:textId="1A49A166" w:rsidR="00DB5E8B" w:rsidRPr="00DD47DF" w:rsidRDefault="00DB5E8B" w:rsidP="008A674D">
            <w:pPr>
              <w:pStyle w:val="Tabulka"/>
              <w:rPr>
                <w:rFonts w:cs="Calibri"/>
              </w:rPr>
            </w:pPr>
            <w:r w:rsidRPr="00DD47DF">
              <w:rPr>
                <w:rFonts w:cs="Calibri"/>
              </w:rPr>
              <w:t xml:space="preserve">3.2 – </w:t>
            </w:r>
            <w:r w:rsidR="009E5C82">
              <w:rPr>
                <w:rFonts w:cs="Calibri"/>
              </w:rPr>
              <w:t>Zvýšení energetické účinnosti a využívání energie z obnovitelných zdrojů v podnikatelském sektoru</w:t>
            </w:r>
          </w:p>
        </w:tc>
        <w:tc>
          <w:tcPr>
            <w:tcW w:w="1882" w:type="dxa"/>
            <w:vAlign w:val="center"/>
          </w:tcPr>
          <w:p w14:paraId="3E2A335B" w14:textId="77777777" w:rsidR="00DB5E8B" w:rsidRPr="00DD47DF" w:rsidRDefault="008E48D1" w:rsidP="00BA1E1C">
            <w:pPr>
              <w:pStyle w:val="Tabulka"/>
              <w:rPr>
                <w:rFonts w:cs="Calibri"/>
              </w:rPr>
            </w:pPr>
            <w:r w:rsidRPr="00DD47DF">
              <w:rPr>
                <w:rFonts w:cs="Calibri"/>
              </w:rPr>
              <w:t>Čistá konečná spotřeba energie</w:t>
            </w:r>
            <w:r w:rsidR="00710CBB" w:rsidRPr="00DD47DF">
              <w:rPr>
                <w:rFonts w:cs="Calibri"/>
              </w:rPr>
              <w:t xml:space="preserve"> v průmyslu</w:t>
            </w:r>
          </w:p>
          <w:p w14:paraId="74010565" w14:textId="77777777" w:rsidR="00710CBB" w:rsidRPr="00DD47DF" w:rsidRDefault="00710CBB" w:rsidP="00BA1E1C">
            <w:pPr>
              <w:pStyle w:val="Tabulka"/>
              <w:rPr>
                <w:rFonts w:cs="Calibri"/>
              </w:rPr>
            </w:pPr>
            <w:r w:rsidRPr="00DD47DF">
              <w:rPr>
                <w:rFonts w:cs="Calibri"/>
              </w:rPr>
              <w:t>Čistá konečná spotřeba energie ve službách</w:t>
            </w:r>
          </w:p>
        </w:tc>
      </w:tr>
      <w:tr w:rsidR="00DB5E8B" w:rsidRPr="00DD47DF" w14:paraId="299F08E4" w14:textId="77777777">
        <w:trPr>
          <w:jc w:val="center"/>
        </w:trPr>
        <w:tc>
          <w:tcPr>
            <w:tcW w:w="1900" w:type="dxa"/>
            <w:vMerge/>
            <w:shd w:val="clear" w:color="auto" w:fill="DBE5F1"/>
            <w:vAlign w:val="center"/>
          </w:tcPr>
          <w:p w14:paraId="2E9BB06D" w14:textId="77777777" w:rsidR="00DB5E8B" w:rsidRPr="00DD47DF" w:rsidRDefault="00DB5E8B" w:rsidP="000E0E9B">
            <w:pPr>
              <w:pStyle w:val="Tabulka"/>
              <w:rPr>
                <w:rFonts w:cs="Calibri"/>
              </w:rPr>
            </w:pPr>
          </w:p>
        </w:tc>
        <w:tc>
          <w:tcPr>
            <w:tcW w:w="709" w:type="dxa"/>
            <w:vAlign w:val="center"/>
          </w:tcPr>
          <w:p w14:paraId="25CC02E4"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1E97AEA3" w14:textId="3B401FAD" w:rsidR="00DB5E8B" w:rsidRPr="00DD47DF" w:rsidRDefault="00374BD9" w:rsidP="00D40246">
            <w:pPr>
              <w:pStyle w:val="Tabulka"/>
              <w:rPr>
                <w:rFonts w:cs="Calibri"/>
              </w:rPr>
            </w:pPr>
            <w:r w:rsidRPr="00374BD9">
              <w:rPr>
                <w:rFonts w:cs="Calibri"/>
              </w:rPr>
              <w:t>6 195 139</w:t>
            </w:r>
          </w:p>
        </w:tc>
        <w:tc>
          <w:tcPr>
            <w:tcW w:w="1330" w:type="dxa"/>
            <w:vAlign w:val="center"/>
          </w:tcPr>
          <w:p w14:paraId="3C135378" w14:textId="03D7E775" w:rsidR="00DB5E8B" w:rsidRPr="00DD47DF" w:rsidRDefault="00374BD9" w:rsidP="00E0634C">
            <w:pPr>
              <w:pStyle w:val="Tabulka"/>
              <w:rPr>
                <w:rFonts w:cs="Calibri"/>
              </w:rPr>
            </w:pPr>
            <w:r w:rsidRPr="00374BD9">
              <w:rPr>
                <w:rFonts w:cs="Calibri"/>
              </w:rPr>
              <w:t>0,</w:t>
            </w:r>
            <w:r w:rsidR="00E0634C" w:rsidRPr="00374BD9">
              <w:rPr>
                <w:rFonts w:cs="Calibri"/>
              </w:rPr>
              <w:t>1</w:t>
            </w:r>
            <w:r w:rsidR="00E0634C">
              <w:rPr>
                <w:rFonts w:cs="Calibri"/>
              </w:rPr>
              <w:t>6</w:t>
            </w:r>
            <w:r w:rsidR="00BB4A21" w:rsidRPr="00BB4A21">
              <w:rPr>
                <w:rFonts w:cs="Calibri"/>
              </w:rPr>
              <w:t>%</w:t>
            </w:r>
          </w:p>
        </w:tc>
        <w:tc>
          <w:tcPr>
            <w:tcW w:w="1619" w:type="dxa"/>
            <w:vMerge/>
            <w:vAlign w:val="center"/>
          </w:tcPr>
          <w:p w14:paraId="4C75FB88" w14:textId="77777777" w:rsidR="00DB5E8B" w:rsidRPr="00DD47DF" w:rsidRDefault="00DB5E8B" w:rsidP="00D40246">
            <w:pPr>
              <w:pStyle w:val="Tabulka"/>
              <w:rPr>
                <w:rFonts w:cs="Calibri"/>
              </w:rPr>
            </w:pPr>
          </w:p>
        </w:tc>
        <w:tc>
          <w:tcPr>
            <w:tcW w:w="3119" w:type="dxa"/>
            <w:shd w:val="clear" w:color="auto" w:fill="auto"/>
            <w:vAlign w:val="center"/>
          </w:tcPr>
          <w:p w14:paraId="653F818C" w14:textId="77777777" w:rsidR="00DB5E8B" w:rsidRPr="00DD47DF" w:rsidRDefault="00B54D2B" w:rsidP="00BE6D25">
            <w:pPr>
              <w:pStyle w:val="Tabulka"/>
              <w:widowControl w:val="0"/>
              <w:rPr>
                <w:rFonts w:cs="Calibri"/>
              </w:rPr>
            </w:pPr>
            <w:r w:rsidRPr="00DD47DF">
              <w:rPr>
                <w:rFonts w:cs="Calibri"/>
              </w:rPr>
              <w:t xml:space="preserve">4 d) </w:t>
            </w:r>
            <w:r w:rsidR="00DB5E8B" w:rsidRPr="00DD47DF">
              <w:rPr>
                <w:rFonts w:cs="Calibri"/>
              </w:rPr>
              <w:t>Rozvoj a zavádění inteligentních distribučních soustav, jež fungují na hladině nízkého a středního napětí</w:t>
            </w:r>
          </w:p>
        </w:tc>
        <w:tc>
          <w:tcPr>
            <w:tcW w:w="2254" w:type="dxa"/>
            <w:shd w:val="clear" w:color="auto" w:fill="auto"/>
            <w:vAlign w:val="center"/>
          </w:tcPr>
          <w:p w14:paraId="5059BC56" w14:textId="77777777" w:rsidR="00DB5E8B" w:rsidRPr="00DD47DF" w:rsidRDefault="00DB5E8B" w:rsidP="000E0E9B">
            <w:pPr>
              <w:pStyle w:val="Tabulka"/>
              <w:rPr>
                <w:rFonts w:cs="Calibri"/>
              </w:rPr>
            </w:pPr>
            <w:r w:rsidRPr="00DD47DF">
              <w:rPr>
                <w:rFonts w:cs="Calibri"/>
              </w:rPr>
              <w:t xml:space="preserve">3.3 - </w:t>
            </w:r>
            <w:r w:rsidR="00E314F2" w:rsidRPr="00DD47DF">
              <w:rPr>
                <w:rFonts w:cs="Calibri"/>
              </w:rPr>
              <w:t>Zvýšit aplikaci prvků inteligentních sítí v distribučních soustavách</w:t>
            </w:r>
          </w:p>
        </w:tc>
        <w:tc>
          <w:tcPr>
            <w:tcW w:w="1882" w:type="dxa"/>
            <w:vAlign w:val="center"/>
          </w:tcPr>
          <w:p w14:paraId="1D9B1F56" w14:textId="77777777" w:rsidR="005E0458" w:rsidRPr="00DD47DF" w:rsidRDefault="005E0458" w:rsidP="00BA1E1C">
            <w:pPr>
              <w:pStyle w:val="Tabulka"/>
              <w:rPr>
                <w:rFonts w:cs="Calibri"/>
                <w:szCs w:val="20"/>
              </w:rPr>
            </w:pPr>
            <w:r w:rsidRPr="00DD47DF">
              <w:rPr>
                <w:rFonts w:cs="Calibri"/>
                <w:szCs w:val="20"/>
              </w:rPr>
              <w:t>SAIFI</w:t>
            </w:r>
          </w:p>
          <w:p w14:paraId="630DF5E4" w14:textId="77777777" w:rsidR="00DB5E8B" w:rsidRPr="00DD47DF" w:rsidRDefault="008F1E9F" w:rsidP="00BA1E1C">
            <w:pPr>
              <w:pStyle w:val="Tabulka"/>
              <w:rPr>
                <w:rFonts w:cs="Calibri"/>
              </w:rPr>
            </w:pPr>
            <w:r w:rsidRPr="00DD47DF">
              <w:rPr>
                <w:rFonts w:cs="Calibri"/>
                <w:szCs w:val="20"/>
              </w:rPr>
              <w:t>SAIDI</w:t>
            </w:r>
          </w:p>
        </w:tc>
      </w:tr>
      <w:tr w:rsidR="00DB5E8B" w:rsidRPr="00DD47DF" w14:paraId="76883FE5" w14:textId="77777777">
        <w:trPr>
          <w:jc w:val="center"/>
        </w:trPr>
        <w:tc>
          <w:tcPr>
            <w:tcW w:w="1900" w:type="dxa"/>
            <w:vMerge/>
            <w:shd w:val="clear" w:color="auto" w:fill="DBE5F1"/>
            <w:vAlign w:val="center"/>
          </w:tcPr>
          <w:p w14:paraId="5524DD3B" w14:textId="77777777" w:rsidR="00DB5E8B" w:rsidRPr="00DD47DF" w:rsidRDefault="00DB5E8B" w:rsidP="000E0E9B">
            <w:pPr>
              <w:pStyle w:val="Tabulka"/>
              <w:rPr>
                <w:rFonts w:cs="Calibri"/>
              </w:rPr>
            </w:pPr>
          </w:p>
        </w:tc>
        <w:tc>
          <w:tcPr>
            <w:tcW w:w="709" w:type="dxa"/>
            <w:vAlign w:val="center"/>
          </w:tcPr>
          <w:p w14:paraId="02480870"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207868A9" w14:textId="36D0F721" w:rsidR="00DB5E8B" w:rsidRPr="00DD47DF" w:rsidRDefault="00374BD9" w:rsidP="00D40246">
            <w:pPr>
              <w:pStyle w:val="Tabulka"/>
              <w:rPr>
                <w:rFonts w:cs="Calibri"/>
              </w:rPr>
            </w:pPr>
            <w:r w:rsidRPr="00374BD9">
              <w:rPr>
                <w:rFonts w:cs="Calibri"/>
              </w:rPr>
              <w:t>54 619 745</w:t>
            </w:r>
          </w:p>
        </w:tc>
        <w:tc>
          <w:tcPr>
            <w:tcW w:w="1330" w:type="dxa"/>
            <w:vAlign w:val="center"/>
          </w:tcPr>
          <w:p w14:paraId="4653E92C" w14:textId="0CD72BAB" w:rsidR="00DB5E8B" w:rsidRPr="00DD47DF" w:rsidRDefault="00374BD9" w:rsidP="00E0634C">
            <w:pPr>
              <w:pStyle w:val="Tabulka"/>
              <w:rPr>
                <w:rFonts w:cs="Calibri"/>
              </w:rPr>
            </w:pPr>
            <w:r w:rsidRPr="00374BD9">
              <w:rPr>
                <w:rFonts w:cs="Calibri"/>
              </w:rPr>
              <w:t>1,</w:t>
            </w:r>
            <w:r w:rsidR="00E0634C">
              <w:rPr>
                <w:rFonts w:cs="Calibri"/>
              </w:rPr>
              <w:t>42</w:t>
            </w:r>
            <w:r w:rsidR="00BB4A21" w:rsidRPr="00BB4A21">
              <w:rPr>
                <w:rFonts w:cs="Calibri"/>
              </w:rPr>
              <w:t>%</w:t>
            </w:r>
          </w:p>
        </w:tc>
        <w:tc>
          <w:tcPr>
            <w:tcW w:w="1619" w:type="dxa"/>
            <w:vMerge/>
            <w:vAlign w:val="center"/>
          </w:tcPr>
          <w:p w14:paraId="1C251C4C" w14:textId="77777777" w:rsidR="00DB5E8B" w:rsidRPr="00DD47DF" w:rsidRDefault="00DB5E8B" w:rsidP="00D40246">
            <w:pPr>
              <w:pStyle w:val="Tabulka"/>
              <w:rPr>
                <w:rFonts w:cs="Calibri"/>
              </w:rPr>
            </w:pPr>
          </w:p>
        </w:tc>
        <w:tc>
          <w:tcPr>
            <w:tcW w:w="3119" w:type="dxa"/>
            <w:shd w:val="clear" w:color="auto" w:fill="auto"/>
            <w:vAlign w:val="center"/>
          </w:tcPr>
          <w:p w14:paraId="56BB44E2" w14:textId="77777777" w:rsidR="00DB5E8B" w:rsidRPr="00DD47DF" w:rsidRDefault="00B54D2B" w:rsidP="00BE6D25">
            <w:pPr>
              <w:pStyle w:val="Tabulka"/>
              <w:widowControl w:val="0"/>
              <w:rPr>
                <w:rFonts w:cs="Calibri"/>
              </w:rPr>
            </w:pPr>
            <w:r w:rsidRPr="00DD47DF">
              <w:rPr>
                <w:rFonts w:cs="Calibri"/>
              </w:rPr>
              <w:t xml:space="preserve">4 f) </w:t>
            </w:r>
            <w:r w:rsidR="002641C7" w:rsidRPr="00DD47DF">
              <w:rPr>
                <w:rFonts w:cs="Calibri"/>
              </w:rPr>
              <w:t>Podpora výzkumu a inovací a zavádění nízkouhlíkových technologií</w:t>
            </w:r>
          </w:p>
        </w:tc>
        <w:tc>
          <w:tcPr>
            <w:tcW w:w="2254" w:type="dxa"/>
            <w:shd w:val="clear" w:color="auto" w:fill="auto"/>
            <w:vAlign w:val="center"/>
          </w:tcPr>
          <w:p w14:paraId="694E718F" w14:textId="77777777" w:rsidR="00DB5E8B" w:rsidRPr="00DD47DF" w:rsidRDefault="00DB5E8B" w:rsidP="00771951">
            <w:pPr>
              <w:pStyle w:val="Tabulka"/>
              <w:rPr>
                <w:rFonts w:cs="Calibri"/>
              </w:rPr>
            </w:pPr>
            <w:r w:rsidRPr="00DD47DF">
              <w:rPr>
                <w:rFonts w:cs="Calibri"/>
              </w:rPr>
              <w:t>3.4 -</w:t>
            </w:r>
            <w:r w:rsidR="00BA4E72" w:rsidRPr="00DD47DF">
              <w:rPr>
                <w:rFonts w:cs="Calibri"/>
              </w:rPr>
              <w:t xml:space="preserve"> </w:t>
            </w:r>
            <w:r w:rsidR="000D28F9" w:rsidRPr="00DD47DF">
              <w:rPr>
                <w:rFonts w:cs="Calibri"/>
              </w:rPr>
              <w:t>Uplatnit inovativní nízkouhlíkové technologie v oblasti nakládání energií a při využívání druhotných surovin</w:t>
            </w:r>
          </w:p>
        </w:tc>
        <w:tc>
          <w:tcPr>
            <w:tcW w:w="1882" w:type="dxa"/>
            <w:vAlign w:val="center"/>
          </w:tcPr>
          <w:p w14:paraId="01676487" w14:textId="77777777" w:rsidR="00DB5E8B" w:rsidRPr="00DD47DF" w:rsidRDefault="008E48D1" w:rsidP="00BA1E1C">
            <w:pPr>
              <w:pStyle w:val="Tabulka"/>
              <w:rPr>
                <w:rFonts w:cs="Calibri"/>
              </w:rPr>
            </w:pPr>
            <w:r w:rsidRPr="00DD47DF">
              <w:rPr>
                <w:rFonts w:cs="Calibri"/>
              </w:rPr>
              <w:t xml:space="preserve">Aplikované </w:t>
            </w:r>
            <w:r w:rsidR="00942A5B" w:rsidRPr="00DD47DF">
              <w:rPr>
                <w:rFonts w:cs="Calibri"/>
              </w:rPr>
              <w:t xml:space="preserve">inovativní </w:t>
            </w:r>
            <w:r w:rsidRPr="00DD47DF">
              <w:rPr>
                <w:rFonts w:cs="Calibri"/>
              </w:rPr>
              <w:t>nízkouhlíkové technologie</w:t>
            </w:r>
          </w:p>
        </w:tc>
      </w:tr>
      <w:tr w:rsidR="00DB5E8B" w:rsidRPr="00DD47DF" w14:paraId="5E0D860F" w14:textId="77777777">
        <w:trPr>
          <w:jc w:val="center"/>
        </w:trPr>
        <w:tc>
          <w:tcPr>
            <w:tcW w:w="1900" w:type="dxa"/>
            <w:vMerge/>
            <w:shd w:val="clear" w:color="auto" w:fill="DBE5F1"/>
            <w:vAlign w:val="center"/>
          </w:tcPr>
          <w:p w14:paraId="64081E84" w14:textId="77777777" w:rsidR="00DB5E8B" w:rsidRPr="00DD47DF" w:rsidRDefault="00DB5E8B" w:rsidP="000E0E9B">
            <w:pPr>
              <w:pStyle w:val="Tabulka"/>
              <w:rPr>
                <w:rFonts w:cs="Calibri"/>
              </w:rPr>
            </w:pPr>
          </w:p>
        </w:tc>
        <w:tc>
          <w:tcPr>
            <w:tcW w:w="709" w:type="dxa"/>
            <w:vAlign w:val="center"/>
          </w:tcPr>
          <w:p w14:paraId="268789BE"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38BC050E" w14:textId="35B2FBC4" w:rsidR="00DB5E8B" w:rsidRPr="00DD47DF" w:rsidRDefault="00E0634C" w:rsidP="00D40246">
            <w:pPr>
              <w:pStyle w:val="Tabulka"/>
              <w:rPr>
                <w:rFonts w:cs="Calibri"/>
              </w:rPr>
            </w:pPr>
            <w:r w:rsidRPr="00E0634C">
              <w:rPr>
                <w:rFonts w:cs="Calibri"/>
              </w:rPr>
              <w:t>99 823 673</w:t>
            </w:r>
          </w:p>
        </w:tc>
        <w:tc>
          <w:tcPr>
            <w:tcW w:w="1330" w:type="dxa"/>
            <w:vAlign w:val="center"/>
          </w:tcPr>
          <w:p w14:paraId="201ACB6C" w14:textId="2E716D6E" w:rsidR="00DB5E8B" w:rsidRPr="00DD47DF" w:rsidRDefault="00374BD9" w:rsidP="00E0634C">
            <w:pPr>
              <w:pStyle w:val="Tabulka"/>
              <w:rPr>
                <w:rFonts w:cs="Calibri"/>
              </w:rPr>
            </w:pPr>
            <w:r w:rsidRPr="00374BD9">
              <w:rPr>
                <w:rFonts w:cs="Calibri"/>
              </w:rPr>
              <w:t>2,</w:t>
            </w:r>
            <w:r w:rsidR="00E0634C">
              <w:rPr>
                <w:rFonts w:cs="Calibri"/>
              </w:rPr>
              <w:t>59</w:t>
            </w:r>
            <w:r w:rsidR="00BB4A21" w:rsidRPr="00BB4A21">
              <w:rPr>
                <w:rFonts w:cs="Calibri"/>
              </w:rPr>
              <w:t>%</w:t>
            </w:r>
          </w:p>
        </w:tc>
        <w:tc>
          <w:tcPr>
            <w:tcW w:w="1619" w:type="dxa"/>
            <w:vMerge/>
            <w:vAlign w:val="center"/>
          </w:tcPr>
          <w:p w14:paraId="3EFA9FD6" w14:textId="77777777" w:rsidR="00DB5E8B" w:rsidRPr="00DD47DF" w:rsidRDefault="00DB5E8B" w:rsidP="00D40246">
            <w:pPr>
              <w:pStyle w:val="Tabulka"/>
              <w:rPr>
                <w:rFonts w:cs="Calibri"/>
              </w:rPr>
            </w:pPr>
          </w:p>
        </w:tc>
        <w:tc>
          <w:tcPr>
            <w:tcW w:w="3119" w:type="dxa"/>
            <w:shd w:val="clear" w:color="auto" w:fill="auto"/>
            <w:vAlign w:val="center"/>
          </w:tcPr>
          <w:p w14:paraId="2FD2B806" w14:textId="77777777" w:rsidR="00DB5E8B" w:rsidRPr="00DD47DF" w:rsidRDefault="00B54D2B" w:rsidP="00BE6D25">
            <w:pPr>
              <w:pStyle w:val="Tabulka"/>
              <w:widowControl w:val="0"/>
              <w:rPr>
                <w:rFonts w:cs="Calibri"/>
              </w:rPr>
            </w:pPr>
            <w:r w:rsidRPr="00DD47DF">
              <w:rPr>
                <w:rFonts w:cs="Calibri"/>
              </w:rPr>
              <w:t xml:space="preserve">4 g) </w:t>
            </w:r>
            <w:r w:rsidR="00DB5E8B" w:rsidRPr="00DD47DF">
              <w:rPr>
                <w:rFonts w:cs="Calibri"/>
              </w:rPr>
              <w:t>Podpora využívání vysoce účinné kombinované výroby tepla a elektřiny na základě poptávky po užitečném teple</w:t>
            </w:r>
          </w:p>
        </w:tc>
        <w:tc>
          <w:tcPr>
            <w:tcW w:w="2254" w:type="dxa"/>
            <w:shd w:val="clear" w:color="auto" w:fill="auto"/>
            <w:vAlign w:val="center"/>
          </w:tcPr>
          <w:p w14:paraId="41EA8B82" w14:textId="77777777" w:rsidR="00DB5E8B" w:rsidRPr="00DD47DF" w:rsidRDefault="00DB5E8B" w:rsidP="00771951">
            <w:pPr>
              <w:pStyle w:val="Tabulka"/>
              <w:rPr>
                <w:rFonts w:cs="Calibri"/>
              </w:rPr>
            </w:pPr>
            <w:r w:rsidRPr="00DD47DF">
              <w:rPr>
                <w:rFonts w:cs="Calibri"/>
              </w:rPr>
              <w:t xml:space="preserve">3.5 – </w:t>
            </w:r>
            <w:r w:rsidR="00047773" w:rsidRPr="00DD47DF">
              <w:rPr>
                <w:rFonts w:cs="Calibri"/>
              </w:rPr>
              <w:t>Zvýšit účinnost soustav zásobování teplem</w:t>
            </w:r>
          </w:p>
        </w:tc>
        <w:tc>
          <w:tcPr>
            <w:tcW w:w="1882" w:type="dxa"/>
            <w:vAlign w:val="center"/>
          </w:tcPr>
          <w:p w14:paraId="5DF6BF16" w14:textId="1B2000A5" w:rsidR="00DB5E8B" w:rsidRPr="00DD47DF" w:rsidRDefault="001A6CC0" w:rsidP="00BA1E1C">
            <w:pPr>
              <w:pStyle w:val="Tabulka"/>
              <w:rPr>
                <w:rFonts w:cs="Calibri"/>
              </w:rPr>
            </w:pPr>
            <w:r w:rsidRPr="001A6CC0">
              <w:rPr>
                <w:rFonts w:cs="Calibri"/>
              </w:rPr>
              <w:t>Vsázka paliva do tepláren (KVET) a výtopen SZT</w:t>
            </w:r>
          </w:p>
        </w:tc>
      </w:tr>
      <w:tr w:rsidR="00DB5E8B" w:rsidRPr="00DD47DF" w14:paraId="19C7BBE4" w14:textId="77777777">
        <w:trPr>
          <w:jc w:val="center"/>
        </w:trPr>
        <w:tc>
          <w:tcPr>
            <w:tcW w:w="1900" w:type="dxa"/>
            <w:vMerge/>
            <w:shd w:val="clear" w:color="auto" w:fill="DBE5F1"/>
            <w:vAlign w:val="center"/>
          </w:tcPr>
          <w:p w14:paraId="47DCC9D6" w14:textId="77777777" w:rsidR="00DB5E8B" w:rsidRPr="00DD47DF" w:rsidRDefault="00DB5E8B" w:rsidP="000E0E9B">
            <w:pPr>
              <w:pStyle w:val="Tabulka"/>
              <w:rPr>
                <w:rFonts w:cs="Calibri"/>
              </w:rPr>
            </w:pPr>
          </w:p>
        </w:tc>
        <w:tc>
          <w:tcPr>
            <w:tcW w:w="709" w:type="dxa"/>
            <w:vAlign w:val="center"/>
          </w:tcPr>
          <w:p w14:paraId="7C37EF27" w14:textId="77777777" w:rsidR="00DB5E8B" w:rsidRPr="00DD47DF" w:rsidRDefault="00DB5E8B" w:rsidP="00D40246">
            <w:pPr>
              <w:pStyle w:val="Tabulka"/>
              <w:rPr>
                <w:rFonts w:cs="Calibri"/>
              </w:rPr>
            </w:pPr>
            <w:r w:rsidRPr="00DD47DF">
              <w:rPr>
                <w:rFonts w:cs="Calibri"/>
              </w:rPr>
              <w:t>EFRR</w:t>
            </w:r>
          </w:p>
        </w:tc>
        <w:tc>
          <w:tcPr>
            <w:tcW w:w="1445" w:type="dxa"/>
            <w:vAlign w:val="center"/>
          </w:tcPr>
          <w:p w14:paraId="08DEB843" w14:textId="44A18811" w:rsidR="00DB5E8B" w:rsidRPr="00DD47DF" w:rsidRDefault="007B16C7" w:rsidP="00D40246">
            <w:pPr>
              <w:pStyle w:val="Tabulka"/>
              <w:rPr>
                <w:rFonts w:cs="Calibri"/>
              </w:rPr>
            </w:pPr>
            <w:r w:rsidRPr="00700E39">
              <w:rPr>
                <w:rFonts w:cs="Calibri"/>
              </w:rPr>
              <w:t>158 533 699</w:t>
            </w:r>
          </w:p>
        </w:tc>
        <w:tc>
          <w:tcPr>
            <w:tcW w:w="1330" w:type="dxa"/>
            <w:vAlign w:val="center"/>
          </w:tcPr>
          <w:p w14:paraId="634F9703" w14:textId="53E84373" w:rsidR="00DB5E8B" w:rsidRPr="00DD47DF" w:rsidRDefault="00E0634C" w:rsidP="00D71E1E">
            <w:pPr>
              <w:pStyle w:val="Tabulka"/>
              <w:rPr>
                <w:rFonts w:cs="Calibri"/>
              </w:rPr>
            </w:pPr>
            <w:r w:rsidRPr="00E0634C">
              <w:rPr>
                <w:rFonts w:cs="Calibri"/>
              </w:rPr>
              <w:t>4,12</w:t>
            </w:r>
            <w:r w:rsidR="00D71E1E" w:rsidRPr="00DD47DF">
              <w:rPr>
                <w:rFonts w:cs="Calibri"/>
              </w:rPr>
              <w:t xml:space="preserve"> </w:t>
            </w:r>
            <w:r w:rsidR="002E0DC8" w:rsidRPr="00DD47DF">
              <w:rPr>
                <w:rFonts w:cs="Calibri"/>
              </w:rPr>
              <w:t>%</w:t>
            </w:r>
          </w:p>
        </w:tc>
        <w:tc>
          <w:tcPr>
            <w:tcW w:w="1619" w:type="dxa"/>
            <w:vAlign w:val="center"/>
          </w:tcPr>
          <w:p w14:paraId="7F614286" w14:textId="77777777" w:rsidR="00DB5E8B" w:rsidRPr="00DD47DF" w:rsidRDefault="00DB5E8B" w:rsidP="00D40246">
            <w:pPr>
              <w:pStyle w:val="Tabulka"/>
              <w:rPr>
                <w:rFonts w:cs="Calibri"/>
              </w:rPr>
            </w:pPr>
            <w:r w:rsidRPr="00DD47DF">
              <w:rPr>
                <w:rFonts w:cs="Calibri"/>
              </w:rPr>
              <w:t>7</w:t>
            </w:r>
            <w:r w:rsidR="00CC5E04" w:rsidRPr="00DD47DF">
              <w:rPr>
                <w:rFonts w:cs="Calibri"/>
              </w:rPr>
              <w:t>)</w:t>
            </w:r>
            <w:r w:rsidRPr="00DD47DF">
              <w:rPr>
                <w:rFonts w:cs="Calibri"/>
              </w:rPr>
              <w:t xml:space="preserve"> Podpora udržitelné dopravy a odstraňování překážek v klíčových síťových infrastrukturách</w:t>
            </w:r>
          </w:p>
        </w:tc>
        <w:tc>
          <w:tcPr>
            <w:tcW w:w="3119" w:type="dxa"/>
            <w:shd w:val="clear" w:color="auto" w:fill="auto"/>
            <w:vAlign w:val="center"/>
          </w:tcPr>
          <w:p w14:paraId="51421939" w14:textId="77777777" w:rsidR="00DB5E8B" w:rsidRPr="00DD47DF" w:rsidRDefault="00B54D2B" w:rsidP="00BE6D25">
            <w:pPr>
              <w:pStyle w:val="Tabulka"/>
              <w:widowControl w:val="0"/>
              <w:rPr>
                <w:rFonts w:cs="Calibri"/>
              </w:rPr>
            </w:pPr>
            <w:r w:rsidRPr="00DD47DF">
              <w:rPr>
                <w:rFonts w:cs="Calibri"/>
              </w:rPr>
              <w:t xml:space="preserve">7 e) </w:t>
            </w:r>
            <w:r w:rsidR="00DB5E8B" w:rsidRPr="00DD47DF">
              <w:rPr>
                <w:rFonts w:cs="Calibri"/>
              </w:rPr>
              <w:t>Zvyšování energetické účinnosti a zabezpečení dodávek prostřednictvím rozvoje inteligentních systémů pro distribuci, skladování a přenos energie a prostřednictvím integrace distribuované výroby z obnovitelných zdrojů</w:t>
            </w:r>
          </w:p>
        </w:tc>
        <w:tc>
          <w:tcPr>
            <w:tcW w:w="2254" w:type="dxa"/>
            <w:shd w:val="clear" w:color="auto" w:fill="auto"/>
            <w:vAlign w:val="center"/>
          </w:tcPr>
          <w:p w14:paraId="6FCE7400" w14:textId="77777777" w:rsidR="00DB5E8B" w:rsidRPr="00DD47DF" w:rsidRDefault="00DB5E8B" w:rsidP="00771951">
            <w:pPr>
              <w:pStyle w:val="Tabulka"/>
              <w:rPr>
                <w:rFonts w:cs="Calibri"/>
              </w:rPr>
            </w:pPr>
            <w:r w:rsidRPr="00DD47DF">
              <w:rPr>
                <w:rFonts w:cs="Calibri"/>
              </w:rPr>
              <w:t xml:space="preserve">3.6 - </w:t>
            </w:r>
            <w:r w:rsidR="00951C8A" w:rsidRPr="00DD47DF">
              <w:rPr>
                <w:rFonts w:cs="Calibri"/>
              </w:rPr>
              <w:t>Posílit energetickou bezpečnost přenosové soustavy</w:t>
            </w:r>
          </w:p>
        </w:tc>
        <w:tc>
          <w:tcPr>
            <w:tcW w:w="1882" w:type="dxa"/>
            <w:vAlign w:val="center"/>
          </w:tcPr>
          <w:p w14:paraId="5E450B1A" w14:textId="77777777" w:rsidR="00DB5E8B" w:rsidRPr="00DD47DF" w:rsidRDefault="008E48D1" w:rsidP="00BA1E1C">
            <w:pPr>
              <w:pStyle w:val="Tabulka"/>
              <w:rPr>
                <w:rFonts w:cs="Calibri"/>
              </w:rPr>
            </w:pPr>
            <w:r w:rsidRPr="00DD47DF">
              <w:rPr>
                <w:rFonts w:cs="Calibri"/>
              </w:rPr>
              <w:t>Transformační výkon PS/DS</w:t>
            </w:r>
          </w:p>
        </w:tc>
      </w:tr>
      <w:tr w:rsidR="00BE6D25" w:rsidRPr="00DD47DF" w14:paraId="0DA3A784" w14:textId="77777777">
        <w:trPr>
          <w:jc w:val="center"/>
        </w:trPr>
        <w:tc>
          <w:tcPr>
            <w:tcW w:w="1900" w:type="dxa"/>
            <w:vMerge w:val="restart"/>
            <w:shd w:val="clear" w:color="auto" w:fill="DBE5F1"/>
            <w:vAlign w:val="center"/>
          </w:tcPr>
          <w:p w14:paraId="1E7FCC55" w14:textId="77777777" w:rsidR="00BE6D25" w:rsidRPr="00DD47DF" w:rsidRDefault="00BE6D25" w:rsidP="009670FD">
            <w:pPr>
              <w:pStyle w:val="Tabulka"/>
              <w:jc w:val="left"/>
              <w:rPr>
                <w:rFonts w:cs="Calibri"/>
              </w:rPr>
            </w:pPr>
            <w:r w:rsidRPr="00DD47DF">
              <w:rPr>
                <w:rFonts w:cs="Calibri"/>
              </w:rPr>
              <w:t>PO 4: Rozvoj vysokorychlostních přístupových sítí k internetu a informačních a komunikačních technologií</w:t>
            </w:r>
          </w:p>
        </w:tc>
        <w:tc>
          <w:tcPr>
            <w:tcW w:w="709" w:type="dxa"/>
            <w:vAlign w:val="center"/>
          </w:tcPr>
          <w:p w14:paraId="27CE9CB1" w14:textId="77777777" w:rsidR="00BE6D25" w:rsidRPr="00DD47DF" w:rsidRDefault="00BE6D25" w:rsidP="00D40246">
            <w:pPr>
              <w:pStyle w:val="Tabulka"/>
              <w:rPr>
                <w:rFonts w:cs="Calibri"/>
              </w:rPr>
            </w:pPr>
            <w:r w:rsidRPr="00DD47DF">
              <w:rPr>
                <w:rFonts w:cs="Calibri"/>
              </w:rPr>
              <w:t>EFRR</w:t>
            </w:r>
          </w:p>
        </w:tc>
        <w:tc>
          <w:tcPr>
            <w:tcW w:w="1445" w:type="dxa"/>
            <w:vAlign w:val="center"/>
          </w:tcPr>
          <w:p w14:paraId="3C5DF48A" w14:textId="4CBAE1C4" w:rsidR="00BE6D25" w:rsidRPr="00DD47DF" w:rsidRDefault="003944CB" w:rsidP="00D40246">
            <w:pPr>
              <w:pStyle w:val="Tabulka"/>
              <w:rPr>
                <w:rFonts w:cs="Calibri"/>
              </w:rPr>
            </w:pPr>
            <w:r w:rsidRPr="00C6729D">
              <w:rPr>
                <w:rFonts w:cs="Calibri"/>
              </w:rPr>
              <w:t>136 681 427</w:t>
            </w:r>
          </w:p>
        </w:tc>
        <w:tc>
          <w:tcPr>
            <w:tcW w:w="1330" w:type="dxa"/>
            <w:vAlign w:val="center"/>
          </w:tcPr>
          <w:p w14:paraId="7B7B1B7C" w14:textId="38740999" w:rsidR="00BE6D25" w:rsidRPr="00DD47DF" w:rsidRDefault="003944CB" w:rsidP="008E5470">
            <w:pPr>
              <w:pStyle w:val="Tabulka"/>
              <w:rPr>
                <w:rFonts w:cs="Calibri"/>
              </w:rPr>
            </w:pPr>
            <w:r>
              <w:rPr>
                <w:rFonts w:cs="Calibri"/>
              </w:rPr>
              <w:t>3,55</w:t>
            </w:r>
            <w:r w:rsidR="00BB4A21" w:rsidRPr="00BB4A21">
              <w:rPr>
                <w:rFonts w:cs="Calibri"/>
              </w:rPr>
              <w:t>%</w:t>
            </w:r>
          </w:p>
        </w:tc>
        <w:tc>
          <w:tcPr>
            <w:tcW w:w="1619" w:type="dxa"/>
            <w:vMerge w:val="restart"/>
            <w:vAlign w:val="center"/>
          </w:tcPr>
          <w:p w14:paraId="3CDA5D95" w14:textId="77777777" w:rsidR="00BE6D25" w:rsidRPr="00DD47DF" w:rsidRDefault="00BE6D25" w:rsidP="00D40246">
            <w:pPr>
              <w:pStyle w:val="Tabulka"/>
              <w:rPr>
                <w:rFonts w:cs="Calibri"/>
              </w:rPr>
            </w:pPr>
            <w:r w:rsidRPr="00DD47DF">
              <w:rPr>
                <w:rFonts w:cs="Calibri"/>
              </w:rPr>
              <w:t>2</w:t>
            </w:r>
            <w:r w:rsidR="00CC5E04" w:rsidRPr="00DD47DF">
              <w:rPr>
                <w:rFonts w:cs="Calibri"/>
              </w:rPr>
              <w:t>)</w:t>
            </w:r>
            <w:r w:rsidRPr="00DD47DF">
              <w:rPr>
                <w:rFonts w:cs="Calibri"/>
              </w:rPr>
              <w:t xml:space="preserve"> </w:t>
            </w:r>
            <w:r w:rsidR="001B1FD9" w:rsidRPr="00DD47DF">
              <w:rPr>
                <w:rFonts w:cs="Calibri"/>
              </w:rPr>
              <w:t>Zlepšení přístupu, využití a kvality informačních a komunikačních technologií</w:t>
            </w:r>
          </w:p>
        </w:tc>
        <w:tc>
          <w:tcPr>
            <w:tcW w:w="3119" w:type="dxa"/>
            <w:shd w:val="clear" w:color="auto" w:fill="auto"/>
            <w:vAlign w:val="center"/>
          </w:tcPr>
          <w:p w14:paraId="2044E895" w14:textId="77777777" w:rsidR="00BE6D25" w:rsidRPr="00DD47DF" w:rsidRDefault="00B54D2B" w:rsidP="00BE6D25">
            <w:pPr>
              <w:pStyle w:val="Tabulka"/>
              <w:widowControl w:val="0"/>
              <w:rPr>
                <w:rFonts w:cs="Calibri"/>
              </w:rPr>
            </w:pPr>
            <w:r w:rsidRPr="00DD47DF">
              <w:rPr>
                <w:rFonts w:cs="Calibri"/>
              </w:rPr>
              <w:t xml:space="preserve">2 a) </w:t>
            </w:r>
            <w:r w:rsidR="00BE6D25" w:rsidRPr="00DD47DF">
              <w:rPr>
                <w:rFonts w:cs="Calibri"/>
              </w:rPr>
              <w:t>Rozšiřování širokopásmového připojení a zavádění vysokorychlostních sítí a podpora zavádění vznikajících technologií a sítí pro digitální hospodářství</w:t>
            </w:r>
          </w:p>
        </w:tc>
        <w:tc>
          <w:tcPr>
            <w:tcW w:w="2254" w:type="dxa"/>
            <w:shd w:val="clear" w:color="auto" w:fill="auto"/>
            <w:vAlign w:val="center"/>
          </w:tcPr>
          <w:p w14:paraId="0E9B7299" w14:textId="77777777" w:rsidR="00BE6D25" w:rsidRPr="00DD47DF" w:rsidRDefault="00BE6D25" w:rsidP="000E0E9B">
            <w:pPr>
              <w:pStyle w:val="Tabulka"/>
              <w:rPr>
                <w:rFonts w:cs="Calibri"/>
              </w:rPr>
            </w:pPr>
            <w:r w:rsidRPr="00DD47DF">
              <w:rPr>
                <w:rFonts w:cs="Calibri"/>
              </w:rPr>
              <w:t>4.1 - Zvětšit pokrytí vysokorychlostním přístupem k internetu</w:t>
            </w:r>
          </w:p>
        </w:tc>
        <w:tc>
          <w:tcPr>
            <w:tcW w:w="1882" w:type="dxa"/>
            <w:vAlign w:val="center"/>
          </w:tcPr>
          <w:p w14:paraId="7C882295" w14:textId="77777777" w:rsidR="00BE6D25" w:rsidRPr="00DD47DF" w:rsidRDefault="006C33E6" w:rsidP="00BA1E1C">
            <w:pPr>
              <w:pStyle w:val="Tabulka"/>
              <w:rPr>
                <w:rFonts w:cs="Calibri"/>
              </w:rPr>
            </w:pPr>
            <w:r w:rsidRPr="002921B0">
              <w:rPr>
                <w:rFonts w:cs="Calibri"/>
              </w:rPr>
              <w:t>Míra pokrytí sítí nové generace (NGA)</w:t>
            </w:r>
          </w:p>
        </w:tc>
      </w:tr>
      <w:tr w:rsidR="00BE6D25" w:rsidRPr="00DD47DF" w14:paraId="71D23CEA" w14:textId="77777777">
        <w:trPr>
          <w:jc w:val="center"/>
        </w:trPr>
        <w:tc>
          <w:tcPr>
            <w:tcW w:w="1900" w:type="dxa"/>
            <w:vMerge/>
            <w:shd w:val="clear" w:color="auto" w:fill="DBE5F1"/>
            <w:vAlign w:val="center"/>
          </w:tcPr>
          <w:p w14:paraId="5A5E3051" w14:textId="77777777" w:rsidR="00BE6D25" w:rsidRPr="00DD47DF" w:rsidRDefault="00BE6D25" w:rsidP="000E0E9B">
            <w:pPr>
              <w:pStyle w:val="Tabulka"/>
              <w:rPr>
                <w:rFonts w:cs="Calibri"/>
              </w:rPr>
            </w:pPr>
          </w:p>
        </w:tc>
        <w:tc>
          <w:tcPr>
            <w:tcW w:w="709" w:type="dxa"/>
            <w:vAlign w:val="center"/>
          </w:tcPr>
          <w:p w14:paraId="6A708A8F" w14:textId="77777777" w:rsidR="00BD619A" w:rsidRPr="00DD47DF" w:rsidRDefault="00BE6D25" w:rsidP="00BD619A">
            <w:pPr>
              <w:pStyle w:val="Tabulka"/>
              <w:rPr>
                <w:rFonts w:cs="Calibri"/>
              </w:rPr>
            </w:pPr>
            <w:r w:rsidRPr="00DD47DF">
              <w:rPr>
                <w:rFonts w:cs="Calibri"/>
              </w:rPr>
              <w:t>EFRR</w:t>
            </w:r>
          </w:p>
        </w:tc>
        <w:tc>
          <w:tcPr>
            <w:tcW w:w="1445" w:type="dxa"/>
            <w:vAlign w:val="center"/>
          </w:tcPr>
          <w:p w14:paraId="7A8088CE" w14:textId="38751353" w:rsidR="00BE6D25" w:rsidRPr="00DD47DF" w:rsidRDefault="00E0634C" w:rsidP="00D40246">
            <w:pPr>
              <w:pStyle w:val="Tabulka"/>
              <w:rPr>
                <w:rFonts w:cs="Calibri"/>
              </w:rPr>
            </w:pPr>
            <w:r w:rsidRPr="00E0634C">
              <w:rPr>
                <w:rFonts w:cs="Calibri"/>
              </w:rPr>
              <w:t>166 738 225</w:t>
            </w:r>
          </w:p>
        </w:tc>
        <w:tc>
          <w:tcPr>
            <w:tcW w:w="1330" w:type="dxa"/>
            <w:vAlign w:val="center"/>
          </w:tcPr>
          <w:p w14:paraId="300D4684" w14:textId="25B8001A" w:rsidR="00BE6D25" w:rsidRPr="00DD47DF" w:rsidRDefault="00374BD9" w:rsidP="00E0634C">
            <w:pPr>
              <w:pStyle w:val="Tabulka"/>
              <w:rPr>
                <w:rFonts w:cs="Calibri"/>
              </w:rPr>
            </w:pPr>
            <w:r w:rsidRPr="00374BD9">
              <w:rPr>
                <w:rFonts w:cs="Calibri"/>
              </w:rPr>
              <w:t>4,</w:t>
            </w:r>
            <w:r w:rsidR="00E0634C">
              <w:rPr>
                <w:rFonts w:cs="Calibri"/>
              </w:rPr>
              <w:t>33</w:t>
            </w:r>
            <w:r w:rsidR="00E0634C" w:rsidRPr="00DD47DF">
              <w:rPr>
                <w:rFonts w:cs="Calibri"/>
              </w:rPr>
              <w:t xml:space="preserve"> </w:t>
            </w:r>
            <w:r w:rsidR="00A74A51" w:rsidRPr="00DD47DF">
              <w:rPr>
                <w:rFonts w:cs="Calibri"/>
              </w:rPr>
              <w:t>%</w:t>
            </w:r>
          </w:p>
        </w:tc>
        <w:tc>
          <w:tcPr>
            <w:tcW w:w="1619" w:type="dxa"/>
            <w:vMerge/>
            <w:vAlign w:val="center"/>
          </w:tcPr>
          <w:p w14:paraId="0856FD37" w14:textId="77777777" w:rsidR="00BE6D25" w:rsidRPr="00DD47DF" w:rsidRDefault="00BE6D25" w:rsidP="00D40246">
            <w:pPr>
              <w:pStyle w:val="Tabulka"/>
              <w:rPr>
                <w:rFonts w:cs="Calibri"/>
              </w:rPr>
            </w:pPr>
          </w:p>
        </w:tc>
        <w:tc>
          <w:tcPr>
            <w:tcW w:w="3119" w:type="dxa"/>
            <w:shd w:val="clear" w:color="auto" w:fill="auto"/>
            <w:vAlign w:val="center"/>
          </w:tcPr>
          <w:p w14:paraId="0C3CD07F" w14:textId="77777777" w:rsidR="00BE6D25" w:rsidRPr="00DD47DF" w:rsidRDefault="00B54D2B" w:rsidP="00BE6D25">
            <w:pPr>
              <w:pStyle w:val="Tabulka"/>
              <w:widowControl w:val="0"/>
              <w:rPr>
                <w:rFonts w:cs="Calibri"/>
              </w:rPr>
            </w:pPr>
            <w:r w:rsidRPr="00DD47DF">
              <w:rPr>
                <w:rFonts w:cs="Calibri"/>
              </w:rPr>
              <w:t xml:space="preserve">2 b) </w:t>
            </w:r>
            <w:r w:rsidR="007A45F6" w:rsidRPr="00DD47DF">
              <w:rPr>
                <w:rFonts w:cs="Calibri"/>
              </w:rPr>
              <w:t>Vyvíjení produktů a služeb v oblasti IKT, elektronický obchod a zvyšování poptávky po IKT</w:t>
            </w:r>
          </w:p>
        </w:tc>
        <w:tc>
          <w:tcPr>
            <w:tcW w:w="2254" w:type="dxa"/>
            <w:shd w:val="clear" w:color="auto" w:fill="auto"/>
            <w:vAlign w:val="center"/>
          </w:tcPr>
          <w:p w14:paraId="14173D61" w14:textId="77777777" w:rsidR="00BE6D25" w:rsidRPr="00DD47DF" w:rsidRDefault="00BE6D25" w:rsidP="002F63A9">
            <w:pPr>
              <w:pStyle w:val="Tabulka"/>
              <w:rPr>
                <w:rFonts w:cs="Calibri"/>
              </w:rPr>
            </w:pPr>
            <w:r w:rsidRPr="00DD47DF">
              <w:rPr>
                <w:rFonts w:cs="Calibri"/>
              </w:rPr>
              <w:t xml:space="preserve">4.2 – </w:t>
            </w:r>
            <w:r w:rsidR="006E55DA" w:rsidRPr="00DD47DF">
              <w:rPr>
                <w:rFonts w:cs="Calibri"/>
              </w:rPr>
              <w:t xml:space="preserve">Zvýšit </w:t>
            </w:r>
            <w:r w:rsidR="002F63A9" w:rsidRPr="00DD47DF">
              <w:rPr>
                <w:rFonts w:cs="Calibri"/>
              </w:rPr>
              <w:t>využití potenciálu ICT sektoru pro konkurenceschopnost ekonomiky</w:t>
            </w:r>
          </w:p>
        </w:tc>
        <w:tc>
          <w:tcPr>
            <w:tcW w:w="1882" w:type="dxa"/>
            <w:vAlign w:val="center"/>
          </w:tcPr>
          <w:p w14:paraId="5A9A7047" w14:textId="77777777" w:rsidR="005E0458" w:rsidRPr="00DD47DF" w:rsidRDefault="008E48D1" w:rsidP="00BA1E1C">
            <w:pPr>
              <w:pStyle w:val="Tabulka"/>
              <w:rPr>
                <w:rFonts w:cs="Calibri"/>
              </w:rPr>
            </w:pPr>
            <w:r w:rsidRPr="00DD47DF">
              <w:rPr>
                <w:rFonts w:cs="Calibri"/>
              </w:rPr>
              <w:t>Přidaná hodnota IT služeb jako podíl na HDP</w:t>
            </w:r>
          </w:p>
        </w:tc>
      </w:tr>
      <w:tr w:rsidR="00BD619A" w:rsidRPr="00DD47DF" w14:paraId="67B50061" w14:textId="77777777">
        <w:trPr>
          <w:jc w:val="center"/>
        </w:trPr>
        <w:tc>
          <w:tcPr>
            <w:tcW w:w="1900" w:type="dxa"/>
            <w:vMerge w:val="restart"/>
            <w:shd w:val="clear" w:color="auto" w:fill="DBE5F1"/>
            <w:vAlign w:val="center"/>
          </w:tcPr>
          <w:p w14:paraId="2977D725" w14:textId="77777777" w:rsidR="00BD619A" w:rsidRPr="00DD47DF" w:rsidRDefault="00BD619A" w:rsidP="009670FD">
            <w:pPr>
              <w:pStyle w:val="Tabulka"/>
              <w:jc w:val="left"/>
              <w:rPr>
                <w:rFonts w:cs="Calibri"/>
              </w:rPr>
            </w:pPr>
            <w:r w:rsidRPr="00DD47DF">
              <w:rPr>
                <w:rFonts w:cs="Calibri"/>
              </w:rPr>
              <w:t>P0 5: Technická pomoc</w:t>
            </w:r>
          </w:p>
          <w:p w14:paraId="75855CE9" w14:textId="77777777" w:rsidR="00BD619A" w:rsidRPr="00DD47DF" w:rsidRDefault="00BD619A" w:rsidP="000E0E9B">
            <w:pPr>
              <w:pStyle w:val="Tabulka"/>
              <w:rPr>
                <w:rFonts w:cs="Calibri"/>
              </w:rPr>
            </w:pPr>
          </w:p>
        </w:tc>
        <w:tc>
          <w:tcPr>
            <w:tcW w:w="709" w:type="dxa"/>
            <w:vMerge w:val="restart"/>
            <w:vAlign w:val="center"/>
          </w:tcPr>
          <w:p w14:paraId="184A58DF" w14:textId="77777777" w:rsidR="00BD619A" w:rsidRPr="00DD47DF" w:rsidRDefault="00BD619A" w:rsidP="00D40246">
            <w:pPr>
              <w:pStyle w:val="Tabulka"/>
              <w:rPr>
                <w:rFonts w:cs="Calibri"/>
              </w:rPr>
            </w:pPr>
            <w:r w:rsidRPr="00DD47DF">
              <w:rPr>
                <w:rFonts w:cs="Calibri"/>
              </w:rPr>
              <w:t>EFRR</w:t>
            </w:r>
          </w:p>
        </w:tc>
        <w:tc>
          <w:tcPr>
            <w:tcW w:w="1445" w:type="dxa"/>
            <w:vMerge w:val="restart"/>
            <w:vAlign w:val="center"/>
          </w:tcPr>
          <w:p w14:paraId="77403129" w14:textId="77777777" w:rsidR="00BD619A" w:rsidRPr="00DD47DF" w:rsidRDefault="00537B82" w:rsidP="008E5470">
            <w:pPr>
              <w:pStyle w:val="Tabulka"/>
              <w:rPr>
                <w:rFonts w:cs="Calibri"/>
              </w:rPr>
            </w:pPr>
            <w:r w:rsidRPr="00DD47DF">
              <w:rPr>
                <w:rFonts w:cs="Calibri"/>
              </w:rPr>
              <w:t xml:space="preserve">125 </w:t>
            </w:r>
            <w:r w:rsidR="008E5470" w:rsidRPr="00DD47DF">
              <w:rPr>
                <w:rFonts w:cs="Calibri"/>
              </w:rPr>
              <w:t>600</w:t>
            </w:r>
            <w:r w:rsidRPr="00DD47DF">
              <w:rPr>
                <w:rFonts w:cs="Calibri"/>
              </w:rPr>
              <w:t xml:space="preserve"> 816</w:t>
            </w:r>
          </w:p>
        </w:tc>
        <w:tc>
          <w:tcPr>
            <w:tcW w:w="1330" w:type="dxa"/>
            <w:vMerge w:val="restart"/>
            <w:vAlign w:val="center"/>
          </w:tcPr>
          <w:p w14:paraId="74AADD0A" w14:textId="5D30DC8B" w:rsidR="00BD619A" w:rsidRPr="00DD47DF" w:rsidRDefault="00D71E1E" w:rsidP="00E0634C">
            <w:pPr>
              <w:pStyle w:val="Tabulka"/>
              <w:rPr>
                <w:rFonts w:cs="Calibri"/>
              </w:rPr>
            </w:pPr>
            <w:r>
              <w:rPr>
                <w:rFonts w:cs="Calibri"/>
              </w:rPr>
              <w:t>3,</w:t>
            </w:r>
            <w:r w:rsidR="00E0634C">
              <w:rPr>
                <w:rFonts w:cs="Calibri"/>
              </w:rPr>
              <w:t>26</w:t>
            </w:r>
            <w:r w:rsidR="00E0634C" w:rsidRPr="00DD47DF">
              <w:rPr>
                <w:rFonts w:cs="Calibri"/>
              </w:rPr>
              <w:t xml:space="preserve"> </w:t>
            </w:r>
            <w:r w:rsidR="00A74A51" w:rsidRPr="00DD47DF">
              <w:rPr>
                <w:rFonts w:cs="Calibri"/>
              </w:rPr>
              <w:t>%</w:t>
            </w:r>
          </w:p>
        </w:tc>
        <w:tc>
          <w:tcPr>
            <w:tcW w:w="1619" w:type="dxa"/>
            <w:vMerge w:val="restart"/>
            <w:vAlign w:val="center"/>
          </w:tcPr>
          <w:p w14:paraId="59EEBF3E" w14:textId="77777777" w:rsidR="00BD619A" w:rsidRPr="00DD47DF" w:rsidRDefault="00BD619A" w:rsidP="00D40246">
            <w:pPr>
              <w:pStyle w:val="Tabulka"/>
              <w:rPr>
                <w:rFonts w:cs="Calibri"/>
              </w:rPr>
            </w:pPr>
          </w:p>
        </w:tc>
        <w:tc>
          <w:tcPr>
            <w:tcW w:w="3119" w:type="dxa"/>
            <w:vMerge w:val="restart"/>
            <w:shd w:val="clear" w:color="auto" w:fill="auto"/>
            <w:vAlign w:val="center"/>
          </w:tcPr>
          <w:p w14:paraId="372B9C0B" w14:textId="77777777" w:rsidR="00BD619A" w:rsidRPr="00DD47DF" w:rsidRDefault="00BD619A" w:rsidP="000E0E9B">
            <w:pPr>
              <w:pStyle w:val="Tabulka"/>
              <w:rPr>
                <w:rFonts w:cs="Calibri"/>
              </w:rPr>
            </w:pPr>
          </w:p>
        </w:tc>
        <w:tc>
          <w:tcPr>
            <w:tcW w:w="2254" w:type="dxa"/>
            <w:shd w:val="clear" w:color="auto" w:fill="auto"/>
            <w:vAlign w:val="center"/>
          </w:tcPr>
          <w:p w14:paraId="1F0E28C4" w14:textId="77777777" w:rsidR="00BD619A" w:rsidRPr="00DD47DF" w:rsidRDefault="00BD619A" w:rsidP="00896EDF">
            <w:pPr>
              <w:pStyle w:val="Tabulka"/>
              <w:rPr>
                <w:rFonts w:cs="Calibri"/>
              </w:rPr>
            </w:pPr>
            <w:r w:rsidRPr="00DD47DF">
              <w:rPr>
                <w:rFonts w:cs="Calibri"/>
              </w:rPr>
              <w:t xml:space="preserve">5.1 – </w:t>
            </w:r>
            <w:r w:rsidR="00835A40" w:rsidRPr="00DD47DF">
              <w:rPr>
                <w:rFonts w:cs="Calibri"/>
              </w:rPr>
              <w:t>Zajištění efektivního řízení a administrace operačního programu</w:t>
            </w:r>
          </w:p>
        </w:tc>
        <w:tc>
          <w:tcPr>
            <w:tcW w:w="1882" w:type="dxa"/>
            <w:vAlign w:val="center"/>
          </w:tcPr>
          <w:p w14:paraId="7D3EA7B7" w14:textId="77777777" w:rsidR="00BD619A" w:rsidRPr="00DD47DF" w:rsidRDefault="00835A40" w:rsidP="00BA1E1C">
            <w:pPr>
              <w:pStyle w:val="Tabulka"/>
              <w:rPr>
                <w:rFonts w:cs="Calibri"/>
              </w:rPr>
            </w:pPr>
            <w:r w:rsidRPr="00DD47DF">
              <w:rPr>
                <w:rFonts w:cs="Calibri"/>
              </w:rPr>
              <w:t>Míra stabilizace zaměstnanců implementační struktury</w:t>
            </w:r>
          </w:p>
        </w:tc>
      </w:tr>
      <w:tr w:rsidR="00BD619A" w:rsidRPr="00DD47DF" w14:paraId="62E73934" w14:textId="77777777">
        <w:trPr>
          <w:jc w:val="center"/>
        </w:trPr>
        <w:tc>
          <w:tcPr>
            <w:tcW w:w="1900" w:type="dxa"/>
            <w:vMerge/>
            <w:shd w:val="clear" w:color="auto" w:fill="DBE5F1"/>
            <w:vAlign w:val="center"/>
          </w:tcPr>
          <w:p w14:paraId="25DC6E78" w14:textId="77777777" w:rsidR="00BD619A" w:rsidRPr="00DD47DF" w:rsidRDefault="00BD619A" w:rsidP="000E0E9B">
            <w:pPr>
              <w:pStyle w:val="Tabulka"/>
              <w:rPr>
                <w:rFonts w:cs="Calibri"/>
              </w:rPr>
            </w:pPr>
          </w:p>
        </w:tc>
        <w:tc>
          <w:tcPr>
            <w:tcW w:w="709" w:type="dxa"/>
            <w:vMerge/>
            <w:vAlign w:val="center"/>
          </w:tcPr>
          <w:p w14:paraId="1486B448" w14:textId="77777777" w:rsidR="00BD619A" w:rsidRPr="00DD47DF" w:rsidRDefault="00BD619A" w:rsidP="00D40246">
            <w:pPr>
              <w:pStyle w:val="Tabulka"/>
              <w:rPr>
                <w:rFonts w:cs="Calibri"/>
              </w:rPr>
            </w:pPr>
          </w:p>
        </w:tc>
        <w:tc>
          <w:tcPr>
            <w:tcW w:w="1445" w:type="dxa"/>
            <w:vMerge/>
            <w:vAlign w:val="center"/>
          </w:tcPr>
          <w:p w14:paraId="0EBEFAF6" w14:textId="77777777" w:rsidR="00BD619A" w:rsidRPr="00DD47DF" w:rsidRDefault="00BD619A" w:rsidP="00D40246">
            <w:pPr>
              <w:pStyle w:val="Tabulka"/>
              <w:rPr>
                <w:rFonts w:cs="Calibri"/>
              </w:rPr>
            </w:pPr>
          </w:p>
        </w:tc>
        <w:tc>
          <w:tcPr>
            <w:tcW w:w="1330" w:type="dxa"/>
            <w:vMerge/>
            <w:vAlign w:val="center"/>
          </w:tcPr>
          <w:p w14:paraId="4FAE69D0" w14:textId="77777777" w:rsidR="00BD619A" w:rsidRPr="00DD47DF" w:rsidRDefault="00BD619A" w:rsidP="00D40246">
            <w:pPr>
              <w:pStyle w:val="Tabulka"/>
              <w:rPr>
                <w:rFonts w:cs="Calibri"/>
              </w:rPr>
            </w:pPr>
          </w:p>
        </w:tc>
        <w:tc>
          <w:tcPr>
            <w:tcW w:w="1619" w:type="dxa"/>
            <w:vMerge/>
            <w:vAlign w:val="center"/>
          </w:tcPr>
          <w:p w14:paraId="711E1E1C" w14:textId="77777777" w:rsidR="00BD619A" w:rsidRPr="00DD47DF" w:rsidRDefault="00BD619A" w:rsidP="00D40246">
            <w:pPr>
              <w:pStyle w:val="Tabulka"/>
              <w:rPr>
                <w:rFonts w:cs="Calibri"/>
              </w:rPr>
            </w:pPr>
          </w:p>
        </w:tc>
        <w:tc>
          <w:tcPr>
            <w:tcW w:w="3119" w:type="dxa"/>
            <w:vMerge/>
            <w:shd w:val="clear" w:color="auto" w:fill="auto"/>
            <w:vAlign w:val="center"/>
          </w:tcPr>
          <w:p w14:paraId="2B76184D" w14:textId="77777777" w:rsidR="00BD619A" w:rsidRPr="00DD47DF" w:rsidRDefault="00BD619A" w:rsidP="000E0E9B">
            <w:pPr>
              <w:pStyle w:val="Tabulka"/>
              <w:rPr>
                <w:rFonts w:cs="Calibri"/>
              </w:rPr>
            </w:pPr>
          </w:p>
        </w:tc>
        <w:tc>
          <w:tcPr>
            <w:tcW w:w="2254" w:type="dxa"/>
            <w:shd w:val="clear" w:color="auto" w:fill="auto"/>
            <w:vAlign w:val="center"/>
          </w:tcPr>
          <w:p w14:paraId="6C8F0CD3" w14:textId="77777777" w:rsidR="00BD619A" w:rsidRPr="00DD47DF" w:rsidRDefault="00BD619A" w:rsidP="00771951">
            <w:pPr>
              <w:pStyle w:val="Tabulka"/>
              <w:rPr>
                <w:rFonts w:cs="Calibri"/>
              </w:rPr>
            </w:pPr>
            <w:r w:rsidRPr="00DD47DF">
              <w:rPr>
                <w:rFonts w:cs="Calibri"/>
              </w:rPr>
              <w:t xml:space="preserve">5.2 – </w:t>
            </w:r>
            <w:r w:rsidR="00835A40" w:rsidRPr="00DD47DF">
              <w:rPr>
                <w:rFonts w:cs="Calibri"/>
              </w:rPr>
              <w:t>Zajištění informovanosti, publicity a absorpční kapacity operačního programu</w:t>
            </w:r>
          </w:p>
        </w:tc>
        <w:tc>
          <w:tcPr>
            <w:tcW w:w="1882" w:type="dxa"/>
            <w:vAlign w:val="center"/>
          </w:tcPr>
          <w:p w14:paraId="46EBE619" w14:textId="77777777" w:rsidR="00BD619A" w:rsidRPr="00DD47DF" w:rsidRDefault="00F52A3A" w:rsidP="00BA1E1C">
            <w:pPr>
              <w:pStyle w:val="Tabulka"/>
              <w:rPr>
                <w:rFonts w:cs="Calibri"/>
              </w:rPr>
            </w:pPr>
            <w:r w:rsidRPr="00DD47DF">
              <w:rPr>
                <w:rFonts w:cs="Calibri"/>
              </w:rPr>
              <w:t>Míra úspěšnosti projektových žádostí</w:t>
            </w:r>
          </w:p>
        </w:tc>
      </w:tr>
    </w:tbl>
    <w:p w14:paraId="5B8A5DD9" w14:textId="77777777" w:rsidR="00DD0FDA" w:rsidRPr="00DD47DF" w:rsidRDefault="005357FB" w:rsidP="005357FB">
      <w:pPr>
        <w:pStyle w:val="Standardntext"/>
        <w:spacing w:before="120"/>
      </w:pPr>
      <w:r w:rsidRPr="00DD47DF">
        <w:rPr>
          <w:b/>
        </w:rPr>
        <w:t>Pozn.:</w:t>
      </w:r>
      <w:r w:rsidRPr="00DD47DF">
        <w:t xml:space="preserve"> Znění tematických cílů dle čl. 9 obecného nařízení a investičních priorit dle čl. 5 nařízení </w:t>
      </w:r>
      <w:r w:rsidR="00BF360E" w:rsidRPr="00DD47DF">
        <w:t>o</w:t>
      </w:r>
      <w:r w:rsidR="0017188B" w:rsidRPr="00DD47DF">
        <w:t> </w:t>
      </w:r>
      <w:r w:rsidR="0059287E" w:rsidRPr="00DD47DF">
        <w:t>EFRR</w:t>
      </w:r>
      <w:r w:rsidR="00F15F6F" w:rsidRPr="00DD47DF">
        <w:t>.</w:t>
      </w:r>
    </w:p>
    <w:p w14:paraId="663F457E" w14:textId="77777777" w:rsidR="005357FB" w:rsidRPr="00DD47DF" w:rsidRDefault="005357FB" w:rsidP="00073A01">
      <w:pPr>
        <w:pStyle w:val="Standardntext"/>
        <w:sectPr w:rsidR="005357FB" w:rsidRPr="00DD47DF" w:rsidSect="007B1DAF">
          <w:headerReference w:type="default" r:id="rId27"/>
          <w:footerReference w:type="default" r:id="rId28"/>
          <w:pgSz w:w="16838" w:h="11906" w:orient="landscape" w:code="9"/>
          <w:pgMar w:top="1418" w:right="1418" w:bottom="1276" w:left="1276" w:header="709" w:footer="709" w:gutter="0"/>
          <w:cols w:space="708"/>
          <w:docGrid w:linePitch="272"/>
        </w:sectPr>
      </w:pPr>
    </w:p>
    <w:p w14:paraId="2459CFB0" w14:textId="77777777" w:rsidR="009E6172" w:rsidRPr="00DD47DF" w:rsidRDefault="009B2D15" w:rsidP="00F11C05">
      <w:pPr>
        <w:pStyle w:val="Nadpis1"/>
      </w:pPr>
      <w:bookmarkStart w:id="21" w:name="_Toc129005364"/>
      <w:r w:rsidRPr="00DD47DF">
        <w:lastRenderedPageBreak/>
        <w:t>Prioritní osy</w:t>
      </w:r>
      <w:bookmarkEnd w:id="21"/>
    </w:p>
    <w:p w14:paraId="24814F68" w14:textId="77777777" w:rsidR="00653654" w:rsidRPr="00DD47DF" w:rsidRDefault="009B2D15" w:rsidP="009B2D15">
      <w:pPr>
        <w:pStyle w:val="kapitola2A"/>
      </w:pPr>
      <w:bookmarkStart w:id="22" w:name="_Toc129005365"/>
      <w:r w:rsidRPr="00DD47DF">
        <w:t>Popis prioritních os jiných než technická pomoc</w:t>
      </w:r>
      <w:bookmarkEnd w:id="22"/>
    </w:p>
    <w:p w14:paraId="0FD012AA" w14:textId="77777777" w:rsidR="009B2D15" w:rsidRPr="00DD47DF" w:rsidRDefault="009B2D15" w:rsidP="005F43DF">
      <w:pPr>
        <w:pStyle w:val="kapitola2A0"/>
        <w:numPr>
          <w:ilvl w:val="2"/>
          <w:numId w:val="10"/>
        </w:numPr>
      </w:pPr>
      <w:bookmarkStart w:id="23" w:name="_Toc129005366"/>
      <w:r w:rsidRPr="00DD47DF">
        <w:t>PRIORITNÍ OSA 1: Rozvoj výzkumu a vývoje pro inovace</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0534DA" w:rsidRPr="00DD47DF" w14:paraId="7ED86583" w14:textId="77777777">
        <w:tc>
          <w:tcPr>
            <w:tcW w:w="4736" w:type="pct"/>
            <w:shd w:val="clear" w:color="auto" w:fill="auto"/>
            <w:vAlign w:val="center"/>
          </w:tcPr>
          <w:p w14:paraId="3C68BAFB" w14:textId="77777777" w:rsidR="000534DA" w:rsidRPr="00DD47DF" w:rsidRDefault="000534DA" w:rsidP="000534DA">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18DA0401"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bookmarkStart w:id="24" w:name="Check1"/>
            <w:r w:rsidR="000534DA"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bookmarkEnd w:id="24"/>
          </w:p>
        </w:tc>
      </w:tr>
      <w:tr w:rsidR="000534DA" w:rsidRPr="00DD47DF" w14:paraId="1BA4789E" w14:textId="77777777">
        <w:tc>
          <w:tcPr>
            <w:tcW w:w="4736" w:type="pct"/>
            <w:shd w:val="clear" w:color="auto" w:fill="auto"/>
            <w:vAlign w:val="center"/>
          </w:tcPr>
          <w:p w14:paraId="4EBB59E9" w14:textId="77777777" w:rsidR="000534DA" w:rsidRPr="00DD47DF" w:rsidRDefault="000534DA" w:rsidP="000534DA">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04751B49"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r w:rsidR="000534DA"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r w:rsidR="000534DA" w:rsidRPr="00DD47DF" w14:paraId="0DC331CB" w14:textId="77777777">
        <w:tc>
          <w:tcPr>
            <w:tcW w:w="4736" w:type="pct"/>
            <w:shd w:val="clear" w:color="auto" w:fill="auto"/>
            <w:vAlign w:val="center"/>
          </w:tcPr>
          <w:p w14:paraId="0FB4089D" w14:textId="77777777" w:rsidR="000534DA" w:rsidRPr="00DD47DF" w:rsidRDefault="000534DA" w:rsidP="000534DA">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08BB1FE4" w14:textId="77777777" w:rsidR="000534DA" w:rsidRPr="00DD47DF" w:rsidRDefault="002756E7" w:rsidP="000534DA">
            <w:pPr>
              <w:pStyle w:val="Tabulka"/>
              <w:rPr>
                <w:rFonts w:cs="Calibri"/>
              </w:rPr>
            </w:pPr>
            <w:r w:rsidRPr="00DD47DF">
              <w:rPr>
                <w:rFonts w:cs="Calibri"/>
              </w:rPr>
              <w:fldChar w:fldCharType="begin">
                <w:ffData>
                  <w:name w:val="Check1"/>
                  <w:enabled/>
                  <w:calcOnExit w:val="0"/>
                  <w:checkBox>
                    <w:sizeAuto/>
                    <w:default w:val="0"/>
                  </w:checkBox>
                </w:ffData>
              </w:fldChar>
            </w:r>
            <w:r w:rsidR="000534DA"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bl>
    <w:p w14:paraId="1459E28F" w14:textId="77777777" w:rsidR="00B308E9" w:rsidRPr="00DD47DF" w:rsidRDefault="00B308E9" w:rsidP="00DA3512">
      <w:pPr>
        <w:pStyle w:val="kapitola2A0"/>
        <w:numPr>
          <w:ilvl w:val="2"/>
          <w:numId w:val="62"/>
        </w:numPr>
      </w:pPr>
      <w:bookmarkStart w:id="25" w:name="_Toc129005367"/>
      <w:r w:rsidRPr="00DD47DF">
        <w:t>Odůvodnění pro vytvoření prioritní osy, která zahrnuje více než jednu kategorii regionů nebo více než jeden tematický cíl či fond (použije-li se)</w:t>
      </w:r>
      <w:bookmarkEnd w:id="25"/>
    </w:p>
    <w:p w14:paraId="57554910" w14:textId="77777777" w:rsidR="00B308E9" w:rsidRPr="00DD47DF" w:rsidRDefault="00B308E9" w:rsidP="00B308E9">
      <w:pPr>
        <w:pStyle w:val="Standardntext"/>
      </w:pPr>
      <w:r w:rsidRPr="00DD47DF">
        <w:t>Není relevantní pro OP PIK.</w:t>
      </w:r>
    </w:p>
    <w:p w14:paraId="7DE0BEBB" w14:textId="77777777" w:rsidR="009B2D15" w:rsidRPr="00DD47DF" w:rsidRDefault="009B2D15" w:rsidP="00DA3512">
      <w:pPr>
        <w:pStyle w:val="kapitola2A0"/>
        <w:numPr>
          <w:ilvl w:val="2"/>
          <w:numId w:val="62"/>
        </w:numPr>
      </w:pPr>
      <w:bookmarkStart w:id="26" w:name="_Toc129005368"/>
      <w:r w:rsidRPr="00DD47DF">
        <w:t>Fond, kategorie regionů a základ pro výpočet podpory Unie</w:t>
      </w:r>
      <w:bookmarkEnd w:id="26"/>
    </w:p>
    <w:p w14:paraId="3201F68F" w14:textId="77777777" w:rsidR="009B2D15" w:rsidRPr="00DD47DF" w:rsidRDefault="009B2D15" w:rsidP="009B2D15">
      <w:pPr>
        <w:pStyle w:val="Standardntext"/>
      </w:pPr>
      <w:r w:rsidRPr="00DD47DF">
        <w:t xml:space="preserve">Fond: </w:t>
      </w:r>
      <w:r w:rsidR="00B308E9" w:rsidRPr="00DD47DF">
        <w:t>Evropský fond pro regionální rozvoj</w:t>
      </w:r>
    </w:p>
    <w:p w14:paraId="105C91B6" w14:textId="77777777" w:rsidR="009B2D15" w:rsidRPr="00DD47DF" w:rsidRDefault="009B2D15" w:rsidP="009B2D15">
      <w:pPr>
        <w:pStyle w:val="Standardntext"/>
      </w:pPr>
      <w:r w:rsidRPr="00DD47DF">
        <w:t>Kategori</w:t>
      </w:r>
      <w:r w:rsidR="00B308E9" w:rsidRPr="00DD47DF">
        <w:t>e</w:t>
      </w:r>
      <w:r w:rsidRPr="00DD47DF">
        <w:t xml:space="preserve"> regionů: </w:t>
      </w:r>
      <w:r w:rsidR="00B308E9" w:rsidRPr="00DD47DF">
        <w:t>Méně rozvinuté regiony</w:t>
      </w:r>
    </w:p>
    <w:p w14:paraId="4A4EAAB7" w14:textId="77777777" w:rsidR="009B2D15" w:rsidRPr="00DD47DF" w:rsidRDefault="009B2D15" w:rsidP="009B2D15">
      <w:pPr>
        <w:pStyle w:val="Standardntext"/>
      </w:pPr>
      <w:r w:rsidRPr="00DD47DF">
        <w:t>Základ pro výpočet</w:t>
      </w:r>
      <w:r w:rsidR="008668C8" w:rsidRPr="00DD47DF">
        <w:t xml:space="preserve">: </w:t>
      </w:r>
      <w:r w:rsidR="009B6147" w:rsidRPr="00DD47DF">
        <w:t>celkové způsobilé výdaje</w:t>
      </w:r>
    </w:p>
    <w:p w14:paraId="46F7FFC7" w14:textId="77777777" w:rsidR="009B2D15" w:rsidRPr="00DD47DF" w:rsidRDefault="000534DA" w:rsidP="00DA3512">
      <w:pPr>
        <w:pStyle w:val="kapitola2A0"/>
        <w:numPr>
          <w:ilvl w:val="2"/>
          <w:numId w:val="62"/>
        </w:numPr>
      </w:pPr>
      <w:bookmarkStart w:id="27" w:name="_Toc129005369"/>
      <w:r w:rsidRPr="00DD47DF">
        <w:t>INVESTIČNÍ PRIORITA</w:t>
      </w:r>
      <w:r w:rsidR="00AA66A2" w:rsidRPr="00DD47DF">
        <w:t xml:space="preserve"> 1 prioritní osy 1</w:t>
      </w:r>
      <w:r w:rsidRPr="00DD47DF">
        <w:t xml:space="preserve">: </w:t>
      </w:r>
      <w:r w:rsidR="002641C7" w:rsidRPr="00DD47DF">
        <w:t>Podpora podnikových investic do výzkumu a inovací a vytváření</w:t>
      </w:r>
      <w:r w:rsidR="009B2D15" w:rsidRPr="00DD47DF">
        <w:t xml:space="preserve"> vazeb a součinnosti mezi podniky, středisky výzkumu a vývoje a </w:t>
      </w:r>
      <w:r w:rsidRPr="00DD47DF">
        <w:t>odvětvím vysokoškolského</w:t>
      </w:r>
      <w:r w:rsidR="009B2D15" w:rsidRPr="00DD47DF">
        <w:t xml:space="preserve"> vzdělávání, zejména </w:t>
      </w:r>
      <w:r w:rsidRPr="00DD47DF">
        <w:t>podpora investic v oblasti</w:t>
      </w:r>
      <w:r w:rsidR="009B2D15" w:rsidRPr="00DD47DF">
        <w:t xml:space="preserve"> vývoje produktů a služeb, přenosu technologií, sociálních inovací, ekologických inovací, aplikací veřejných služeb, stimulace poptávky, vytváření sítí, klastrů a otevřených inovací prostřednictvím inteligentní specializace a podpor</w:t>
      </w:r>
      <w:r w:rsidRPr="00DD47DF">
        <w:t>a</w:t>
      </w:r>
      <w:r w:rsidR="009B2D15" w:rsidRPr="00DD47DF">
        <w:t xml:space="preserve"> technického a aplikovaného výzkumu, pilotních linek, opatření k včasnému ověřování produktů, schopností vyspělé výroby a prvovýroby, zejména v oblasti klíčových technologií a šíření technologií pro všeobecné použití</w:t>
      </w:r>
      <w:bookmarkEnd w:id="27"/>
    </w:p>
    <w:p w14:paraId="331C5235" w14:textId="77777777" w:rsidR="00EF5F81" w:rsidRPr="00DD47DF" w:rsidRDefault="00B308E9" w:rsidP="00DA3512">
      <w:pPr>
        <w:pStyle w:val="kapitola2A0"/>
        <w:numPr>
          <w:ilvl w:val="2"/>
          <w:numId w:val="62"/>
        </w:numPr>
      </w:pPr>
      <w:bookmarkStart w:id="28" w:name="_Toc129005370"/>
      <w:r w:rsidRPr="00DD47DF">
        <w:t>Specifické cíle odpovídající investiční prioritě a očekávané výsledky</w:t>
      </w:r>
      <w:bookmarkEnd w:id="28"/>
    </w:p>
    <w:p w14:paraId="608A77B8" w14:textId="77777777" w:rsidR="00E10173" w:rsidRPr="00DD47DF" w:rsidRDefault="00F11C05" w:rsidP="00396141">
      <w:pPr>
        <w:pStyle w:val="Modrnadpis"/>
      </w:pPr>
      <w:bookmarkStart w:id="29" w:name="_Toc351464358"/>
      <w:r w:rsidRPr="00DD47DF">
        <w:t xml:space="preserve">SPECIFICKÝ CÍL </w:t>
      </w:r>
      <w:r w:rsidR="00C71E6F" w:rsidRPr="00DD47DF">
        <w:t>1.</w:t>
      </w:r>
      <w:r w:rsidR="008A50E3" w:rsidRPr="00DD47DF">
        <w:t>1</w:t>
      </w:r>
      <w:r w:rsidRPr="00DD47DF">
        <w:t>:</w:t>
      </w:r>
      <w:r w:rsidR="008A50E3" w:rsidRPr="00DD47DF">
        <w:t xml:space="preserve"> </w:t>
      </w:r>
      <w:bookmarkEnd w:id="29"/>
      <w:r w:rsidR="00247D8E" w:rsidRPr="00DD47DF">
        <w:t>Zvýšit inovační výkonnost podniků</w:t>
      </w:r>
      <w:r w:rsidR="00247D8E" w:rsidRPr="00DD47DF">
        <w:rPr>
          <w:rStyle w:val="Odkaznakoment"/>
          <w:b w:val="0"/>
          <w:sz w:val="24"/>
          <w:szCs w:val="20"/>
        </w:rPr>
        <w:t xml:space="preserve"> </w:t>
      </w:r>
    </w:p>
    <w:p w14:paraId="3B1FBE16" w14:textId="77777777" w:rsidR="00ED2AA8" w:rsidRPr="00DD47DF" w:rsidRDefault="00ED2AA8" w:rsidP="00ED2AA8">
      <w:pPr>
        <w:spacing w:after="120"/>
        <w:jc w:val="both"/>
        <w:rPr>
          <w:rFonts w:cs="Calibri"/>
          <w:sz w:val="24"/>
          <w:szCs w:val="24"/>
        </w:rPr>
      </w:pPr>
      <w:r w:rsidRPr="00DD47DF">
        <w:rPr>
          <w:rFonts w:cs="Calibri"/>
          <w:sz w:val="24"/>
          <w:szCs w:val="24"/>
        </w:rPr>
        <w:t>Hlavním cílem je rozvoj podnikání založeného na intenzivní tvorbě a využívání unikátních znalostí</w:t>
      </w:r>
      <w:r w:rsidR="00B2096C" w:rsidRPr="00DD47DF">
        <w:rPr>
          <w:rFonts w:cs="Calibri"/>
          <w:sz w:val="24"/>
          <w:szCs w:val="24"/>
        </w:rPr>
        <w:t xml:space="preserve"> ve všech oborech</w:t>
      </w:r>
      <w:r w:rsidR="00534AAC" w:rsidRPr="00DD47DF">
        <w:rPr>
          <w:rFonts w:cs="Calibri"/>
          <w:sz w:val="24"/>
          <w:szCs w:val="24"/>
        </w:rPr>
        <w:t xml:space="preserve"> významných z pohledu specializace ČR</w:t>
      </w:r>
      <w:r w:rsidR="00B2096C" w:rsidRPr="00DD47DF">
        <w:rPr>
          <w:rFonts w:cs="Calibri"/>
          <w:sz w:val="24"/>
          <w:szCs w:val="24"/>
        </w:rPr>
        <w:t xml:space="preserve">. </w:t>
      </w:r>
      <w:r w:rsidRPr="00DD47DF">
        <w:rPr>
          <w:rFonts w:cs="Calibri"/>
          <w:sz w:val="24"/>
          <w:szCs w:val="24"/>
        </w:rPr>
        <w:t xml:space="preserve">Rozšíření moderní výrobní a VaV infrastruktury </w:t>
      </w:r>
      <w:r w:rsidR="00301B17" w:rsidRPr="00DD47DF">
        <w:rPr>
          <w:rFonts w:cs="Calibri"/>
          <w:sz w:val="24"/>
          <w:szCs w:val="24"/>
        </w:rPr>
        <w:t>posílí inovační kapacity podniků, umožní</w:t>
      </w:r>
      <w:r w:rsidRPr="00DD47DF">
        <w:rPr>
          <w:rFonts w:cs="Calibri"/>
          <w:sz w:val="24"/>
          <w:szCs w:val="24"/>
        </w:rPr>
        <w:t xml:space="preserve"> realizovat vlastní VaV aktivity a zároveň zvýší poptávku po výsledcích výzkumu realizovaného ve výzkumných organizacích, </w:t>
      </w:r>
      <w:r w:rsidRPr="00DD47DF">
        <w:rPr>
          <w:rFonts w:cs="Calibri"/>
          <w:sz w:val="24"/>
          <w:szCs w:val="24"/>
        </w:rPr>
        <w:lastRenderedPageBreak/>
        <w:t xml:space="preserve">a to i v oblasti technologií s největší růstovou perspektivou. Naplňování </w:t>
      </w:r>
      <w:r w:rsidR="00301B17" w:rsidRPr="00DD47DF">
        <w:rPr>
          <w:rFonts w:cs="Calibri"/>
          <w:sz w:val="24"/>
          <w:szCs w:val="24"/>
        </w:rPr>
        <w:t>SC</w:t>
      </w:r>
      <w:r w:rsidRPr="00DD47DF">
        <w:rPr>
          <w:rFonts w:cs="Calibri"/>
          <w:sz w:val="24"/>
          <w:szCs w:val="24"/>
        </w:rPr>
        <w:t xml:space="preserve"> povede k zavádění inovací vyšších řádů</w:t>
      </w:r>
      <w:r w:rsidR="00965420" w:rsidRPr="00DD47DF">
        <w:rPr>
          <w:rStyle w:val="Znakapoznpodarou"/>
          <w:rFonts w:cs="Calibri"/>
          <w:sz w:val="24"/>
          <w:szCs w:val="24"/>
        </w:rPr>
        <w:footnoteReference w:id="34"/>
      </w:r>
      <w:r w:rsidRPr="00DD47DF">
        <w:rPr>
          <w:rFonts w:cs="Calibri"/>
          <w:sz w:val="24"/>
          <w:szCs w:val="24"/>
        </w:rPr>
        <w:t xml:space="preserve"> na trh a zlepšení technických fází inovačního procesu.</w:t>
      </w:r>
    </w:p>
    <w:p w14:paraId="4BCC2F94" w14:textId="77777777" w:rsidR="007B234F" w:rsidRPr="00DD47DF" w:rsidRDefault="003508A9" w:rsidP="007B234F">
      <w:pPr>
        <w:pStyle w:val="Modrnadpis"/>
      </w:pPr>
      <w:r w:rsidRPr="00DD47DF">
        <w:t>Výsledky, kterých chce ČR dosáhnout s podporou Unie</w:t>
      </w:r>
    </w:p>
    <w:p w14:paraId="734A1595"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 xml:space="preserve">Posílení </w:t>
      </w:r>
      <w:r w:rsidR="004B7DB1" w:rsidRPr="00DD47DF">
        <w:rPr>
          <w:rFonts w:cs="Calibri"/>
          <w:sz w:val="24"/>
          <w:szCs w:val="24"/>
        </w:rPr>
        <w:t xml:space="preserve">inovační výkonnosti </w:t>
      </w:r>
      <w:r w:rsidRPr="00DD47DF">
        <w:rPr>
          <w:rFonts w:cs="Calibri"/>
          <w:sz w:val="24"/>
          <w:szCs w:val="24"/>
        </w:rPr>
        <w:t>domácích firem</w:t>
      </w:r>
      <w:r w:rsidR="004B7DB1" w:rsidRPr="00DD47DF">
        <w:rPr>
          <w:rFonts w:cs="Calibri"/>
          <w:sz w:val="24"/>
          <w:szCs w:val="24"/>
        </w:rPr>
        <w:t xml:space="preserve"> a zvýšení jejich schopnosti</w:t>
      </w:r>
      <w:r w:rsidR="00FE0B02" w:rsidRPr="00DD47DF">
        <w:rPr>
          <w:rFonts w:cs="Calibri"/>
          <w:sz w:val="24"/>
          <w:szCs w:val="24"/>
        </w:rPr>
        <w:t>.</w:t>
      </w:r>
      <w:r w:rsidRPr="00DD47DF">
        <w:rPr>
          <w:rFonts w:cs="Calibri"/>
          <w:sz w:val="24"/>
          <w:szCs w:val="24"/>
        </w:rPr>
        <w:t xml:space="preserve"> S růstem počtu firem místního původu v pozici technologických lídrů a aktivním přístupem k inovacím se tak sníží vysoká závislost hospodářs</w:t>
      </w:r>
      <w:r w:rsidR="004B7DB1" w:rsidRPr="00DD47DF">
        <w:rPr>
          <w:rFonts w:cs="Calibri"/>
          <w:sz w:val="24"/>
          <w:szCs w:val="24"/>
        </w:rPr>
        <w:t xml:space="preserve">tví </w:t>
      </w:r>
      <w:r w:rsidRPr="00DD47DF">
        <w:rPr>
          <w:rFonts w:cs="Calibri"/>
          <w:sz w:val="24"/>
          <w:szCs w:val="24"/>
        </w:rPr>
        <w:t>ČR na aktivitách zahraničních firem.</w:t>
      </w:r>
    </w:p>
    <w:p w14:paraId="7C2AE6A4"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Zvýšení využívání unikátních know-how z větší či menší části vzniklých ve spolupráci s akademickým a výzkumným sektorem, rozšíření know-how firem pro vlastní inovace, zvýšení efektivnosti interních procesů v oblasti řízení inovací a účinnější ochrany duševního vlastnictví, zvláště na zahraničních trzích, což povede k vyšší internacionalizaci firem a možnosti účastí českých firem v evropských programech (např. Horizont 2020).</w:t>
      </w:r>
    </w:p>
    <w:p w14:paraId="14DF28FA"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Tvorba a zavádění nových konkurenceschopných produktů na globální trh, zejména inovacích vyšších řádů, posílení schopnosti firem v oblasti high-tech výroby.</w:t>
      </w:r>
    </w:p>
    <w:p w14:paraId="5033BAFD" w14:textId="77777777" w:rsidR="00B2096C" w:rsidRPr="00DD47DF" w:rsidRDefault="00B2096C" w:rsidP="002908E2">
      <w:pPr>
        <w:numPr>
          <w:ilvl w:val="0"/>
          <w:numId w:val="52"/>
        </w:numPr>
        <w:spacing w:after="120"/>
        <w:jc w:val="both"/>
        <w:rPr>
          <w:rFonts w:cs="Calibri"/>
          <w:sz w:val="24"/>
          <w:szCs w:val="24"/>
        </w:rPr>
      </w:pPr>
      <w:r w:rsidRPr="00DD47DF">
        <w:rPr>
          <w:rFonts w:cs="Calibri"/>
          <w:sz w:val="24"/>
          <w:szCs w:val="24"/>
        </w:rPr>
        <w:t>Posílení výzkumu, vývoje a uvádění ekoinovací na trh přispěje k optimálnímu využití zdrojů a ke snížení dopadů výroby či produktu na životní prostředí.</w:t>
      </w:r>
    </w:p>
    <w:p w14:paraId="6B995047" w14:textId="77777777" w:rsidR="00ED2AA8" w:rsidRPr="00DD47DF" w:rsidRDefault="00ED2AA8" w:rsidP="002908E2">
      <w:pPr>
        <w:numPr>
          <w:ilvl w:val="0"/>
          <w:numId w:val="52"/>
        </w:numPr>
        <w:spacing w:after="120"/>
        <w:jc w:val="both"/>
        <w:rPr>
          <w:rFonts w:cs="Calibri"/>
          <w:sz w:val="24"/>
          <w:szCs w:val="24"/>
        </w:rPr>
      </w:pPr>
      <w:r w:rsidRPr="00DD47DF">
        <w:rPr>
          <w:rFonts w:cs="Calibri"/>
          <w:sz w:val="24"/>
          <w:szCs w:val="24"/>
        </w:rPr>
        <w:t xml:space="preserve">Zvýšení počtu firem disponujících moderní VaV infrastrukturou, jejíž využití povede k dalším investicím soukromých subjektů a realizaci navazujících projektů ve spolupráci s dalšími účastníky inovačního systému. </w:t>
      </w:r>
    </w:p>
    <w:p w14:paraId="73A9A1DC" w14:textId="77777777" w:rsidR="00ED2AA8" w:rsidRPr="00DD47DF" w:rsidRDefault="00ED2AA8" w:rsidP="002908E2">
      <w:pPr>
        <w:numPr>
          <w:ilvl w:val="0"/>
          <w:numId w:val="52"/>
        </w:numPr>
        <w:spacing w:after="120"/>
        <w:jc w:val="both"/>
        <w:rPr>
          <w:rFonts w:cs="Calibri"/>
          <w:sz w:val="24"/>
          <w:szCs w:val="24"/>
        </w:rPr>
      </w:pPr>
      <w:r w:rsidRPr="00DD47DF">
        <w:rPr>
          <w:rFonts w:cs="Calibri"/>
          <w:sz w:val="24"/>
          <w:szCs w:val="24"/>
        </w:rPr>
        <w:t>Realizace projektů průmyslového výzkumu a experimentálního vývoje bude významným impulsem pro zvýšení vlastních podnikových výdajů na výzkum a vývoj, povede k tvorbě nových konkurenceschopných produktů</w:t>
      </w:r>
      <w:r w:rsidR="00C5101E" w:rsidRPr="00DD47DF">
        <w:rPr>
          <w:rFonts w:cs="Calibri"/>
          <w:sz w:val="24"/>
          <w:szCs w:val="24"/>
        </w:rPr>
        <w:t xml:space="preserve"> a služeb</w:t>
      </w:r>
      <w:r w:rsidRPr="00DD47DF">
        <w:rPr>
          <w:rFonts w:cs="Calibri"/>
          <w:sz w:val="24"/>
          <w:szCs w:val="24"/>
        </w:rPr>
        <w:t>, bude stimulovat výzkumné organizace k tvorbě výsledků využitelných v průmyslu a podpoří využívání nově vybudovaných výzkumných infrastruktur ve veřejném sektoru s důrazem na oblast klíčových průřezových technologií (KETs).</w:t>
      </w:r>
      <w:r w:rsidR="00FE0B02" w:rsidRPr="00DD47DF">
        <w:rPr>
          <w:rFonts w:cs="Calibri"/>
          <w:sz w:val="24"/>
          <w:szCs w:val="24"/>
        </w:rPr>
        <w:t xml:space="preserve"> </w:t>
      </w:r>
    </w:p>
    <w:p w14:paraId="4DB36EAE" w14:textId="77777777" w:rsidR="00941F63" w:rsidRPr="00DD47DF" w:rsidRDefault="00941F63" w:rsidP="00650A99">
      <w:pPr>
        <w:pStyle w:val="Titulek"/>
        <w:keepNext/>
        <w:keepLines/>
        <w:rPr>
          <w:rFonts w:cs="Calibri"/>
        </w:rPr>
      </w:pPr>
      <w:r w:rsidRPr="00DD47DF">
        <w:rPr>
          <w:rFonts w:cs="Calibri"/>
        </w:rPr>
        <w:lastRenderedPageBreak/>
        <w:t xml:space="preserve">Tabulka </w:t>
      </w:r>
      <w:r w:rsidR="002756E7" w:rsidRPr="00DD47DF">
        <w:rPr>
          <w:rFonts w:cs="Calibri"/>
        </w:rPr>
        <w:fldChar w:fldCharType="begin"/>
      </w:r>
      <w:r w:rsidR="00174180" w:rsidRPr="00DD47DF">
        <w:rPr>
          <w:rFonts w:cs="Calibri"/>
        </w:rPr>
        <w:instrText xml:space="preserve"> SEQ Tabulka \* ARABIC </w:instrText>
      </w:r>
      <w:r w:rsidR="002756E7" w:rsidRPr="00DD47DF">
        <w:rPr>
          <w:rFonts w:cs="Calibri"/>
        </w:rPr>
        <w:fldChar w:fldCharType="separate"/>
      </w:r>
      <w:r w:rsidR="00117847">
        <w:rPr>
          <w:rFonts w:cs="Calibri"/>
          <w:noProof/>
        </w:rPr>
        <w:t>3</w:t>
      </w:r>
      <w:r w:rsidR="002756E7" w:rsidRPr="00DD47DF">
        <w:rPr>
          <w:rFonts w:cs="Calibri"/>
          <w:noProof/>
        </w:rPr>
        <w:fldChar w:fldCharType="end"/>
      </w:r>
      <w:r w:rsidR="009670FD" w:rsidRPr="00DD47DF">
        <w:rPr>
          <w:rFonts w:cs="Calibri"/>
          <w:noProof/>
        </w:rPr>
        <w:t>a</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710"/>
        <w:gridCol w:w="946"/>
        <w:gridCol w:w="1202"/>
        <w:gridCol w:w="907"/>
        <w:gridCol w:w="882"/>
        <w:gridCol w:w="920"/>
        <w:gridCol w:w="1075"/>
        <w:gridCol w:w="1020"/>
      </w:tblGrid>
      <w:tr w:rsidR="007B391E" w:rsidRPr="00DD47DF" w14:paraId="79CEA8B2" w14:textId="77777777">
        <w:trPr>
          <w:trHeight w:hRule="exact" w:val="129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A9E97E" w14:textId="77777777" w:rsidR="00941F63" w:rsidRPr="00DD47DF" w:rsidRDefault="00941F63" w:rsidP="00650A99">
            <w:pPr>
              <w:pStyle w:val="Tabulka"/>
              <w:keepNext/>
              <w:keepLines/>
              <w:rPr>
                <w:rFonts w:cs="Calibri"/>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C6F7046" w14:textId="77777777" w:rsidR="00941F63" w:rsidRPr="00DD47DF" w:rsidRDefault="00CF739D" w:rsidP="00650A99">
            <w:pPr>
              <w:pStyle w:val="Tabulka"/>
              <w:keepNext/>
              <w:keepLines/>
              <w:rPr>
                <w:rFonts w:cs="Calibri"/>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32FDAD" w14:textId="77777777" w:rsidR="00941F63" w:rsidRPr="00DD47DF" w:rsidRDefault="00941F63" w:rsidP="00650A99">
            <w:pPr>
              <w:pStyle w:val="Tabulka"/>
              <w:keepNext/>
              <w:keepLines/>
              <w:rPr>
                <w:rFonts w:cs="Calibri"/>
              </w:rPr>
            </w:pPr>
            <w:r w:rsidRPr="00DD47DF">
              <w:rPr>
                <w:rFonts w:cs="Calibri"/>
                <w:b/>
                <w:bCs/>
              </w:rPr>
              <w:t>Měrná</w:t>
            </w:r>
          </w:p>
          <w:p w14:paraId="413AC44B" w14:textId="77777777" w:rsidR="00941F63" w:rsidRPr="00DD47DF" w:rsidRDefault="00941F63" w:rsidP="00650A99">
            <w:pPr>
              <w:pStyle w:val="Tabulka"/>
              <w:keepNext/>
              <w:keepLines/>
              <w:rPr>
                <w:rFonts w:cs="Calibri"/>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689410C" w14:textId="77777777" w:rsidR="00941F63" w:rsidRPr="00DD47DF" w:rsidRDefault="00CF739D" w:rsidP="00650A99">
            <w:pPr>
              <w:pStyle w:val="Tabulka"/>
              <w:keepNext/>
              <w:keepLines/>
              <w:rPr>
                <w:rFonts w:cs="Calibri"/>
              </w:rPr>
            </w:pPr>
            <w:r w:rsidRPr="00DD47DF">
              <w:rPr>
                <w:rFonts w:cs="Calibri"/>
                <w:b/>
                <w:bCs/>
              </w:rPr>
              <w:t>Kategorie regionů</w:t>
            </w:r>
            <w:r w:rsidR="00941F63" w:rsidRPr="00DD47DF">
              <w:rPr>
                <w:rFonts w:cs="Calibri"/>
                <w:b/>
                <w:bCs/>
              </w:rPr>
              <w:t xml:space="preserve"> (</w:t>
            </w:r>
            <w:r w:rsidRPr="00DD47DF">
              <w:rPr>
                <w:rFonts w:cs="Calibri"/>
                <w:b/>
                <w:bCs/>
              </w:rPr>
              <w:t>je-li</w:t>
            </w:r>
            <w:r w:rsidR="00941F63" w:rsidRPr="00DD47DF">
              <w:rPr>
                <w:rFonts w:cs="Calibri"/>
                <w:b/>
                <w:bCs/>
              </w:rPr>
              <w:t xml:space="preserve">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A912DFE" w14:textId="77777777" w:rsidR="00941F63" w:rsidRPr="00DD47DF" w:rsidRDefault="004B0854" w:rsidP="00650A99">
            <w:pPr>
              <w:pStyle w:val="Tabulka"/>
              <w:keepNext/>
              <w:keepLines/>
              <w:rPr>
                <w:rFonts w:cs="Calibri"/>
              </w:rPr>
            </w:pPr>
            <w:r w:rsidRPr="00DD47DF">
              <w:rPr>
                <w:rFonts w:cs="Calibri"/>
                <w:b/>
                <w:bCs/>
              </w:rPr>
              <w:t>Výchozí</w:t>
            </w:r>
            <w:r w:rsidR="00941F63" w:rsidRPr="00DD47DF">
              <w:rPr>
                <w:rFonts w:cs="Calibri"/>
                <w:b/>
                <w:bCs/>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E9E51CD" w14:textId="77777777" w:rsidR="00941F63" w:rsidRPr="00DD47DF" w:rsidRDefault="004B0854" w:rsidP="00650A99">
            <w:pPr>
              <w:pStyle w:val="Tabulka"/>
              <w:keepNext/>
              <w:keepLines/>
              <w:rPr>
                <w:rFonts w:cs="Calibri"/>
              </w:rPr>
            </w:pPr>
            <w:r w:rsidRPr="00DD47DF">
              <w:rPr>
                <w:rFonts w:cs="Calibri"/>
                <w:b/>
                <w:bCs/>
              </w:rPr>
              <w:t xml:space="preserve">Výchozí </w:t>
            </w:r>
            <w:r w:rsidR="00941F63"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B4E7DB" w14:textId="77777777" w:rsidR="00941F63" w:rsidRPr="00DD47DF" w:rsidRDefault="009E5CFE" w:rsidP="00650A99">
            <w:pPr>
              <w:pStyle w:val="Tabulka"/>
              <w:keepNext/>
              <w:keepLines/>
              <w:rPr>
                <w:rFonts w:cs="Calibri"/>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92FBA37" w14:textId="77777777" w:rsidR="00941F63" w:rsidRPr="00DD47DF" w:rsidRDefault="00941F63" w:rsidP="00650A99">
            <w:pPr>
              <w:pStyle w:val="Tabulka"/>
              <w:keepNext/>
              <w:keepLines/>
              <w:rPr>
                <w:rFonts w:cs="Calibri"/>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079AE8" w14:textId="77777777" w:rsidR="00941F63" w:rsidRPr="00DD47DF" w:rsidRDefault="00CF739D" w:rsidP="00650A99">
            <w:pPr>
              <w:pStyle w:val="Tabulka"/>
              <w:keepNext/>
              <w:keepLines/>
              <w:rPr>
                <w:rFonts w:cs="Calibri"/>
              </w:rPr>
            </w:pPr>
            <w:r w:rsidRPr="00DD47DF">
              <w:rPr>
                <w:rFonts w:cs="Calibri"/>
                <w:b/>
                <w:bCs/>
              </w:rPr>
              <w:t>Četnost podávání zpráv</w:t>
            </w:r>
          </w:p>
        </w:tc>
      </w:tr>
      <w:tr w:rsidR="00A15054" w:rsidRPr="00DD47DF" w14:paraId="4D441D82" w14:textId="77777777">
        <w:trPr>
          <w:trHeight w:hRule="exact" w:val="1856"/>
        </w:trPr>
        <w:tc>
          <w:tcPr>
            <w:tcW w:w="0" w:type="auto"/>
            <w:tcBorders>
              <w:top w:val="single" w:sz="4" w:space="0" w:color="000000"/>
              <w:left w:val="single" w:sz="4" w:space="0" w:color="000000"/>
              <w:bottom w:val="single" w:sz="4" w:space="0" w:color="000000"/>
              <w:right w:val="single" w:sz="4" w:space="0" w:color="000000"/>
            </w:tcBorders>
            <w:vAlign w:val="center"/>
          </w:tcPr>
          <w:p w14:paraId="082A9C98" w14:textId="77777777" w:rsidR="00A15054" w:rsidRPr="00DD47DF" w:rsidRDefault="00831F28" w:rsidP="00650A99">
            <w:pPr>
              <w:pStyle w:val="Tabulka"/>
              <w:keepNext/>
              <w:keepLines/>
              <w:rPr>
                <w:rFonts w:cs="Calibri"/>
              </w:rPr>
            </w:pPr>
            <w:r w:rsidRPr="00DD47DF">
              <w:rPr>
                <w:rFonts w:cs="Calibri"/>
              </w:rPr>
              <w:t>21010</w:t>
            </w:r>
          </w:p>
        </w:tc>
        <w:tc>
          <w:tcPr>
            <w:tcW w:w="0" w:type="auto"/>
            <w:tcBorders>
              <w:top w:val="single" w:sz="4" w:space="0" w:color="000000"/>
              <w:left w:val="single" w:sz="4" w:space="0" w:color="000000"/>
              <w:bottom w:val="single" w:sz="4" w:space="0" w:color="000000"/>
              <w:right w:val="single" w:sz="4" w:space="0" w:color="000000"/>
            </w:tcBorders>
            <w:vAlign w:val="center"/>
          </w:tcPr>
          <w:p w14:paraId="65C6244B" w14:textId="77777777" w:rsidR="00A15054" w:rsidRPr="00DD47DF" w:rsidRDefault="00A15054" w:rsidP="00650A99">
            <w:pPr>
              <w:pStyle w:val="Tabulka"/>
              <w:keepNext/>
              <w:keepLines/>
              <w:jc w:val="left"/>
              <w:rPr>
                <w:rFonts w:cs="Calibri"/>
              </w:rPr>
            </w:pPr>
            <w:r w:rsidRPr="00DD47DF">
              <w:rPr>
                <w:rFonts w:cs="Calibri"/>
              </w:rPr>
              <w:t>Podnikové výdaje na VaV v podnikatelském sektoru jako % HDP - regiony ČR (mimo hl. m. Praha)</w:t>
            </w:r>
          </w:p>
        </w:tc>
        <w:tc>
          <w:tcPr>
            <w:tcW w:w="0" w:type="auto"/>
            <w:tcBorders>
              <w:top w:val="single" w:sz="4" w:space="0" w:color="000000"/>
              <w:left w:val="single" w:sz="4" w:space="0" w:color="000000"/>
              <w:bottom w:val="single" w:sz="4" w:space="0" w:color="000000"/>
              <w:right w:val="single" w:sz="4" w:space="0" w:color="000000"/>
            </w:tcBorders>
            <w:vAlign w:val="center"/>
          </w:tcPr>
          <w:p w14:paraId="7D6B5079" w14:textId="77777777" w:rsidR="00A15054" w:rsidRPr="00DD47DF" w:rsidRDefault="00A15054" w:rsidP="00650A99">
            <w:pPr>
              <w:pStyle w:val="Tabulka"/>
              <w:keepNext/>
              <w:keepLines/>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8FB1C22" w14:textId="77777777" w:rsidR="00A15054" w:rsidRPr="00DD47DF" w:rsidRDefault="00A15054" w:rsidP="00650A99">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47306A9" w14:textId="77777777" w:rsidR="00A15054" w:rsidRPr="00DD47DF" w:rsidRDefault="00D86241" w:rsidP="00650A99">
            <w:pPr>
              <w:pStyle w:val="Tabulka"/>
              <w:keepNext/>
              <w:keepLines/>
              <w:rPr>
                <w:rFonts w:cs="Calibri"/>
              </w:rPr>
            </w:pPr>
            <w:r w:rsidRPr="00DD47DF">
              <w:rPr>
                <w:rFonts w:cs="Calibri"/>
              </w:rPr>
              <w:t>0,58</w:t>
            </w:r>
          </w:p>
        </w:tc>
        <w:tc>
          <w:tcPr>
            <w:tcW w:w="0" w:type="auto"/>
            <w:tcBorders>
              <w:top w:val="single" w:sz="4" w:space="0" w:color="000000"/>
              <w:left w:val="single" w:sz="4" w:space="0" w:color="000000"/>
              <w:bottom w:val="single" w:sz="4" w:space="0" w:color="000000"/>
              <w:right w:val="single" w:sz="4" w:space="0" w:color="000000"/>
            </w:tcBorders>
            <w:vAlign w:val="center"/>
          </w:tcPr>
          <w:p w14:paraId="7BD37814" w14:textId="77777777" w:rsidR="00A15054" w:rsidRPr="00DD47DF" w:rsidRDefault="00A15054" w:rsidP="00650A99">
            <w:pPr>
              <w:pStyle w:val="Tabulka"/>
              <w:keepNext/>
              <w:keepLines/>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7AB28CAD" w14:textId="77777777" w:rsidR="00A15054" w:rsidRPr="00DD47DF" w:rsidRDefault="00D86241" w:rsidP="00650A99">
            <w:pPr>
              <w:pStyle w:val="Tabulka"/>
              <w:keepNext/>
              <w:keepLines/>
              <w:rPr>
                <w:rFonts w:cs="Calibri"/>
              </w:rPr>
            </w:pPr>
            <w:r w:rsidRPr="00DD47DF">
              <w:rPr>
                <w:rFonts w:cs="Calibri"/>
              </w:rPr>
              <w:t>0,62 – 0,8</w:t>
            </w:r>
            <w:r w:rsidRPr="00DD47DF">
              <w:rPr>
                <w:rStyle w:val="Znakapoznpodarou"/>
                <w:rFonts w:cs="Calibri"/>
              </w:rPr>
              <w:footnoteReference w:id="35"/>
            </w:r>
          </w:p>
        </w:tc>
        <w:tc>
          <w:tcPr>
            <w:tcW w:w="0" w:type="auto"/>
            <w:tcBorders>
              <w:top w:val="single" w:sz="4" w:space="0" w:color="000000"/>
              <w:left w:val="single" w:sz="4" w:space="0" w:color="000000"/>
              <w:bottom w:val="single" w:sz="4" w:space="0" w:color="000000"/>
              <w:right w:val="single" w:sz="4" w:space="0" w:color="000000"/>
            </w:tcBorders>
            <w:vAlign w:val="center"/>
          </w:tcPr>
          <w:p w14:paraId="2ECBBAF7" w14:textId="77777777" w:rsidR="00A15054" w:rsidRPr="00DD47DF" w:rsidRDefault="00A15054" w:rsidP="00650A99">
            <w:pPr>
              <w:pStyle w:val="Tabulka"/>
              <w:keepNext/>
              <w:keepLines/>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58D061C8" w14:textId="77777777" w:rsidR="00A15054" w:rsidRPr="00DD47DF" w:rsidRDefault="00A15054" w:rsidP="00650A99">
            <w:pPr>
              <w:pStyle w:val="Tabulka"/>
              <w:keepNext/>
              <w:keepLines/>
              <w:rPr>
                <w:rFonts w:cs="Calibri"/>
              </w:rPr>
            </w:pPr>
            <w:r w:rsidRPr="00DD47DF">
              <w:rPr>
                <w:rFonts w:cs="Calibri"/>
              </w:rPr>
              <w:t>ročně</w:t>
            </w:r>
          </w:p>
        </w:tc>
      </w:tr>
      <w:tr w:rsidR="007B391E" w:rsidRPr="00DD47DF" w14:paraId="472D3714" w14:textId="77777777">
        <w:trPr>
          <w:trHeight w:hRule="exact" w:val="1856"/>
        </w:trPr>
        <w:tc>
          <w:tcPr>
            <w:tcW w:w="0" w:type="auto"/>
            <w:tcBorders>
              <w:top w:val="single" w:sz="4" w:space="0" w:color="000000"/>
              <w:left w:val="single" w:sz="4" w:space="0" w:color="000000"/>
              <w:bottom w:val="single" w:sz="4" w:space="0" w:color="000000"/>
              <w:right w:val="single" w:sz="4" w:space="0" w:color="000000"/>
            </w:tcBorders>
            <w:vAlign w:val="center"/>
          </w:tcPr>
          <w:p w14:paraId="492CD4A0" w14:textId="77777777" w:rsidR="00941F63" w:rsidRPr="00DD47DF" w:rsidRDefault="008120C1" w:rsidP="009670FD">
            <w:pPr>
              <w:pStyle w:val="Tabulka"/>
              <w:rPr>
                <w:rFonts w:cs="Calibri"/>
              </w:rPr>
            </w:pPr>
            <w:r w:rsidRPr="00DD47DF">
              <w:rPr>
                <w:rFonts w:cs="Calibri"/>
              </w:rPr>
              <w:t>214</w:t>
            </w:r>
            <w:r w:rsidR="00802191" w:rsidRPr="00DD47DF">
              <w:rPr>
                <w:rFonts w:cs="Calibri"/>
              </w:rPr>
              <w:t>11</w:t>
            </w:r>
          </w:p>
        </w:tc>
        <w:tc>
          <w:tcPr>
            <w:tcW w:w="0" w:type="auto"/>
            <w:tcBorders>
              <w:top w:val="single" w:sz="4" w:space="0" w:color="000000"/>
              <w:left w:val="single" w:sz="4" w:space="0" w:color="000000"/>
              <w:bottom w:val="single" w:sz="4" w:space="0" w:color="000000"/>
              <w:right w:val="single" w:sz="4" w:space="0" w:color="000000"/>
            </w:tcBorders>
            <w:vAlign w:val="center"/>
          </w:tcPr>
          <w:p w14:paraId="57E5D424" w14:textId="77777777" w:rsidR="00941F63" w:rsidRPr="00DD47DF" w:rsidRDefault="008E48D1" w:rsidP="00AF574A">
            <w:pPr>
              <w:pStyle w:val="Tabulka"/>
              <w:jc w:val="left"/>
              <w:rPr>
                <w:rFonts w:cs="Calibri"/>
              </w:rPr>
            </w:pPr>
            <w:r w:rsidRPr="00DD47DF">
              <w:rPr>
                <w:rFonts w:cs="Calibri"/>
              </w:rPr>
              <w:t>Tržby z inovované produkce jako % celkových tržeb podniků s produktovou inovací</w:t>
            </w:r>
          </w:p>
        </w:tc>
        <w:tc>
          <w:tcPr>
            <w:tcW w:w="0" w:type="auto"/>
            <w:tcBorders>
              <w:top w:val="single" w:sz="4" w:space="0" w:color="000000"/>
              <w:left w:val="single" w:sz="4" w:space="0" w:color="000000"/>
              <w:bottom w:val="single" w:sz="4" w:space="0" w:color="000000"/>
              <w:right w:val="single" w:sz="4" w:space="0" w:color="000000"/>
            </w:tcBorders>
            <w:vAlign w:val="center"/>
          </w:tcPr>
          <w:p w14:paraId="27085700" w14:textId="77777777" w:rsidR="00941F63" w:rsidRPr="00DD47DF" w:rsidRDefault="008E48D1" w:rsidP="009670FD">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5FE6063" w14:textId="77777777" w:rsidR="00941F63" w:rsidRPr="00DD47DF" w:rsidRDefault="00B71997" w:rsidP="009670FD">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AC47116" w14:textId="77777777" w:rsidR="00941F63" w:rsidRPr="00DD47DF" w:rsidRDefault="008E48D1" w:rsidP="009670FD">
            <w:pPr>
              <w:pStyle w:val="Tabulka"/>
              <w:rPr>
                <w:rFonts w:cs="Calibri"/>
              </w:rPr>
            </w:pPr>
            <w:r w:rsidRPr="00DD47DF">
              <w:rPr>
                <w:rFonts w:cs="Calibri"/>
              </w:rPr>
              <w:t>29,2</w:t>
            </w:r>
          </w:p>
        </w:tc>
        <w:tc>
          <w:tcPr>
            <w:tcW w:w="0" w:type="auto"/>
            <w:tcBorders>
              <w:top w:val="single" w:sz="4" w:space="0" w:color="000000"/>
              <w:left w:val="single" w:sz="4" w:space="0" w:color="000000"/>
              <w:bottom w:val="single" w:sz="4" w:space="0" w:color="000000"/>
              <w:right w:val="single" w:sz="4" w:space="0" w:color="000000"/>
            </w:tcBorders>
            <w:vAlign w:val="center"/>
          </w:tcPr>
          <w:p w14:paraId="2D331888" w14:textId="77777777" w:rsidR="00941F63" w:rsidRPr="00DD47DF" w:rsidRDefault="008E48D1" w:rsidP="009670FD">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1C40F472" w14:textId="77777777" w:rsidR="00941F63" w:rsidRPr="00DD47DF" w:rsidRDefault="006D0B8B" w:rsidP="009670FD">
            <w:pPr>
              <w:pStyle w:val="Tabulka"/>
              <w:rPr>
                <w:rFonts w:cs="Calibri"/>
              </w:rPr>
            </w:pPr>
            <w:r w:rsidRPr="00DD47DF">
              <w:rPr>
                <w:rFonts w:cs="Calibri"/>
              </w:rPr>
              <w:t>29,8 – 31</w:t>
            </w:r>
            <w:r w:rsidR="007E6815" w:rsidRPr="00DD47DF">
              <w:rPr>
                <w:rStyle w:val="Znakapoznpodarou"/>
                <w:rFonts w:cs="Calibri"/>
              </w:rPr>
              <w:footnoteReference w:id="36"/>
            </w:r>
          </w:p>
        </w:tc>
        <w:tc>
          <w:tcPr>
            <w:tcW w:w="0" w:type="auto"/>
            <w:tcBorders>
              <w:top w:val="single" w:sz="4" w:space="0" w:color="000000"/>
              <w:left w:val="single" w:sz="4" w:space="0" w:color="000000"/>
              <w:bottom w:val="single" w:sz="4" w:space="0" w:color="000000"/>
              <w:right w:val="single" w:sz="4" w:space="0" w:color="000000"/>
            </w:tcBorders>
            <w:vAlign w:val="center"/>
          </w:tcPr>
          <w:p w14:paraId="02EE877E" w14:textId="77777777" w:rsidR="00941F63" w:rsidRPr="00DD47DF" w:rsidRDefault="008E48D1" w:rsidP="001A189B">
            <w:pPr>
              <w:pStyle w:val="Tabulka"/>
              <w:rPr>
                <w:rFonts w:cs="Calibri"/>
              </w:rPr>
            </w:pPr>
            <w:r w:rsidRPr="00DD47DF">
              <w:rPr>
                <w:rFonts w:cs="Calibri"/>
              </w:rPr>
              <w:t>ČSÚ (šetření o inovacích, CIS)</w:t>
            </w:r>
          </w:p>
        </w:tc>
        <w:tc>
          <w:tcPr>
            <w:tcW w:w="0" w:type="auto"/>
            <w:tcBorders>
              <w:top w:val="single" w:sz="4" w:space="0" w:color="000000"/>
              <w:left w:val="single" w:sz="4" w:space="0" w:color="000000"/>
              <w:bottom w:val="single" w:sz="4" w:space="0" w:color="000000"/>
              <w:right w:val="single" w:sz="4" w:space="0" w:color="000000"/>
            </w:tcBorders>
            <w:vAlign w:val="center"/>
          </w:tcPr>
          <w:p w14:paraId="13D0AA98" w14:textId="77777777" w:rsidR="00941F63" w:rsidRPr="00DD47DF" w:rsidRDefault="00170A59" w:rsidP="009670FD">
            <w:pPr>
              <w:pStyle w:val="Tabulka"/>
              <w:rPr>
                <w:rFonts w:cs="Calibri"/>
              </w:rPr>
            </w:pPr>
            <w:r w:rsidRPr="00DD47DF">
              <w:rPr>
                <w:rFonts w:cs="Calibri"/>
              </w:rPr>
              <w:t>2 roky</w:t>
            </w:r>
          </w:p>
        </w:tc>
      </w:tr>
    </w:tbl>
    <w:p w14:paraId="2CA6CB0A" w14:textId="77777777" w:rsidR="00A25CBC" w:rsidRPr="00DD47DF" w:rsidRDefault="00A25CBC" w:rsidP="00A25CBC">
      <w:pPr>
        <w:pStyle w:val="kapitola2A0"/>
        <w:numPr>
          <w:ilvl w:val="2"/>
          <w:numId w:val="127"/>
        </w:numPr>
      </w:pPr>
      <w:bookmarkStart w:id="30" w:name="_Toc351464360"/>
      <w:bookmarkStart w:id="31" w:name="_Toc129005371"/>
      <w:r w:rsidRPr="00DD47DF">
        <w:t>Opatření, jež má být podpořeno v rámci investiční priority</w:t>
      </w:r>
      <w:bookmarkEnd w:id="31"/>
    </w:p>
    <w:p w14:paraId="15C81122" w14:textId="77777777" w:rsidR="00A25CBC" w:rsidRPr="00DD47DF" w:rsidRDefault="00A25CBC" w:rsidP="00A25CBC">
      <w:pPr>
        <w:pStyle w:val="Nadpis5"/>
        <w:numPr>
          <w:ilvl w:val="4"/>
          <w:numId w:val="1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745F84E" w14:textId="77777777" w:rsidR="00A25CBC" w:rsidRPr="00DD47DF" w:rsidRDefault="00A25CBC" w:rsidP="00A25CBC">
      <w:pPr>
        <w:pStyle w:val="Modrnadpis"/>
        <w:rPr>
          <w:rFonts w:cs="Calibri"/>
        </w:rPr>
      </w:pPr>
      <w:r w:rsidRPr="00DD47DF">
        <w:t>SPECIFICKÝ CÍL 1.1: Zvýšit inovační výkonnost podniků</w:t>
      </w:r>
      <w:r w:rsidRPr="00DD47DF">
        <w:rPr>
          <w:rStyle w:val="Odkaznakoment"/>
          <w:b w:val="0"/>
        </w:rPr>
        <w:t xml:space="preserve"> </w:t>
      </w:r>
    </w:p>
    <w:p w14:paraId="12538F99" w14:textId="77777777" w:rsidR="00A25CBC" w:rsidRPr="00DD47DF" w:rsidRDefault="00A25CBC" w:rsidP="00A25CBC">
      <w:pPr>
        <w:pStyle w:val="Standardntext"/>
        <w:keepNext/>
        <w:keepLines/>
        <w:rPr>
          <w:b/>
        </w:rPr>
      </w:pPr>
      <w:r w:rsidRPr="00DD47DF">
        <w:rPr>
          <w:b/>
        </w:rPr>
        <w:t xml:space="preserve">Aktivity pro tento specifický cíl: </w:t>
      </w:r>
    </w:p>
    <w:p w14:paraId="2AB88A18" w14:textId="77777777" w:rsidR="00A25CBC" w:rsidRPr="00DD47DF" w:rsidRDefault="00A25CBC" w:rsidP="00A25CBC">
      <w:pPr>
        <w:pStyle w:val="Standardntext"/>
        <w:keepNext/>
        <w:keepLines/>
        <w:numPr>
          <w:ilvl w:val="0"/>
          <w:numId w:val="47"/>
        </w:numPr>
      </w:pPr>
      <w:r w:rsidRPr="00DD47DF">
        <w:t>Zakládání a rozvoj podnikových výzkumných a vývojových center ve vazbě na jasně definovanou, životaschopnou strategii firmy,</w:t>
      </w:r>
    </w:p>
    <w:p w14:paraId="04968653" w14:textId="77777777" w:rsidR="00A25CBC" w:rsidRPr="00DD47DF" w:rsidRDefault="00A25CBC" w:rsidP="00A25CBC">
      <w:pPr>
        <w:pStyle w:val="Standardntext"/>
        <w:numPr>
          <w:ilvl w:val="0"/>
          <w:numId w:val="47"/>
        </w:numPr>
      </w:pPr>
      <w:r w:rsidRPr="00DD47DF">
        <w:t>zavádění inovací výrobků a služeb do výroby a jejich uvedení na trh (např. up-scaling, pilotní výrobní linky apod.), zavádění procesních a marketingových inovací,</w:t>
      </w:r>
    </w:p>
    <w:p w14:paraId="1DABDC32" w14:textId="77777777" w:rsidR="00A25CBC" w:rsidRPr="00DD47DF" w:rsidRDefault="00A25CBC" w:rsidP="00A25CBC">
      <w:pPr>
        <w:pStyle w:val="Standardntext"/>
        <w:numPr>
          <w:ilvl w:val="0"/>
          <w:numId w:val="47"/>
        </w:numPr>
      </w:pPr>
      <w:r w:rsidRPr="00DD47DF">
        <w:t>ochrana duševního vlastnictví v podnicích, včetně pilotních projektů moderních metod ošetření duševního vlastnictví,</w:t>
      </w:r>
    </w:p>
    <w:p w14:paraId="652B2CEC" w14:textId="35C5858C" w:rsidR="00A25CBC" w:rsidRPr="00DD47DF" w:rsidRDefault="00A25CBC" w:rsidP="00A25CBC">
      <w:pPr>
        <w:pStyle w:val="Standardntext"/>
        <w:numPr>
          <w:ilvl w:val="0"/>
          <w:numId w:val="47"/>
        </w:numPr>
      </w:pPr>
      <w:r w:rsidRPr="00DD47DF">
        <w:t>průmyslový výzkum a vývoj</w:t>
      </w:r>
      <w:r w:rsidR="00391B39">
        <w:t>.</w:t>
      </w:r>
      <w:r w:rsidRPr="00DD47DF">
        <w:t xml:space="preserve"> </w:t>
      </w:r>
    </w:p>
    <w:p w14:paraId="4B094856" w14:textId="77777777" w:rsidR="00A25CBC" w:rsidRPr="00DD47DF" w:rsidRDefault="00A25CBC" w:rsidP="00A25CBC">
      <w:pPr>
        <w:pStyle w:val="Standardntext"/>
      </w:pPr>
      <w:r w:rsidRPr="00DD47DF">
        <w:t xml:space="preserve">Zvýšením inovační výkonnosti se rozumí schopnost podniků uvádět nové produkty na trh, provádět vlastní výzkum a vývoj a komercializovat jeho výsledky. Typovým příjemcem </w:t>
      </w:r>
      <w:r w:rsidRPr="00DD47DF">
        <w:lastRenderedPageBreak/>
        <w:t>podpory je inovativní malý a střední podnik působící v high-tech nebo medium-tech odvětví. Předpokládá se podpora technických i netechnických inovací.</w:t>
      </w:r>
      <w:r w:rsidRPr="00DD47DF">
        <w:rPr>
          <w:rStyle w:val="Znakapoznpodarou"/>
        </w:rPr>
        <w:footnoteReference w:id="37"/>
      </w:r>
    </w:p>
    <w:p w14:paraId="3E28D92B" w14:textId="77777777" w:rsidR="00A25CBC" w:rsidRPr="00DD47DF" w:rsidRDefault="00A25CBC" w:rsidP="00A25CBC">
      <w:pPr>
        <w:pStyle w:val="Standardntext"/>
      </w:pPr>
      <w:r w:rsidRPr="00DD47DF">
        <w:t xml:space="preserve">Typovým inovačním projektem bude </w:t>
      </w:r>
      <w:r w:rsidRPr="00DD47DF">
        <w:rPr>
          <w:b/>
        </w:rPr>
        <w:t>zavedení nových výrobků do výroby a jejich uvedení na trh</w:t>
      </w:r>
      <w:r w:rsidRPr="00DD47DF">
        <w:t xml:space="preserve"> a dále související zvýšení efektivnosti výrobních procesů a dalších procesních inovací (zavedení nových metod organizace firemních procesů, inovace procesu vývoje a zavádění nových výrobků, procesy produktové certifikace, zavedení nových prodejních kanálů, apod.). Zvláštní pozornost zde bude věnována ekoinovacím</w:t>
      </w:r>
      <w:r w:rsidRPr="00DD47DF">
        <w:rPr>
          <w:rStyle w:val="Znakapoznpodarou"/>
        </w:rPr>
        <w:footnoteReference w:id="38"/>
      </w:r>
      <w:r w:rsidRPr="00DD47DF">
        <w:t>. Produktové i procesní inovace jsou převážně výsledkem předchozího výzkumu a vývoje nebo realizovaného transferu technologií. Součástí projektu je vybavení provozovny nezbytným zařízením pro zavedení inovace a specializované poradenství, které může zahrnovat služby v oblasti transferu technologií, podpory vstupu na cizí trh, poradenství v oblasti norem a standardů, přístup k patentům. Výstupem projektů jsou inovované výrobky a služby, zejména inovace vyšších řádů, jejichž zavedení na trh povede k růstu tržeb podnikatelských subjektů provádějících vlastní inovace.</w:t>
      </w:r>
    </w:p>
    <w:p w14:paraId="40201CDD" w14:textId="77777777" w:rsidR="00A25CBC" w:rsidRPr="00DD47DF" w:rsidRDefault="00A25CBC" w:rsidP="00A25CBC">
      <w:pPr>
        <w:pStyle w:val="Standardntext"/>
      </w:pPr>
      <w:r w:rsidRPr="00DD47DF">
        <w:rPr>
          <w:b/>
        </w:rPr>
        <w:t xml:space="preserve">Projekty založení nebo rozvoje podnikových center průmyslového výzkumu, vývoje a inovací </w:t>
      </w:r>
      <w:r w:rsidRPr="00DD47DF">
        <w:t>spočívají zejména v pořízení vybavení nezbytného pro činnost centra a výlučně využívaného pro zajištění aktivit tohoto centra. Výstupem projektů je tedy vznik či rozšíření vývojového centra (oddělení) zaměřeného na průmyslový výzkum, vývoj a inovace výrobků a technologií, včetně specifického software a aplikací vedoucí k implementaci technologicky nových či zlepšení stávajících produktů, produkčních řad, výrobních procesů a technologií, pokud existuje předpoklad, že budou přeneseny a použity ve výrobě. Tento způsob podpory nepřímo zvyšuje poptávku po výsledcích výzkumu a vývoje a zároveň přímo podporuje jejich vlastní tvorbu, což ve střednědobém horizontu rovněž povede k růstu tržeb z inovací. Tyto faktory dále ovlivní růst podnikových výdajů na VaV a další inovační činnosti.</w:t>
      </w:r>
    </w:p>
    <w:p w14:paraId="2B0026C0" w14:textId="77777777" w:rsidR="00A25CBC" w:rsidRPr="00DD47DF" w:rsidRDefault="00A25CBC" w:rsidP="00A25CBC">
      <w:pPr>
        <w:pStyle w:val="Standardntext"/>
      </w:pPr>
      <w:r w:rsidRPr="00DD47DF">
        <w:t xml:space="preserve">V oblasti </w:t>
      </w:r>
      <w:r w:rsidRPr="00DD47DF">
        <w:rPr>
          <w:b/>
        </w:rPr>
        <w:t xml:space="preserve">duševního vlastnictví </w:t>
      </w:r>
      <w:r w:rsidRPr="00DD47DF">
        <w:t>se jedná o projekty, které zahrnují aktivity a související náklady, jejichž výstupem jsou podané přihlášky na ochranu práv průmyslového vlastnictví a výsledkem získání a uznání patentů a jiných práv k průmyslovému vlastnictví (užitný vzor, průmyslový vzor, ochranná známka), Cílem je účinnější ochrana podnikového duševního vlastnictví, a to zejména na zahraničních trzích.</w:t>
      </w:r>
    </w:p>
    <w:p w14:paraId="3FDB4CC5" w14:textId="77777777" w:rsidR="00A25CBC" w:rsidRPr="00DD47DF" w:rsidRDefault="00A25CBC" w:rsidP="00A25CBC">
      <w:pPr>
        <w:spacing w:after="120"/>
        <w:jc w:val="both"/>
        <w:rPr>
          <w:sz w:val="24"/>
          <w:szCs w:val="24"/>
        </w:rPr>
      </w:pPr>
      <w:r w:rsidRPr="00DD47DF">
        <w:rPr>
          <w:sz w:val="24"/>
          <w:szCs w:val="24"/>
        </w:rPr>
        <w:t xml:space="preserve">Mezi klíčové aktivity SC 1.1 náleží podpora projektů </w:t>
      </w:r>
      <w:r w:rsidRPr="00DD47DF">
        <w:rPr>
          <w:b/>
          <w:sz w:val="24"/>
          <w:szCs w:val="24"/>
        </w:rPr>
        <w:t>průmyslového výzkumu a experimentálního vývoje</w:t>
      </w:r>
      <w:r w:rsidRPr="00DD47DF">
        <w:rPr>
          <w:sz w:val="24"/>
          <w:szCs w:val="24"/>
        </w:rPr>
        <w:t xml:space="preserve">, jejichž hlavním cílem je tvorba nových znalostí potřebných pro vývoj nových produktů, materiálů, technologií a služeb. Výstupem těchto projektů jsou zejména funkční prototyp, poloprovoz, ověřená technologie, software, průmyslový vzor apod. Řešiteli projektů mohou být individuální subjekty i konsorcia složená z více partnerů z podnikatelské i výzkumné sféry. Výsledky aplikovaného výzkumu povedou k zavádění inovací vyšších řádů a k tvorbě produktů konkurenceschopných na světových trzích. Typovým projektem bude konsorcium vedené malým a středním podnikem, případně projekty MSP řešené externí organizací s výzkumnými kapacitami (tzv. RTD provider) smluvním výzkumem. Specifická pozornost bude věnována výzkumu v oblasti průmyslových výzev a klíčových </w:t>
      </w:r>
      <w:r w:rsidRPr="00DD47DF">
        <w:rPr>
          <w:sz w:val="24"/>
          <w:szCs w:val="24"/>
        </w:rPr>
        <w:lastRenderedPageBreak/>
        <w:t>technologií (KETs)</w:t>
      </w:r>
      <w:r w:rsidRPr="00DD47DF">
        <w:rPr>
          <w:sz w:val="24"/>
          <w:szCs w:val="24"/>
          <w:vertAlign w:val="superscript"/>
        </w:rPr>
        <w:footnoteReference w:id="39"/>
      </w:r>
      <w:r w:rsidRPr="00DD47DF">
        <w:rPr>
          <w:sz w:val="24"/>
          <w:szCs w:val="24"/>
        </w:rPr>
        <w:t>, které mají značný potenciál pro urychlení modernizace firemní základny i pro vznik nových aplikačních oblastí a průmyslových odvětví s vazbou na RIS3 strategii. Jedná se zejména o orientovaný výzkum v oblastech nanotechnologie; mikro- a nanoelektronika, včetně polovodičů; fotonika; pokrokové materiály a průmyslové biotechnologie, ICT. Tyto oblasti odpovídají i znalostním doménám specifikovaným v RIS3 (materiálový výzkum, nanotechnologie, mikro a nanoelektronika, fotonika, pokročilé výrobní technologie, průmyslové biotechnologie). Předpokládá se také realizace přeshraničních projektů průmyslového výzkumu (např. v režimu navazujícím na bývalé sítě ERA-NET, tj. podpora řešitelů několika poskytovateli z různých zemí)</w:t>
      </w:r>
      <w:r w:rsidRPr="00DD47DF">
        <w:rPr>
          <w:sz w:val="24"/>
          <w:szCs w:val="24"/>
          <w:vertAlign w:val="superscript"/>
        </w:rPr>
        <w:footnoteReference w:id="40"/>
      </w:r>
      <w:r w:rsidRPr="00DD47DF">
        <w:rPr>
          <w:sz w:val="24"/>
          <w:szCs w:val="24"/>
        </w:rPr>
        <w:t>.</w:t>
      </w:r>
    </w:p>
    <w:p w14:paraId="0335E753" w14:textId="2FC69025" w:rsidR="00A25CBC" w:rsidRPr="00DD47DF" w:rsidRDefault="00A25CBC" w:rsidP="00A25CBC">
      <w:pPr>
        <w:pStyle w:val="Standardntext"/>
      </w:pPr>
      <w:r w:rsidRPr="00DD47DF">
        <w:rPr>
          <w:b/>
        </w:rPr>
        <w:t xml:space="preserve">Hlavní cílová skupina: </w:t>
      </w:r>
      <w:r w:rsidRPr="00DD47DF">
        <w:t>Podnikatelské subjekty, výzkumné organizace</w:t>
      </w:r>
      <w:r w:rsidRPr="00DD47DF">
        <w:rPr>
          <w:bCs/>
        </w:rPr>
        <w:t>.</w:t>
      </w:r>
    </w:p>
    <w:p w14:paraId="45F81EBD" w14:textId="77777777" w:rsidR="00A25CBC" w:rsidRPr="00DD47DF" w:rsidRDefault="00A25CBC" w:rsidP="00A25CBC">
      <w:pPr>
        <w:pStyle w:val="Standardntext"/>
      </w:pPr>
      <w:r w:rsidRPr="00DD47DF">
        <w:rPr>
          <w:b/>
        </w:rPr>
        <w:t xml:space="preserve">Cílové území: </w:t>
      </w:r>
      <w:r w:rsidRPr="00DD47DF">
        <w:t>Území České republiky, mimo území hl. města Prahy. Z hlediska územní dimenze bude tento specifický cíl zaměřen na rozvojová a urbánní území, kde se předpokládá zapojení do integrovaného nástroje ITI.</w:t>
      </w:r>
    </w:p>
    <w:p w14:paraId="5AC00C5B" w14:textId="6F94ABB0" w:rsidR="00A25CBC" w:rsidRPr="00DD47DF" w:rsidRDefault="00A25CBC" w:rsidP="00A25CBC">
      <w:pPr>
        <w:pStyle w:val="Standardntext"/>
      </w:pPr>
      <w:r w:rsidRPr="00DD47DF">
        <w:rPr>
          <w:b/>
        </w:rPr>
        <w:t>Typy příjemců:</w:t>
      </w:r>
      <w:r w:rsidRPr="00DD47DF">
        <w:t xml:space="preserve"> Podnikatelské subjekty (zejména malé a střední, v odůvodněných případech velké podniky), organizace pro výzkum a šíření znalostí (tj. subjekty splňující definici Výzkumné organizace dle Rámce pro státní podporu Výzkumu, vývoje a inovací), dále zemědělští podnikatelé</w:t>
      </w:r>
      <w:r w:rsidRPr="00DD47DF">
        <w:rPr>
          <w:rStyle w:val="Znakapoznpodarou"/>
        </w:rPr>
        <w:footnoteReference w:id="41"/>
      </w:r>
      <w:r w:rsidRPr="00DD47DF">
        <w:t xml:space="preserve"> s výstupem projektu mimo seznam uvedený v Příloze I. Smlouvy (o EU) v oblasti VaV a inovací. </w:t>
      </w:r>
    </w:p>
    <w:p w14:paraId="14A6EBC8" w14:textId="358B6D62" w:rsidR="00A25CBC" w:rsidRPr="00DD47DF" w:rsidRDefault="00A25CBC" w:rsidP="00A25CBC">
      <w:pPr>
        <w:pStyle w:val="Standardntext"/>
      </w:pPr>
      <w:r w:rsidRPr="00DD47DF">
        <w:t>V SC 1.1 se předpokládá účast velkých podniků (dle čl. 3 odst. 1 písm. b) nařízení o EFRR), neboť svým výzkumným, vývojovým i inovačním potenciálem zajišťují přidanou hodnotu pro vysoký počet MSP, které jsou jejich subdodavateli a se kterými vstupují do společných výzkumných projektů. Výzkumné a inovační aktivity velkých podniků vytvářejí větší poptávku po produktech a službách MSP. Spolupráce s velkými podniky a využití jejich přeshraničních vazeb také usnadňuje vstup malých a středních podniků na globální trhy. Další skutečností je, že velké podniky se zaměřují na inovace vyšších řádů, které si mnohé MSP nemohou dovolit vzhledem k délce procesu. Vzhledem k významnému podílu velkých podniků na zaměstnanosti, produkci či přidané hodnotě v celé ekonomice ČR bude mít účast velkých podniků i výrazný multiplikační efekt k finančním prostředkům investovaným do VaVaI a bude mít přímý dopad na dosažení cílů programu. Velké podniky by se měly zapojit jako příjemci podpory do všech aktivit s výjimkou ochrany duševního vlastnictví.</w:t>
      </w:r>
    </w:p>
    <w:p w14:paraId="62B020A2" w14:textId="77777777" w:rsidR="00A25CBC" w:rsidRPr="00DD47DF" w:rsidRDefault="00A25CBC" w:rsidP="00441D67">
      <w:pPr>
        <w:pStyle w:val="kapitola2A0"/>
        <w:numPr>
          <w:ilvl w:val="2"/>
          <w:numId w:val="128"/>
        </w:numPr>
      </w:pPr>
      <w:bookmarkStart w:id="32" w:name="_Toc129005372"/>
      <w:r w:rsidRPr="00DD47DF">
        <w:t>Specifické cíle odpovídající investiční prioritě a očekávané výsledky</w:t>
      </w:r>
      <w:bookmarkEnd w:id="32"/>
    </w:p>
    <w:p w14:paraId="19E0E3E9" w14:textId="77777777" w:rsidR="00380F31" w:rsidRPr="00DD47DF" w:rsidRDefault="00702500" w:rsidP="00396141">
      <w:pPr>
        <w:pStyle w:val="Modrnadpis"/>
      </w:pPr>
      <w:r w:rsidRPr="00DD47DF">
        <w:t xml:space="preserve">SPECIFICKÝ CÍL </w:t>
      </w:r>
      <w:r w:rsidR="00C71E6F" w:rsidRPr="00DD47DF">
        <w:t>1.</w:t>
      </w:r>
      <w:r w:rsidR="00247D8E" w:rsidRPr="00DD47DF">
        <w:t>2</w:t>
      </w:r>
      <w:r w:rsidRPr="00DD47DF">
        <w:t xml:space="preserve">: </w:t>
      </w:r>
      <w:bookmarkEnd w:id="30"/>
      <w:r w:rsidR="00247D8E" w:rsidRPr="00DD47DF">
        <w:t>Zvýš</w:t>
      </w:r>
      <w:r w:rsidR="00771951" w:rsidRPr="00DD47DF">
        <w:t xml:space="preserve">it </w:t>
      </w:r>
      <w:r w:rsidR="00247D8E" w:rsidRPr="00DD47DF">
        <w:t>intenzit</w:t>
      </w:r>
      <w:r w:rsidR="00771951" w:rsidRPr="00DD47DF">
        <w:t>u</w:t>
      </w:r>
      <w:r w:rsidR="00247D8E" w:rsidRPr="00DD47DF">
        <w:t xml:space="preserve"> a účinnost spolupráce ve výzkumu, vývoji a inovacích</w:t>
      </w:r>
    </w:p>
    <w:p w14:paraId="63941B30" w14:textId="77777777" w:rsidR="00380F31" w:rsidRPr="00DD47DF" w:rsidRDefault="00ED2AA8" w:rsidP="007C48EE">
      <w:pPr>
        <w:pStyle w:val="Standardntext"/>
      </w:pPr>
      <w:r w:rsidRPr="00DD47DF">
        <w:t xml:space="preserve">Zkvalitňování služeb podpůrné infrastruktury povede ke zvýšení intenzity společných výzkumných, vývojových a inovačních aktivit mezi podnikatelskými subjekty a mezi </w:t>
      </w:r>
      <w:r w:rsidR="00301B17" w:rsidRPr="00DD47DF">
        <w:t>veřejným</w:t>
      </w:r>
      <w:r w:rsidRPr="00DD47DF">
        <w:t xml:space="preserve"> a podnikovým sektorem. Naplňování specifického cíle přispěje k většímu počtu transferů </w:t>
      </w:r>
      <w:r w:rsidRPr="00DD47DF">
        <w:lastRenderedPageBreak/>
        <w:t>technologií a znalostí, zvýšení mobility, mezisektorové spolupráce a zlepšování podmínek pro rozvoj inovačních firem a konkurenční výhody jako zásadního prvku ovlivňujícího efektivitu celého inovačního systému v ČR.</w:t>
      </w:r>
    </w:p>
    <w:p w14:paraId="43E3ED75" w14:textId="77777777" w:rsidR="007B234F" w:rsidRPr="00DD47DF" w:rsidRDefault="003508A9" w:rsidP="007B234F">
      <w:pPr>
        <w:pStyle w:val="Modrnadpis"/>
      </w:pPr>
      <w:r w:rsidRPr="00DD47DF">
        <w:t>Výsledky, kterých chce ČR dosáhnout s podporou Unie</w:t>
      </w:r>
    </w:p>
    <w:p w14:paraId="1A19865C" w14:textId="77777777" w:rsidR="00B2096C" w:rsidRPr="00DD47DF" w:rsidRDefault="002E27F7" w:rsidP="002908E2">
      <w:pPr>
        <w:numPr>
          <w:ilvl w:val="0"/>
          <w:numId w:val="53"/>
        </w:numPr>
        <w:spacing w:after="120"/>
        <w:jc w:val="both"/>
        <w:rPr>
          <w:rFonts w:cs="Calibri"/>
          <w:sz w:val="24"/>
          <w:szCs w:val="24"/>
        </w:rPr>
      </w:pPr>
      <w:r w:rsidRPr="00DD47DF">
        <w:rPr>
          <w:rFonts w:cs="Calibri"/>
          <w:sz w:val="24"/>
          <w:szCs w:val="24"/>
        </w:rPr>
        <w:t xml:space="preserve">Širší spektrum a vyšší kvalita služeb </w:t>
      </w:r>
      <w:r w:rsidR="00B2096C" w:rsidRPr="00DD47DF">
        <w:rPr>
          <w:rFonts w:cs="Calibri"/>
          <w:sz w:val="24"/>
          <w:szCs w:val="24"/>
        </w:rPr>
        <w:t xml:space="preserve">poskytovaných podpůrnou infrastrukturou (vědeckotechnickými parky, inkubátory a inovačními centry) inovačním firmám a dalším aktérům v inovačním systému. Naplňování poslání podpůrné infrastruktury povede k úzkému propojení a efektivní spolupráci privátní sféry s veřejným výzkumným sektorem a přispěje k vytvoření mechanismů dlouhodobé spolupráce různých účastníků inovačního systému. </w:t>
      </w:r>
    </w:p>
    <w:p w14:paraId="60443DA1" w14:textId="77777777" w:rsidR="00B2096C" w:rsidRPr="00DD47DF" w:rsidRDefault="002E27F7" w:rsidP="002908E2">
      <w:pPr>
        <w:numPr>
          <w:ilvl w:val="0"/>
          <w:numId w:val="53"/>
        </w:numPr>
        <w:spacing w:after="120"/>
        <w:jc w:val="both"/>
        <w:rPr>
          <w:rFonts w:cs="Calibri"/>
          <w:sz w:val="24"/>
          <w:szCs w:val="24"/>
        </w:rPr>
      </w:pPr>
      <w:r w:rsidRPr="00DD47DF">
        <w:rPr>
          <w:rFonts w:cs="Calibri"/>
          <w:sz w:val="24"/>
          <w:szCs w:val="24"/>
        </w:rPr>
        <w:t>Efektivnější</w:t>
      </w:r>
      <w:r w:rsidR="00B2096C" w:rsidRPr="00DD47DF">
        <w:rPr>
          <w:rFonts w:cs="Calibri"/>
          <w:sz w:val="24"/>
          <w:szCs w:val="24"/>
        </w:rPr>
        <w:t xml:space="preserve"> zapojení klastrů a dalších inovačních sítí do inovačního systému přispěje ke zlepšení vzájemné spolupráce firem v oblasti VaVaI, definovaní a řešení společných potřeb MSP ve spolupráci s výzkumnou sférou. Excelentní klastry </w:t>
      </w:r>
      <w:r w:rsidR="00B2096C" w:rsidRPr="00DD47DF">
        <w:rPr>
          <w:bCs/>
          <w:sz w:val="24"/>
          <w:szCs w:val="24"/>
        </w:rPr>
        <w:t xml:space="preserve">budou generovat kvalitní výstupy v oblasti VaV a budou schopny se úspěšně zapojovat </w:t>
      </w:r>
      <w:r w:rsidR="00B2096C" w:rsidRPr="00DD47DF">
        <w:rPr>
          <w:rFonts w:cs="Calibri"/>
          <w:sz w:val="24"/>
          <w:szCs w:val="24"/>
        </w:rPr>
        <w:t xml:space="preserve">do evropských výzkumných projektů. </w:t>
      </w:r>
    </w:p>
    <w:p w14:paraId="34FD2AE5" w14:textId="77777777" w:rsidR="00B2096C" w:rsidRPr="00DD47DF" w:rsidRDefault="00B2096C" w:rsidP="002908E2">
      <w:pPr>
        <w:numPr>
          <w:ilvl w:val="0"/>
          <w:numId w:val="53"/>
        </w:numPr>
        <w:spacing w:after="120"/>
        <w:jc w:val="both"/>
        <w:rPr>
          <w:rFonts w:cs="Calibri"/>
          <w:sz w:val="24"/>
          <w:szCs w:val="24"/>
        </w:rPr>
      </w:pPr>
      <w:r w:rsidRPr="00DD47DF">
        <w:rPr>
          <w:rFonts w:cs="Calibri"/>
          <w:sz w:val="24"/>
          <w:szCs w:val="24"/>
        </w:rPr>
        <w:t>Vytvoření a naplňování střednědobých až dlouhodobých vizí technologického vývoje v návaznosti na otázky budoucího hospodářského růstu, konkurenceschopnosti a trvale udržitelného rozvoje v České republice i v Evropě prostřednictvím technologických platforem povede ke zkvalitnění podnikatelského prostředí a strategického zacílení výzkumu a vývoje ve významných technologických oblastech na národní nebo mezinárodní úrovni.</w:t>
      </w:r>
    </w:p>
    <w:p w14:paraId="6F63721F" w14:textId="77777777" w:rsidR="00B2096C" w:rsidRPr="00DD47DF" w:rsidRDefault="00B2096C" w:rsidP="002908E2">
      <w:pPr>
        <w:numPr>
          <w:ilvl w:val="0"/>
          <w:numId w:val="53"/>
        </w:numPr>
        <w:spacing w:after="120"/>
        <w:jc w:val="both"/>
        <w:rPr>
          <w:rFonts w:cs="Calibri"/>
          <w:sz w:val="24"/>
          <w:szCs w:val="24"/>
        </w:rPr>
      </w:pPr>
      <w:r w:rsidRPr="00DD47DF">
        <w:rPr>
          <w:rFonts w:cs="Calibri"/>
          <w:sz w:val="24"/>
          <w:szCs w:val="24"/>
        </w:rPr>
        <w:t xml:space="preserve">Vyšší využití výsledků výzkumu s potenciálem komerčního využití založeného na předpokladu intenzivní spolupráce výzkumných organizací se subjekty aplikační sféry prostřednictvím tzv. proof-of-concept. </w:t>
      </w:r>
    </w:p>
    <w:p w14:paraId="551E14C8" w14:textId="77777777" w:rsidR="00B2096C" w:rsidRPr="00DD47DF" w:rsidRDefault="00B2096C" w:rsidP="002908E2">
      <w:pPr>
        <w:pStyle w:val="Standardntext"/>
        <w:numPr>
          <w:ilvl w:val="0"/>
          <w:numId w:val="53"/>
        </w:numPr>
      </w:pPr>
      <w:r w:rsidRPr="00DD47DF">
        <w:t>Posílení mobility a transferu znalostí mezi podnikovou a akademickou sférou s cílem zavádění produktových a procesních inovací v podnicích a sblížení výzkumných témat prováděných ve veřejném sektoru s potřebami podniků. Nárůst interakcí mezi podniky a veřejnými VaV a vzdělávacími institucemi povede k lepšímu porozumění jejich skutečným přínosům na obou stranách a většímu otevření univerzit ke spolupráci s podnikatelskou sférou.</w:t>
      </w:r>
    </w:p>
    <w:p w14:paraId="7E1030DE" w14:textId="77777777" w:rsidR="00A90CB3" w:rsidRPr="00DD47DF" w:rsidRDefault="00A90CB3" w:rsidP="00073A01">
      <w:pPr>
        <w:pStyle w:val="Titulek"/>
        <w:keepNext/>
        <w:keepLines/>
        <w:rPr>
          <w:rFonts w:cs="Calibri"/>
        </w:rPr>
      </w:pPr>
      <w:r w:rsidRPr="00DD47DF">
        <w:rPr>
          <w:rFonts w:cs="Calibri"/>
        </w:rPr>
        <w:t xml:space="preserve">Tabulka </w:t>
      </w:r>
      <w:r w:rsidR="002756E7" w:rsidRPr="00DD47DF">
        <w:rPr>
          <w:rFonts w:cs="Calibri"/>
        </w:rPr>
        <w:fldChar w:fldCharType="begin"/>
      </w:r>
      <w:r w:rsidR="002A1792" w:rsidRPr="00DD47DF">
        <w:rPr>
          <w:rFonts w:cs="Calibri"/>
        </w:rPr>
        <w:instrText xml:space="preserve"> SEQ Tabulka \* ARABIC \c </w:instrText>
      </w:r>
      <w:r w:rsidR="002756E7" w:rsidRPr="00DD47DF">
        <w:rPr>
          <w:rFonts w:cs="Calibri"/>
        </w:rPr>
        <w:fldChar w:fldCharType="separate"/>
      </w:r>
      <w:r w:rsidR="00117847">
        <w:rPr>
          <w:rFonts w:cs="Calibri"/>
          <w:noProof/>
        </w:rPr>
        <w:t>3</w:t>
      </w:r>
      <w:r w:rsidR="002756E7" w:rsidRPr="00DD47DF">
        <w:rPr>
          <w:rFonts w:cs="Calibri"/>
        </w:rPr>
        <w:fldChar w:fldCharType="end"/>
      </w:r>
      <w:r w:rsidR="000F7B0A" w:rsidRPr="00DD47DF">
        <w:rPr>
          <w:rFonts w:cs="Calibri"/>
        </w:rPr>
        <w:t>b</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5"/>
        <w:gridCol w:w="2033"/>
        <w:gridCol w:w="946"/>
        <w:gridCol w:w="1225"/>
        <w:gridCol w:w="915"/>
        <w:gridCol w:w="886"/>
        <w:gridCol w:w="934"/>
        <w:gridCol w:w="688"/>
        <w:gridCol w:w="1034"/>
      </w:tblGrid>
      <w:tr w:rsidR="00CF739D" w:rsidRPr="00DD47DF" w14:paraId="2562B094" w14:textId="77777777">
        <w:trPr>
          <w:trHeight w:hRule="exact" w:val="1276"/>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E2FAA49" w14:textId="77777777" w:rsidR="00CF739D" w:rsidRPr="00DD47DF" w:rsidRDefault="00CF739D" w:rsidP="001B2E5C">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5A49341" w14:textId="77777777" w:rsidR="00CF739D" w:rsidRPr="00DD47DF" w:rsidRDefault="00CF739D" w:rsidP="001B2E5C">
            <w:pPr>
              <w:pStyle w:val="Tabulka"/>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5B1EB32" w14:textId="77777777" w:rsidR="00CF739D" w:rsidRPr="00DD47DF" w:rsidRDefault="00CF739D" w:rsidP="001B2E5C">
            <w:pPr>
              <w:pStyle w:val="Tabulka"/>
              <w:rPr>
                <w:rFonts w:cs="Calibri"/>
                <w:b/>
                <w:bCs/>
              </w:rPr>
            </w:pPr>
            <w:r w:rsidRPr="00DD47DF">
              <w:rPr>
                <w:rFonts w:cs="Calibri"/>
                <w:b/>
                <w:bCs/>
              </w:rPr>
              <w:t>Měrná</w:t>
            </w:r>
          </w:p>
          <w:p w14:paraId="7598BB0C" w14:textId="77777777" w:rsidR="00CF739D" w:rsidRPr="00DD47DF" w:rsidRDefault="00CF739D" w:rsidP="001B2E5C">
            <w:pPr>
              <w:pStyle w:val="Tabulka"/>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F4CAC0C" w14:textId="77777777" w:rsidR="00CF739D" w:rsidRPr="00DD47DF" w:rsidRDefault="00CF739D" w:rsidP="001B2E5C">
            <w:pPr>
              <w:pStyle w:val="Tabulka"/>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B714FC1" w14:textId="77777777" w:rsidR="00CF739D" w:rsidRPr="00DD47DF" w:rsidRDefault="004B0854" w:rsidP="001B2E5C">
            <w:pPr>
              <w:pStyle w:val="Tabulka"/>
              <w:rPr>
                <w:rFonts w:cs="Calibri"/>
                <w:b/>
                <w:bCs/>
              </w:rPr>
            </w:pPr>
            <w:r w:rsidRPr="00DD47DF">
              <w:rPr>
                <w:rFonts w:cs="Calibri"/>
                <w:b/>
                <w:bCs/>
              </w:rPr>
              <w:t>Výchozí</w:t>
            </w:r>
            <w:r w:rsidR="00CF739D" w:rsidRPr="00DD47DF">
              <w:rPr>
                <w:rFonts w:cs="Calibri"/>
                <w:b/>
                <w:bCs/>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0D81A6"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2336B4F" w14:textId="77777777" w:rsidR="00CF739D" w:rsidRPr="00DD47DF" w:rsidRDefault="00CF739D" w:rsidP="001B2E5C">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9A8A3C5" w14:textId="77777777" w:rsidR="00CF739D" w:rsidRPr="00DD47DF" w:rsidRDefault="00CF739D" w:rsidP="001B2E5C">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59F8FF7" w14:textId="77777777" w:rsidR="00CF739D" w:rsidRPr="00DD47DF" w:rsidRDefault="00CF739D" w:rsidP="001B2E5C">
            <w:pPr>
              <w:pStyle w:val="Tabulka"/>
              <w:rPr>
                <w:rFonts w:cs="Calibri"/>
                <w:b/>
                <w:bCs/>
              </w:rPr>
            </w:pPr>
            <w:r w:rsidRPr="00DD47DF">
              <w:rPr>
                <w:rFonts w:cs="Calibri"/>
                <w:b/>
                <w:bCs/>
              </w:rPr>
              <w:t>Četnost podávání zpráv</w:t>
            </w:r>
          </w:p>
        </w:tc>
      </w:tr>
      <w:tr w:rsidR="009964FE" w:rsidRPr="00DD47DF" w14:paraId="502FF719" w14:textId="77777777" w:rsidTr="008F259C">
        <w:trPr>
          <w:trHeight w:hRule="exact" w:val="2718"/>
        </w:trPr>
        <w:tc>
          <w:tcPr>
            <w:tcW w:w="0" w:type="auto"/>
            <w:tcBorders>
              <w:top w:val="single" w:sz="4" w:space="0" w:color="000000"/>
              <w:left w:val="single" w:sz="4" w:space="0" w:color="000000"/>
              <w:bottom w:val="single" w:sz="4" w:space="0" w:color="000000"/>
              <w:right w:val="single" w:sz="4" w:space="0" w:color="000000"/>
            </w:tcBorders>
            <w:vAlign w:val="center"/>
          </w:tcPr>
          <w:p w14:paraId="561CD9EF" w14:textId="77777777" w:rsidR="009964FE" w:rsidRPr="00DD47DF" w:rsidRDefault="008120C1" w:rsidP="007D5585">
            <w:pPr>
              <w:pStyle w:val="Tabulka"/>
              <w:rPr>
                <w:rFonts w:cs="Calibri"/>
              </w:rPr>
            </w:pPr>
            <w:r w:rsidRPr="00DD47DF">
              <w:rPr>
                <w:rFonts w:cs="Calibri"/>
              </w:rPr>
              <w:lastRenderedPageBreak/>
              <w:t>21011</w:t>
            </w:r>
          </w:p>
        </w:tc>
        <w:tc>
          <w:tcPr>
            <w:tcW w:w="0" w:type="auto"/>
            <w:tcBorders>
              <w:top w:val="single" w:sz="4" w:space="0" w:color="000000"/>
              <w:left w:val="single" w:sz="4" w:space="0" w:color="000000"/>
              <w:bottom w:val="single" w:sz="4" w:space="0" w:color="000000"/>
              <w:right w:val="single" w:sz="4" w:space="0" w:color="000000"/>
            </w:tcBorders>
            <w:vAlign w:val="center"/>
          </w:tcPr>
          <w:p w14:paraId="2BE17A32" w14:textId="77777777" w:rsidR="009964FE" w:rsidRPr="00DD47DF" w:rsidRDefault="00F6040D" w:rsidP="00985574">
            <w:pPr>
              <w:pStyle w:val="Tabulka"/>
              <w:jc w:val="left"/>
              <w:rPr>
                <w:rFonts w:cs="Calibri"/>
              </w:rPr>
            </w:pPr>
            <w:r w:rsidRPr="00DD47DF">
              <w:rPr>
                <w:rFonts w:cs="Calibri"/>
              </w:rPr>
              <w:t>Výdaje podnikatelského sektoru na provádění VaV ve vládním a vysokoškolském sektoru jako % celkových výdajů na provádění VaV v těchto sektorech</w:t>
            </w:r>
          </w:p>
        </w:tc>
        <w:tc>
          <w:tcPr>
            <w:tcW w:w="0" w:type="auto"/>
            <w:tcBorders>
              <w:top w:val="single" w:sz="4" w:space="0" w:color="000000"/>
              <w:left w:val="single" w:sz="4" w:space="0" w:color="000000"/>
              <w:bottom w:val="single" w:sz="4" w:space="0" w:color="000000"/>
              <w:right w:val="single" w:sz="4" w:space="0" w:color="000000"/>
            </w:tcBorders>
            <w:vAlign w:val="center"/>
          </w:tcPr>
          <w:p w14:paraId="041997E0" w14:textId="77777777" w:rsidR="009964FE" w:rsidRPr="00DD47DF" w:rsidRDefault="00F6040D" w:rsidP="007D5585">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4E41954" w14:textId="77777777" w:rsidR="009964FE" w:rsidRPr="00DD47DF" w:rsidRDefault="009964FE" w:rsidP="007D5585">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1DACAB1F" w14:textId="77777777" w:rsidR="009964FE" w:rsidRPr="00DD47DF" w:rsidRDefault="00F6040D" w:rsidP="007D5585">
            <w:pPr>
              <w:pStyle w:val="Tabulka"/>
              <w:rPr>
                <w:rFonts w:cs="Calibri"/>
              </w:rPr>
            </w:pPr>
            <w:r w:rsidRPr="00DD47DF">
              <w:rPr>
                <w:rFonts w:cs="Calibri"/>
              </w:rPr>
              <w:t>5,6</w:t>
            </w:r>
          </w:p>
        </w:tc>
        <w:tc>
          <w:tcPr>
            <w:tcW w:w="0" w:type="auto"/>
            <w:tcBorders>
              <w:top w:val="single" w:sz="4" w:space="0" w:color="000000"/>
              <w:left w:val="single" w:sz="4" w:space="0" w:color="000000"/>
              <w:bottom w:val="single" w:sz="4" w:space="0" w:color="000000"/>
              <w:right w:val="single" w:sz="4" w:space="0" w:color="000000"/>
            </w:tcBorders>
            <w:vAlign w:val="center"/>
          </w:tcPr>
          <w:p w14:paraId="042D848E" w14:textId="77777777" w:rsidR="009964FE" w:rsidRPr="00DD47DF" w:rsidRDefault="00F6040D" w:rsidP="007D5585">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6142E937" w14:textId="77777777" w:rsidR="009964FE" w:rsidRPr="00DD47DF" w:rsidRDefault="006D0B8B" w:rsidP="007D5585">
            <w:pPr>
              <w:pStyle w:val="Tabulka"/>
              <w:rPr>
                <w:rFonts w:cs="Calibri"/>
              </w:rPr>
            </w:pPr>
            <w:r w:rsidRPr="00DD47DF">
              <w:rPr>
                <w:rFonts w:cs="Calibri"/>
              </w:rPr>
              <w:t>6,5 – 7,5</w:t>
            </w:r>
            <w:r w:rsidR="007E6815" w:rsidRPr="00DD47DF">
              <w:rPr>
                <w:rStyle w:val="Znakapoznpodarou"/>
                <w:rFonts w:cs="Calibri"/>
              </w:rPr>
              <w:footnoteReference w:id="42"/>
            </w:r>
          </w:p>
        </w:tc>
        <w:tc>
          <w:tcPr>
            <w:tcW w:w="0" w:type="auto"/>
            <w:tcBorders>
              <w:top w:val="single" w:sz="4" w:space="0" w:color="000000"/>
              <w:left w:val="single" w:sz="4" w:space="0" w:color="000000"/>
              <w:bottom w:val="single" w:sz="4" w:space="0" w:color="000000"/>
              <w:right w:val="single" w:sz="4" w:space="0" w:color="000000"/>
            </w:tcBorders>
            <w:vAlign w:val="center"/>
          </w:tcPr>
          <w:p w14:paraId="5EF9D492" w14:textId="77777777" w:rsidR="009964FE" w:rsidRPr="00DD47DF" w:rsidRDefault="00F6040D" w:rsidP="007D5585">
            <w:pPr>
              <w:pStyle w:val="Tabulka"/>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315CCCF7" w14:textId="77777777" w:rsidR="009964FE" w:rsidRPr="00DD47DF" w:rsidRDefault="00F6040D" w:rsidP="007D5585">
            <w:pPr>
              <w:pStyle w:val="Tabulka"/>
              <w:rPr>
                <w:rFonts w:cs="Calibri"/>
              </w:rPr>
            </w:pPr>
            <w:r w:rsidRPr="00DD47DF">
              <w:rPr>
                <w:rFonts w:cs="Calibri"/>
              </w:rPr>
              <w:t>ročně</w:t>
            </w:r>
          </w:p>
        </w:tc>
      </w:tr>
    </w:tbl>
    <w:p w14:paraId="5B274BFA" w14:textId="77777777" w:rsidR="00FF25A4" w:rsidRPr="00DD47DF" w:rsidRDefault="001B2E5C" w:rsidP="00441D67">
      <w:pPr>
        <w:pStyle w:val="kapitola2A0"/>
        <w:numPr>
          <w:ilvl w:val="2"/>
          <w:numId w:val="128"/>
        </w:numPr>
      </w:pPr>
      <w:bookmarkStart w:id="33" w:name="_Toc129005373"/>
      <w:r w:rsidRPr="00DD47DF">
        <w:t>Opatření, jež má být podpořeno v rámci investiční priority</w:t>
      </w:r>
      <w:bookmarkEnd w:id="33"/>
    </w:p>
    <w:p w14:paraId="0D9AA41E" w14:textId="77777777" w:rsidR="00FF1673" w:rsidRPr="00DD47DF" w:rsidRDefault="00D479AF" w:rsidP="00A25CBC">
      <w:pPr>
        <w:pStyle w:val="Nadpis5"/>
        <w:numPr>
          <w:ilvl w:val="4"/>
          <w:numId w:val="129"/>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0096D4C4" w14:textId="77777777" w:rsidR="00497C7C" w:rsidRPr="00DD47DF" w:rsidRDefault="00497C7C" w:rsidP="00497C7C">
      <w:pPr>
        <w:pStyle w:val="Modrnadpis"/>
      </w:pPr>
      <w:r w:rsidRPr="00DD47DF">
        <w:t>SPECIFICKÝ CÍL 1.2: Zvýšit intenzitu a účinnost spolupráce ve výzkumu, vývoji a inovacích</w:t>
      </w:r>
    </w:p>
    <w:p w14:paraId="356D09B8" w14:textId="77777777" w:rsidR="00497C7C" w:rsidRPr="00DD47DF" w:rsidRDefault="000A2EB4" w:rsidP="00497C7C">
      <w:pPr>
        <w:pStyle w:val="Standardntext"/>
        <w:keepNext/>
        <w:keepLines/>
        <w:rPr>
          <w:b/>
        </w:rPr>
      </w:pPr>
      <w:r w:rsidRPr="00DD47DF">
        <w:rPr>
          <w:b/>
        </w:rPr>
        <w:t>Aktivity pro tento specifický cíl:</w:t>
      </w:r>
    </w:p>
    <w:p w14:paraId="331A9942" w14:textId="77777777" w:rsidR="00497C7C" w:rsidRPr="00DD47DF" w:rsidRDefault="00497C7C" w:rsidP="002908E2">
      <w:pPr>
        <w:pStyle w:val="Standardntext"/>
        <w:keepNext/>
        <w:keepLines/>
        <w:numPr>
          <w:ilvl w:val="0"/>
          <w:numId w:val="48"/>
        </w:numPr>
      </w:pPr>
      <w:r w:rsidRPr="00DD47DF">
        <w:t>Tvorba nových a rozšiřování a zvyšování kvality současných služeb podpůrné infrastruktury, tj. vědecko-technických parků, podnikatelských inovačních center, podnikatelských inkubátorů,</w:t>
      </w:r>
    </w:p>
    <w:p w14:paraId="1E764DDF" w14:textId="77777777" w:rsidR="00497C7C" w:rsidRPr="00DD47DF" w:rsidRDefault="00497C7C" w:rsidP="002908E2">
      <w:pPr>
        <w:pStyle w:val="Standardntext"/>
        <w:numPr>
          <w:ilvl w:val="0"/>
          <w:numId w:val="48"/>
        </w:numPr>
      </w:pPr>
      <w:r w:rsidRPr="00DD47DF">
        <w:t>rozvoj sítí spolupráce, vč. klastrů a technologických platforem (zejména kolektivní výzkum, založený na potřebách většího počtu MSP i větších firem, rozvoj mezisektorové spolupráce a internacionalizace),</w:t>
      </w:r>
    </w:p>
    <w:p w14:paraId="3B963622" w14:textId="77777777" w:rsidR="00497C7C" w:rsidRPr="00DD47DF" w:rsidRDefault="00497C7C" w:rsidP="002908E2">
      <w:pPr>
        <w:pStyle w:val="Standardntext"/>
        <w:numPr>
          <w:ilvl w:val="0"/>
          <w:numId w:val="48"/>
        </w:numPr>
      </w:pPr>
      <w:r w:rsidRPr="00DD47DF">
        <w:t>vytváření partnerství pro znalostní transfer mezi podniky a univerzitami,</w:t>
      </w:r>
    </w:p>
    <w:p w14:paraId="0CA79331" w14:textId="77777777" w:rsidR="00497C7C" w:rsidRPr="00DD47DF" w:rsidRDefault="00497C7C" w:rsidP="002908E2">
      <w:pPr>
        <w:pStyle w:val="Standardntext"/>
        <w:numPr>
          <w:ilvl w:val="0"/>
          <w:numId w:val="48"/>
        </w:numPr>
      </w:pPr>
      <w:r w:rsidRPr="00DD47DF">
        <w:t>rozvoj komunikace a sdílení poznatků mezi podnikovou a výzkumnou sférou,</w:t>
      </w:r>
    </w:p>
    <w:p w14:paraId="13C6744D" w14:textId="77777777" w:rsidR="00497C7C" w:rsidRPr="00DD47DF" w:rsidRDefault="00497C7C" w:rsidP="002908E2">
      <w:pPr>
        <w:pStyle w:val="Standardntext"/>
        <w:numPr>
          <w:ilvl w:val="0"/>
          <w:numId w:val="48"/>
        </w:numPr>
      </w:pPr>
      <w:r w:rsidRPr="00DD47DF">
        <w:t>rozšiřování/výstavba sdílené infrastruktury pro průmyslový výzkum</w:t>
      </w:r>
      <w:r w:rsidRPr="00DD47DF">
        <w:rPr>
          <w:rStyle w:val="Znakapoznpodarou"/>
        </w:rPr>
        <w:footnoteReference w:id="43"/>
      </w:r>
      <w:r w:rsidRPr="00DD47DF">
        <w:t>,</w:t>
      </w:r>
    </w:p>
    <w:p w14:paraId="3F687BF9" w14:textId="77777777" w:rsidR="00497C7C" w:rsidRPr="00DD47DF" w:rsidRDefault="00497C7C" w:rsidP="002908E2">
      <w:pPr>
        <w:pStyle w:val="Standardntext"/>
        <w:numPr>
          <w:ilvl w:val="0"/>
          <w:numId w:val="48"/>
        </w:numPr>
      </w:pPr>
      <w:r w:rsidRPr="00DD47DF">
        <w:t>aktivity vedoucí ke komercializaci výsledků výzkumu pomocí aktivit ověření proveditelnosti („proof – of – concept“), pozornost bude věnována opatřením v oblasti nízkouhlíkové ekonomiky a adaptace na klimatické změny.</w:t>
      </w:r>
    </w:p>
    <w:p w14:paraId="2668DCAB" w14:textId="77777777" w:rsidR="00497C7C" w:rsidRPr="00DD47DF" w:rsidRDefault="00497C7C" w:rsidP="00497C7C">
      <w:pPr>
        <w:pStyle w:val="Standardntext"/>
      </w:pPr>
      <w:r w:rsidRPr="00DD47DF">
        <w:t>Specifický cíl 1.2 zahrnuje zejména aktivity zaměřené na zlepšení vnějšího prostředí pro podnikové inovace, tj. intervence rozvíjející služby podpůrné inovační infrastruktury, které pomáhají řešit problémy nedostatku kapacit podnikatelských subjektů (zejména MSP), lidských i finančních zdrojů, nedostatku odborných znalostí v podnikatelském sektoru způsobené zejména nedostatečnou spoluprací při rozvoji výzkumných, vývojových a inovačních aktivit.</w:t>
      </w:r>
    </w:p>
    <w:p w14:paraId="1FE66477" w14:textId="77777777" w:rsidR="00497C7C" w:rsidRPr="00DD47DF" w:rsidRDefault="00497C7C" w:rsidP="00497C7C">
      <w:pPr>
        <w:pStyle w:val="Standardntext"/>
      </w:pPr>
      <w:r w:rsidRPr="00DD47DF">
        <w:t xml:space="preserve">Cílem pro období 2014 - 2020 bude postup do další fáze, která se zaměří zejména na zkvalitňování služeb VaV infrastruktury s důrazem na naplňování jejich poslání – růst počtu </w:t>
      </w:r>
      <w:r w:rsidRPr="00DD47DF">
        <w:lastRenderedPageBreak/>
        <w:t>transferů technologií a znalostí, zlepšování podmínek pro vznik a rozvoj inovačních firem apod. Cílem tedy již není založení spolupráce, ale její další zefektivnění vedoucí k růstu konkurenceschopnosti regionů.</w:t>
      </w:r>
    </w:p>
    <w:p w14:paraId="64A8E2A0" w14:textId="77777777" w:rsidR="004934FF" w:rsidRPr="00DD47DF" w:rsidRDefault="00497C7C" w:rsidP="00497C7C">
      <w:pPr>
        <w:pStyle w:val="Standardntext"/>
      </w:pPr>
      <w:r w:rsidRPr="00DD47DF">
        <w:rPr>
          <w:b/>
        </w:rPr>
        <w:t xml:space="preserve">Vědeckotechnické parky (jejichž součástí jsou inovační centra a podnikatelské inkubátory) </w:t>
      </w:r>
      <w:r w:rsidRPr="00DD47DF">
        <w:t>budou prostřednictvím vlastních expertů nebo formou zprostředkování ověřených externích služeb poskytovat inkubovaným a dalším inovativním MSP služby specializovaného poradenství.</w:t>
      </w:r>
      <w:r w:rsidRPr="00DD47DF">
        <w:rPr>
          <w:rStyle w:val="Znakapoznpodarou"/>
        </w:rPr>
        <w:footnoteReference w:id="44"/>
      </w:r>
      <w:r w:rsidRPr="00DD47DF">
        <w:t xml:space="preserve"> Důraz bude kladen na rozvoj kvality služeb v těchto oblastech: (i) strategické řízení a management inovací; (ii) strategické poradenství při vstupu na nové trhy; (iii) ochrany a využití práv duševního vlastnictví; (iv) navazování a rozvíjení výzkumné spolupráce; (v) komercializace výsledků výzkumu; (vi) přístupu ke kapitálu apod. Vědeckotechnické parky (VTP) dále poskytují vzdělávací, osvětové služby spojené s VaVaI.</w:t>
      </w:r>
    </w:p>
    <w:p w14:paraId="3E0AF336" w14:textId="77777777" w:rsidR="00497C7C" w:rsidRPr="00DD47DF" w:rsidRDefault="004934FF" w:rsidP="00497C7C">
      <w:pPr>
        <w:pStyle w:val="Standardntext"/>
      </w:pPr>
      <w:r w:rsidRPr="00DD47DF">
        <w:rPr>
          <w:b/>
        </w:rPr>
        <w:t>Podpora sdílené infrastruktury</w:t>
      </w:r>
      <w:r w:rsidRPr="00DD47DF">
        <w:t xml:space="preserve"> se bude v nejvyšší míře zaměřovat na optimalizaci existující výzkumné a inovační infrastruktury. V</w:t>
      </w:r>
      <w:r w:rsidR="00497C7C" w:rsidRPr="00DD47DF">
        <w:t xml:space="preserve"> odůvodněných případech bude umožněno také rozšíření prostor VTP a pořízení nového vybavení a zlepšení kapacit pro společné využívání technologií, v ojedinělých případech také výstavba nové sdílené infrastruktury v regionu, kde bude prokázán nedostatek vhodné výzkumné infrastruktury pro podnikatelské subjekty, tj. v případech doložené analýzy absorpční kapacity a poptávky ze strany podnikatelských subjektů, kterou není možné naplnit ze strany již existující inovační infrastruktury.</w:t>
      </w:r>
      <w:r w:rsidR="00497C7C" w:rsidRPr="00DD47DF">
        <w:rPr>
          <w:rStyle w:val="Znakapoznpodarou"/>
        </w:rPr>
        <w:footnoteReference w:id="45"/>
      </w:r>
      <w:r w:rsidR="00497C7C" w:rsidRPr="00DD47DF">
        <w:t xml:space="preserve"> Realizace projektů povede k nárůstu výdajů podnikatelského sektoru na provádění VaV</w:t>
      </w:r>
      <w:r w:rsidR="00BA4E72" w:rsidRPr="00DD47DF">
        <w:t xml:space="preserve"> </w:t>
      </w:r>
      <w:r w:rsidR="00497C7C" w:rsidRPr="00DD47DF">
        <w:t>ve vládním a vysokoškolském sektoru (relevantní i pro další aktivity SC1.2) a ke zvýšení počtu podniků využívajících nově vytvořené podpůrné služby inovační infrastruktury i k většímu počtu rychle rostoucích firem nově umístěných v inovační infrastruktuře.</w:t>
      </w:r>
    </w:p>
    <w:p w14:paraId="45212559" w14:textId="77777777" w:rsidR="00497C7C" w:rsidRPr="00DD47DF" w:rsidRDefault="00497C7C" w:rsidP="00497C7C">
      <w:pPr>
        <w:pStyle w:val="Standardntext"/>
      </w:pPr>
      <w:r w:rsidRPr="00DD47DF">
        <w:rPr>
          <w:b/>
        </w:rPr>
        <w:t>Aktivity klastrů</w:t>
      </w:r>
      <w:r w:rsidRPr="00DD47DF">
        <w:t xml:space="preserve"> spočívají zejména v posilování spolupráce mezi podnikatelskými subjekty vedoucí k diverzifikaci produktů, sdílení know-how a znalostí a přispívající k inteligentní specializaci; prohlubování spolupráce s vědeckovýzkumnou sférou s cílem posunu odvětví na vyšší technologickou úroveň i spolupráce v oblasti vzdělávání, studentských stáží apod.; další oblastí je internacionalizace, tj. navazování spolupráce v evropském výzkumném prostoru, zapojování se do konsorcií v evropských výzkumných programech</w:t>
      </w:r>
      <w:r w:rsidR="004934FF" w:rsidRPr="00DD47DF">
        <w:t xml:space="preserve"> a</w:t>
      </w:r>
      <w:r w:rsidRPr="00DD47DF">
        <w:t xml:space="preserve"> přeshraničních sítí excelentních klastrů (se zaměřením na budoucí výzvy a klíčové technologie), koordinovaný přístup na třetí trhy apod. Součástí projektu může dále být rozvoj kvalitní sdílené infrastruktury a</w:t>
      </w:r>
      <w:r w:rsidR="00BA4E72" w:rsidRPr="00DD47DF">
        <w:t xml:space="preserve"> projekty kolektivního výzkumu</w:t>
      </w:r>
      <w:r w:rsidRPr="00DD47DF">
        <w:t>, které odpovídají inovačním potřebám více malých a středních podniků daného průmyslového odvětví nebo technologické oblasti. Předpokládá se také realizace projektů přeshraničního kolektivního výzkumu (zejména mezisektorového)</w:t>
      </w:r>
      <w:r w:rsidRPr="00DD47DF">
        <w:rPr>
          <w:rStyle w:val="Znakapoznpodarou"/>
        </w:rPr>
        <w:footnoteReference w:id="46"/>
      </w:r>
      <w:r w:rsidRPr="00DD47DF">
        <w:t>. Hlavní důraz bude kladen na rozvoj aktivit zralých klastrů v konceptu klastrové excelence - klastry</w:t>
      </w:r>
      <w:r w:rsidR="00BA4E72" w:rsidRPr="00DD47DF">
        <w:t xml:space="preserve"> </w:t>
      </w:r>
      <w:r w:rsidRPr="00DD47DF">
        <w:t xml:space="preserve">budou důležitými aktéry v regionálních RIS3 strategiích, které mohou využít kritické masy podniků a znalostní základny k dalšímu posilování pozice regionu v zavedených průmyslových odvětvích či technologických oblastech; posilování přeshraničních vazeb může </w:t>
      </w:r>
      <w:r w:rsidRPr="00DD47DF">
        <w:lastRenderedPageBreak/>
        <w:t xml:space="preserve">zároveň přispět k rozvoji nových znalostí přesahujících tradiční odvětvová vymezení (tzv. emerging industries). </w:t>
      </w:r>
    </w:p>
    <w:p w14:paraId="23A2B328" w14:textId="77777777" w:rsidR="00497C7C" w:rsidRPr="00DD47DF" w:rsidRDefault="00497C7C" w:rsidP="00497C7C">
      <w:pPr>
        <w:pStyle w:val="Standardntext"/>
      </w:pPr>
      <w:r w:rsidRPr="00DD47DF">
        <w:t xml:space="preserve">Typovým projektem </w:t>
      </w:r>
      <w:r w:rsidRPr="00DD47DF">
        <w:rPr>
          <w:b/>
        </w:rPr>
        <w:t>technologické platformy</w:t>
      </w:r>
      <w:r w:rsidRPr="00DD47DF">
        <w:t xml:space="preserve"> je podpora její koordinační činnosti zejména v oblasti průmyslových (a souvisejících společenských) výzev daného odvětví, technologického foresightu, iniciace </w:t>
      </w:r>
      <w:r w:rsidR="004934FF" w:rsidRPr="00DD47DF">
        <w:t>VaV</w:t>
      </w:r>
      <w:r w:rsidRPr="00DD47DF">
        <w:t xml:space="preserve"> projektů v oblastech definovaných ve strategických výzkumných agendách jako klíčových pro budoucí konkurenceschopnost a udržitelný rozvoj, navázání hlubší spolupráce TP s evropskými technologickými platformami a zapojování českých výzkumných institucí a podniků do činnosti evropských platforem, koordinace českých subjektů v přístupu do Horizont 2020 a dalších evropských programů.</w:t>
      </w:r>
    </w:p>
    <w:p w14:paraId="33BFC79E" w14:textId="77777777" w:rsidR="00497C7C" w:rsidRPr="00DD47DF" w:rsidRDefault="00497C7C" w:rsidP="00497C7C">
      <w:pPr>
        <w:pStyle w:val="Standardntext"/>
      </w:pPr>
      <w:r w:rsidRPr="00DD47DF">
        <w:t>Služby</w:t>
      </w:r>
      <w:r w:rsidR="004934FF" w:rsidRPr="00DD47DF">
        <w:t xml:space="preserve"> a aktivity</w:t>
      </w:r>
      <w:r w:rsidRPr="00DD47DF">
        <w:t xml:space="preserve"> uvedené podpůrné infrastruktury přispějí </w:t>
      </w:r>
      <w:r w:rsidR="004934FF" w:rsidRPr="00DD47DF">
        <w:t xml:space="preserve">také k rozvoji komunikace </w:t>
      </w:r>
      <w:r w:rsidRPr="00DD47DF">
        <w:t xml:space="preserve">a sdílení poznatků mezi podnikovou a výzkumnou sférou, jejímž výsledkem budou zejména společné projekty a realizované transfery technologií a znalostí. Na regionální úrovni </w:t>
      </w:r>
      <w:r w:rsidR="004934FF" w:rsidRPr="00DD47DF">
        <w:t>bude tato aktivita realizována</w:t>
      </w:r>
      <w:r w:rsidRPr="00DD47DF">
        <w:t xml:space="preserve"> </w:t>
      </w:r>
      <w:r w:rsidR="004934FF" w:rsidRPr="00DD47DF">
        <w:rPr>
          <w:b/>
        </w:rPr>
        <w:t xml:space="preserve">schématy </w:t>
      </w:r>
      <w:r w:rsidRPr="00DD47DF">
        <w:rPr>
          <w:b/>
        </w:rPr>
        <w:t>typu inovačních voucherů</w:t>
      </w:r>
      <w:r w:rsidRPr="00DD47DF">
        <w:t xml:space="preserve">. Inovační vouchery budou využívat podnikatelské subjekty </w:t>
      </w:r>
      <w:r w:rsidR="004934FF" w:rsidRPr="00DD47DF">
        <w:t xml:space="preserve">pro projekty menšího rozsahu zaměřené </w:t>
      </w:r>
      <w:r w:rsidRPr="00DD47DF">
        <w:t>zejména na nákup služeb od znalostních institucí pro zahájení či zintenzivnění vlastních inovačních aktivit. Služby budou zahrnovat např. měření, zkoušky, výpočty, konzultace, spolupráce s doktorandy, služby v oblasti nákupu, transferu duševního vlastnictví, apod.</w:t>
      </w:r>
    </w:p>
    <w:p w14:paraId="5F59DA2E" w14:textId="77777777" w:rsidR="00497C7C" w:rsidRPr="00DD47DF" w:rsidRDefault="00497C7C" w:rsidP="00497C7C">
      <w:pPr>
        <w:pStyle w:val="Standardntext"/>
      </w:pPr>
      <w:r w:rsidRPr="00DD47DF">
        <w:t xml:space="preserve">V oblasti transferu znalostí budou využity zkušenosti s pilotními </w:t>
      </w:r>
      <w:r w:rsidRPr="00DD47DF">
        <w:rPr>
          <w:b/>
        </w:rPr>
        <w:t>projekty partnerství univerzit a MSP</w:t>
      </w:r>
      <w:r w:rsidRPr="00DD47DF">
        <w:t>, při nichž byl v OPPI vyzkoušen model britského programu Knowledge Transfer Partnership. Program bude podporovat společné projekty podnikatelů a univerzit, při kterých dochází k přímé aplikaci výzkumných poznatků v podniku, které mají strategický význam pro jeho další rozvoj, za účasti úspěšných absolventů a za přímého dohledu odborného univerzitního pracoviště. Realizované projekty transferu znalostí vykazují ekonomické přínosy v oblasti získání nových zakázek, snížení výrobních nákladů, zrychlení vývojových procesů a jejich přenos do výroby apod. vytvořená partnerství přispívají také ke sblížení výzkumných témat na univerzitních pracovištích s potřebami podniků a jsou často také východiskem pro navázání dalších společných aktivit, které zahrnují širokou škálu oblastí od studentských/postgraduálních projektů, stáží, výzkumu a využití duševního vlastnictví.</w:t>
      </w:r>
    </w:p>
    <w:p w14:paraId="1513F220" w14:textId="77777777" w:rsidR="00497C7C" w:rsidRPr="00DD47DF" w:rsidRDefault="00497C7C" w:rsidP="00497C7C">
      <w:pPr>
        <w:pStyle w:val="Standardntext"/>
      </w:pPr>
      <w:r w:rsidRPr="00DD47DF">
        <w:t xml:space="preserve">Typovým projektem </w:t>
      </w:r>
      <w:r w:rsidRPr="00DD47DF">
        <w:rPr>
          <w:b/>
        </w:rPr>
        <w:t>proof of concept</w:t>
      </w:r>
      <w:r w:rsidR="00BA4E72" w:rsidRPr="00DD47DF">
        <w:rPr>
          <w:b/>
        </w:rPr>
        <w:t xml:space="preserve"> </w:t>
      </w:r>
      <w:r w:rsidRPr="00DD47DF">
        <w:t xml:space="preserve">bude soubor činností, které zajistí posunutí výsledků výzkumu ke komerčnímu využití. Východiskem projektů proof of concept je nápad nebo rozpracovaný výzkum. Projekt proof of concept se skládá ze dvou </w:t>
      </w:r>
      <w:r w:rsidR="004D74A2" w:rsidRPr="00DD47DF">
        <w:t>na sebe navazujících kroků. V prvním</w:t>
      </w:r>
      <w:r w:rsidRPr="00DD47DF">
        <w:t xml:space="preserve"> kroku bude zkoumána proveditelnost výzkumu. V projektu budou podporovány činnosti související s mapováním aplikovatelnosti a průzkumem trhu</w:t>
      </w:r>
      <w:r w:rsidR="004D74A2" w:rsidRPr="00DD47DF">
        <w:t xml:space="preserve"> </w:t>
      </w:r>
      <w:r w:rsidRPr="00DD47DF">
        <w:t xml:space="preserve">a zájmu aplikační sféry. V případě kladně vyhodnocené studie proveditelnosti </w:t>
      </w:r>
      <w:r w:rsidR="004D74A2" w:rsidRPr="00DD47DF">
        <w:t>bude projekt pokračovat krokem dva a to</w:t>
      </w:r>
      <w:r w:rsidRPr="00DD47DF">
        <w:t xml:space="preserve"> </w:t>
      </w:r>
      <w:r w:rsidR="004D74A2" w:rsidRPr="00DD47DF">
        <w:t>d</w:t>
      </w:r>
      <w:r w:rsidRPr="00DD47DF">
        <w:t>otažení</w:t>
      </w:r>
      <w:r w:rsidR="004D74A2" w:rsidRPr="00DD47DF">
        <w:t>m</w:t>
      </w:r>
      <w:r w:rsidRPr="00DD47DF">
        <w:t xml:space="preserve"> výrobku/služby do finálního stádia, tj. </w:t>
      </w:r>
      <w:r w:rsidR="004D74A2" w:rsidRPr="00DD47DF">
        <w:t>zejména</w:t>
      </w:r>
      <w:r w:rsidRPr="00DD47DF">
        <w:t xml:space="preserve"> činnosti vedoucí ke vzniku funkčního vzorku/prototypu, nalezení strategického komerčního partnera, patentování a případně vznik nové spin-off firmy. Výsledkem tohoto kroku bude funkční vzorek/prototyp se zvýšenou možností jeho dalšího uplatnění v praxi (např. smlouva s komerčním partnerem, založená spin-off firma nebo přímý prodej prototypu/funkčního vzorku).</w:t>
      </w:r>
    </w:p>
    <w:p w14:paraId="393C802E" w14:textId="77777777" w:rsidR="00497C7C" w:rsidRPr="00DD47DF" w:rsidRDefault="003D2AA6" w:rsidP="00497C7C">
      <w:pPr>
        <w:pStyle w:val="Standardntext"/>
      </w:pPr>
      <w:r w:rsidRPr="00DD47DF">
        <w:t>Všechny plánované a</w:t>
      </w:r>
      <w:r w:rsidR="00497C7C" w:rsidRPr="00DD47DF">
        <w:t xml:space="preserve">ktivity SC 1.1 a SC 1.2 </w:t>
      </w:r>
      <w:r w:rsidRPr="00DD47DF">
        <w:t xml:space="preserve">vycházejí z potřeb zohledněných v Národní RIS3 strategii a </w:t>
      </w:r>
      <w:r w:rsidR="00497C7C" w:rsidRPr="00DD47DF">
        <w:t xml:space="preserve">mají přímou vazbu na tyto strategické cíle Národní RIS3 strategie: „Zvýšit inovační poptávku ve firmách (i ve veřejném sektoru)“, „Zvýšit míru podnikání ve společnosti s důrazem na zakládání nových rychle rostoucích firem“ a „Zvýšit relevanci výzkumu“. Jde především o vzájemnou provázanost s typovými aktivitami/projekty/operacemi specifických cílů A1.1 „Posílit výzkumné a vývojové kapacity podniků“, A1.2 „Zlepšit strategické řízení v MSP“, A1.3 „Posílit technologickou spolupráci firem“, A2.1 „Zvýšit počet nových firem </w:t>
      </w:r>
      <w:r w:rsidR="00497C7C" w:rsidRPr="00DD47DF">
        <w:lastRenderedPageBreak/>
        <w:t>usilujících o inovace, zejména vyšších řádů“ a C1.1 „Posílit spolupráci a interakci mezi VO a aplikační sférou“ Národní RIS3 strategie.</w:t>
      </w:r>
    </w:p>
    <w:p w14:paraId="610E3448" w14:textId="77777777" w:rsidR="00497C7C" w:rsidRPr="00DD47DF" w:rsidRDefault="00497C7C" w:rsidP="00497C7C">
      <w:pPr>
        <w:pStyle w:val="Standardntext"/>
      </w:pPr>
      <w:r w:rsidRPr="00DD47DF">
        <w:rPr>
          <w:b/>
        </w:rPr>
        <w:t xml:space="preserve">Hlavní cílová skupina: </w:t>
      </w:r>
      <w:r w:rsidRPr="00DD47DF">
        <w:t>Podnikatelské subjekty (zejména MSP), výzkumné organizace</w:t>
      </w:r>
    </w:p>
    <w:p w14:paraId="78F8AA9C" w14:textId="77777777" w:rsidR="00497C7C" w:rsidRPr="00DD47DF" w:rsidRDefault="00497C7C" w:rsidP="00497C7C">
      <w:pPr>
        <w:pStyle w:val="Standardntext"/>
      </w:pPr>
      <w:r w:rsidRPr="00DD47DF">
        <w:rPr>
          <w:b/>
        </w:rPr>
        <w:t xml:space="preserve">Cílové území: </w:t>
      </w:r>
      <w:r w:rsidRPr="00DD47DF">
        <w:t>Území České republiky, mimo území hl. m. Prahy. Z hlediska územní dimenze bude tento specifický cíl zaměřen na rozvojová a urbánní území, kde se předpokládá zapojení do integrovaného nástroje ITI.</w:t>
      </w:r>
    </w:p>
    <w:p w14:paraId="76B6178F" w14:textId="77777777" w:rsidR="00497C7C" w:rsidRPr="00DD47DF" w:rsidRDefault="00497C7C" w:rsidP="00497C7C">
      <w:pPr>
        <w:pStyle w:val="Standardntext"/>
      </w:pPr>
      <w:r w:rsidRPr="00DD47DF">
        <w:rPr>
          <w:b/>
          <w:szCs w:val="22"/>
        </w:rPr>
        <w:t>Typy příjemců:</w:t>
      </w:r>
      <w:r w:rsidRPr="00DD47DF">
        <w:rPr>
          <w:szCs w:val="22"/>
        </w:rPr>
        <w:t xml:space="preserve"> 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r w:rsidRPr="00DD47DF">
        <w:rPr>
          <w:rStyle w:val="Znakapoznpodarou"/>
        </w:rPr>
        <w:footnoteReference w:id="47"/>
      </w:r>
      <w:r w:rsidRPr="00DD47DF">
        <w:rPr>
          <w:szCs w:val="22"/>
        </w:rPr>
        <w:t>.</w:t>
      </w:r>
    </w:p>
    <w:p w14:paraId="42B2B093" w14:textId="77777777" w:rsidR="00CE1180" w:rsidRPr="00DD47DF" w:rsidRDefault="00446534" w:rsidP="00497C7C">
      <w:pPr>
        <w:pStyle w:val="Standardntext"/>
      </w:pPr>
      <w:r w:rsidRPr="00DD47DF">
        <w:t>V SC 1.2 se předpokládá zapojení velkých podniků pouze výjimečně, a to jen u aktivit, které negenerují čistý příjem, jako např. výstavba a provoz VTP zaměřených především na inkubaci inovačních MSP. Zapojení do těchto aktivit má výhody nejen z hlediska sdílení jejich personálního a materiálního vybavení, ale velké podniky mohou zajistit pro danou inovační infrastrukturu širokou publicitu a přitáhnout další výzkumníky či podnikatele z řad MSP.</w:t>
      </w:r>
    </w:p>
    <w:p w14:paraId="5C2CD955" w14:textId="77777777" w:rsidR="00D71D90" w:rsidRPr="00DD47DF" w:rsidRDefault="00BA6461" w:rsidP="00A25CBC">
      <w:pPr>
        <w:pStyle w:val="Nadpis5"/>
        <w:numPr>
          <w:ilvl w:val="4"/>
          <w:numId w:val="129"/>
        </w:numPr>
      </w:pPr>
      <w:r w:rsidRPr="00DD47DF">
        <w:t>Hlavní zásady pro výběr operací</w:t>
      </w:r>
    </w:p>
    <w:p w14:paraId="3F9A7B3A" w14:textId="62094C7C" w:rsidR="00794BE8" w:rsidRPr="00DD47DF" w:rsidRDefault="00FE3385" w:rsidP="001D5D0B">
      <w:pPr>
        <w:pStyle w:val="Standardntext"/>
      </w:pPr>
      <w:r w:rsidRPr="00DD47DF">
        <w:rPr>
          <w:b/>
        </w:rPr>
        <w:t xml:space="preserve">Společné obecné zásady pro výběr operací pro všechny investiční priority celého OP PIK: </w:t>
      </w:r>
      <w:r w:rsidR="00046F11" w:rsidRPr="00DD47DF">
        <w:t>V</w:t>
      </w:r>
      <w:r w:rsidRPr="00DD47DF">
        <w:t> </w:t>
      </w:r>
      <w:r w:rsidR="00046F11" w:rsidRPr="00DD47DF">
        <w:t xml:space="preserve">rámci </w:t>
      </w:r>
      <w:r w:rsidR="001D5D0B" w:rsidRPr="00DD47DF">
        <w:t xml:space="preserve">dané </w:t>
      </w:r>
      <w:r w:rsidR="00046F11" w:rsidRPr="00DD47DF">
        <w:t xml:space="preserve">investiční priority budou vyhlašovány výzvy na předkládání individuálních projektů. </w:t>
      </w:r>
      <w:r w:rsidR="00855A0B" w:rsidRPr="00DD47DF">
        <w:t>Předložené projekty budou</w:t>
      </w:r>
      <w:r w:rsidR="00BA4E72" w:rsidRPr="00DD47DF">
        <w:t xml:space="preserve"> </w:t>
      </w:r>
      <w:r w:rsidR="00855A0B" w:rsidRPr="00DD47DF">
        <w:t>nejdříve posuzovány ze strany řídícího orgánu / zprostředkujícího subjektu z pohledu jejich souladu s </w:t>
      </w:r>
      <w:r w:rsidR="002653FC">
        <w:t xml:space="preserve">formálními </w:t>
      </w:r>
      <w:r w:rsidR="00855A0B" w:rsidRPr="00DD47DF">
        <w:t>podmínkami daného programu podpory.</w:t>
      </w:r>
      <w:r w:rsidR="00046F11" w:rsidRPr="00DD47DF">
        <w:t xml:space="preserve"> </w:t>
      </w:r>
      <w:r w:rsidR="005F6001" w:rsidRPr="00DD47DF">
        <w:t xml:space="preserve">Projektové žádosti, které úspěšně projdou tímto procesem, budou hodnoceny odbornými hodnotiteli dle předem definovaných výběrových kritérií odpovídajících charakteru jednotlivých specifických cílů a v rámci nich podporovaných aktivit. Projekty bude hodnotit </w:t>
      </w:r>
      <w:r w:rsidR="00860A26">
        <w:t>externí</w:t>
      </w:r>
      <w:r w:rsidR="005F6001" w:rsidRPr="00DD47DF">
        <w:t xml:space="preserve"> </w:t>
      </w:r>
      <w:r w:rsidR="00B01274">
        <w:t>hodnotitel</w:t>
      </w:r>
      <w:r w:rsidR="00B01274" w:rsidRPr="00DD47DF">
        <w:t xml:space="preserve"> </w:t>
      </w:r>
      <w:r w:rsidR="00860A26" w:rsidRPr="00860A26">
        <w:t>(především u projektů PO1) nebo interní hodnotitel</w:t>
      </w:r>
      <w:r w:rsidR="00860A26">
        <w:t xml:space="preserve"> </w:t>
      </w:r>
      <w:r w:rsidR="005F6001" w:rsidRPr="00DD47DF">
        <w:t xml:space="preserve">řídícího orgánu (popř. zprostředkujícího subjektu) znalý problematiky </w:t>
      </w:r>
      <w:r w:rsidR="00860A26">
        <w:t>oboru/</w:t>
      </w:r>
      <w:r w:rsidR="005F6001" w:rsidRPr="00DD47DF">
        <w:t>dané prioritní osy, resp. specifického cíle operačního programu</w:t>
      </w:r>
      <w:r w:rsidR="00860A26">
        <w:t>.</w:t>
      </w:r>
      <w:r w:rsidR="005F6001" w:rsidRPr="00DD47DF">
        <w:t xml:space="preserve"> </w:t>
      </w:r>
      <w:r w:rsidR="00860A26" w:rsidRPr="00860A26">
        <w:t>U výzev, u nichž jsou využíváni interní hodnotitelé, si interní hodnotitel může v případě, že</w:t>
      </w:r>
      <w:r w:rsidR="001D5D0B" w:rsidRPr="00DD47DF">
        <w:t xml:space="preserve"> </w:t>
      </w:r>
      <w:r w:rsidR="00556800" w:rsidRPr="00556800">
        <w:t>tematická oblast projektu (nebo jeho část)</w:t>
      </w:r>
      <w:r w:rsidR="00556800">
        <w:t xml:space="preserve"> </w:t>
      </w:r>
      <w:r w:rsidR="001D5D0B" w:rsidRPr="00DD47DF">
        <w:t>přesáhne</w:t>
      </w:r>
      <w:r w:rsidR="00556800">
        <w:t xml:space="preserve"> jeho</w:t>
      </w:r>
      <w:r w:rsidR="001D5D0B" w:rsidRPr="00DD47DF">
        <w:t xml:space="preserve"> odborné kapacity</w:t>
      </w:r>
      <w:r w:rsidR="009F2BE7">
        <w:t>,</w:t>
      </w:r>
      <w:r w:rsidR="001D5D0B" w:rsidRPr="00DD47DF">
        <w:t xml:space="preserve"> objednat </w:t>
      </w:r>
      <w:r w:rsidR="00556800" w:rsidRPr="00DD47DF">
        <w:t>doplňkov</w:t>
      </w:r>
      <w:r w:rsidR="00556800">
        <w:t>ý</w:t>
      </w:r>
      <w:r w:rsidR="00556800" w:rsidRPr="00DD47DF">
        <w:t xml:space="preserve"> </w:t>
      </w:r>
      <w:r w:rsidR="00272120" w:rsidRPr="00272120">
        <w:t>posudek od externího</w:t>
      </w:r>
      <w:r w:rsidR="00556800">
        <w:t xml:space="preserve"> či jiného </w:t>
      </w:r>
      <w:r w:rsidR="00272120" w:rsidRPr="00272120">
        <w:t>interního odborníka</w:t>
      </w:r>
      <w:r w:rsidR="00556800" w:rsidRPr="00556800">
        <w:t xml:space="preserve"> znalého daného specifického oboru</w:t>
      </w:r>
      <w:r w:rsidR="001D5D0B" w:rsidRPr="00DD47DF">
        <w:t xml:space="preserve">, </w:t>
      </w:r>
      <w:r w:rsidR="00556800">
        <w:t xml:space="preserve">a </w:t>
      </w:r>
      <w:r w:rsidR="001D5D0B" w:rsidRPr="00DD47DF">
        <w:t xml:space="preserve">jeho závěry promítne do svého finálního posudku. </w:t>
      </w:r>
      <w:r w:rsidR="00EE1707" w:rsidRPr="00EE1707">
        <w:t>Externí</w:t>
      </w:r>
      <w:r w:rsidR="00556800">
        <w:t xml:space="preserve"> hodnotitel</w:t>
      </w:r>
      <w:r w:rsidR="00EE1707" w:rsidRPr="00EE1707">
        <w:t xml:space="preserve"> bude moci být zapojen do hodnocení projektů rovněž při přesahu kapacitních (administrativních) možností Řídicího orgánu.</w:t>
      </w:r>
      <w:r w:rsidR="005340DB">
        <w:t xml:space="preserve"> </w:t>
      </w:r>
      <w:r w:rsidR="001D5D0B" w:rsidRPr="00DD47DF">
        <w:t xml:space="preserve">Takto předpřipravené a posouzené projekty budou předloženy na jednání </w:t>
      </w:r>
      <w:r w:rsidR="00543559">
        <w:t>výběrové</w:t>
      </w:r>
      <w:r w:rsidR="00543559" w:rsidRPr="00DD47DF">
        <w:t xml:space="preserve"> </w:t>
      </w:r>
      <w:r w:rsidR="001D5D0B" w:rsidRPr="00DD47DF">
        <w:t>komise (</w:t>
      </w:r>
      <w:r w:rsidR="00543559">
        <w:t>V</w:t>
      </w:r>
      <w:r w:rsidR="001D5D0B" w:rsidRPr="00DD47DF">
        <w:t xml:space="preserve">K). Tato komise, která bude mít lichý počet členů (max. 7) ze zástupců ŘO OP PIK a zprostředkujícího subjektu (kdy musí být zachována převaha zástupců ŘO, primárně z útvaru odpovědného za implementaci příslušné prioritní osy), kteří jsou bezúhonní, nejsou v konfliktu zájmu a prokazují odbornou praxi (znalost problematiky) v dané oblasti, bude souhrnně posuzovat projekty předložené na dané zasedání </w:t>
      </w:r>
      <w:r w:rsidR="00543559">
        <w:t>V</w:t>
      </w:r>
      <w:r w:rsidR="001D5D0B" w:rsidRPr="00DD47DF">
        <w:t xml:space="preserve">K. V případě svých pochybností o relevantnosti odborného návrhu hodnotitele ohledně konkrétního projektu, zjevného procesního pochybení či nových závažných odborných skutečností může </w:t>
      </w:r>
      <w:r w:rsidR="00543559">
        <w:t>V</w:t>
      </w:r>
      <w:r w:rsidR="001D5D0B" w:rsidRPr="00DD47DF">
        <w:t xml:space="preserve">K vrátit projekt k přehodnocení a k vyjádření se k jejím výhradám. </w:t>
      </w:r>
      <w:r w:rsidR="00815366" w:rsidRPr="00815366">
        <w:t>V případě závažných skutečností (zjištěna duplicita s již podpořeným projektem, zjištění nesplnění binárních kritérií, předložení prokazatelně nepravdivých podkladů ze strany žadatele apod.) může VK projekt zamítnout.</w:t>
      </w:r>
      <w:r w:rsidR="00815366">
        <w:t xml:space="preserve"> </w:t>
      </w:r>
      <w:r w:rsidR="00BA68C1">
        <w:t>Výběrová</w:t>
      </w:r>
      <w:r w:rsidR="00BA68C1" w:rsidRPr="00DD47DF">
        <w:t xml:space="preserve"> </w:t>
      </w:r>
      <w:r w:rsidR="001D5D0B" w:rsidRPr="00DD47DF">
        <w:t xml:space="preserve">komise bude oprávněna projekt doporučit ke </w:t>
      </w:r>
      <w:r w:rsidR="001D5D0B" w:rsidRPr="00DD47DF">
        <w:lastRenderedPageBreak/>
        <w:t>schválení jen v případě, že předešlé odborné hodnocení  bude kladné (pro tyto účely může výzva stanovit také minimální počet bodů nezbytný pro doporučení projektu).</w:t>
      </w:r>
      <w:r w:rsidR="009203E1" w:rsidRPr="00DD47DF">
        <w:t xml:space="preserve"> </w:t>
      </w:r>
      <w:r w:rsidR="001D5D0B" w:rsidRPr="00DD47DF">
        <w:t xml:space="preserve">ŘO OP PIK bude oprávněn vydat rozhodnutí o poskytnutí dotace pouze u projektů, které </w:t>
      </w:r>
      <w:r w:rsidR="00BA68C1">
        <w:t>výběrová</w:t>
      </w:r>
      <w:r w:rsidR="00BA68C1" w:rsidRPr="00DD47DF">
        <w:t xml:space="preserve"> </w:t>
      </w:r>
      <w:r w:rsidR="001D5D0B" w:rsidRPr="00DD47DF">
        <w:t>komise doporučí ke schválení.</w:t>
      </w:r>
      <w:r w:rsidR="009203E1" w:rsidRPr="00DD47DF">
        <w:t xml:space="preserve"> </w:t>
      </w:r>
      <w:r w:rsidR="001D5D0B" w:rsidRPr="00DD47DF">
        <w:t>ŘO OP PIK bude pravidelně (nejméně pololetně) vyhodnocovat takovéto případy vrácení projektů k novému posouzení a bude navrhovat Monitorovacímu výboru OP PIK případná systémová zlepšení k výběrovému procesu.</w:t>
      </w:r>
      <w:r w:rsidR="00046F11" w:rsidRPr="00DD47DF">
        <w:t xml:space="preserve"> </w:t>
      </w:r>
    </w:p>
    <w:p w14:paraId="247648BF" w14:textId="77777777" w:rsidR="00794BE8" w:rsidRPr="00DD47DF" w:rsidRDefault="00794BE8" w:rsidP="00794BE8">
      <w:pPr>
        <w:pStyle w:val="Standardntext"/>
      </w:pPr>
      <w:r w:rsidRPr="00DD47DF">
        <w:t xml:space="preserve">V rámci výběru a hodnocení projektů budou </w:t>
      </w:r>
      <w:r w:rsidR="00A25CBC" w:rsidRPr="00DD47DF">
        <w:t xml:space="preserve">v této investiční prioritě </w:t>
      </w:r>
      <w:r w:rsidRPr="00DD47DF">
        <w:t>posuzována především následující kritéria:</w:t>
      </w:r>
    </w:p>
    <w:p w14:paraId="68D197B5" w14:textId="77777777" w:rsidR="00794BE8" w:rsidRPr="00DD47DF" w:rsidRDefault="00794BE8" w:rsidP="002908E2">
      <w:pPr>
        <w:pStyle w:val="Standardntext"/>
        <w:numPr>
          <w:ilvl w:val="0"/>
          <w:numId w:val="43"/>
        </w:numPr>
      </w:pPr>
      <w:r w:rsidRPr="00DD47DF">
        <w:t xml:space="preserve">Kvalita a potřebnost projektu s ohledem </w:t>
      </w:r>
      <w:r w:rsidR="00D819D2" w:rsidRPr="00DD47DF">
        <w:t xml:space="preserve">na očekávaný stupeň inovace v případě projektů zaměřených na zavádění a rozvoj podnikových výzkumných a vývojových center, zavádění inovací, </w:t>
      </w:r>
      <w:r w:rsidR="00BD2FD9" w:rsidRPr="00DD47DF">
        <w:t xml:space="preserve">zejména vyšších řádů, </w:t>
      </w:r>
      <w:r w:rsidR="00D819D2" w:rsidRPr="00DD47DF">
        <w:t>vlastní VaV aktivity a ochranu duševního vlastnictví v</w:t>
      </w:r>
      <w:r w:rsidR="005802ED" w:rsidRPr="00DD47DF">
        <w:t> </w:t>
      </w:r>
      <w:r w:rsidR="00D819D2" w:rsidRPr="00DD47DF">
        <w:t>podnicích</w:t>
      </w:r>
      <w:r w:rsidR="005802ED" w:rsidRPr="00DD47DF">
        <w:t>. Bonifikovány budou projekty, u kterých žadatel (soukromý podnikatelský subjekt) prokáže spolupráci s veřejnými výzkumnými organizacemi a vysokými školami</w:t>
      </w:r>
      <w:r w:rsidR="00643205" w:rsidRPr="00DD47DF">
        <w:t>, prokáže využívání výsledků vzniklých v rámci činnosti výzkumných organizací nebo institucí terciárního vzdělávání, a komercializační projekty, které jsou přímo výsledkem technologického transferu. Obdobně budou bonifikovány i projekty vykazující synergie s projekty OP VVV</w:t>
      </w:r>
      <w:r w:rsidR="005802ED" w:rsidRPr="00DD47DF">
        <w:t xml:space="preserve">. </w:t>
      </w:r>
      <w:r w:rsidR="00D819D2" w:rsidRPr="00DD47DF">
        <w:t>U projektů inovační infrastruktury se při hodnocení bude přihlížet zejména na zajištění aktivní spolupráce s vědeckovýzkumnou sférou a řešení aktuálních potřeb v oblasti VaVaI.</w:t>
      </w:r>
      <w:r w:rsidR="0038384A" w:rsidRPr="00DD47DF">
        <w:t xml:space="preserve"> P</w:t>
      </w:r>
      <w:r w:rsidR="00F96502" w:rsidRPr="00DD47DF">
        <w:t>odnikatelské inkubátory musí předložit detailní a realistický podnikatelský plán, přičemž zvláštní pozornost by měla být věnována udržitelnosti jejich neziskových inkubačních aktivit.</w:t>
      </w:r>
    </w:p>
    <w:p w14:paraId="4BB5F02B" w14:textId="77777777" w:rsidR="00BD2FD9" w:rsidRPr="00DD47DF" w:rsidRDefault="00BD2FD9" w:rsidP="002908E2">
      <w:pPr>
        <w:pStyle w:val="Standardntext"/>
        <w:numPr>
          <w:ilvl w:val="0"/>
          <w:numId w:val="43"/>
        </w:numPr>
      </w:pPr>
      <w:r w:rsidRPr="00DD47DF">
        <w:t>Pozitivní dopad na technologický rozvoj regionu (tzv. technologický spillover).</w:t>
      </w:r>
    </w:p>
    <w:p w14:paraId="1DCB6D4D" w14:textId="77777777" w:rsidR="00BD2FD9" w:rsidRPr="00DD47DF" w:rsidRDefault="00BD2FD9" w:rsidP="002908E2">
      <w:pPr>
        <w:pStyle w:val="Standardntext"/>
        <w:numPr>
          <w:ilvl w:val="0"/>
          <w:numId w:val="43"/>
        </w:numPr>
      </w:pPr>
      <w:r w:rsidRPr="00DD47DF">
        <w:t>Výstup projektu zejména v podobě nového produktu, uvedeného na trh, či zavedení nové technologie výroby.</w:t>
      </w:r>
    </w:p>
    <w:p w14:paraId="202CE7FC" w14:textId="77777777" w:rsidR="00643205" w:rsidRPr="00DD47DF" w:rsidRDefault="00643205" w:rsidP="002908E2">
      <w:pPr>
        <w:pStyle w:val="Standardntext"/>
        <w:numPr>
          <w:ilvl w:val="0"/>
          <w:numId w:val="43"/>
        </w:numPr>
      </w:pPr>
      <w:r w:rsidRPr="00DD47DF">
        <w:t>Bodově zvýhodněny budou projekty MSP a v případě velkých projektů budou zvýhodněny projekty realizované společně s MSP, případně s předpokládanou spoluprací MSP.</w:t>
      </w:r>
    </w:p>
    <w:p w14:paraId="75CC6D2F" w14:textId="77777777" w:rsidR="00794BE8" w:rsidRPr="00DD47DF" w:rsidRDefault="00794BE8" w:rsidP="002908E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D23729" w:rsidRPr="00DD47DF">
        <w:t xml:space="preserve"> (viz </w:t>
      </w:r>
      <w:r w:rsidR="00D23729" w:rsidRPr="00DD47DF">
        <w:rPr>
          <w:i/>
        </w:rPr>
        <w:t>Cílové území</w:t>
      </w:r>
      <w:r w:rsidR="00D23729" w:rsidRPr="00DD47DF">
        <w:t xml:space="preserve"> v</w:t>
      </w:r>
      <w:r w:rsidR="00C63CF5" w:rsidRPr="00DD47DF">
        <w:t> oddíle 2.A.6.1 a dále oddíl 4</w:t>
      </w:r>
      <w:r w:rsidR="00D23729" w:rsidRPr="00DD47DF">
        <w:t>)</w:t>
      </w:r>
      <w:r w:rsidRPr="00DD47DF">
        <w:t>.</w:t>
      </w:r>
    </w:p>
    <w:p w14:paraId="3E859E95" w14:textId="77777777" w:rsidR="00794BE8" w:rsidRPr="00DD47DF" w:rsidRDefault="00794BE8" w:rsidP="002908E2">
      <w:pPr>
        <w:pStyle w:val="Standardntext"/>
        <w:numPr>
          <w:ilvl w:val="0"/>
          <w:numId w:val="43"/>
        </w:numPr>
      </w:pPr>
      <w:r w:rsidRPr="00DD47DF">
        <w:t>Soulad projektu s prioritami RIS3.</w:t>
      </w:r>
    </w:p>
    <w:p w14:paraId="2721935F" w14:textId="77777777" w:rsidR="00794BE8" w:rsidRDefault="00794BE8" w:rsidP="002908E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4E1F63CD" w14:textId="77777777" w:rsidR="00794BE8" w:rsidRPr="00DD47DF" w:rsidRDefault="00643205" w:rsidP="002908E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25448378" w14:textId="77777777" w:rsidR="00D71D90" w:rsidRPr="00DD47DF" w:rsidRDefault="00BA6461" w:rsidP="00A25CBC">
      <w:pPr>
        <w:pStyle w:val="Nadpis5"/>
        <w:numPr>
          <w:ilvl w:val="4"/>
          <w:numId w:val="129"/>
        </w:numPr>
        <w:rPr>
          <w:rFonts w:cs="Calibri"/>
        </w:rPr>
      </w:pPr>
      <w:r w:rsidRPr="00DD47DF">
        <w:lastRenderedPageBreak/>
        <w:t>Plánované využití finančních nástrojů (použije-li se)</w:t>
      </w:r>
    </w:p>
    <w:p w14:paraId="50745DD2" w14:textId="45E42486" w:rsidR="00814828" w:rsidRPr="00DD47DF" w:rsidRDefault="0075656A" w:rsidP="00814828">
      <w:pPr>
        <w:pStyle w:val="Standardntext"/>
      </w:pPr>
      <w:r w:rsidRPr="0075656A">
        <w:rPr>
          <w:lang w:val="x-none"/>
        </w:rPr>
        <w:t>Řídící orgán nepředpokládá využití finančních nástrojů v této investiční prioritě. Detaily stanoví konečná verze předběžného posouzení finančních nástrojů OP PIK dle čl. 37 odst. 2 obecného nařízení, které provede ŘO OP PIK, případně jeho revize podle čl. 37 odst. 2 písm. g) obecného nařízení.</w:t>
      </w:r>
    </w:p>
    <w:p w14:paraId="1B402938" w14:textId="77777777" w:rsidR="00D71D90" w:rsidRPr="00DD47DF" w:rsidRDefault="00BA6461" w:rsidP="00A25CBC">
      <w:pPr>
        <w:pStyle w:val="Nadpis5"/>
        <w:numPr>
          <w:ilvl w:val="4"/>
          <w:numId w:val="129"/>
        </w:numPr>
      </w:pPr>
      <w:r w:rsidRPr="00DD47DF">
        <w:t>Plánované využití velkých projektů (použije-li se)</w:t>
      </w:r>
    </w:p>
    <w:p w14:paraId="0779FA5A" w14:textId="77777777" w:rsidR="0036276B" w:rsidRPr="00DD47DF" w:rsidRDefault="008B5752" w:rsidP="0036276B">
      <w:pPr>
        <w:pStyle w:val="Standardntext"/>
      </w:pPr>
      <w:r w:rsidRPr="00DD47DF">
        <w:t xml:space="preserve">Velké projekty ve smyslu čl. </w:t>
      </w:r>
      <w:r w:rsidR="00936B90" w:rsidRPr="00DD47DF">
        <w:t>10</w:t>
      </w:r>
      <w:r w:rsidRPr="00DD47DF">
        <w:t>0 obecného nařízení nejsou plánovány</w:t>
      </w:r>
      <w:r w:rsidR="0036276B" w:rsidRPr="00DD47DF">
        <w:t>.</w:t>
      </w:r>
    </w:p>
    <w:p w14:paraId="6D85FA3A" w14:textId="77777777" w:rsidR="00C16A07" w:rsidRPr="00DD47DF" w:rsidRDefault="00BA6461" w:rsidP="00A25CBC">
      <w:pPr>
        <w:pStyle w:val="Nadpis5"/>
        <w:keepNext w:val="0"/>
        <w:keepLines w:val="0"/>
        <w:numPr>
          <w:ilvl w:val="4"/>
          <w:numId w:val="129"/>
        </w:numPr>
      </w:pPr>
      <w:r w:rsidRPr="00DD47DF">
        <w:t>Ukazatele výstupů podle investiční priority a případně podle kategorie regionů</w:t>
      </w:r>
    </w:p>
    <w:p w14:paraId="47DD715D" w14:textId="77777777" w:rsidR="007E7041" w:rsidRPr="00DD47DF" w:rsidRDefault="007E7041" w:rsidP="008F72F4">
      <w:pPr>
        <w:pStyle w:val="Titulek"/>
        <w:rPr>
          <w:rFonts w:cs="Calibri"/>
        </w:rPr>
      </w:pPr>
      <w:r w:rsidRPr="00DD47DF">
        <w:rPr>
          <w:rFonts w:cs="Calibri"/>
        </w:rPr>
        <w:t xml:space="preserve">Tabulka </w:t>
      </w:r>
      <w:r w:rsidR="002756E7" w:rsidRPr="00DD47DF">
        <w:rPr>
          <w:rFonts w:cs="Calibri"/>
        </w:rPr>
        <w:fldChar w:fldCharType="begin"/>
      </w:r>
      <w:r w:rsidR="002A1792"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098"/>
        <w:gridCol w:w="2002"/>
        <w:gridCol w:w="1336"/>
        <w:gridCol w:w="665"/>
        <w:gridCol w:w="1043"/>
        <w:gridCol w:w="1201"/>
        <w:gridCol w:w="998"/>
        <w:gridCol w:w="983"/>
      </w:tblGrid>
      <w:tr w:rsidR="00876781" w:rsidRPr="00DD47DF" w14:paraId="5C13EC03" w14:textId="77777777" w:rsidTr="00055AD8">
        <w:trPr>
          <w:trHeight w:hRule="exact" w:val="1044"/>
        </w:trPr>
        <w:tc>
          <w:tcPr>
            <w:tcW w:w="58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552E503" w14:textId="77777777" w:rsidR="005553E9" w:rsidRPr="00DD47DF" w:rsidRDefault="005553E9" w:rsidP="008F72F4">
            <w:pPr>
              <w:pStyle w:val="Tabulka"/>
              <w:rPr>
                <w:rFonts w:cs="Calibri"/>
                <w:b/>
              </w:rPr>
            </w:pPr>
            <w:r w:rsidRPr="00DD47DF">
              <w:rPr>
                <w:rFonts w:cs="Calibri"/>
                <w:b/>
              </w:rPr>
              <w:t>ID</w:t>
            </w:r>
          </w:p>
        </w:tc>
        <w:tc>
          <w:tcPr>
            <w:tcW w:w="10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2870F8" w14:textId="77777777" w:rsidR="005553E9" w:rsidRPr="00DD47DF" w:rsidRDefault="001B2E5C" w:rsidP="008F72F4">
            <w:pPr>
              <w:pStyle w:val="Tabulka"/>
              <w:rPr>
                <w:rFonts w:cs="Calibri"/>
                <w:b/>
              </w:rPr>
            </w:pPr>
            <w:r w:rsidRPr="00DD47DF">
              <w:rPr>
                <w:rFonts w:cs="Calibri"/>
                <w:b/>
              </w:rPr>
              <w:t>Ukazatel</w:t>
            </w:r>
          </w:p>
        </w:tc>
        <w:tc>
          <w:tcPr>
            <w:tcW w:w="71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2829B82" w14:textId="77777777" w:rsidR="005553E9" w:rsidRPr="00DD47DF" w:rsidRDefault="005553E9" w:rsidP="008F72F4">
            <w:pPr>
              <w:pStyle w:val="Tabulka"/>
              <w:rPr>
                <w:rFonts w:cs="Calibri"/>
                <w:b/>
              </w:rPr>
            </w:pPr>
            <w:r w:rsidRPr="00DD47DF">
              <w:rPr>
                <w:rFonts w:cs="Calibri"/>
                <w:b/>
              </w:rPr>
              <w:t>Měrná jednotka</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79493A8" w14:textId="77777777" w:rsidR="005553E9" w:rsidRPr="00DD47DF" w:rsidRDefault="005553E9" w:rsidP="008F72F4">
            <w:pPr>
              <w:pStyle w:val="Tabulka"/>
              <w:rPr>
                <w:rFonts w:cs="Calibri"/>
                <w:b/>
              </w:rPr>
            </w:pPr>
            <w:r w:rsidRPr="00DD47DF">
              <w:rPr>
                <w:rFonts w:cs="Calibri"/>
                <w:b/>
              </w:rPr>
              <w:t>Fond</w:t>
            </w:r>
          </w:p>
        </w:tc>
        <w:tc>
          <w:tcPr>
            <w:tcW w:w="55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9F16E2B" w14:textId="77777777" w:rsidR="005553E9" w:rsidRPr="00DD47DF" w:rsidRDefault="005553E9" w:rsidP="00400435">
            <w:pPr>
              <w:pStyle w:val="Tabulka"/>
              <w:rPr>
                <w:rFonts w:cs="Calibri"/>
                <w:b/>
              </w:rPr>
            </w:pPr>
            <w:r w:rsidRPr="00DD47DF">
              <w:rPr>
                <w:rFonts w:cs="Calibri"/>
                <w:b/>
              </w:rPr>
              <w:t>Kategorie regionu</w:t>
            </w:r>
          </w:p>
        </w:tc>
        <w:tc>
          <w:tcPr>
            <w:tcW w:w="64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E1C552B" w14:textId="77777777" w:rsidR="005553E9" w:rsidRPr="00DD47DF" w:rsidRDefault="005553E9" w:rsidP="00956C4F">
            <w:pPr>
              <w:pStyle w:val="Tabulka"/>
              <w:rPr>
                <w:rFonts w:cs="Calibri"/>
                <w:b/>
              </w:rPr>
            </w:pPr>
            <w:r w:rsidRPr="00DD47DF">
              <w:rPr>
                <w:rFonts w:cs="Calibri"/>
                <w:b/>
              </w:rPr>
              <w:t>Cílová hodnota</w:t>
            </w:r>
            <w:r w:rsidR="00956C4F" w:rsidRPr="00DD47DF">
              <w:rPr>
                <w:rFonts w:cs="Calibri"/>
                <w:b/>
              </w:rPr>
              <w:t xml:space="preserve"> </w:t>
            </w:r>
            <w:r w:rsidR="001B2E5C" w:rsidRPr="00DD47DF">
              <w:rPr>
                <w:rFonts w:cs="Calibri"/>
                <w:b/>
              </w:rPr>
              <w:t>(2023</w:t>
            </w:r>
            <w:r w:rsidRPr="00DD47DF">
              <w:rPr>
                <w:rFonts w:cs="Calibri"/>
                <w:b/>
              </w:rPr>
              <w:t>)</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FFC1BAD" w14:textId="77777777" w:rsidR="005553E9" w:rsidRPr="00DD47DF" w:rsidRDefault="005553E9" w:rsidP="008F72F4">
            <w:pPr>
              <w:pStyle w:val="Tabulka"/>
              <w:rPr>
                <w:rFonts w:cs="Calibri"/>
                <w:b/>
              </w:rPr>
            </w:pPr>
            <w:r w:rsidRPr="00DD47DF">
              <w:rPr>
                <w:rFonts w:cs="Calibri"/>
                <w:b/>
              </w:rPr>
              <w:t>Zdroj údajů</w:t>
            </w:r>
          </w:p>
        </w:tc>
        <w:tc>
          <w:tcPr>
            <w:tcW w:w="52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BE9982" w14:textId="77777777" w:rsidR="005553E9" w:rsidRPr="00DD47DF" w:rsidRDefault="001B2E5C" w:rsidP="008F72F4">
            <w:pPr>
              <w:pStyle w:val="Tabulka"/>
              <w:rPr>
                <w:rFonts w:cs="Calibri"/>
                <w:b/>
              </w:rPr>
            </w:pPr>
            <w:r w:rsidRPr="00DD47DF">
              <w:rPr>
                <w:rFonts w:cs="Calibri"/>
                <w:b/>
              </w:rPr>
              <w:t>Četnost podávání zpráv</w:t>
            </w:r>
          </w:p>
        </w:tc>
      </w:tr>
      <w:tr w:rsidR="00876781" w:rsidRPr="00DD47DF" w14:paraId="75AEE3E9" w14:textId="77777777" w:rsidTr="00055AD8">
        <w:trPr>
          <w:trHeight w:hRule="exact" w:val="968"/>
        </w:trPr>
        <w:tc>
          <w:tcPr>
            <w:tcW w:w="589" w:type="pct"/>
            <w:tcBorders>
              <w:top w:val="single" w:sz="4" w:space="0" w:color="000000"/>
              <w:left w:val="single" w:sz="4" w:space="0" w:color="000000"/>
              <w:bottom w:val="single" w:sz="4" w:space="0" w:color="000000"/>
              <w:right w:val="single" w:sz="4" w:space="0" w:color="000000"/>
            </w:tcBorders>
            <w:vAlign w:val="center"/>
          </w:tcPr>
          <w:p w14:paraId="03521C7D" w14:textId="24026185" w:rsidR="006D0B8B" w:rsidRPr="00DD47DF" w:rsidRDefault="00C75691" w:rsidP="008F72F4">
            <w:pPr>
              <w:pStyle w:val="Tabulka"/>
              <w:rPr>
                <w:rFonts w:cs="Calibri"/>
              </w:rPr>
            </w:pPr>
            <w:r w:rsidRPr="00DD47DF">
              <w:rPr>
                <w:rFonts w:cs="Calibri"/>
              </w:rPr>
              <w:t xml:space="preserve">CO </w:t>
            </w:r>
            <w:r w:rsidR="008E5044" w:rsidRPr="00DD47DF">
              <w:rPr>
                <w:rFonts w:cs="Calibri"/>
              </w:rPr>
              <w:t>01</w:t>
            </w:r>
          </w:p>
        </w:tc>
        <w:tc>
          <w:tcPr>
            <w:tcW w:w="1074" w:type="pct"/>
            <w:tcBorders>
              <w:top w:val="single" w:sz="4" w:space="0" w:color="000000"/>
              <w:left w:val="single" w:sz="4" w:space="0" w:color="000000"/>
              <w:bottom w:val="single" w:sz="4" w:space="0" w:color="000000"/>
              <w:right w:val="single" w:sz="4" w:space="0" w:color="000000"/>
            </w:tcBorders>
            <w:vAlign w:val="center"/>
          </w:tcPr>
          <w:p w14:paraId="001BA262" w14:textId="77777777" w:rsidR="006D0B8B" w:rsidRPr="00DD47DF" w:rsidRDefault="006D0B8B" w:rsidP="008F72F4">
            <w:pPr>
              <w:pStyle w:val="Tabulka"/>
              <w:jc w:val="left"/>
              <w:rPr>
                <w:rFonts w:cs="Calibri"/>
              </w:rPr>
            </w:pPr>
            <w:r w:rsidRPr="00DD47DF">
              <w:rPr>
                <w:rFonts w:cs="Calibri"/>
              </w:rPr>
              <w:t>Počet podniků pobírajících podporu</w:t>
            </w:r>
          </w:p>
        </w:tc>
        <w:tc>
          <w:tcPr>
            <w:tcW w:w="716" w:type="pct"/>
            <w:tcBorders>
              <w:top w:val="single" w:sz="4" w:space="0" w:color="000000"/>
              <w:left w:val="single" w:sz="4" w:space="0" w:color="000000"/>
              <w:bottom w:val="single" w:sz="4" w:space="0" w:color="000000"/>
              <w:right w:val="single" w:sz="4" w:space="0" w:color="000000"/>
            </w:tcBorders>
            <w:vAlign w:val="center"/>
          </w:tcPr>
          <w:p w14:paraId="3F313B35" w14:textId="77777777" w:rsidR="006D0B8B" w:rsidRPr="00DD47DF" w:rsidRDefault="006D0B8B" w:rsidP="008F72F4">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5EB9342B" w14:textId="77777777" w:rsidR="006D0B8B" w:rsidRPr="00DD47DF" w:rsidRDefault="006D0B8B" w:rsidP="008F72F4">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2132FFD" w14:textId="77777777" w:rsidR="006D0B8B" w:rsidRPr="00DD47DF" w:rsidRDefault="006D0B8B" w:rsidP="00400435">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524B2A2" w14:textId="2D1298B4" w:rsidR="006D0B8B" w:rsidRPr="00DD47DF" w:rsidRDefault="00EA451B" w:rsidP="001C1D3F">
            <w:pPr>
              <w:pStyle w:val="Tabulka"/>
              <w:rPr>
                <w:rFonts w:cs="Calibri"/>
              </w:rPr>
            </w:pPr>
            <w:r>
              <w:rPr>
                <w:rFonts w:cs="Calibri"/>
              </w:rPr>
              <w:t>2 452</w:t>
            </w:r>
          </w:p>
        </w:tc>
        <w:tc>
          <w:tcPr>
            <w:tcW w:w="535" w:type="pct"/>
            <w:tcBorders>
              <w:top w:val="single" w:sz="4" w:space="0" w:color="000000"/>
              <w:left w:val="single" w:sz="4" w:space="0" w:color="000000"/>
              <w:bottom w:val="single" w:sz="4" w:space="0" w:color="000000"/>
              <w:right w:val="single" w:sz="4" w:space="0" w:color="000000"/>
            </w:tcBorders>
            <w:vAlign w:val="center"/>
          </w:tcPr>
          <w:p w14:paraId="5BE5D3C2" w14:textId="77777777" w:rsidR="006D0B8B" w:rsidRPr="00DD47DF" w:rsidRDefault="00080743" w:rsidP="008F72F4">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1AF9A154" w14:textId="77777777" w:rsidR="006D0B8B" w:rsidRPr="00DD47DF" w:rsidRDefault="00080743" w:rsidP="008F72F4">
            <w:pPr>
              <w:pStyle w:val="Tabulka"/>
              <w:rPr>
                <w:rFonts w:cs="Calibri"/>
              </w:rPr>
            </w:pPr>
            <w:r>
              <w:rPr>
                <w:rFonts w:cs="Calibri"/>
              </w:rPr>
              <w:t>průběžně</w:t>
            </w:r>
          </w:p>
        </w:tc>
      </w:tr>
      <w:tr w:rsidR="00876781" w:rsidRPr="00DD47DF" w14:paraId="663D2405"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16A5E06" w14:textId="0A63F98C" w:rsidR="006D0B8B" w:rsidRPr="00DD47DF" w:rsidRDefault="00C75691" w:rsidP="008F72F4">
            <w:pPr>
              <w:pStyle w:val="Tabulka"/>
              <w:rPr>
                <w:rFonts w:cs="Calibri"/>
              </w:rPr>
            </w:pPr>
            <w:r w:rsidRPr="00DD47DF">
              <w:rPr>
                <w:rFonts w:cs="Calibri"/>
              </w:rPr>
              <w:t xml:space="preserve">CO </w:t>
            </w:r>
            <w:r w:rsidR="008E5044" w:rsidRPr="00DD47DF">
              <w:rPr>
                <w:rFonts w:cs="Calibri"/>
              </w:rPr>
              <w:t>02</w:t>
            </w:r>
          </w:p>
        </w:tc>
        <w:tc>
          <w:tcPr>
            <w:tcW w:w="1074" w:type="pct"/>
            <w:tcBorders>
              <w:top w:val="single" w:sz="4" w:space="0" w:color="000000"/>
              <w:left w:val="single" w:sz="4" w:space="0" w:color="000000"/>
              <w:bottom w:val="single" w:sz="4" w:space="0" w:color="000000"/>
              <w:right w:val="single" w:sz="4" w:space="0" w:color="000000"/>
            </w:tcBorders>
            <w:vAlign w:val="center"/>
          </w:tcPr>
          <w:p w14:paraId="78A5FA19" w14:textId="77777777" w:rsidR="006D0B8B" w:rsidRPr="00DD47DF" w:rsidRDefault="006D0B8B" w:rsidP="008F72F4">
            <w:pPr>
              <w:pStyle w:val="Tabulka"/>
              <w:jc w:val="left"/>
              <w:rPr>
                <w:rFonts w:cs="Calibri"/>
              </w:rPr>
            </w:pPr>
            <w:r w:rsidRPr="00DD47DF">
              <w:rPr>
                <w:rFonts w:cs="Calibri"/>
              </w:rPr>
              <w:t>Počet podniků pobírajících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12787CD5" w14:textId="77777777" w:rsidR="006D0B8B" w:rsidRPr="00DD47DF" w:rsidRDefault="006D0B8B" w:rsidP="008F72F4">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359B2A6" w14:textId="77777777" w:rsidR="006D0B8B" w:rsidRPr="00DD47DF" w:rsidRDefault="006D0B8B" w:rsidP="008F72F4">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132757C9" w14:textId="77777777" w:rsidR="006D0B8B" w:rsidRPr="00DD47DF" w:rsidRDefault="006D0B8B" w:rsidP="00400435">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75F6673" w14:textId="3D78FE1E" w:rsidR="006D0B8B" w:rsidRPr="00DD47DF" w:rsidRDefault="00EA451B" w:rsidP="001C1D3F">
            <w:pPr>
              <w:pStyle w:val="Tabulka"/>
              <w:rPr>
                <w:rFonts w:cs="Calibri"/>
              </w:rPr>
            </w:pPr>
            <w:r>
              <w:rPr>
                <w:rFonts w:cs="Calibri"/>
              </w:rPr>
              <w:t>2 452</w:t>
            </w:r>
          </w:p>
        </w:tc>
        <w:tc>
          <w:tcPr>
            <w:tcW w:w="535" w:type="pct"/>
            <w:tcBorders>
              <w:top w:val="single" w:sz="4" w:space="0" w:color="000000"/>
              <w:left w:val="single" w:sz="4" w:space="0" w:color="000000"/>
              <w:bottom w:val="single" w:sz="4" w:space="0" w:color="000000"/>
              <w:right w:val="single" w:sz="4" w:space="0" w:color="000000"/>
            </w:tcBorders>
            <w:vAlign w:val="center"/>
          </w:tcPr>
          <w:p w14:paraId="51EA3EF7" w14:textId="77777777" w:rsidR="006D0B8B" w:rsidRPr="00DD47DF" w:rsidRDefault="00934A97" w:rsidP="008F72F4">
            <w:pPr>
              <w:pStyle w:val="Tabulka"/>
              <w:rPr>
                <w:rFonts w:cs="Calibri"/>
              </w:rPr>
            </w:pPr>
            <w:r>
              <w:rPr>
                <w:rFonts w:cs="Calibri"/>
              </w:rPr>
              <w:t>MS</w:t>
            </w:r>
            <w:r w:rsidR="00080743">
              <w:rPr>
                <w:rFonts w:cs="Calibri"/>
              </w:rPr>
              <w:t>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227E66DE" w14:textId="77777777" w:rsidR="006D0B8B" w:rsidRPr="00DD47DF" w:rsidRDefault="00080743" w:rsidP="008F72F4">
            <w:pPr>
              <w:pStyle w:val="Tabulka"/>
              <w:rPr>
                <w:rFonts w:cs="Calibri"/>
              </w:rPr>
            </w:pPr>
            <w:r>
              <w:rPr>
                <w:rFonts w:cs="Calibri"/>
              </w:rPr>
              <w:t>průběžně</w:t>
            </w:r>
          </w:p>
        </w:tc>
      </w:tr>
      <w:tr w:rsidR="00055AD8" w:rsidRPr="00DD47DF" w14:paraId="180D4BED"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23A22BF" w14:textId="54377561" w:rsidR="00055AD8" w:rsidRPr="00DD47DF" w:rsidRDefault="00055AD8" w:rsidP="00055AD8">
            <w:pPr>
              <w:pStyle w:val="Tabulka"/>
              <w:rPr>
                <w:rFonts w:cs="Calibri"/>
              </w:rPr>
            </w:pPr>
            <w:r w:rsidRPr="00E435D7">
              <w:rPr>
                <w:rFonts w:cs="Calibri"/>
              </w:rPr>
              <w:t xml:space="preserve">CO 03 </w:t>
            </w:r>
          </w:p>
        </w:tc>
        <w:tc>
          <w:tcPr>
            <w:tcW w:w="1074" w:type="pct"/>
            <w:tcBorders>
              <w:top w:val="single" w:sz="4" w:space="0" w:color="000000"/>
              <w:left w:val="single" w:sz="4" w:space="0" w:color="000000"/>
              <w:bottom w:val="single" w:sz="4" w:space="0" w:color="000000"/>
              <w:right w:val="single" w:sz="4" w:space="0" w:color="000000"/>
            </w:tcBorders>
            <w:vAlign w:val="center"/>
          </w:tcPr>
          <w:p w14:paraId="6B53E3EF" w14:textId="6E9EE9B2" w:rsidR="00055AD8" w:rsidRPr="0002304E" w:rsidRDefault="00055AD8" w:rsidP="00055AD8">
            <w:pPr>
              <w:pStyle w:val="Tabulka"/>
              <w:jc w:val="left"/>
              <w:rPr>
                <w:rFonts w:cs="Calibri"/>
              </w:rPr>
            </w:pPr>
            <w:r w:rsidRPr="00E435D7">
              <w:rPr>
                <w:rFonts w:cs="Calibri"/>
              </w:rPr>
              <w:t>Počet podniků pobírajících jinou finanční podporu než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0C5C2CE8" w14:textId="61783B3C" w:rsidR="00055AD8" w:rsidRPr="00DD47DF" w:rsidRDefault="00055AD8" w:rsidP="00055AD8">
            <w:pPr>
              <w:pStyle w:val="Tabulka"/>
              <w:rPr>
                <w:rFonts w:cs="Calibri"/>
              </w:rPr>
            </w:pPr>
            <w:r w:rsidRPr="00E435D7">
              <w:rPr>
                <w:rFonts w:cs="Calibri"/>
              </w:rPr>
              <w:t xml:space="preserve">podniky </w:t>
            </w:r>
          </w:p>
        </w:tc>
        <w:tc>
          <w:tcPr>
            <w:tcW w:w="357" w:type="pct"/>
            <w:tcBorders>
              <w:top w:val="single" w:sz="4" w:space="0" w:color="000000"/>
              <w:left w:val="single" w:sz="4" w:space="0" w:color="000000"/>
              <w:bottom w:val="single" w:sz="4" w:space="0" w:color="000000"/>
              <w:right w:val="single" w:sz="4" w:space="0" w:color="000000"/>
            </w:tcBorders>
            <w:vAlign w:val="center"/>
          </w:tcPr>
          <w:p w14:paraId="4733751B" w14:textId="5C856A73" w:rsidR="00055AD8" w:rsidRPr="00DD47DF" w:rsidRDefault="00055AD8" w:rsidP="00055AD8">
            <w:pPr>
              <w:pStyle w:val="Tabulka"/>
              <w:rPr>
                <w:rFonts w:cs="Calibri"/>
              </w:rPr>
            </w:pPr>
            <w:r w:rsidRPr="00E435D7">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1C2068D3" w14:textId="0551AF13" w:rsidR="00055AD8" w:rsidRPr="00DD47DF" w:rsidRDefault="00055AD8" w:rsidP="00055AD8">
            <w:pPr>
              <w:pStyle w:val="Tabulka"/>
              <w:rPr>
                <w:rFonts w:cs="Calibri"/>
              </w:rPr>
            </w:pPr>
            <w:r w:rsidRPr="00E435D7">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22621C3A" w14:textId="2CA59BA9" w:rsidR="00055AD8" w:rsidRPr="00DD47DF" w:rsidRDefault="001C1D3F" w:rsidP="00055AD8">
            <w:pPr>
              <w:pStyle w:val="Tabulka"/>
              <w:rPr>
                <w:rFonts w:cs="Calibri"/>
              </w:rPr>
            </w:pPr>
            <w:r>
              <w:rPr>
                <w:rFonts w:cs="Calibri"/>
              </w:rPr>
              <w:t>0</w:t>
            </w:r>
          </w:p>
        </w:tc>
        <w:tc>
          <w:tcPr>
            <w:tcW w:w="535" w:type="pct"/>
            <w:tcBorders>
              <w:top w:val="single" w:sz="4" w:space="0" w:color="000000"/>
              <w:left w:val="single" w:sz="4" w:space="0" w:color="000000"/>
              <w:bottom w:val="single" w:sz="4" w:space="0" w:color="000000"/>
              <w:right w:val="single" w:sz="4" w:space="0" w:color="000000"/>
            </w:tcBorders>
            <w:vAlign w:val="center"/>
          </w:tcPr>
          <w:p w14:paraId="28E1B20A" w14:textId="48CDB5B5" w:rsidR="00055AD8" w:rsidRDefault="00055AD8" w:rsidP="00055AD8">
            <w:pPr>
              <w:pStyle w:val="Tabulka"/>
              <w:rPr>
                <w:rFonts w:cs="Calibri"/>
              </w:rPr>
            </w:pPr>
            <w:r w:rsidRPr="00E435D7">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757802B8" w14:textId="16C0B128" w:rsidR="00055AD8" w:rsidRDefault="00055AD8" w:rsidP="00055AD8">
            <w:pPr>
              <w:pStyle w:val="Tabulka"/>
              <w:rPr>
                <w:rFonts w:cs="Calibri"/>
              </w:rPr>
            </w:pPr>
            <w:r w:rsidRPr="00E435D7">
              <w:rPr>
                <w:rFonts w:cs="Calibri"/>
              </w:rPr>
              <w:t>průběžně</w:t>
            </w:r>
          </w:p>
        </w:tc>
      </w:tr>
      <w:tr w:rsidR="00055AD8" w:rsidRPr="00DD47DF" w14:paraId="348103FE"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29BB7B2" w14:textId="38691540" w:rsidR="00055AD8" w:rsidRPr="00DD47DF" w:rsidRDefault="00055AD8" w:rsidP="00055AD8">
            <w:pPr>
              <w:pStyle w:val="Tabulka"/>
              <w:rPr>
                <w:rFonts w:cs="Calibri"/>
              </w:rPr>
            </w:pPr>
            <w:r w:rsidRPr="00DD47DF">
              <w:rPr>
                <w:rFonts w:cs="Calibri"/>
              </w:rPr>
              <w:t>CO 06</w:t>
            </w:r>
          </w:p>
        </w:tc>
        <w:tc>
          <w:tcPr>
            <w:tcW w:w="1074" w:type="pct"/>
            <w:tcBorders>
              <w:top w:val="single" w:sz="4" w:space="0" w:color="000000"/>
              <w:left w:val="single" w:sz="4" w:space="0" w:color="000000"/>
              <w:bottom w:val="single" w:sz="4" w:space="0" w:color="000000"/>
              <w:right w:val="single" w:sz="4" w:space="0" w:color="000000"/>
            </w:tcBorders>
            <w:vAlign w:val="center"/>
          </w:tcPr>
          <w:p w14:paraId="3AE30660" w14:textId="77777777" w:rsidR="00055AD8" w:rsidRPr="00DD47DF" w:rsidRDefault="00055AD8" w:rsidP="00055AD8">
            <w:pPr>
              <w:pStyle w:val="Tabulka"/>
              <w:jc w:val="left"/>
              <w:rPr>
                <w:rFonts w:cs="Calibri"/>
              </w:rPr>
            </w:pPr>
            <w:r w:rsidRPr="0002304E">
              <w:rPr>
                <w:rFonts w:cs="Calibri"/>
              </w:rPr>
              <w:t>Soukromé investice odpovídající veřejné podpoře podniků (granty)</w:t>
            </w:r>
          </w:p>
        </w:tc>
        <w:tc>
          <w:tcPr>
            <w:tcW w:w="716" w:type="pct"/>
            <w:tcBorders>
              <w:top w:val="single" w:sz="4" w:space="0" w:color="000000"/>
              <w:left w:val="single" w:sz="4" w:space="0" w:color="000000"/>
              <w:bottom w:val="single" w:sz="4" w:space="0" w:color="000000"/>
              <w:right w:val="single" w:sz="4" w:space="0" w:color="000000"/>
            </w:tcBorders>
            <w:vAlign w:val="center"/>
          </w:tcPr>
          <w:p w14:paraId="32785B21" w14:textId="77777777" w:rsidR="00055AD8" w:rsidRPr="00DD47DF" w:rsidRDefault="00055AD8" w:rsidP="00055AD8">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4E4CDB0D"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57C684C"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40BA1F00" w14:textId="1D0B8A56" w:rsidR="00055AD8" w:rsidRPr="00DD47DF" w:rsidRDefault="00EA451B" w:rsidP="00055AD8">
            <w:pPr>
              <w:pStyle w:val="Tabulka"/>
              <w:rPr>
                <w:rFonts w:cs="Calibri"/>
              </w:rPr>
            </w:pPr>
            <w:r>
              <w:rPr>
                <w:rFonts w:cs="Calibri"/>
              </w:rPr>
              <w:t>1 250 000 000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3F441259" w14:textId="77777777" w:rsidR="00055AD8" w:rsidRPr="00DD47DF" w:rsidRDefault="00055AD8" w:rsidP="00055AD8">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3180C7E2" w14:textId="77777777" w:rsidR="00055AD8" w:rsidRPr="00DD47DF" w:rsidRDefault="00055AD8" w:rsidP="00055AD8">
            <w:pPr>
              <w:pStyle w:val="Tabulka"/>
              <w:rPr>
                <w:rFonts w:cs="Calibri"/>
              </w:rPr>
            </w:pPr>
            <w:r>
              <w:rPr>
                <w:rFonts w:cs="Calibri"/>
              </w:rPr>
              <w:t>průběžně</w:t>
            </w:r>
          </w:p>
        </w:tc>
      </w:tr>
      <w:tr w:rsidR="00055AD8" w:rsidRPr="00DD47DF" w14:paraId="5F01CABF"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5482E769" w14:textId="1B3E3E9C" w:rsidR="00055AD8" w:rsidRPr="00DD47DF" w:rsidDel="00C75691" w:rsidRDefault="00055AD8" w:rsidP="00055AD8">
            <w:pPr>
              <w:pStyle w:val="Tabulka"/>
              <w:rPr>
                <w:rFonts w:cs="Calibri"/>
              </w:rPr>
            </w:pPr>
            <w:r w:rsidRPr="00DD47DF">
              <w:rPr>
                <w:rFonts w:cs="Calibri"/>
              </w:rPr>
              <w:t>CO 24</w:t>
            </w:r>
          </w:p>
        </w:tc>
        <w:tc>
          <w:tcPr>
            <w:tcW w:w="1074" w:type="pct"/>
            <w:tcBorders>
              <w:top w:val="single" w:sz="4" w:space="0" w:color="000000"/>
              <w:left w:val="single" w:sz="4" w:space="0" w:color="000000"/>
              <w:bottom w:val="single" w:sz="4" w:space="0" w:color="000000"/>
              <w:right w:val="single" w:sz="4" w:space="0" w:color="000000"/>
            </w:tcBorders>
            <w:vAlign w:val="center"/>
          </w:tcPr>
          <w:p w14:paraId="3CF49391" w14:textId="77777777" w:rsidR="00055AD8" w:rsidRPr="00DD47DF" w:rsidRDefault="00055AD8" w:rsidP="00055AD8">
            <w:pPr>
              <w:pStyle w:val="Tabulka"/>
              <w:jc w:val="left"/>
              <w:rPr>
                <w:rFonts w:cs="Calibri"/>
              </w:rPr>
            </w:pPr>
            <w:r w:rsidRPr="00DD47DF">
              <w:rPr>
                <w:rFonts w:cs="Calibri"/>
              </w:rPr>
              <w:t>Počet nových výzkumných pracovníků v podporovaných subjektech</w:t>
            </w:r>
          </w:p>
        </w:tc>
        <w:tc>
          <w:tcPr>
            <w:tcW w:w="716" w:type="pct"/>
            <w:tcBorders>
              <w:top w:val="single" w:sz="4" w:space="0" w:color="000000"/>
              <w:left w:val="single" w:sz="4" w:space="0" w:color="000000"/>
              <w:bottom w:val="single" w:sz="4" w:space="0" w:color="000000"/>
              <w:right w:val="single" w:sz="4" w:space="0" w:color="000000"/>
            </w:tcBorders>
            <w:vAlign w:val="center"/>
          </w:tcPr>
          <w:p w14:paraId="0DCDF526" w14:textId="77777777" w:rsidR="00055AD8" w:rsidRPr="00DD47DF" w:rsidRDefault="00055AD8" w:rsidP="00055AD8">
            <w:pPr>
              <w:pStyle w:val="Tabulka"/>
              <w:rPr>
                <w:rFonts w:cs="Calibri"/>
              </w:rPr>
            </w:pPr>
            <w:r w:rsidRPr="00DD47DF">
              <w:rPr>
                <w:rFonts w:cs="Calibri"/>
              </w:rPr>
              <w:t>FTE</w:t>
            </w:r>
          </w:p>
        </w:tc>
        <w:tc>
          <w:tcPr>
            <w:tcW w:w="357" w:type="pct"/>
            <w:tcBorders>
              <w:top w:val="single" w:sz="4" w:space="0" w:color="000000"/>
              <w:left w:val="single" w:sz="4" w:space="0" w:color="000000"/>
              <w:bottom w:val="single" w:sz="4" w:space="0" w:color="000000"/>
              <w:right w:val="single" w:sz="4" w:space="0" w:color="000000"/>
            </w:tcBorders>
            <w:vAlign w:val="center"/>
          </w:tcPr>
          <w:p w14:paraId="3142739E"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D5A52CE"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D27A3F1" w14:textId="685170C4" w:rsidR="00055AD8" w:rsidRPr="00DD47DF" w:rsidRDefault="000317E0" w:rsidP="00055AD8">
            <w:pPr>
              <w:pStyle w:val="Tabulka"/>
              <w:rPr>
                <w:rFonts w:cs="Calibri"/>
              </w:rPr>
            </w:pPr>
            <w:r>
              <w:rPr>
                <w:rFonts w:cs="Calibri"/>
              </w:rPr>
              <w:t>560</w:t>
            </w:r>
          </w:p>
        </w:tc>
        <w:tc>
          <w:tcPr>
            <w:tcW w:w="535" w:type="pct"/>
            <w:tcBorders>
              <w:top w:val="single" w:sz="4" w:space="0" w:color="000000"/>
              <w:left w:val="single" w:sz="4" w:space="0" w:color="000000"/>
              <w:bottom w:val="single" w:sz="4" w:space="0" w:color="000000"/>
              <w:right w:val="single" w:sz="4" w:space="0" w:color="000000"/>
            </w:tcBorders>
            <w:vAlign w:val="center"/>
          </w:tcPr>
          <w:p w14:paraId="24C93F1A"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786874F" w14:textId="77777777" w:rsidR="00055AD8" w:rsidRPr="00DD47DF" w:rsidRDefault="00055AD8" w:rsidP="00055AD8">
            <w:pPr>
              <w:pStyle w:val="Tabulka"/>
              <w:rPr>
                <w:rFonts w:cs="Calibri"/>
              </w:rPr>
            </w:pPr>
            <w:r>
              <w:rPr>
                <w:rFonts w:cs="Calibri"/>
              </w:rPr>
              <w:t>průběžně</w:t>
            </w:r>
          </w:p>
        </w:tc>
      </w:tr>
      <w:tr w:rsidR="00055AD8" w:rsidRPr="00DD47DF" w14:paraId="7C7C73DC"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2CBF48D" w14:textId="3DF49FFE" w:rsidR="00055AD8" w:rsidRPr="00DD47DF" w:rsidRDefault="00055AD8" w:rsidP="00055AD8">
            <w:pPr>
              <w:pStyle w:val="Tabulka"/>
              <w:rPr>
                <w:rFonts w:cs="Calibri"/>
              </w:rPr>
            </w:pPr>
            <w:r w:rsidRPr="00DD47DF">
              <w:rPr>
                <w:rFonts w:cs="Calibri"/>
              </w:rPr>
              <w:t>CO 26</w:t>
            </w:r>
          </w:p>
        </w:tc>
        <w:tc>
          <w:tcPr>
            <w:tcW w:w="1074" w:type="pct"/>
            <w:tcBorders>
              <w:top w:val="single" w:sz="4" w:space="0" w:color="000000"/>
              <w:left w:val="single" w:sz="4" w:space="0" w:color="000000"/>
              <w:bottom w:val="single" w:sz="4" w:space="0" w:color="000000"/>
              <w:right w:val="single" w:sz="4" w:space="0" w:color="000000"/>
            </w:tcBorders>
            <w:vAlign w:val="center"/>
          </w:tcPr>
          <w:p w14:paraId="4571A608" w14:textId="77777777" w:rsidR="00055AD8" w:rsidRPr="00DD47DF" w:rsidRDefault="00055AD8" w:rsidP="00055AD8">
            <w:pPr>
              <w:pStyle w:val="Tabulka"/>
              <w:jc w:val="left"/>
              <w:rPr>
                <w:rFonts w:cs="Calibri"/>
              </w:rPr>
            </w:pPr>
            <w:r w:rsidRPr="00DD47DF">
              <w:rPr>
                <w:rFonts w:cs="Calibri"/>
              </w:rPr>
              <w:t>Počet podniků spolupracujících s výzkumnými institucemi</w:t>
            </w:r>
          </w:p>
        </w:tc>
        <w:tc>
          <w:tcPr>
            <w:tcW w:w="716" w:type="pct"/>
            <w:tcBorders>
              <w:top w:val="single" w:sz="4" w:space="0" w:color="000000"/>
              <w:left w:val="single" w:sz="4" w:space="0" w:color="000000"/>
              <w:bottom w:val="single" w:sz="4" w:space="0" w:color="000000"/>
              <w:right w:val="single" w:sz="4" w:space="0" w:color="000000"/>
            </w:tcBorders>
            <w:vAlign w:val="center"/>
          </w:tcPr>
          <w:p w14:paraId="33FB4E75"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4AFDB845"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292F9C6"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5B84D813" w14:textId="2A06E044" w:rsidR="00055AD8" w:rsidRPr="00DD47DF" w:rsidRDefault="00055AD8" w:rsidP="0018368F">
            <w:pPr>
              <w:pStyle w:val="Tabulka"/>
              <w:rPr>
                <w:rFonts w:cs="Calibri"/>
              </w:rPr>
            </w:pPr>
            <w:r w:rsidRPr="00DD47DF">
              <w:rPr>
                <w:rFonts w:cs="Calibri"/>
              </w:rPr>
              <w:t xml:space="preserve">2 </w:t>
            </w:r>
            <w:r w:rsidR="0018368F">
              <w:rPr>
                <w:rFonts w:cs="Calibri"/>
              </w:rPr>
              <w:t>200</w:t>
            </w:r>
          </w:p>
        </w:tc>
        <w:tc>
          <w:tcPr>
            <w:tcW w:w="535" w:type="pct"/>
            <w:tcBorders>
              <w:top w:val="single" w:sz="4" w:space="0" w:color="000000"/>
              <w:left w:val="single" w:sz="4" w:space="0" w:color="000000"/>
              <w:bottom w:val="single" w:sz="4" w:space="0" w:color="000000"/>
              <w:right w:val="single" w:sz="4" w:space="0" w:color="000000"/>
            </w:tcBorders>
            <w:vAlign w:val="center"/>
          </w:tcPr>
          <w:p w14:paraId="1262451F"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F02762D" w14:textId="77777777" w:rsidR="00055AD8" w:rsidRPr="00DD47DF" w:rsidRDefault="00055AD8" w:rsidP="00055AD8">
            <w:pPr>
              <w:pStyle w:val="Tabulka"/>
              <w:rPr>
                <w:rFonts w:cs="Calibri"/>
              </w:rPr>
            </w:pPr>
            <w:r>
              <w:rPr>
                <w:rFonts w:cs="Calibri"/>
              </w:rPr>
              <w:t>průběžně</w:t>
            </w:r>
          </w:p>
        </w:tc>
      </w:tr>
      <w:tr w:rsidR="00055AD8" w:rsidRPr="00DD47DF" w14:paraId="38927460"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4D75C51E" w14:textId="6CAAAB63" w:rsidR="00055AD8" w:rsidRPr="00DD47DF" w:rsidRDefault="00055AD8" w:rsidP="00055AD8">
            <w:pPr>
              <w:pStyle w:val="Tabulka"/>
              <w:rPr>
                <w:rFonts w:cs="Calibri"/>
              </w:rPr>
            </w:pPr>
            <w:r w:rsidRPr="00DD47DF">
              <w:rPr>
                <w:rFonts w:cs="Calibri"/>
              </w:rPr>
              <w:t>CO 27</w:t>
            </w:r>
          </w:p>
        </w:tc>
        <w:tc>
          <w:tcPr>
            <w:tcW w:w="1074" w:type="pct"/>
            <w:tcBorders>
              <w:top w:val="single" w:sz="4" w:space="0" w:color="000000"/>
              <w:left w:val="single" w:sz="4" w:space="0" w:color="000000"/>
              <w:bottom w:val="single" w:sz="4" w:space="0" w:color="000000"/>
              <w:right w:val="single" w:sz="4" w:space="0" w:color="000000"/>
            </w:tcBorders>
            <w:vAlign w:val="center"/>
          </w:tcPr>
          <w:p w14:paraId="3A17F607" w14:textId="77777777" w:rsidR="00055AD8" w:rsidRPr="00DD47DF" w:rsidRDefault="00055AD8" w:rsidP="00055AD8">
            <w:pPr>
              <w:pStyle w:val="Tabulka"/>
              <w:jc w:val="left"/>
              <w:rPr>
                <w:rFonts w:cs="Calibri"/>
              </w:rPr>
            </w:pPr>
            <w:r w:rsidRPr="00DD47DF">
              <w:rPr>
                <w:rFonts w:cs="Calibri"/>
              </w:rPr>
              <w:t>Soukromé investice v projektech s veřejnou podporou v oblasti inovací nebo výzkumu a vývoje</w:t>
            </w:r>
          </w:p>
        </w:tc>
        <w:tc>
          <w:tcPr>
            <w:tcW w:w="716" w:type="pct"/>
            <w:tcBorders>
              <w:top w:val="single" w:sz="4" w:space="0" w:color="000000"/>
              <w:left w:val="single" w:sz="4" w:space="0" w:color="000000"/>
              <w:bottom w:val="single" w:sz="4" w:space="0" w:color="000000"/>
              <w:right w:val="single" w:sz="4" w:space="0" w:color="000000"/>
            </w:tcBorders>
            <w:vAlign w:val="center"/>
          </w:tcPr>
          <w:p w14:paraId="4446341F" w14:textId="77777777" w:rsidR="00055AD8" w:rsidRPr="00DD47DF" w:rsidRDefault="00055AD8" w:rsidP="00055AD8">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544A7156"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46EAD58C"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A0F2584" w14:textId="0897FD4C" w:rsidR="00055AD8" w:rsidRPr="00DD47DF" w:rsidRDefault="00EA451B" w:rsidP="00055AD8">
            <w:pPr>
              <w:pStyle w:val="Tabulka"/>
              <w:rPr>
                <w:rFonts w:cs="Calibri"/>
              </w:rPr>
            </w:pPr>
            <w:r>
              <w:rPr>
                <w:rFonts w:cs="Calibri"/>
              </w:rPr>
              <w:t>1 250 000 000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721F01A1" w14:textId="77777777" w:rsidR="00055AD8" w:rsidRPr="00DD47DF" w:rsidRDefault="00055AD8" w:rsidP="00055AD8">
            <w:pPr>
              <w:pStyle w:val="Tabulka"/>
              <w:rPr>
                <w:rFonts w:cs="Calibri"/>
              </w:rPr>
            </w:pPr>
            <w:r>
              <w:rPr>
                <w:rFonts w:cs="Calibri"/>
              </w:rPr>
              <w:t>MS2014+</w:t>
            </w:r>
          </w:p>
        </w:tc>
        <w:tc>
          <w:tcPr>
            <w:tcW w:w="527" w:type="pct"/>
            <w:tcBorders>
              <w:top w:val="single" w:sz="4" w:space="0" w:color="000000"/>
              <w:left w:val="single" w:sz="4" w:space="0" w:color="000000"/>
              <w:bottom w:val="single" w:sz="4" w:space="0" w:color="000000"/>
              <w:right w:val="single" w:sz="4" w:space="0" w:color="000000"/>
            </w:tcBorders>
            <w:vAlign w:val="center"/>
          </w:tcPr>
          <w:p w14:paraId="2A8E8509" w14:textId="77777777" w:rsidR="00055AD8" w:rsidRPr="00DD47DF" w:rsidRDefault="00055AD8" w:rsidP="00055AD8">
            <w:pPr>
              <w:pStyle w:val="Tabulka"/>
              <w:rPr>
                <w:rFonts w:cs="Calibri"/>
              </w:rPr>
            </w:pPr>
            <w:r>
              <w:rPr>
                <w:rFonts w:cs="Calibri"/>
              </w:rPr>
              <w:t>průběžně</w:t>
            </w:r>
          </w:p>
        </w:tc>
      </w:tr>
      <w:tr w:rsidR="00055AD8" w:rsidRPr="00DD47DF" w14:paraId="5FFFBA83"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65875300" w14:textId="6A7DE62E" w:rsidR="00055AD8" w:rsidRPr="00DD47DF" w:rsidRDefault="00055AD8" w:rsidP="00055AD8">
            <w:pPr>
              <w:pStyle w:val="Tabulka"/>
              <w:jc w:val="left"/>
              <w:rPr>
                <w:rFonts w:cs="Calibri"/>
              </w:rPr>
            </w:pPr>
            <w:r w:rsidRPr="00DD47DF">
              <w:rPr>
                <w:rFonts w:cs="Calibri"/>
              </w:rPr>
              <w:lastRenderedPageBreak/>
              <w:t>CO 28</w:t>
            </w:r>
          </w:p>
        </w:tc>
        <w:tc>
          <w:tcPr>
            <w:tcW w:w="1074" w:type="pct"/>
            <w:tcBorders>
              <w:top w:val="single" w:sz="4" w:space="0" w:color="000000"/>
              <w:left w:val="single" w:sz="4" w:space="0" w:color="000000"/>
              <w:bottom w:val="single" w:sz="4" w:space="0" w:color="000000"/>
              <w:right w:val="single" w:sz="4" w:space="0" w:color="000000"/>
            </w:tcBorders>
            <w:vAlign w:val="center"/>
          </w:tcPr>
          <w:p w14:paraId="138815D2" w14:textId="77777777" w:rsidR="00055AD8" w:rsidRPr="00DD47DF" w:rsidRDefault="00055AD8" w:rsidP="00055AD8">
            <w:pPr>
              <w:pStyle w:val="Tabulka"/>
              <w:jc w:val="left"/>
              <w:rPr>
                <w:rFonts w:cs="Calibri"/>
              </w:rPr>
            </w:pPr>
            <w:r w:rsidRPr="00DD47DF">
              <w:rPr>
                <w:rFonts w:cs="Calibri"/>
              </w:rPr>
              <w:t>Počet podniků, které dostávají podporu pro účely uvádění nových výrobků na trh</w:t>
            </w:r>
          </w:p>
        </w:tc>
        <w:tc>
          <w:tcPr>
            <w:tcW w:w="716" w:type="pct"/>
            <w:tcBorders>
              <w:top w:val="single" w:sz="4" w:space="0" w:color="000000"/>
              <w:left w:val="single" w:sz="4" w:space="0" w:color="000000"/>
              <w:bottom w:val="single" w:sz="4" w:space="0" w:color="000000"/>
              <w:right w:val="single" w:sz="4" w:space="0" w:color="000000"/>
            </w:tcBorders>
            <w:vAlign w:val="center"/>
          </w:tcPr>
          <w:p w14:paraId="66B9E590"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04A8C212"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929F093"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8FF0E8B" w14:textId="17600F42" w:rsidR="00055AD8" w:rsidRPr="00DD47DF" w:rsidRDefault="008A1BA5" w:rsidP="008A1BA5">
            <w:pPr>
              <w:pStyle w:val="Tabulka"/>
              <w:rPr>
                <w:rFonts w:cs="Calibri"/>
              </w:rPr>
            </w:pPr>
            <w:r>
              <w:rPr>
                <w:rFonts w:cs="Calibri"/>
              </w:rPr>
              <w:t>620</w:t>
            </w:r>
          </w:p>
        </w:tc>
        <w:tc>
          <w:tcPr>
            <w:tcW w:w="535" w:type="pct"/>
            <w:tcBorders>
              <w:top w:val="single" w:sz="4" w:space="0" w:color="000000"/>
              <w:left w:val="single" w:sz="4" w:space="0" w:color="000000"/>
              <w:bottom w:val="single" w:sz="4" w:space="0" w:color="000000"/>
              <w:right w:val="single" w:sz="4" w:space="0" w:color="000000"/>
            </w:tcBorders>
            <w:vAlign w:val="center"/>
          </w:tcPr>
          <w:p w14:paraId="2BDDCDDA" w14:textId="77777777" w:rsidR="00055AD8" w:rsidRPr="00DD47DF" w:rsidRDefault="00055AD8" w:rsidP="00055AD8">
            <w:pPr>
              <w:pStyle w:val="Tabulka"/>
              <w:rPr>
                <w:rFonts w:cs="Calibri"/>
              </w:rPr>
            </w:pPr>
            <w:r>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772EF87D" w14:textId="77777777" w:rsidR="00055AD8" w:rsidRPr="00DD47DF" w:rsidRDefault="00055AD8" w:rsidP="00055AD8">
            <w:pPr>
              <w:pStyle w:val="Tabulka"/>
              <w:rPr>
                <w:rFonts w:cs="Calibri"/>
              </w:rPr>
            </w:pPr>
            <w:r>
              <w:rPr>
                <w:rFonts w:cs="Calibri"/>
              </w:rPr>
              <w:t>průběžně</w:t>
            </w:r>
          </w:p>
        </w:tc>
      </w:tr>
      <w:tr w:rsidR="00055AD8" w:rsidRPr="00DD47DF" w14:paraId="3FB5CD88"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70A30B07" w14:textId="7AF45E3B" w:rsidR="00055AD8" w:rsidRPr="00DD47DF" w:rsidRDefault="00055AD8" w:rsidP="00055AD8">
            <w:pPr>
              <w:pStyle w:val="Tabulka"/>
              <w:jc w:val="left"/>
              <w:rPr>
                <w:rFonts w:cs="Calibri"/>
              </w:rPr>
            </w:pPr>
            <w:r w:rsidRPr="00DD47DF">
              <w:rPr>
                <w:rFonts w:cs="Calibri"/>
              </w:rPr>
              <w:t>CO 29</w:t>
            </w:r>
          </w:p>
        </w:tc>
        <w:tc>
          <w:tcPr>
            <w:tcW w:w="1074" w:type="pct"/>
            <w:tcBorders>
              <w:top w:val="single" w:sz="4" w:space="0" w:color="000000"/>
              <w:left w:val="single" w:sz="4" w:space="0" w:color="000000"/>
              <w:bottom w:val="single" w:sz="4" w:space="0" w:color="000000"/>
              <w:right w:val="single" w:sz="4" w:space="0" w:color="000000"/>
            </w:tcBorders>
            <w:vAlign w:val="center"/>
          </w:tcPr>
          <w:p w14:paraId="39EB0AC6" w14:textId="77777777" w:rsidR="00055AD8" w:rsidRPr="00DD47DF" w:rsidRDefault="00055AD8" w:rsidP="00055AD8">
            <w:pPr>
              <w:pStyle w:val="Tabulka"/>
              <w:jc w:val="left"/>
              <w:rPr>
                <w:rFonts w:cs="Calibri"/>
              </w:rPr>
            </w:pPr>
            <w:r w:rsidRPr="00DD47DF">
              <w:rPr>
                <w:rFonts w:cs="Calibri"/>
              </w:rPr>
              <w:t>Počet podniků, které dostávají podporu pro účely zavádění výrobků nových pro podnik</w:t>
            </w:r>
          </w:p>
        </w:tc>
        <w:tc>
          <w:tcPr>
            <w:tcW w:w="716" w:type="pct"/>
            <w:tcBorders>
              <w:top w:val="single" w:sz="4" w:space="0" w:color="000000"/>
              <w:left w:val="single" w:sz="4" w:space="0" w:color="000000"/>
              <w:bottom w:val="single" w:sz="4" w:space="0" w:color="000000"/>
              <w:right w:val="single" w:sz="4" w:space="0" w:color="000000"/>
            </w:tcBorders>
            <w:vAlign w:val="center"/>
          </w:tcPr>
          <w:p w14:paraId="090911E5" w14:textId="77777777" w:rsidR="00055AD8" w:rsidRPr="00DD47DF" w:rsidRDefault="00055AD8" w:rsidP="00055AD8">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C002801"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D0B6F79"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6AC06F3D" w14:textId="5B361AB6" w:rsidR="00055AD8" w:rsidRPr="00DD47DF" w:rsidRDefault="008A1BA5" w:rsidP="008A1BA5">
            <w:pPr>
              <w:pStyle w:val="Tabulka"/>
              <w:rPr>
                <w:rFonts w:cs="Calibri"/>
              </w:rPr>
            </w:pPr>
            <w:r>
              <w:rPr>
                <w:rFonts w:cs="Calibri"/>
              </w:rPr>
              <w:t>120</w:t>
            </w:r>
          </w:p>
        </w:tc>
        <w:tc>
          <w:tcPr>
            <w:tcW w:w="535" w:type="pct"/>
            <w:tcBorders>
              <w:top w:val="single" w:sz="4" w:space="0" w:color="000000"/>
              <w:left w:val="single" w:sz="4" w:space="0" w:color="000000"/>
              <w:bottom w:val="single" w:sz="4" w:space="0" w:color="000000"/>
              <w:right w:val="single" w:sz="4" w:space="0" w:color="000000"/>
            </w:tcBorders>
            <w:vAlign w:val="center"/>
          </w:tcPr>
          <w:p w14:paraId="737861C8" w14:textId="77777777" w:rsidR="00055AD8" w:rsidRPr="00DD47DF" w:rsidRDefault="00055AD8" w:rsidP="00055AD8">
            <w:pPr>
              <w:pStyle w:val="Tabulka"/>
              <w:rPr>
                <w:rFonts w:cs="Calibri"/>
              </w:rPr>
            </w:pPr>
            <w:r>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6C4C21B3" w14:textId="77777777" w:rsidR="00055AD8" w:rsidRPr="00DD47DF" w:rsidRDefault="00055AD8" w:rsidP="00055AD8">
            <w:pPr>
              <w:pStyle w:val="Tabulka"/>
              <w:rPr>
                <w:rFonts w:cs="Calibri"/>
              </w:rPr>
            </w:pPr>
            <w:r>
              <w:rPr>
                <w:rFonts w:cs="Calibri"/>
              </w:rPr>
              <w:t>průběžně</w:t>
            </w:r>
          </w:p>
        </w:tc>
      </w:tr>
      <w:tr w:rsidR="00055AD8" w:rsidRPr="00DD47DF" w14:paraId="0CC52E2C"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3C9ABDD6" w14:textId="77777777" w:rsidR="00055AD8" w:rsidRPr="00DD47DF" w:rsidDel="00C75691" w:rsidRDefault="00055AD8" w:rsidP="00055AD8">
            <w:pPr>
              <w:pStyle w:val="Tabulka"/>
              <w:jc w:val="left"/>
              <w:rPr>
                <w:rFonts w:cs="Calibri"/>
              </w:rPr>
            </w:pPr>
            <w:r w:rsidRPr="00DD47DF">
              <w:rPr>
                <w:rFonts w:cs="Calibri"/>
              </w:rPr>
              <w:t>20101</w:t>
            </w:r>
          </w:p>
        </w:tc>
        <w:tc>
          <w:tcPr>
            <w:tcW w:w="1074" w:type="pct"/>
            <w:tcBorders>
              <w:top w:val="single" w:sz="4" w:space="0" w:color="000000"/>
              <w:left w:val="single" w:sz="4" w:space="0" w:color="000000"/>
              <w:bottom w:val="single" w:sz="4" w:space="0" w:color="000000"/>
              <w:right w:val="single" w:sz="4" w:space="0" w:color="000000"/>
            </w:tcBorders>
            <w:vAlign w:val="center"/>
          </w:tcPr>
          <w:p w14:paraId="17719602" w14:textId="77777777" w:rsidR="00055AD8" w:rsidRPr="00DD47DF" w:rsidRDefault="00055AD8" w:rsidP="00055AD8">
            <w:pPr>
              <w:pStyle w:val="Tabulka"/>
              <w:jc w:val="left"/>
              <w:rPr>
                <w:rFonts w:cs="Calibri"/>
              </w:rPr>
            </w:pPr>
            <w:r w:rsidRPr="00DD47DF">
              <w:rPr>
                <w:rFonts w:cs="Calibri"/>
              </w:rPr>
              <w:t>Počet výzkumných organizací spolupracujících s firmami</w:t>
            </w:r>
          </w:p>
        </w:tc>
        <w:tc>
          <w:tcPr>
            <w:tcW w:w="716" w:type="pct"/>
            <w:tcBorders>
              <w:top w:val="single" w:sz="4" w:space="0" w:color="000000"/>
              <w:left w:val="single" w:sz="4" w:space="0" w:color="000000"/>
              <w:bottom w:val="single" w:sz="4" w:space="0" w:color="000000"/>
              <w:right w:val="single" w:sz="4" w:space="0" w:color="000000"/>
            </w:tcBorders>
            <w:vAlign w:val="center"/>
          </w:tcPr>
          <w:p w14:paraId="7B948757" w14:textId="77777777" w:rsidR="00055AD8" w:rsidRPr="00DD47DF" w:rsidRDefault="00055AD8" w:rsidP="00055AD8">
            <w:pPr>
              <w:pStyle w:val="Tabulka"/>
              <w:rPr>
                <w:rFonts w:cs="Calibri"/>
              </w:rPr>
            </w:pPr>
            <w:r w:rsidRPr="00DD47DF">
              <w:rPr>
                <w:rFonts w:cs="Calibri"/>
              </w:rPr>
              <w:t>organizace</w:t>
            </w:r>
          </w:p>
        </w:tc>
        <w:tc>
          <w:tcPr>
            <w:tcW w:w="357" w:type="pct"/>
            <w:tcBorders>
              <w:top w:val="single" w:sz="4" w:space="0" w:color="000000"/>
              <w:left w:val="single" w:sz="4" w:space="0" w:color="000000"/>
              <w:bottom w:val="single" w:sz="4" w:space="0" w:color="000000"/>
              <w:right w:val="single" w:sz="4" w:space="0" w:color="000000"/>
            </w:tcBorders>
            <w:vAlign w:val="center"/>
          </w:tcPr>
          <w:p w14:paraId="0C1912CA"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38F27E5D"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49E68B5A" w14:textId="45AB99C0" w:rsidR="00055AD8" w:rsidRPr="00DD47DF" w:rsidRDefault="000317E0" w:rsidP="00055AD8">
            <w:pPr>
              <w:pStyle w:val="Tabulka"/>
              <w:rPr>
                <w:rFonts w:cs="Calibri"/>
              </w:rPr>
            </w:pPr>
            <w:r>
              <w:rPr>
                <w:rFonts w:cs="Calibri"/>
              </w:rPr>
              <w:t>55</w:t>
            </w:r>
          </w:p>
        </w:tc>
        <w:tc>
          <w:tcPr>
            <w:tcW w:w="535" w:type="pct"/>
            <w:tcBorders>
              <w:top w:val="single" w:sz="4" w:space="0" w:color="000000"/>
              <w:left w:val="single" w:sz="4" w:space="0" w:color="000000"/>
              <w:bottom w:val="single" w:sz="4" w:space="0" w:color="000000"/>
              <w:right w:val="single" w:sz="4" w:space="0" w:color="000000"/>
            </w:tcBorders>
            <w:vAlign w:val="center"/>
          </w:tcPr>
          <w:p w14:paraId="2C7CE62C"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4E96DDBB" w14:textId="77777777" w:rsidR="00055AD8" w:rsidRPr="00DD47DF" w:rsidRDefault="00055AD8" w:rsidP="00055AD8">
            <w:pPr>
              <w:pStyle w:val="Tabulka"/>
              <w:rPr>
                <w:rFonts w:cs="Calibri"/>
              </w:rPr>
            </w:pPr>
            <w:r>
              <w:rPr>
                <w:rFonts w:cs="Calibri"/>
              </w:rPr>
              <w:t>průběžně</w:t>
            </w:r>
          </w:p>
        </w:tc>
      </w:tr>
      <w:tr w:rsidR="00055AD8" w:rsidRPr="00DD47DF" w14:paraId="020D26F5"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0388FC4B" w14:textId="77777777" w:rsidR="00055AD8" w:rsidRPr="00DD47DF" w:rsidDel="00C75691" w:rsidRDefault="00055AD8" w:rsidP="00055AD8">
            <w:pPr>
              <w:pStyle w:val="Tabulka"/>
              <w:jc w:val="left"/>
              <w:rPr>
                <w:rFonts w:cs="Calibri"/>
              </w:rPr>
            </w:pPr>
            <w:r w:rsidRPr="00DD47DF">
              <w:rPr>
                <w:rFonts w:cs="Calibri"/>
              </w:rPr>
              <w:t>23000</w:t>
            </w:r>
          </w:p>
        </w:tc>
        <w:tc>
          <w:tcPr>
            <w:tcW w:w="1074" w:type="pct"/>
            <w:tcBorders>
              <w:top w:val="single" w:sz="4" w:space="0" w:color="000000"/>
              <w:left w:val="single" w:sz="4" w:space="0" w:color="000000"/>
              <w:bottom w:val="single" w:sz="4" w:space="0" w:color="000000"/>
              <w:right w:val="single" w:sz="4" w:space="0" w:color="000000"/>
            </w:tcBorders>
            <w:vAlign w:val="center"/>
          </w:tcPr>
          <w:p w14:paraId="39438677" w14:textId="77777777" w:rsidR="00055AD8" w:rsidRPr="00DD47DF" w:rsidRDefault="00055AD8" w:rsidP="00055AD8">
            <w:pPr>
              <w:pStyle w:val="Tabulka"/>
              <w:jc w:val="left"/>
              <w:rPr>
                <w:rFonts w:cs="Calibri"/>
              </w:rPr>
            </w:pPr>
            <w:r w:rsidRPr="00DD47DF">
              <w:rPr>
                <w:rFonts w:cs="Calibri"/>
              </w:rPr>
              <w:t>Počet nově vzniklých a modernizovaných inovačních infrastruktur</w:t>
            </w:r>
          </w:p>
        </w:tc>
        <w:tc>
          <w:tcPr>
            <w:tcW w:w="716" w:type="pct"/>
            <w:tcBorders>
              <w:top w:val="single" w:sz="4" w:space="0" w:color="000000"/>
              <w:left w:val="single" w:sz="4" w:space="0" w:color="000000"/>
              <w:bottom w:val="single" w:sz="4" w:space="0" w:color="000000"/>
              <w:right w:val="single" w:sz="4" w:space="0" w:color="000000"/>
            </w:tcBorders>
            <w:vAlign w:val="center"/>
          </w:tcPr>
          <w:p w14:paraId="6E8A4610" w14:textId="77777777" w:rsidR="00055AD8" w:rsidRPr="00DD47DF" w:rsidRDefault="00055AD8" w:rsidP="00055AD8">
            <w:pPr>
              <w:pStyle w:val="Tabulka"/>
              <w:rPr>
                <w:rFonts w:cs="Calibri"/>
              </w:rPr>
            </w:pPr>
            <w:r w:rsidRPr="00DD47DF">
              <w:rPr>
                <w:rFonts w:cs="Calibri"/>
              </w:rPr>
              <w:t>Infrastruktury</w:t>
            </w:r>
          </w:p>
        </w:tc>
        <w:tc>
          <w:tcPr>
            <w:tcW w:w="357" w:type="pct"/>
            <w:tcBorders>
              <w:top w:val="single" w:sz="4" w:space="0" w:color="000000"/>
              <w:left w:val="single" w:sz="4" w:space="0" w:color="000000"/>
              <w:bottom w:val="single" w:sz="4" w:space="0" w:color="000000"/>
              <w:right w:val="single" w:sz="4" w:space="0" w:color="000000"/>
            </w:tcBorders>
            <w:vAlign w:val="center"/>
          </w:tcPr>
          <w:p w14:paraId="49AED4EA"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532AEDA6"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30EBCE93" w14:textId="34EACD36" w:rsidR="00055AD8" w:rsidRPr="00DD47DF" w:rsidRDefault="00F03BBB" w:rsidP="00055AD8">
            <w:pPr>
              <w:pStyle w:val="Tabulka"/>
              <w:rPr>
                <w:rFonts w:cs="Calibri"/>
              </w:rPr>
            </w:pPr>
            <w:r>
              <w:rPr>
                <w:rFonts w:cs="Calibri"/>
              </w:rPr>
              <w:t>31</w:t>
            </w:r>
          </w:p>
        </w:tc>
        <w:tc>
          <w:tcPr>
            <w:tcW w:w="535" w:type="pct"/>
            <w:tcBorders>
              <w:top w:val="single" w:sz="4" w:space="0" w:color="000000"/>
              <w:left w:val="single" w:sz="4" w:space="0" w:color="000000"/>
              <w:bottom w:val="single" w:sz="4" w:space="0" w:color="000000"/>
              <w:right w:val="single" w:sz="4" w:space="0" w:color="000000"/>
            </w:tcBorders>
            <w:vAlign w:val="center"/>
          </w:tcPr>
          <w:p w14:paraId="6160AC00"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54B36A98" w14:textId="77777777" w:rsidR="00055AD8" w:rsidRPr="00DD47DF" w:rsidRDefault="00055AD8" w:rsidP="00055AD8">
            <w:pPr>
              <w:pStyle w:val="Tabulka"/>
              <w:rPr>
                <w:rFonts w:cs="Calibri"/>
              </w:rPr>
            </w:pPr>
            <w:r>
              <w:rPr>
                <w:rFonts w:cs="Calibri"/>
              </w:rPr>
              <w:t>průběžně</w:t>
            </w:r>
          </w:p>
        </w:tc>
      </w:tr>
      <w:tr w:rsidR="00055AD8" w:rsidRPr="00DD47DF" w14:paraId="3872FFF0" w14:textId="77777777" w:rsidTr="00055AD8">
        <w:trPr>
          <w:trHeight w:val="510"/>
        </w:trPr>
        <w:tc>
          <w:tcPr>
            <w:tcW w:w="589" w:type="pct"/>
            <w:tcBorders>
              <w:top w:val="single" w:sz="4" w:space="0" w:color="000000"/>
              <w:left w:val="single" w:sz="4" w:space="0" w:color="000000"/>
              <w:bottom w:val="single" w:sz="4" w:space="0" w:color="000000"/>
              <w:right w:val="single" w:sz="4" w:space="0" w:color="000000"/>
            </w:tcBorders>
            <w:vAlign w:val="center"/>
          </w:tcPr>
          <w:p w14:paraId="4D9C4165" w14:textId="77777777" w:rsidR="00055AD8" w:rsidRPr="00DD47DF" w:rsidRDefault="00055AD8" w:rsidP="00055AD8">
            <w:pPr>
              <w:pStyle w:val="Tabulka"/>
              <w:jc w:val="left"/>
              <w:rPr>
                <w:rFonts w:cs="Calibri"/>
              </w:rPr>
            </w:pPr>
            <w:r w:rsidRPr="00DD47DF">
              <w:rPr>
                <w:rFonts w:cs="Calibri"/>
              </w:rPr>
              <w:t>22100</w:t>
            </w:r>
          </w:p>
        </w:tc>
        <w:tc>
          <w:tcPr>
            <w:tcW w:w="1074" w:type="pct"/>
            <w:tcBorders>
              <w:top w:val="single" w:sz="4" w:space="0" w:color="000000"/>
              <w:left w:val="single" w:sz="4" w:space="0" w:color="000000"/>
              <w:bottom w:val="single" w:sz="4" w:space="0" w:color="000000"/>
              <w:right w:val="single" w:sz="4" w:space="0" w:color="000000"/>
            </w:tcBorders>
            <w:vAlign w:val="center"/>
          </w:tcPr>
          <w:p w14:paraId="7E85A8F7" w14:textId="77777777" w:rsidR="00055AD8" w:rsidRPr="00DD47DF" w:rsidRDefault="00055AD8" w:rsidP="00055AD8">
            <w:pPr>
              <w:pStyle w:val="Tabulka"/>
              <w:jc w:val="left"/>
              <w:rPr>
                <w:rFonts w:cs="Calibri"/>
              </w:rPr>
            </w:pPr>
            <w:r w:rsidRPr="00DD47DF">
              <w:rPr>
                <w:rFonts w:cs="Calibri"/>
              </w:rPr>
              <w:t>Počet přihlášek na ochranu práv průmyslového vlastnictví</w:t>
            </w:r>
          </w:p>
        </w:tc>
        <w:tc>
          <w:tcPr>
            <w:tcW w:w="716" w:type="pct"/>
            <w:tcBorders>
              <w:top w:val="single" w:sz="4" w:space="0" w:color="000000"/>
              <w:left w:val="single" w:sz="4" w:space="0" w:color="000000"/>
              <w:bottom w:val="single" w:sz="4" w:space="0" w:color="000000"/>
              <w:right w:val="single" w:sz="4" w:space="0" w:color="000000"/>
            </w:tcBorders>
            <w:vAlign w:val="center"/>
          </w:tcPr>
          <w:p w14:paraId="68B00470" w14:textId="77777777" w:rsidR="00055AD8" w:rsidRPr="00DD47DF" w:rsidRDefault="00055AD8" w:rsidP="00055AD8">
            <w:pPr>
              <w:pStyle w:val="Tabulka"/>
              <w:rPr>
                <w:rFonts w:cs="Calibri"/>
              </w:rPr>
            </w:pPr>
            <w:r w:rsidRPr="00DD47DF">
              <w:rPr>
                <w:rFonts w:cs="Calibri"/>
              </w:rPr>
              <w:t>přihlášky</w:t>
            </w:r>
          </w:p>
        </w:tc>
        <w:tc>
          <w:tcPr>
            <w:tcW w:w="357" w:type="pct"/>
            <w:tcBorders>
              <w:top w:val="single" w:sz="4" w:space="0" w:color="000000"/>
              <w:left w:val="single" w:sz="4" w:space="0" w:color="000000"/>
              <w:bottom w:val="single" w:sz="4" w:space="0" w:color="000000"/>
              <w:right w:val="single" w:sz="4" w:space="0" w:color="000000"/>
            </w:tcBorders>
            <w:vAlign w:val="center"/>
          </w:tcPr>
          <w:p w14:paraId="43A72E81" w14:textId="77777777" w:rsidR="00055AD8" w:rsidRPr="00DD47DF" w:rsidRDefault="00055AD8" w:rsidP="00055AD8">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FAFE154" w14:textId="77777777" w:rsidR="00055AD8" w:rsidRPr="00DD47DF" w:rsidRDefault="00055AD8" w:rsidP="00055AD8">
            <w:pPr>
              <w:pStyle w:val="Tabulka"/>
              <w:rPr>
                <w:rFonts w:cs="Calibri"/>
              </w:rPr>
            </w:pPr>
            <w:r w:rsidRPr="00DD47DF">
              <w:rPr>
                <w:rFonts w:cs="Calibri"/>
              </w:rPr>
              <w:t>Méně rozvinuté regiony</w:t>
            </w:r>
          </w:p>
        </w:tc>
        <w:tc>
          <w:tcPr>
            <w:tcW w:w="644" w:type="pct"/>
            <w:tcBorders>
              <w:top w:val="single" w:sz="4" w:space="0" w:color="000000"/>
              <w:left w:val="single" w:sz="4" w:space="0" w:color="000000"/>
              <w:bottom w:val="single" w:sz="4" w:space="0" w:color="000000"/>
              <w:right w:val="single" w:sz="4" w:space="0" w:color="000000"/>
            </w:tcBorders>
            <w:vAlign w:val="center"/>
          </w:tcPr>
          <w:p w14:paraId="196444E3" w14:textId="63362839" w:rsidR="00055AD8" w:rsidRPr="00DD47DF" w:rsidRDefault="000317E0" w:rsidP="00055AD8">
            <w:pPr>
              <w:pStyle w:val="Tabulka"/>
              <w:rPr>
                <w:rFonts w:cs="Calibri"/>
              </w:rPr>
            </w:pPr>
            <w:r>
              <w:rPr>
                <w:rFonts w:cs="Calibri"/>
              </w:rPr>
              <w:t>120</w:t>
            </w:r>
          </w:p>
        </w:tc>
        <w:tc>
          <w:tcPr>
            <w:tcW w:w="535" w:type="pct"/>
            <w:tcBorders>
              <w:top w:val="single" w:sz="4" w:space="0" w:color="000000"/>
              <w:left w:val="single" w:sz="4" w:space="0" w:color="000000"/>
              <w:bottom w:val="single" w:sz="4" w:space="0" w:color="000000"/>
              <w:right w:val="single" w:sz="4" w:space="0" w:color="000000"/>
            </w:tcBorders>
            <w:vAlign w:val="center"/>
          </w:tcPr>
          <w:p w14:paraId="36B36533" w14:textId="77777777" w:rsidR="00055AD8" w:rsidRPr="00DD47DF" w:rsidRDefault="00055AD8" w:rsidP="00055AD8">
            <w:pPr>
              <w:pStyle w:val="Tabulka"/>
              <w:rPr>
                <w:rFonts w:cs="Calibri"/>
              </w:rPr>
            </w:pPr>
            <w:r w:rsidRPr="00DD47DF">
              <w:rPr>
                <w:rFonts w:cs="Calibri"/>
              </w:rPr>
              <w:t>Ž/P</w:t>
            </w:r>
          </w:p>
        </w:tc>
        <w:tc>
          <w:tcPr>
            <w:tcW w:w="527" w:type="pct"/>
            <w:tcBorders>
              <w:top w:val="single" w:sz="4" w:space="0" w:color="000000"/>
              <w:left w:val="single" w:sz="4" w:space="0" w:color="000000"/>
              <w:bottom w:val="single" w:sz="4" w:space="0" w:color="000000"/>
              <w:right w:val="single" w:sz="4" w:space="0" w:color="000000"/>
            </w:tcBorders>
            <w:vAlign w:val="center"/>
          </w:tcPr>
          <w:p w14:paraId="1B3E19DD" w14:textId="77777777" w:rsidR="00055AD8" w:rsidRPr="00DD47DF" w:rsidRDefault="00055AD8" w:rsidP="00055AD8">
            <w:pPr>
              <w:pStyle w:val="Tabulka"/>
              <w:rPr>
                <w:rFonts w:cs="Calibri"/>
              </w:rPr>
            </w:pPr>
            <w:r>
              <w:rPr>
                <w:rFonts w:cs="Calibri"/>
              </w:rPr>
              <w:t>průběžně</w:t>
            </w:r>
          </w:p>
        </w:tc>
      </w:tr>
    </w:tbl>
    <w:p w14:paraId="2ED16D0F" w14:textId="77777777" w:rsidR="00F262C8" w:rsidRPr="00DD47DF" w:rsidRDefault="00AC6E26" w:rsidP="00441D67">
      <w:pPr>
        <w:pStyle w:val="kapitola2A0"/>
        <w:numPr>
          <w:ilvl w:val="2"/>
          <w:numId w:val="128"/>
        </w:numPr>
      </w:pPr>
      <w:bookmarkStart w:id="34" w:name="_Toc351464367"/>
      <w:bookmarkStart w:id="35" w:name="_Toc129005374"/>
      <w:r w:rsidRPr="00DD47DF">
        <w:t>Sociální inovace, nadnárodní spolupráce a přínos k tematickým cílům 1 až 7</w:t>
      </w:r>
      <w:bookmarkEnd w:id="35"/>
      <w:r w:rsidR="00F262C8" w:rsidRPr="00DD47DF">
        <w:t xml:space="preserve"> </w:t>
      </w:r>
    </w:p>
    <w:p w14:paraId="3351AE3E" w14:textId="77777777" w:rsidR="004126CC" w:rsidRPr="00DD47DF" w:rsidRDefault="008A5FCE" w:rsidP="008A5FCE">
      <w:pPr>
        <w:pStyle w:val="Standardntext"/>
        <w:sectPr w:rsidR="004126CC" w:rsidRPr="00DD47DF" w:rsidSect="000E3FBB">
          <w:headerReference w:type="default" r:id="rId29"/>
          <w:footerReference w:type="default" r:id="rId30"/>
          <w:pgSz w:w="11906" w:h="16838"/>
          <w:pgMar w:top="1418" w:right="1276" w:bottom="1276" w:left="1418" w:header="709" w:footer="709" w:gutter="0"/>
          <w:cols w:space="708"/>
          <w:docGrid w:linePitch="272"/>
        </w:sectPr>
      </w:pPr>
      <w:r w:rsidRPr="00DD47DF">
        <w:t>Není relevantní pro OP PIK.</w:t>
      </w:r>
    </w:p>
    <w:p w14:paraId="5F965989" w14:textId="77777777" w:rsidR="00DB73B5" w:rsidRPr="00DD47DF" w:rsidRDefault="00AC6E26" w:rsidP="00441D67">
      <w:pPr>
        <w:pStyle w:val="kapitola2A0"/>
        <w:numPr>
          <w:ilvl w:val="2"/>
          <w:numId w:val="128"/>
        </w:numPr>
      </w:pPr>
      <w:bookmarkStart w:id="36" w:name="_Toc129005375"/>
      <w:bookmarkEnd w:id="34"/>
      <w:r w:rsidRPr="00DD47DF">
        <w:lastRenderedPageBreak/>
        <w:t>Výkonnostní rámec</w:t>
      </w:r>
      <w:bookmarkEnd w:id="36"/>
    </w:p>
    <w:p w14:paraId="25F5D4E2" w14:textId="77777777" w:rsidR="00FB2288" w:rsidRPr="00DD47DF" w:rsidRDefault="00FB2288" w:rsidP="008F72F4">
      <w:pPr>
        <w:pStyle w:val="Titulek"/>
        <w:keepNext/>
        <w:keepLines/>
        <w:rPr>
          <w:i/>
        </w:rPr>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57"/>
        <w:gridCol w:w="799"/>
        <w:gridCol w:w="1670"/>
        <w:gridCol w:w="1329"/>
        <w:gridCol w:w="777"/>
        <w:gridCol w:w="1190"/>
        <w:gridCol w:w="1193"/>
        <w:gridCol w:w="1476"/>
        <w:gridCol w:w="997"/>
        <w:gridCol w:w="2337"/>
      </w:tblGrid>
      <w:tr w:rsidR="00D16DE9" w:rsidRPr="00DD47DF" w14:paraId="3D2E5BE5" w14:textId="77777777">
        <w:tc>
          <w:tcPr>
            <w:tcW w:w="325" w:type="pct"/>
            <w:shd w:val="clear" w:color="auto" w:fill="B8CCE4"/>
            <w:vAlign w:val="center"/>
          </w:tcPr>
          <w:p w14:paraId="62F49C18" w14:textId="77777777" w:rsidR="00A8261C" w:rsidRPr="00DD47DF" w:rsidRDefault="00AE32DE" w:rsidP="00D16DE9">
            <w:pPr>
              <w:pStyle w:val="Tabulka"/>
              <w:keepNext/>
              <w:keepLines/>
              <w:rPr>
                <w:rFonts w:cs="Calibri"/>
                <w:b/>
              </w:rPr>
            </w:pPr>
            <w:r w:rsidRPr="00DD47DF">
              <w:rPr>
                <w:rFonts w:cs="Calibri"/>
                <w:b/>
              </w:rPr>
              <w:t>Prioritní osa</w:t>
            </w:r>
          </w:p>
        </w:tc>
        <w:tc>
          <w:tcPr>
            <w:tcW w:w="571" w:type="pct"/>
            <w:shd w:val="clear" w:color="auto" w:fill="B8CCE4"/>
            <w:vAlign w:val="center"/>
          </w:tcPr>
          <w:p w14:paraId="5D15352F" w14:textId="77777777" w:rsidR="00A8261C" w:rsidRPr="00DD47DF" w:rsidRDefault="00A8261C" w:rsidP="00D16DE9">
            <w:pPr>
              <w:pStyle w:val="Tabulka"/>
              <w:keepNext/>
              <w:keepLines/>
              <w:rPr>
                <w:rFonts w:cs="Calibri"/>
                <w:b/>
              </w:rPr>
            </w:pPr>
            <w:r w:rsidRPr="00DD47DF">
              <w:rPr>
                <w:rFonts w:cs="Calibri"/>
                <w:b/>
              </w:rPr>
              <w:t>Typ ukazatele</w:t>
            </w:r>
          </w:p>
          <w:p w14:paraId="11A63E91" w14:textId="77777777" w:rsidR="00A8261C" w:rsidRPr="00DD47DF" w:rsidRDefault="00A8261C" w:rsidP="00D16DE9">
            <w:pPr>
              <w:pStyle w:val="Tabulka"/>
              <w:keepNext/>
              <w:keepLines/>
              <w:rPr>
                <w:rFonts w:cs="Calibri"/>
                <w:b/>
              </w:rPr>
            </w:pPr>
            <w:r w:rsidRPr="00DD47DF">
              <w:rPr>
                <w:rFonts w:cs="Calibri"/>
                <w:b/>
              </w:rPr>
              <w:t>(klíčový krok provádění, finanční výstup nebo popřípadě ukazatel výsledků)</w:t>
            </w:r>
          </w:p>
        </w:tc>
        <w:tc>
          <w:tcPr>
            <w:tcW w:w="216" w:type="pct"/>
            <w:shd w:val="clear" w:color="auto" w:fill="B8CCE4"/>
            <w:vAlign w:val="center"/>
          </w:tcPr>
          <w:p w14:paraId="31BB0922" w14:textId="77777777" w:rsidR="00A8261C" w:rsidRPr="00DD47DF" w:rsidRDefault="00A8261C" w:rsidP="00D16DE9">
            <w:pPr>
              <w:pStyle w:val="Tabulka"/>
              <w:keepNext/>
              <w:keepLines/>
              <w:rPr>
                <w:rFonts w:cs="Calibri"/>
                <w:b/>
              </w:rPr>
            </w:pPr>
            <w:r w:rsidRPr="00DD47DF">
              <w:rPr>
                <w:rFonts w:cs="Calibri"/>
                <w:b/>
              </w:rPr>
              <w:t>ID</w:t>
            </w:r>
          </w:p>
        </w:tc>
        <w:tc>
          <w:tcPr>
            <w:tcW w:w="583" w:type="pct"/>
            <w:shd w:val="clear" w:color="auto" w:fill="B8CCE4"/>
            <w:tcMar>
              <w:top w:w="0" w:type="dxa"/>
              <w:left w:w="108" w:type="dxa"/>
              <w:bottom w:w="0" w:type="dxa"/>
              <w:right w:w="108" w:type="dxa"/>
            </w:tcMar>
            <w:vAlign w:val="center"/>
          </w:tcPr>
          <w:p w14:paraId="6F5A29A0" w14:textId="77777777" w:rsidR="00A8261C" w:rsidRPr="00DD47DF" w:rsidRDefault="00AE32DE" w:rsidP="008F72F4">
            <w:pPr>
              <w:pStyle w:val="Tabulka"/>
              <w:keepNext/>
              <w:keepLines/>
              <w:rPr>
                <w:rFonts w:cs="Calibri"/>
                <w:b/>
              </w:rPr>
            </w:pPr>
            <w:r w:rsidRPr="00DD47DF">
              <w:rPr>
                <w:rFonts w:cs="Calibri"/>
                <w:b/>
              </w:rPr>
              <w:t>Ukazatel nebo klíčový krok provádění</w:t>
            </w:r>
          </w:p>
        </w:tc>
        <w:tc>
          <w:tcPr>
            <w:tcW w:w="491" w:type="pct"/>
            <w:shd w:val="clear" w:color="auto" w:fill="B8CCE4"/>
            <w:tcMar>
              <w:top w:w="0" w:type="dxa"/>
              <w:left w:w="108" w:type="dxa"/>
              <w:bottom w:w="0" w:type="dxa"/>
              <w:right w:w="108" w:type="dxa"/>
            </w:tcMar>
            <w:vAlign w:val="center"/>
          </w:tcPr>
          <w:p w14:paraId="70FBDBE1" w14:textId="77777777" w:rsidR="00A8261C" w:rsidRPr="00DD47DF" w:rsidRDefault="00AE32DE" w:rsidP="008F72F4">
            <w:pPr>
              <w:pStyle w:val="Tabulka"/>
              <w:keepNext/>
              <w:keepLines/>
              <w:rPr>
                <w:rFonts w:cs="Calibri"/>
                <w:b/>
              </w:rPr>
            </w:pPr>
            <w:r w:rsidRPr="00DD47DF">
              <w:rPr>
                <w:rFonts w:cs="Calibri"/>
                <w:b/>
              </w:rPr>
              <w:t>Měrná jednotka (použije-li se)</w:t>
            </w:r>
          </w:p>
        </w:tc>
        <w:tc>
          <w:tcPr>
            <w:tcW w:w="297" w:type="pct"/>
            <w:shd w:val="clear" w:color="auto" w:fill="B8CCE4"/>
            <w:tcMar>
              <w:top w:w="0" w:type="dxa"/>
              <w:left w:w="108" w:type="dxa"/>
              <w:bottom w:w="0" w:type="dxa"/>
              <w:right w:w="108" w:type="dxa"/>
            </w:tcMar>
            <w:vAlign w:val="center"/>
          </w:tcPr>
          <w:p w14:paraId="092F3137" w14:textId="77777777" w:rsidR="00A8261C" w:rsidRPr="00DD47DF" w:rsidRDefault="00A8261C" w:rsidP="008F72F4">
            <w:pPr>
              <w:pStyle w:val="Tabulka"/>
              <w:keepNext/>
              <w:keepLines/>
              <w:rPr>
                <w:rFonts w:cs="Calibri"/>
                <w:b/>
              </w:rPr>
            </w:pPr>
            <w:r w:rsidRPr="00DD47DF">
              <w:rPr>
                <w:rFonts w:cs="Calibri"/>
                <w:b/>
              </w:rPr>
              <w:t>Fond</w:t>
            </w:r>
          </w:p>
        </w:tc>
        <w:tc>
          <w:tcPr>
            <w:tcW w:w="442" w:type="pct"/>
            <w:shd w:val="clear" w:color="auto" w:fill="B8CCE4"/>
            <w:tcMar>
              <w:top w:w="0" w:type="dxa"/>
              <w:left w:w="108" w:type="dxa"/>
              <w:bottom w:w="0" w:type="dxa"/>
              <w:right w:w="108" w:type="dxa"/>
            </w:tcMar>
            <w:vAlign w:val="center"/>
          </w:tcPr>
          <w:p w14:paraId="727FC2CD" w14:textId="77777777" w:rsidR="00A8261C" w:rsidRPr="00DD47DF" w:rsidRDefault="00AE32DE" w:rsidP="008F72F4">
            <w:pPr>
              <w:pStyle w:val="Tabulka"/>
              <w:keepNext/>
              <w:keepLines/>
              <w:rPr>
                <w:rFonts w:cs="Calibri"/>
                <w:b/>
              </w:rPr>
            </w:pPr>
            <w:r w:rsidRPr="00DD47DF">
              <w:rPr>
                <w:rFonts w:cs="Calibri"/>
                <w:b/>
              </w:rPr>
              <w:t>Kategorie regionů</w:t>
            </w:r>
          </w:p>
        </w:tc>
        <w:tc>
          <w:tcPr>
            <w:tcW w:w="443" w:type="pct"/>
            <w:shd w:val="clear" w:color="auto" w:fill="B8CCE4"/>
            <w:vAlign w:val="center"/>
          </w:tcPr>
          <w:p w14:paraId="2A6118AD" w14:textId="77777777" w:rsidR="00A8261C" w:rsidRPr="00DD47DF" w:rsidRDefault="00A8261C" w:rsidP="008F72F4">
            <w:pPr>
              <w:pStyle w:val="Tabulka"/>
              <w:keepNext/>
              <w:keepLines/>
              <w:rPr>
                <w:rFonts w:cs="Calibri"/>
                <w:b/>
              </w:rPr>
            </w:pPr>
            <w:r w:rsidRPr="00DD47DF">
              <w:rPr>
                <w:rFonts w:cs="Calibri"/>
                <w:b/>
              </w:rPr>
              <w:t>Milník pro rok 2018</w:t>
            </w:r>
          </w:p>
        </w:tc>
        <w:tc>
          <w:tcPr>
            <w:tcW w:w="542" w:type="pct"/>
            <w:shd w:val="clear" w:color="auto" w:fill="B8CCE4"/>
            <w:tcMar>
              <w:top w:w="0" w:type="dxa"/>
              <w:left w:w="108" w:type="dxa"/>
              <w:bottom w:w="0" w:type="dxa"/>
              <w:right w:w="108" w:type="dxa"/>
            </w:tcMar>
            <w:vAlign w:val="center"/>
          </w:tcPr>
          <w:p w14:paraId="69FC7565" w14:textId="77777777" w:rsidR="00A8261C" w:rsidRPr="00DD47DF" w:rsidRDefault="00AE32DE" w:rsidP="008F72F4">
            <w:pPr>
              <w:pStyle w:val="Tabulka"/>
              <w:keepNext/>
              <w:keepLines/>
              <w:rPr>
                <w:rFonts w:cs="Calibri"/>
                <w:b/>
              </w:rPr>
            </w:pPr>
            <w:r w:rsidRPr="00DD47DF">
              <w:rPr>
                <w:rFonts w:cs="Calibri"/>
                <w:b/>
              </w:rPr>
              <w:t xml:space="preserve">Konečný cíl </w:t>
            </w:r>
            <w:r w:rsidR="00A8261C" w:rsidRPr="00DD47DF">
              <w:rPr>
                <w:rFonts w:cs="Calibri"/>
                <w:b/>
              </w:rPr>
              <w:t>(2023)</w:t>
            </w:r>
          </w:p>
        </w:tc>
        <w:tc>
          <w:tcPr>
            <w:tcW w:w="246" w:type="pct"/>
            <w:shd w:val="clear" w:color="auto" w:fill="B8CCE4"/>
            <w:vAlign w:val="center"/>
          </w:tcPr>
          <w:p w14:paraId="153087A6" w14:textId="77777777" w:rsidR="00A8261C" w:rsidRPr="00DD47DF" w:rsidRDefault="00A8261C" w:rsidP="008F72F4">
            <w:pPr>
              <w:pStyle w:val="Tabulka"/>
              <w:keepNext/>
              <w:keepLines/>
              <w:rPr>
                <w:rFonts w:cs="Calibri"/>
                <w:b/>
              </w:rPr>
            </w:pPr>
            <w:r w:rsidRPr="00DD47DF">
              <w:rPr>
                <w:rFonts w:cs="Calibri"/>
                <w:b/>
              </w:rPr>
              <w:t>Zdroj dat</w:t>
            </w:r>
          </w:p>
        </w:tc>
        <w:tc>
          <w:tcPr>
            <w:tcW w:w="844" w:type="pct"/>
            <w:shd w:val="clear" w:color="auto" w:fill="B8CCE4"/>
            <w:vAlign w:val="center"/>
          </w:tcPr>
          <w:p w14:paraId="01D0AAA0" w14:textId="77777777" w:rsidR="00A8261C" w:rsidRPr="00DD47DF" w:rsidRDefault="00AE32DE" w:rsidP="008F72F4">
            <w:pPr>
              <w:pStyle w:val="Tabulka"/>
              <w:keepNext/>
              <w:keepLines/>
              <w:rPr>
                <w:rFonts w:cs="Calibri"/>
                <w:b/>
              </w:rPr>
            </w:pPr>
            <w:r w:rsidRPr="00DD47DF">
              <w:rPr>
                <w:rFonts w:cs="Calibri"/>
                <w:b/>
              </w:rPr>
              <w:t>Popřípadě vysvětlení relevantnosti ukazatele</w:t>
            </w:r>
          </w:p>
        </w:tc>
      </w:tr>
      <w:tr w:rsidR="00D16DE9" w:rsidRPr="00DD47DF" w14:paraId="6CE995EE" w14:textId="77777777">
        <w:trPr>
          <w:trHeight w:val="957"/>
        </w:trPr>
        <w:tc>
          <w:tcPr>
            <w:tcW w:w="325" w:type="pct"/>
            <w:vAlign w:val="center"/>
          </w:tcPr>
          <w:p w14:paraId="36883AA2" w14:textId="77777777" w:rsidR="00A8261C" w:rsidRPr="00DD47DF" w:rsidRDefault="00AE32DE" w:rsidP="00D16DE9">
            <w:pPr>
              <w:pStyle w:val="Tabulka"/>
              <w:keepNext/>
              <w:keepLines/>
              <w:rPr>
                <w:rFonts w:cs="Calibri"/>
              </w:rPr>
            </w:pPr>
            <w:r w:rsidRPr="00DD47DF">
              <w:rPr>
                <w:rFonts w:cs="Calibri"/>
              </w:rPr>
              <w:t>PO 1</w:t>
            </w:r>
          </w:p>
        </w:tc>
        <w:tc>
          <w:tcPr>
            <w:tcW w:w="571" w:type="pct"/>
            <w:vAlign w:val="center"/>
          </w:tcPr>
          <w:p w14:paraId="233E2C8C" w14:textId="77777777" w:rsidR="00A8261C" w:rsidRPr="00DD47DF" w:rsidRDefault="00A8261C" w:rsidP="00D16DE9">
            <w:pPr>
              <w:pStyle w:val="Tabulka"/>
              <w:keepNext/>
              <w:keepLines/>
              <w:rPr>
                <w:rFonts w:cs="Calibri"/>
              </w:rPr>
            </w:pPr>
            <w:r w:rsidRPr="00DD47DF">
              <w:rPr>
                <w:rFonts w:cs="Calibri"/>
              </w:rPr>
              <w:t>finanční</w:t>
            </w:r>
          </w:p>
        </w:tc>
        <w:tc>
          <w:tcPr>
            <w:tcW w:w="216" w:type="pct"/>
            <w:vAlign w:val="center"/>
          </w:tcPr>
          <w:p w14:paraId="233FCC94" w14:textId="77777777" w:rsidR="00A8261C" w:rsidRPr="00DD47DF" w:rsidRDefault="00A6082B" w:rsidP="00D16DE9">
            <w:pPr>
              <w:pStyle w:val="Tabulka"/>
              <w:keepNext/>
              <w:keepLines/>
              <w:rPr>
                <w:rFonts w:cs="Calibri"/>
              </w:rPr>
            </w:pPr>
            <w:r w:rsidRPr="00DD47DF">
              <w:rPr>
                <w:rFonts w:cs="Calibri"/>
              </w:rPr>
              <w:t>FINMT</w:t>
            </w:r>
          </w:p>
        </w:tc>
        <w:tc>
          <w:tcPr>
            <w:tcW w:w="583" w:type="pct"/>
            <w:shd w:val="clear" w:color="auto" w:fill="auto"/>
            <w:tcMar>
              <w:top w:w="0" w:type="dxa"/>
              <w:left w:w="108" w:type="dxa"/>
              <w:bottom w:w="0" w:type="dxa"/>
              <w:right w:w="108" w:type="dxa"/>
            </w:tcMar>
            <w:vAlign w:val="center"/>
          </w:tcPr>
          <w:p w14:paraId="61981BCF" w14:textId="77777777" w:rsidR="00A8261C" w:rsidRPr="00DD47DF" w:rsidRDefault="003D1BB3" w:rsidP="008F72F4">
            <w:pPr>
              <w:pStyle w:val="Tabulka"/>
              <w:keepNext/>
              <w:keepLines/>
              <w:rPr>
                <w:rFonts w:cs="Calibri"/>
              </w:rPr>
            </w:pPr>
            <w:r w:rsidRPr="00DD47DF">
              <w:rPr>
                <w:rFonts w:cs="Calibri"/>
              </w:rPr>
              <w:t>Celkové způsobilé certifikované finanční prostředky</w:t>
            </w:r>
          </w:p>
        </w:tc>
        <w:tc>
          <w:tcPr>
            <w:tcW w:w="491" w:type="pct"/>
            <w:shd w:val="clear" w:color="auto" w:fill="auto"/>
            <w:tcMar>
              <w:top w:w="0" w:type="dxa"/>
              <w:left w:w="108" w:type="dxa"/>
              <w:bottom w:w="0" w:type="dxa"/>
              <w:right w:w="108" w:type="dxa"/>
            </w:tcMar>
            <w:vAlign w:val="center"/>
          </w:tcPr>
          <w:p w14:paraId="236FD06F" w14:textId="77777777" w:rsidR="00A8261C" w:rsidRPr="00DD47DF" w:rsidRDefault="00A8261C" w:rsidP="008F72F4">
            <w:pPr>
              <w:pStyle w:val="Tabulka"/>
              <w:keepNext/>
              <w:keepLines/>
              <w:rPr>
                <w:rFonts w:cs="Calibri"/>
              </w:rPr>
            </w:pPr>
            <w:r w:rsidRPr="00DD47DF">
              <w:rPr>
                <w:rFonts w:cs="Calibri"/>
              </w:rPr>
              <w:t>EUR</w:t>
            </w:r>
          </w:p>
        </w:tc>
        <w:tc>
          <w:tcPr>
            <w:tcW w:w="297" w:type="pct"/>
            <w:shd w:val="clear" w:color="auto" w:fill="auto"/>
            <w:tcMar>
              <w:top w:w="0" w:type="dxa"/>
              <w:left w:w="108" w:type="dxa"/>
              <w:bottom w:w="0" w:type="dxa"/>
              <w:right w:w="108" w:type="dxa"/>
            </w:tcMar>
            <w:vAlign w:val="center"/>
          </w:tcPr>
          <w:p w14:paraId="139BEBF2" w14:textId="77777777" w:rsidR="00A8261C" w:rsidRPr="00DD47DF" w:rsidRDefault="00A8261C" w:rsidP="008F72F4">
            <w:pPr>
              <w:pStyle w:val="Tabulka"/>
              <w:keepNext/>
              <w:keepLines/>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5FB7708A" w14:textId="77777777" w:rsidR="00A8261C" w:rsidRPr="00DD47DF" w:rsidRDefault="00A8261C" w:rsidP="008F72F4">
            <w:pPr>
              <w:keepNext/>
              <w:keepLines/>
              <w:jc w:val="center"/>
              <w:rPr>
                <w:sz w:val="24"/>
                <w:szCs w:val="24"/>
              </w:rPr>
            </w:pPr>
            <w:r w:rsidRPr="00DD47DF">
              <w:rPr>
                <w:sz w:val="24"/>
                <w:szCs w:val="24"/>
              </w:rPr>
              <w:t>Méně rozvinuté regiony</w:t>
            </w:r>
          </w:p>
        </w:tc>
        <w:tc>
          <w:tcPr>
            <w:tcW w:w="443" w:type="pct"/>
            <w:vAlign w:val="center"/>
          </w:tcPr>
          <w:p w14:paraId="1B653EDE" w14:textId="77777777" w:rsidR="00A8261C" w:rsidRPr="00DD47DF" w:rsidRDefault="00F243A9" w:rsidP="004940AD">
            <w:pPr>
              <w:pStyle w:val="Tabulka"/>
              <w:keepNext/>
              <w:keepLines/>
              <w:rPr>
                <w:rFonts w:cs="Calibri"/>
              </w:rPr>
            </w:pPr>
            <w:r w:rsidRPr="00DD47DF">
              <w:rPr>
                <w:rFonts w:cs="Calibri"/>
              </w:rPr>
              <w:t>5</w:t>
            </w:r>
            <w:r w:rsidR="00CC653D" w:rsidRPr="00DD47DF">
              <w:rPr>
                <w:rFonts w:cs="Calibri"/>
              </w:rPr>
              <w:t>52</w:t>
            </w:r>
            <w:r w:rsidR="000A2CE5" w:rsidRPr="00DD47DF">
              <w:rPr>
                <w:rFonts w:cs="Calibri"/>
              </w:rPr>
              <w:t> </w:t>
            </w:r>
            <w:r w:rsidR="00CC653D" w:rsidRPr="00DD47DF">
              <w:rPr>
                <w:rFonts w:cs="Calibri"/>
              </w:rPr>
              <w:t>4</w:t>
            </w:r>
            <w:r w:rsidR="000A2CE5" w:rsidRPr="00DD47DF">
              <w:rPr>
                <w:rFonts w:cs="Calibri"/>
              </w:rPr>
              <w:t>00 000</w:t>
            </w:r>
          </w:p>
        </w:tc>
        <w:tc>
          <w:tcPr>
            <w:tcW w:w="542" w:type="pct"/>
            <w:shd w:val="clear" w:color="auto" w:fill="auto"/>
            <w:tcMar>
              <w:top w:w="0" w:type="dxa"/>
              <w:left w:w="108" w:type="dxa"/>
              <w:bottom w:w="0" w:type="dxa"/>
              <w:right w:w="108" w:type="dxa"/>
            </w:tcMar>
            <w:vAlign w:val="center"/>
          </w:tcPr>
          <w:p w14:paraId="1629913C" w14:textId="368998FD" w:rsidR="00A8261C" w:rsidRPr="00DD47DF" w:rsidRDefault="006B6FA5" w:rsidP="000A2CE5">
            <w:pPr>
              <w:pStyle w:val="Tabulka"/>
              <w:keepNext/>
              <w:keepLines/>
              <w:rPr>
                <w:rFonts w:cs="Calibri"/>
              </w:rPr>
            </w:pPr>
            <w:r w:rsidRPr="006B6FA5">
              <w:t>2 616 902 798</w:t>
            </w:r>
          </w:p>
        </w:tc>
        <w:tc>
          <w:tcPr>
            <w:tcW w:w="246" w:type="pct"/>
            <w:vAlign w:val="center"/>
          </w:tcPr>
          <w:p w14:paraId="53B56251" w14:textId="77777777" w:rsidR="00A8261C" w:rsidRPr="00DD47DF" w:rsidRDefault="001B0574" w:rsidP="008F72F4">
            <w:pPr>
              <w:pStyle w:val="Tabulka"/>
              <w:keepNext/>
              <w:keepLines/>
              <w:rPr>
                <w:rFonts w:cs="Calibri"/>
              </w:rPr>
            </w:pPr>
            <w:r w:rsidRPr="00DD47DF">
              <w:rPr>
                <w:rFonts w:cs="Calibri"/>
              </w:rPr>
              <w:t>ŘO</w:t>
            </w:r>
          </w:p>
        </w:tc>
        <w:tc>
          <w:tcPr>
            <w:tcW w:w="844" w:type="pct"/>
            <w:vAlign w:val="center"/>
          </w:tcPr>
          <w:p w14:paraId="7089AE1E" w14:textId="77777777" w:rsidR="00A8261C" w:rsidRPr="00DD47DF" w:rsidRDefault="00775E69" w:rsidP="005479FC">
            <w:pPr>
              <w:pStyle w:val="Tabulka"/>
              <w:keepNext/>
              <w:keepLines/>
              <w:rPr>
                <w:rFonts w:cs="Calibri"/>
              </w:rPr>
            </w:pPr>
            <w:r w:rsidRPr="00DD47DF">
              <w:rPr>
                <w:rFonts w:cs="Calibri"/>
              </w:rPr>
              <w:t>Objem celkových způsobilých výdajů zaslaných do účetního systému certifikačního</w:t>
            </w:r>
            <w:r w:rsidR="005479FC" w:rsidRPr="00DD47DF">
              <w:rPr>
                <w:rFonts w:cs="Calibri"/>
              </w:rPr>
              <w:t xml:space="preserve"> </w:t>
            </w:r>
            <w:r w:rsidRPr="00DD47DF">
              <w:rPr>
                <w:rFonts w:cs="Calibri"/>
              </w:rPr>
              <w:t>orgánu a certifikovaných</w:t>
            </w:r>
            <w:r w:rsidR="00C70BA9" w:rsidRPr="00DD47DF">
              <w:rPr>
                <w:rFonts w:cs="Calibri"/>
              </w:rPr>
              <w:t xml:space="preserve"> certifikačním orgánem</w:t>
            </w:r>
            <w:r w:rsidR="000620DB" w:rsidRPr="00DD47DF">
              <w:rPr>
                <w:rFonts w:cs="Calibri"/>
              </w:rPr>
              <w:t>.</w:t>
            </w:r>
          </w:p>
        </w:tc>
      </w:tr>
      <w:tr w:rsidR="00D16DE9" w:rsidRPr="00DD47DF" w14:paraId="1392D04B" w14:textId="77777777">
        <w:tc>
          <w:tcPr>
            <w:tcW w:w="325" w:type="pct"/>
            <w:vAlign w:val="center"/>
          </w:tcPr>
          <w:p w14:paraId="5829ADFE" w14:textId="77777777" w:rsidR="00194795" w:rsidRPr="00DD47DF" w:rsidRDefault="00194795" w:rsidP="00D16DE9">
            <w:pPr>
              <w:pStyle w:val="Tabulka"/>
              <w:rPr>
                <w:rFonts w:cs="Calibri"/>
              </w:rPr>
            </w:pPr>
            <w:r w:rsidRPr="00DD47DF">
              <w:rPr>
                <w:rFonts w:cs="Calibri"/>
              </w:rPr>
              <w:t>PO 1</w:t>
            </w:r>
          </w:p>
        </w:tc>
        <w:tc>
          <w:tcPr>
            <w:tcW w:w="571" w:type="pct"/>
            <w:vAlign w:val="center"/>
          </w:tcPr>
          <w:p w14:paraId="5204BDB8" w14:textId="77777777" w:rsidR="00194795" w:rsidRPr="00DD47DF" w:rsidRDefault="00194795" w:rsidP="00D16DE9">
            <w:pPr>
              <w:pStyle w:val="Tabulka"/>
              <w:rPr>
                <w:rFonts w:cs="Calibri"/>
              </w:rPr>
            </w:pPr>
            <w:r w:rsidRPr="00DD47DF">
              <w:rPr>
                <w:rFonts w:cs="Calibri"/>
              </w:rPr>
              <w:t>výstupový</w:t>
            </w:r>
          </w:p>
        </w:tc>
        <w:tc>
          <w:tcPr>
            <w:tcW w:w="216" w:type="pct"/>
            <w:vAlign w:val="center"/>
          </w:tcPr>
          <w:p w14:paraId="1AEF0A85" w14:textId="0BCFF061" w:rsidR="00194795" w:rsidRPr="00DD47DF" w:rsidRDefault="00C75691" w:rsidP="00D16DE9">
            <w:pPr>
              <w:pStyle w:val="Tabulka"/>
              <w:rPr>
                <w:rFonts w:cs="Calibri"/>
              </w:rPr>
            </w:pPr>
            <w:r w:rsidRPr="00DD47DF">
              <w:rPr>
                <w:rFonts w:cs="Calibri"/>
              </w:rPr>
              <w:t xml:space="preserve">CO </w:t>
            </w:r>
            <w:r w:rsidR="00CE0853" w:rsidRPr="00DD47DF">
              <w:rPr>
                <w:rFonts w:cs="Calibri"/>
              </w:rPr>
              <w:t>0</w:t>
            </w:r>
            <w:r w:rsidR="00194795" w:rsidRPr="00DD47DF">
              <w:rPr>
                <w:rFonts w:cs="Calibri"/>
              </w:rPr>
              <w:t>1</w:t>
            </w:r>
          </w:p>
        </w:tc>
        <w:tc>
          <w:tcPr>
            <w:tcW w:w="583" w:type="pct"/>
            <w:shd w:val="clear" w:color="auto" w:fill="auto"/>
            <w:tcMar>
              <w:top w:w="0" w:type="dxa"/>
              <w:left w:w="108" w:type="dxa"/>
              <w:bottom w:w="0" w:type="dxa"/>
              <w:right w:w="108" w:type="dxa"/>
            </w:tcMar>
            <w:vAlign w:val="center"/>
          </w:tcPr>
          <w:p w14:paraId="5F735F84" w14:textId="77777777" w:rsidR="00194795" w:rsidRPr="00DD47DF" w:rsidRDefault="00194795" w:rsidP="003D33BE">
            <w:pPr>
              <w:pStyle w:val="Tabulka"/>
              <w:rPr>
                <w:rFonts w:cs="Calibri"/>
              </w:rPr>
            </w:pPr>
            <w:r w:rsidRPr="00DD47DF">
              <w:rPr>
                <w:rFonts w:cs="Calibri"/>
              </w:rPr>
              <w:t>Počet podniků pobírajících podporu</w:t>
            </w:r>
          </w:p>
        </w:tc>
        <w:tc>
          <w:tcPr>
            <w:tcW w:w="491" w:type="pct"/>
            <w:shd w:val="clear" w:color="auto" w:fill="auto"/>
            <w:tcMar>
              <w:top w:w="0" w:type="dxa"/>
              <w:left w:w="108" w:type="dxa"/>
              <w:bottom w:w="0" w:type="dxa"/>
              <w:right w:w="108" w:type="dxa"/>
            </w:tcMar>
            <w:vAlign w:val="center"/>
          </w:tcPr>
          <w:p w14:paraId="68242491" w14:textId="77777777" w:rsidR="00194795" w:rsidRPr="00DD47DF" w:rsidRDefault="00194795" w:rsidP="003D33BE">
            <w:pPr>
              <w:pStyle w:val="Tabulka"/>
              <w:rPr>
                <w:rFonts w:cs="Calibri"/>
              </w:rPr>
            </w:pPr>
            <w:r w:rsidRPr="00DD47DF">
              <w:rPr>
                <w:rFonts w:cs="Calibri"/>
              </w:rPr>
              <w:t>Podniky</w:t>
            </w:r>
          </w:p>
        </w:tc>
        <w:tc>
          <w:tcPr>
            <w:tcW w:w="297" w:type="pct"/>
            <w:shd w:val="clear" w:color="auto" w:fill="auto"/>
            <w:tcMar>
              <w:top w:w="0" w:type="dxa"/>
              <w:left w:w="108" w:type="dxa"/>
              <w:bottom w:w="0" w:type="dxa"/>
              <w:right w:w="108" w:type="dxa"/>
            </w:tcMar>
            <w:vAlign w:val="center"/>
          </w:tcPr>
          <w:p w14:paraId="4D9BB1CE" w14:textId="77777777" w:rsidR="00194795" w:rsidRPr="00DD47DF" w:rsidRDefault="00194795" w:rsidP="003D33BE">
            <w:pPr>
              <w:pStyle w:val="Tabulka"/>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69011196" w14:textId="77777777" w:rsidR="00194795" w:rsidRPr="00DD47DF" w:rsidRDefault="00194795" w:rsidP="00295899">
            <w:pPr>
              <w:jc w:val="center"/>
              <w:rPr>
                <w:sz w:val="24"/>
                <w:szCs w:val="24"/>
              </w:rPr>
            </w:pPr>
            <w:r w:rsidRPr="00DD47DF">
              <w:rPr>
                <w:sz w:val="24"/>
                <w:szCs w:val="24"/>
              </w:rPr>
              <w:t>Méně rozvinuté regiony</w:t>
            </w:r>
          </w:p>
        </w:tc>
        <w:tc>
          <w:tcPr>
            <w:tcW w:w="443" w:type="pct"/>
            <w:vAlign w:val="center"/>
          </w:tcPr>
          <w:p w14:paraId="690C9AF4" w14:textId="77777777" w:rsidR="00194795" w:rsidRPr="00DD47DF" w:rsidRDefault="009B2E0D" w:rsidP="00DD63AD">
            <w:pPr>
              <w:jc w:val="center"/>
              <w:rPr>
                <w:sz w:val="24"/>
                <w:szCs w:val="24"/>
              </w:rPr>
            </w:pPr>
            <w:r w:rsidRPr="00DD47DF">
              <w:rPr>
                <w:sz w:val="24"/>
                <w:szCs w:val="24"/>
              </w:rPr>
              <w:t>4</w:t>
            </w:r>
            <w:r w:rsidR="00F243A9" w:rsidRPr="00DD47DF">
              <w:rPr>
                <w:sz w:val="24"/>
                <w:szCs w:val="24"/>
              </w:rPr>
              <w:t>2</w:t>
            </w:r>
            <w:r w:rsidRPr="00DD47DF">
              <w:rPr>
                <w:sz w:val="24"/>
                <w:szCs w:val="24"/>
              </w:rPr>
              <w:t>0</w:t>
            </w:r>
          </w:p>
        </w:tc>
        <w:tc>
          <w:tcPr>
            <w:tcW w:w="542" w:type="pct"/>
            <w:shd w:val="clear" w:color="auto" w:fill="auto"/>
            <w:tcMar>
              <w:top w:w="0" w:type="dxa"/>
              <w:left w:w="108" w:type="dxa"/>
              <w:bottom w:w="0" w:type="dxa"/>
              <w:right w:w="108" w:type="dxa"/>
            </w:tcMar>
            <w:vAlign w:val="center"/>
          </w:tcPr>
          <w:p w14:paraId="23A17F53" w14:textId="3C3CB5FA" w:rsidR="00194795" w:rsidRPr="00DD47DF" w:rsidRDefault="00855B25" w:rsidP="001C1D3F">
            <w:pPr>
              <w:jc w:val="center"/>
              <w:rPr>
                <w:sz w:val="24"/>
                <w:szCs w:val="24"/>
              </w:rPr>
            </w:pPr>
            <w:r>
              <w:rPr>
                <w:sz w:val="24"/>
                <w:szCs w:val="24"/>
              </w:rPr>
              <w:t>2 452</w:t>
            </w:r>
          </w:p>
        </w:tc>
        <w:tc>
          <w:tcPr>
            <w:tcW w:w="246" w:type="pct"/>
            <w:vAlign w:val="center"/>
          </w:tcPr>
          <w:p w14:paraId="059E5039" w14:textId="77777777" w:rsidR="00194795" w:rsidRPr="00DD47DF" w:rsidRDefault="00EA3203" w:rsidP="003D33BE">
            <w:pPr>
              <w:pStyle w:val="Tabulka"/>
              <w:rPr>
                <w:rFonts w:cs="Calibri"/>
              </w:rPr>
            </w:pPr>
            <w:r>
              <w:rPr>
                <w:rFonts w:cs="Calibri"/>
              </w:rPr>
              <w:t>MS2014+</w:t>
            </w:r>
          </w:p>
        </w:tc>
        <w:tc>
          <w:tcPr>
            <w:tcW w:w="844" w:type="pct"/>
            <w:vAlign w:val="center"/>
          </w:tcPr>
          <w:p w14:paraId="25784F9C" w14:textId="3E961795" w:rsidR="00194795" w:rsidRPr="00DD47DF" w:rsidRDefault="00194795" w:rsidP="00D16DE9">
            <w:pPr>
              <w:pStyle w:val="Tabulka"/>
              <w:rPr>
                <w:rFonts w:cs="Calibri"/>
              </w:rPr>
            </w:pPr>
            <w:r w:rsidRPr="00DD47DF">
              <w:rPr>
                <w:rFonts w:cs="Calibri"/>
              </w:rPr>
              <w:t>Indikátor sleduje počet</w:t>
            </w:r>
            <w:r w:rsidR="00D16DE9" w:rsidRPr="00DD47DF">
              <w:rPr>
                <w:rFonts w:cs="Calibri"/>
              </w:rPr>
              <w:t xml:space="preserve"> </w:t>
            </w:r>
            <w:r w:rsidRPr="00DD47DF">
              <w:rPr>
                <w:rFonts w:cs="Calibri"/>
              </w:rPr>
              <w:t>podpořených firem a pokrývá finančně</w:t>
            </w:r>
            <w:r w:rsidR="00D16DE9" w:rsidRPr="00DD47DF">
              <w:rPr>
                <w:rFonts w:cs="Calibri"/>
              </w:rPr>
              <w:t xml:space="preserve"> </w:t>
            </w:r>
            <w:r w:rsidRPr="00DD47DF">
              <w:rPr>
                <w:rFonts w:cs="Calibri"/>
              </w:rPr>
              <w:t>nejobjemnější část intervence</w:t>
            </w:r>
            <w:r w:rsidR="00D16DE9" w:rsidRPr="00DD47DF">
              <w:rPr>
                <w:rFonts w:cs="Calibri"/>
              </w:rPr>
              <w:t xml:space="preserve"> </w:t>
            </w:r>
            <w:r w:rsidRPr="00DD47DF">
              <w:rPr>
                <w:rFonts w:cs="Calibri"/>
              </w:rPr>
              <w:t xml:space="preserve">v rámci prioritní osy 1. </w:t>
            </w:r>
            <w:r w:rsidR="00FE762D" w:rsidRPr="00FE762D">
              <w:rPr>
                <w:rFonts w:cs="Calibri"/>
              </w:rPr>
              <w:t>Vykazování skutečně dosažených hodnot se provádí v souladu s prováděcím nařízením (EU) č. 215/2014, v platném znění.</w:t>
            </w:r>
          </w:p>
        </w:tc>
      </w:tr>
      <w:tr w:rsidR="00D16DE9" w:rsidRPr="00DD47DF" w14:paraId="79F64B35" w14:textId="77777777">
        <w:tc>
          <w:tcPr>
            <w:tcW w:w="325" w:type="pct"/>
            <w:vAlign w:val="center"/>
          </w:tcPr>
          <w:p w14:paraId="024D7EB4" w14:textId="77777777" w:rsidR="00194795" w:rsidRPr="00DD47DF" w:rsidRDefault="00194795" w:rsidP="00D16DE9">
            <w:pPr>
              <w:pStyle w:val="Tabulka"/>
              <w:keepNext/>
              <w:keepLines/>
              <w:rPr>
                <w:rFonts w:cs="Calibri"/>
              </w:rPr>
            </w:pPr>
            <w:r w:rsidRPr="00DD47DF">
              <w:rPr>
                <w:rFonts w:cs="Calibri"/>
              </w:rPr>
              <w:lastRenderedPageBreak/>
              <w:t>PO 1</w:t>
            </w:r>
          </w:p>
        </w:tc>
        <w:tc>
          <w:tcPr>
            <w:tcW w:w="571" w:type="pct"/>
            <w:vAlign w:val="center"/>
          </w:tcPr>
          <w:p w14:paraId="72026E5E" w14:textId="77777777" w:rsidR="00194795" w:rsidRPr="00DD47DF" w:rsidRDefault="00194795" w:rsidP="00D16DE9">
            <w:pPr>
              <w:pStyle w:val="Tabulka"/>
              <w:keepNext/>
              <w:keepLines/>
              <w:rPr>
                <w:rFonts w:cs="Calibri"/>
              </w:rPr>
            </w:pPr>
            <w:r w:rsidRPr="00DD47DF">
              <w:rPr>
                <w:rFonts w:cs="Calibri"/>
              </w:rPr>
              <w:t>výstupový</w:t>
            </w:r>
          </w:p>
        </w:tc>
        <w:tc>
          <w:tcPr>
            <w:tcW w:w="216" w:type="pct"/>
            <w:vAlign w:val="center"/>
          </w:tcPr>
          <w:p w14:paraId="62510815" w14:textId="43455EED" w:rsidR="00194795" w:rsidRPr="00DD47DF" w:rsidRDefault="00C75691" w:rsidP="00D16DE9">
            <w:pPr>
              <w:pStyle w:val="Tabulka"/>
              <w:keepNext/>
              <w:keepLines/>
              <w:rPr>
                <w:rFonts w:cs="Calibri"/>
              </w:rPr>
            </w:pPr>
            <w:r w:rsidRPr="00DD47DF">
              <w:rPr>
                <w:rFonts w:cs="Calibri"/>
              </w:rPr>
              <w:t xml:space="preserve">CO </w:t>
            </w:r>
            <w:r w:rsidR="00194795" w:rsidRPr="00DD47DF">
              <w:rPr>
                <w:rFonts w:cs="Calibri"/>
              </w:rPr>
              <w:t>26</w:t>
            </w:r>
          </w:p>
        </w:tc>
        <w:tc>
          <w:tcPr>
            <w:tcW w:w="583" w:type="pct"/>
            <w:shd w:val="clear" w:color="auto" w:fill="auto"/>
            <w:tcMar>
              <w:top w:w="0" w:type="dxa"/>
              <w:left w:w="108" w:type="dxa"/>
              <w:bottom w:w="0" w:type="dxa"/>
              <w:right w:w="108" w:type="dxa"/>
            </w:tcMar>
            <w:vAlign w:val="center"/>
          </w:tcPr>
          <w:p w14:paraId="59AFE8D1" w14:textId="77777777" w:rsidR="00194795" w:rsidRPr="00DD47DF" w:rsidRDefault="00194795" w:rsidP="004126CC">
            <w:pPr>
              <w:pStyle w:val="Tabulka"/>
              <w:keepNext/>
              <w:keepLines/>
              <w:rPr>
                <w:rFonts w:cs="Calibri"/>
              </w:rPr>
            </w:pPr>
            <w:r w:rsidRPr="00DD47DF">
              <w:rPr>
                <w:rFonts w:cs="Calibri"/>
              </w:rPr>
              <w:t>Počet podniků spolupracujících s výzkumnými institucemi</w:t>
            </w:r>
          </w:p>
        </w:tc>
        <w:tc>
          <w:tcPr>
            <w:tcW w:w="491" w:type="pct"/>
            <w:shd w:val="clear" w:color="auto" w:fill="auto"/>
            <w:tcMar>
              <w:top w:w="0" w:type="dxa"/>
              <w:left w:w="108" w:type="dxa"/>
              <w:bottom w:w="0" w:type="dxa"/>
              <w:right w:w="108" w:type="dxa"/>
            </w:tcMar>
            <w:vAlign w:val="center"/>
          </w:tcPr>
          <w:p w14:paraId="4C8375F0" w14:textId="77777777" w:rsidR="00194795" w:rsidRPr="00DD47DF" w:rsidRDefault="00194795" w:rsidP="004126CC">
            <w:pPr>
              <w:pStyle w:val="Tabulka"/>
              <w:keepNext/>
              <w:keepLines/>
              <w:rPr>
                <w:rFonts w:cs="Calibri"/>
              </w:rPr>
            </w:pPr>
            <w:r w:rsidRPr="00DD47DF">
              <w:rPr>
                <w:rFonts w:cs="Calibri"/>
              </w:rPr>
              <w:t>Podniky</w:t>
            </w:r>
          </w:p>
        </w:tc>
        <w:tc>
          <w:tcPr>
            <w:tcW w:w="297" w:type="pct"/>
            <w:shd w:val="clear" w:color="auto" w:fill="auto"/>
            <w:tcMar>
              <w:top w:w="0" w:type="dxa"/>
              <w:left w:w="108" w:type="dxa"/>
              <w:bottom w:w="0" w:type="dxa"/>
              <w:right w:w="108" w:type="dxa"/>
            </w:tcMar>
            <w:vAlign w:val="center"/>
          </w:tcPr>
          <w:p w14:paraId="6A50541F" w14:textId="77777777" w:rsidR="00194795" w:rsidRPr="00DD47DF" w:rsidRDefault="00194795" w:rsidP="004126CC">
            <w:pPr>
              <w:pStyle w:val="Tabulka"/>
              <w:keepNext/>
              <w:keepLines/>
              <w:rPr>
                <w:rFonts w:cs="Calibri"/>
              </w:rPr>
            </w:pPr>
            <w:r w:rsidRPr="00DD47DF">
              <w:rPr>
                <w:rFonts w:cs="Calibri"/>
              </w:rPr>
              <w:t>EFRR</w:t>
            </w:r>
          </w:p>
        </w:tc>
        <w:tc>
          <w:tcPr>
            <w:tcW w:w="442" w:type="pct"/>
            <w:shd w:val="clear" w:color="auto" w:fill="auto"/>
            <w:tcMar>
              <w:top w:w="0" w:type="dxa"/>
              <w:left w:w="108" w:type="dxa"/>
              <w:bottom w:w="0" w:type="dxa"/>
              <w:right w:w="108" w:type="dxa"/>
            </w:tcMar>
            <w:vAlign w:val="center"/>
          </w:tcPr>
          <w:p w14:paraId="26B82498" w14:textId="77777777" w:rsidR="00194795" w:rsidRPr="00DD47DF" w:rsidRDefault="00194795" w:rsidP="004126CC">
            <w:pPr>
              <w:keepNext/>
              <w:keepLines/>
              <w:jc w:val="center"/>
              <w:rPr>
                <w:sz w:val="24"/>
                <w:szCs w:val="24"/>
              </w:rPr>
            </w:pPr>
            <w:r w:rsidRPr="00DD47DF">
              <w:rPr>
                <w:sz w:val="24"/>
                <w:szCs w:val="24"/>
              </w:rPr>
              <w:t>Méně rozvinuté regiony</w:t>
            </w:r>
          </w:p>
        </w:tc>
        <w:tc>
          <w:tcPr>
            <w:tcW w:w="443" w:type="pct"/>
            <w:vAlign w:val="center"/>
          </w:tcPr>
          <w:p w14:paraId="0160B450" w14:textId="66001E80" w:rsidR="00194795" w:rsidRPr="00DD47DF" w:rsidRDefault="00417D94" w:rsidP="004126CC">
            <w:pPr>
              <w:keepNext/>
              <w:keepLines/>
              <w:jc w:val="center"/>
              <w:rPr>
                <w:sz w:val="24"/>
                <w:szCs w:val="24"/>
              </w:rPr>
            </w:pPr>
            <w:r>
              <w:rPr>
                <w:sz w:val="24"/>
                <w:szCs w:val="24"/>
              </w:rPr>
              <w:t>3</w:t>
            </w:r>
            <w:r w:rsidR="00194795" w:rsidRPr="00DD47DF">
              <w:rPr>
                <w:sz w:val="24"/>
                <w:szCs w:val="24"/>
              </w:rPr>
              <w:t>50</w:t>
            </w:r>
          </w:p>
        </w:tc>
        <w:tc>
          <w:tcPr>
            <w:tcW w:w="542" w:type="pct"/>
            <w:shd w:val="clear" w:color="auto" w:fill="auto"/>
            <w:tcMar>
              <w:top w:w="0" w:type="dxa"/>
              <w:left w:w="108" w:type="dxa"/>
              <w:bottom w:w="0" w:type="dxa"/>
              <w:right w:w="108" w:type="dxa"/>
            </w:tcMar>
            <w:vAlign w:val="center"/>
          </w:tcPr>
          <w:p w14:paraId="75F21369" w14:textId="2D9F11B5" w:rsidR="00194795" w:rsidRPr="00DD47DF" w:rsidRDefault="00194795" w:rsidP="004126CC">
            <w:pPr>
              <w:keepNext/>
              <w:keepLines/>
              <w:jc w:val="center"/>
              <w:rPr>
                <w:sz w:val="24"/>
                <w:szCs w:val="24"/>
              </w:rPr>
            </w:pPr>
            <w:r w:rsidRPr="00DD47DF">
              <w:rPr>
                <w:sz w:val="24"/>
                <w:szCs w:val="24"/>
              </w:rPr>
              <w:t xml:space="preserve">2 </w:t>
            </w:r>
            <w:r w:rsidR="00417D94">
              <w:rPr>
                <w:sz w:val="24"/>
                <w:szCs w:val="24"/>
              </w:rPr>
              <w:t>200</w:t>
            </w:r>
          </w:p>
        </w:tc>
        <w:tc>
          <w:tcPr>
            <w:tcW w:w="246" w:type="pct"/>
            <w:vAlign w:val="center"/>
          </w:tcPr>
          <w:p w14:paraId="62DFA5BE" w14:textId="77777777" w:rsidR="00194795" w:rsidRPr="00DD47DF" w:rsidRDefault="00194795" w:rsidP="004126CC">
            <w:pPr>
              <w:pStyle w:val="Tabulka"/>
              <w:keepNext/>
              <w:keepLines/>
              <w:rPr>
                <w:rFonts w:cs="Calibri"/>
              </w:rPr>
            </w:pPr>
            <w:r w:rsidRPr="00DD47DF">
              <w:rPr>
                <w:rFonts w:cs="Calibri"/>
              </w:rPr>
              <w:t>Ž/P</w:t>
            </w:r>
          </w:p>
        </w:tc>
        <w:tc>
          <w:tcPr>
            <w:tcW w:w="844" w:type="pct"/>
            <w:vAlign w:val="center"/>
          </w:tcPr>
          <w:p w14:paraId="38E6667B" w14:textId="77777777" w:rsidR="00194795" w:rsidRPr="00DD47DF" w:rsidRDefault="00194795" w:rsidP="00D16DE9">
            <w:pPr>
              <w:pStyle w:val="Tabulka"/>
              <w:keepNext/>
              <w:keepLines/>
              <w:rPr>
                <w:rFonts w:cs="Calibri"/>
              </w:rPr>
            </w:pPr>
            <w:r w:rsidRPr="00DD47DF">
              <w:rPr>
                <w:rFonts w:cs="Calibri"/>
              </w:rPr>
              <w:t>Indikátor pokrývá rozhodující</w:t>
            </w:r>
            <w:r w:rsidR="00D16DE9" w:rsidRPr="00DD47DF">
              <w:rPr>
                <w:rFonts w:cs="Calibri"/>
              </w:rPr>
              <w:t xml:space="preserve"> </w:t>
            </w:r>
            <w:r w:rsidRPr="00DD47DF">
              <w:rPr>
                <w:rFonts w:cs="Calibri"/>
              </w:rPr>
              <w:t xml:space="preserve">část projektů naplňující SC </w:t>
            </w:r>
            <w:r w:rsidR="00D16DE9" w:rsidRPr="00DD47DF">
              <w:rPr>
                <w:rFonts w:cs="Calibri"/>
              </w:rPr>
              <w:t>p</w:t>
            </w:r>
            <w:r w:rsidRPr="00DD47DF">
              <w:rPr>
                <w:rFonts w:cs="Calibri"/>
              </w:rPr>
              <w:t>rioritní</w:t>
            </w:r>
            <w:r w:rsidR="00D16DE9" w:rsidRPr="00DD47DF">
              <w:rPr>
                <w:rFonts w:cs="Calibri"/>
              </w:rPr>
              <w:t xml:space="preserve"> </w:t>
            </w:r>
            <w:r w:rsidRPr="00DD47DF">
              <w:rPr>
                <w:rFonts w:cs="Calibri"/>
              </w:rPr>
              <w:t>osy</w:t>
            </w:r>
            <w:r w:rsidR="00D16DE9" w:rsidRPr="00DD47DF">
              <w:rPr>
                <w:rFonts w:cs="Calibri"/>
              </w:rPr>
              <w:t xml:space="preserve"> </w:t>
            </w:r>
            <w:r w:rsidRPr="00DD47DF">
              <w:rPr>
                <w:rFonts w:cs="Calibri"/>
              </w:rPr>
              <w:t>1. Je</w:t>
            </w:r>
            <w:r w:rsidR="00D16DE9" w:rsidRPr="00DD47DF">
              <w:rPr>
                <w:rFonts w:cs="Calibri"/>
              </w:rPr>
              <w:t xml:space="preserve"> </w:t>
            </w:r>
            <w:r w:rsidRPr="00DD47DF">
              <w:rPr>
                <w:rFonts w:cs="Calibri"/>
              </w:rPr>
              <w:t>společným indikátorem v</w:t>
            </w:r>
            <w:r w:rsidR="00D16DE9" w:rsidRPr="00DD47DF">
              <w:rPr>
                <w:rFonts w:cs="Calibri"/>
              </w:rPr>
              <w:t xml:space="preserve"> </w:t>
            </w:r>
            <w:r w:rsidRPr="00DD47DF">
              <w:rPr>
                <w:rFonts w:cs="Calibri"/>
              </w:rPr>
              <w:t>souladu s nařízením ERDF.</w:t>
            </w:r>
          </w:p>
        </w:tc>
      </w:tr>
    </w:tbl>
    <w:p w14:paraId="78B017E0" w14:textId="77777777" w:rsidR="004126CC" w:rsidRPr="00DD47DF" w:rsidRDefault="00606989" w:rsidP="00606989">
      <w:pPr>
        <w:pStyle w:val="Titulek"/>
      </w:pPr>
      <w:r w:rsidRPr="00DD47DF">
        <w:t>Další kvalitativní informace o stanovení výkonnostního rámce</w:t>
      </w:r>
    </w:p>
    <w:p w14:paraId="1690F4AC" w14:textId="77777777" w:rsidR="00B523F1" w:rsidRPr="00DD47DF" w:rsidRDefault="00B523F1" w:rsidP="00B523F1">
      <w:pPr>
        <w:pStyle w:val="Standardntext"/>
      </w:pPr>
      <w:r w:rsidRPr="00DD47DF">
        <w:t>Pro OP PIK byly stanoveny hodnoty milníků pro rok 2018 a 2023 (finanční ukazatele „certifikované finanční prostředky“</w:t>
      </w:r>
      <w:r w:rsidR="00282A6A" w:rsidRPr="00DD47DF">
        <w:t xml:space="preserve"> a </w:t>
      </w:r>
      <w:r w:rsidR="00037695" w:rsidRPr="00DD47DF">
        <w:t>ukazatele výstupů).</w:t>
      </w:r>
    </w:p>
    <w:p w14:paraId="52072D8B" w14:textId="77777777" w:rsidR="00606989" w:rsidRPr="00DD47DF" w:rsidRDefault="00606989" w:rsidP="001B0B9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786B1D23" w14:textId="77777777" w:rsidR="00EE5FD7" w:rsidRPr="00DD47DF" w:rsidRDefault="00606989" w:rsidP="00DA3512">
      <w:pPr>
        <w:pStyle w:val="Standardntext"/>
        <w:numPr>
          <w:ilvl w:val="0"/>
          <w:numId w:val="81"/>
        </w:numPr>
      </w:pPr>
      <w:r w:rsidRPr="00DD47DF">
        <w:t>Zohledněn je aktuální finanční plán OP PIK</w:t>
      </w:r>
      <w:r w:rsidR="00C74346" w:rsidRPr="00DD47DF">
        <w:t>;</w:t>
      </w:r>
    </w:p>
    <w:p w14:paraId="4049BA48" w14:textId="77777777" w:rsidR="00606989" w:rsidRPr="00DD47DF" w:rsidRDefault="00606989" w:rsidP="00DA3512">
      <w:pPr>
        <w:pStyle w:val="Standardntext"/>
        <w:numPr>
          <w:ilvl w:val="0"/>
          <w:numId w:val="81"/>
        </w:numPr>
      </w:pPr>
      <w:r w:rsidRPr="00DD47DF">
        <w:t>Při stanovení milníku bylo v maximální možné míře vycházeno ze zkušeností s OPPI;</w:t>
      </w:r>
    </w:p>
    <w:p w14:paraId="677C2BA7" w14:textId="77777777" w:rsidR="00606989" w:rsidRPr="00DD47DF" w:rsidRDefault="009B5DCA" w:rsidP="00DA3512">
      <w:pPr>
        <w:pStyle w:val="Standardntext"/>
        <w:numPr>
          <w:ilvl w:val="0"/>
          <w:numId w:val="81"/>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r w:rsidR="00606989" w:rsidRPr="00DD47DF">
        <w:t>;</w:t>
      </w:r>
    </w:p>
    <w:p w14:paraId="21A39B28" w14:textId="77777777" w:rsidR="00606989" w:rsidRPr="00DD47DF" w:rsidRDefault="009B5DCA" w:rsidP="00DA3512">
      <w:pPr>
        <w:pStyle w:val="Standardntext"/>
        <w:numPr>
          <w:ilvl w:val="0"/>
          <w:numId w:val="81"/>
        </w:numPr>
      </w:pPr>
      <w:r w:rsidRPr="00DD47DF">
        <w:t>Při možném předpokladu, že projekty budou dvouleté, to znamená, že první z nich ukončí realizaci nejdříve koncem roku 2017 a finanční prostředky tak budou předkládány k certifikaci až v průběhu roku 2018 (u delších projektů však až počátkem roku 2019)</w:t>
      </w:r>
      <w:r w:rsidR="00606989" w:rsidRPr="00DD47DF">
        <w:t xml:space="preserve">; </w:t>
      </w:r>
    </w:p>
    <w:p w14:paraId="1C84202E" w14:textId="77777777" w:rsidR="009B5DCA" w:rsidRPr="00DD47DF" w:rsidRDefault="009B5DCA" w:rsidP="00DA3512">
      <w:pPr>
        <w:pStyle w:val="Standardntext"/>
        <w:numPr>
          <w:ilvl w:val="0"/>
          <w:numId w:val="81"/>
        </w:numPr>
      </w:pPr>
      <w:r w:rsidRPr="00DD47DF">
        <w:t>Není započítána výkonnostní rezerva stanovená ŘO OP PIK na roky 2014 a 2015;</w:t>
      </w:r>
    </w:p>
    <w:p w14:paraId="13D3459A" w14:textId="77777777" w:rsidR="00606989" w:rsidRPr="00DD47DF" w:rsidRDefault="00606989" w:rsidP="00DA3512">
      <w:pPr>
        <w:pStyle w:val="Standardntext"/>
        <w:numPr>
          <w:ilvl w:val="0"/>
          <w:numId w:val="81"/>
        </w:numPr>
      </w:pPr>
      <w:r w:rsidRPr="00DD47DF">
        <w:t>Ukazatelé výstupů stanovené ve výkonnostním rámci odpovídají více než 50 % finančního přídělu na prioritu (v souladu se čl. 5 Prováděcího nařízení komise (EU) č. 215/2014);</w:t>
      </w:r>
    </w:p>
    <w:p w14:paraId="2B21E3F6" w14:textId="77777777" w:rsidR="00606989" w:rsidRPr="00DD47DF" w:rsidRDefault="00606989" w:rsidP="00DA3512">
      <w:pPr>
        <w:pStyle w:val="Standardntext"/>
        <w:numPr>
          <w:ilvl w:val="0"/>
          <w:numId w:val="81"/>
        </w:numPr>
      </w:pPr>
      <w:r w:rsidRPr="00DD47DF">
        <w:t>Pravidlo n+3, na základě kterého je nutné vzít v úvahu, že na konci roku 2018 by měla být vyčerpána alokace let 2014, 2015;</w:t>
      </w:r>
    </w:p>
    <w:p w14:paraId="4E3324FD" w14:textId="77777777" w:rsidR="00EE5FD7" w:rsidRPr="00DD47DF" w:rsidRDefault="00606989" w:rsidP="00DA3512">
      <w:pPr>
        <w:pStyle w:val="Standardntext"/>
        <w:numPr>
          <w:ilvl w:val="0"/>
          <w:numId w:val="81"/>
        </w:numPr>
        <w:rPr>
          <w:strike/>
        </w:rPr>
      </w:pPr>
      <w:r w:rsidRPr="00DD47DF">
        <w:t>Nové typy aktivit</w:t>
      </w:r>
      <w:r w:rsidR="00282A6A" w:rsidRPr="00DD47DF">
        <w:t xml:space="preserve"> v této prioritní ose </w:t>
      </w:r>
      <w:r w:rsidRPr="00DD47DF">
        <w:t>OP PIK</w:t>
      </w:r>
      <w:r w:rsidR="00282A6A" w:rsidRPr="00DD47DF">
        <w:t>;</w:t>
      </w:r>
    </w:p>
    <w:p w14:paraId="1B1EE8D6" w14:textId="77777777" w:rsidR="00606989" w:rsidRPr="00DD47DF" w:rsidRDefault="00606989" w:rsidP="00DA3512">
      <w:pPr>
        <w:pStyle w:val="Standardntext"/>
        <w:numPr>
          <w:ilvl w:val="0"/>
          <w:numId w:val="82"/>
        </w:numPr>
      </w:pPr>
      <w:r w:rsidRPr="00DD47DF">
        <w:t>Širší portfolio možných příjemců – s ohledem na možnou rozdílnou flexibilitu některých subjektů při přípravě a realizaci projektu, lze tak předpokládat pomalejší rozjezd některých aktivit</w:t>
      </w:r>
      <w:r w:rsidR="00A81FD6" w:rsidRPr="00DD47DF">
        <w:t>;</w:t>
      </w:r>
    </w:p>
    <w:p w14:paraId="0BD714F0" w14:textId="77777777" w:rsidR="00A81FD6" w:rsidRPr="00DD47DF" w:rsidRDefault="00A81FD6" w:rsidP="00DA3512">
      <w:pPr>
        <w:pStyle w:val="Standardntext"/>
        <w:numPr>
          <w:ilvl w:val="0"/>
          <w:numId w:val="82"/>
        </w:numPr>
      </w:pPr>
      <w:r w:rsidRPr="00DD47DF">
        <w:lastRenderedPageBreak/>
        <w:t>Výše alokace na jednotlivé aktivity SC včetně předpokládané výše veřejné podpory;</w:t>
      </w:r>
    </w:p>
    <w:p w14:paraId="554B01B2" w14:textId="77777777" w:rsidR="00A81FD6" w:rsidRPr="00DD47DF" w:rsidRDefault="00A81FD6" w:rsidP="00DA3512">
      <w:pPr>
        <w:pStyle w:val="Odstavecseseznamem1"/>
        <w:numPr>
          <w:ilvl w:val="0"/>
          <w:numId w:val="82"/>
        </w:numPr>
        <w:overflowPunct/>
        <w:autoSpaceDE/>
        <w:autoSpaceDN/>
        <w:adjustRightInd/>
        <w:contextualSpacing w:val="0"/>
        <w:jc w:val="both"/>
        <w:textAlignment w:val="auto"/>
      </w:pPr>
      <w:r w:rsidRPr="00DD47DF">
        <w:rPr>
          <w:sz w:val="24"/>
          <w:szCs w:val="24"/>
        </w:rPr>
        <w:t>Předpokládaná délka projektů v rámci jednotlivých aktivit – nejčastěji 2 – 3 roky.</w:t>
      </w:r>
    </w:p>
    <w:p w14:paraId="398CE095" w14:textId="77777777" w:rsidR="00A81FD6" w:rsidRPr="00DD47DF" w:rsidRDefault="00A81FD6" w:rsidP="00466CFC">
      <w:pPr>
        <w:pStyle w:val="Odstavecseseznamem1"/>
        <w:overflowPunct/>
        <w:autoSpaceDE/>
        <w:autoSpaceDN/>
        <w:adjustRightInd/>
        <w:contextualSpacing w:val="0"/>
        <w:jc w:val="both"/>
        <w:textAlignment w:val="auto"/>
      </w:pPr>
    </w:p>
    <w:p w14:paraId="6C908294" w14:textId="77777777" w:rsidR="00A81FD6" w:rsidRPr="00DD47DF" w:rsidRDefault="00A81FD6" w:rsidP="00DA3512">
      <w:pPr>
        <w:pStyle w:val="Odstavecseseznamem1"/>
        <w:numPr>
          <w:ilvl w:val="0"/>
          <w:numId w:val="82"/>
        </w:numPr>
        <w:overflowPunct/>
        <w:autoSpaceDE/>
        <w:autoSpaceDN/>
        <w:adjustRightInd/>
        <w:contextualSpacing w:val="0"/>
        <w:jc w:val="both"/>
        <w:textAlignment w:val="auto"/>
      </w:pPr>
      <w:r w:rsidRPr="00DD47DF">
        <w:rPr>
          <w:i/>
          <w:sz w:val="24"/>
          <w:szCs w:val="24"/>
        </w:rPr>
        <w:t>Milník</w:t>
      </w:r>
      <w:r w:rsidRPr="00DD47DF">
        <w:rPr>
          <w:i/>
          <w:sz w:val="24"/>
          <w:szCs w:val="24"/>
          <w:vertAlign w:val="superscript"/>
        </w:rPr>
        <w:t>2018 PO1</w:t>
      </w:r>
      <w:r w:rsidRPr="00DD47DF">
        <w:rPr>
          <w:i/>
          <w:sz w:val="24"/>
          <w:szCs w:val="24"/>
        </w:rPr>
        <w:t>= (celkové způsobilé výdaje na PO 1 v roce 2014 + celkové způsobilé výdaje na PO 1 v roce 2015) – (10% finančních prostředků ERDF na PO 1 + podíl výkonnostní rezervy za roky 2014 a 2015 na PO 1)</w:t>
      </w:r>
    </w:p>
    <w:p w14:paraId="7EEE486B" w14:textId="77777777" w:rsidR="00A81FD6" w:rsidRPr="00DD47DF" w:rsidRDefault="00A81FD6" w:rsidP="00A81FD6">
      <w:pPr>
        <w:pStyle w:val="Odstavecseseznamem1"/>
        <w:overflowPunct/>
        <w:autoSpaceDE/>
        <w:autoSpaceDN/>
        <w:adjustRightInd/>
        <w:contextualSpacing w:val="0"/>
        <w:jc w:val="both"/>
        <w:textAlignment w:val="auto"/>
        <w:rPr>
          <w:sz w:val="24"/>
          <w:szCs w:val="24"/>
        </w:rPr>
      </w:pPr>
    </w:p>
    <w:p w14:paraId="165D3D5D" w14:textId="77777777" w:rsidR="00606989" w:rsidRPr="00DD47DF" w:rsidRDefault="00606989" w:rsidP="001B0B9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1207E271" w14:textId="77777777" w:rsidR="00606989" w:rsidRPr="00DD47DF" w:rsidRDefault="00606989" w:rsidP="00DA3512">
      <w:pPr>
        <w:pStyle w:val="Standardntext"/>
        <w:numPr>
          <w:ilvl w:val="0"/>
          <w:numId w:val="83"/>
        </w:numPr>
      </w:pPr>
      <w:r w:rsidRPr="00DD47DF">
        <w:t>Klíčovým předpokladem je naplnění stanovených cílů programu v jednotlivých prioritních osách (finanční i věcné plnění);</w:t>
      </w:r>
    </w:p>
    <w:p w14:paraId="5386D1BB" w14:textId="77777777" w:rsidR="00606989" w:rsidRPr="00DD47DF" w:rsidRDefault="00606989" w:rsidP="00DA3512">
      <w:pPr>
        <w:pStyle w:val="Standardntext"/>
        <w:numPr>
          <w:ilvl w:val="0"/>
          <w:numId w:val="83"/>
        </w:numPr>
      </w:pPr>
      <w:r w:rsidRPr="00DD47DF">
        <w:t xml:space="preserve">Započítána je již i výkonnostní rezerva. </w:t>
      </w:r>
    </w:p>
    <w:p w14:paraId="7628D41D" w14:textId="77777777" w:rsidR="00606989" w:rsidRPr="00DD47DF" w:rsidRDefault="00606989" w:rsidP="00314D81">
      <w:pPr>
        <w:pStyle w:val="Standardntext"/>
      </w:pPr>
      <w:r w:rsidRPr="00DD47DF">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w:t>
      </w:r>
      <w:r w:rsidR="00E54216" w:rsidRPr="00DD47DF">
        <w:t>. Téma výkonnostní rezervy a milníků je dále rozpracováno v</w:t>
      </w:r>
      <w:r w:rsidR="00DD549F" w:rsidRPr="00DD47DF">
        <w:t xml:space="preserve"> Nepovinné </w:t>
      </w:r>
      <w:r w:rsidR="00E54216" w:rsidRPr="00DD47DF">
        <w:t xml:space="preserve">příloze </w:t>
      </w:r>
      <w:r w:rsidR="00DD549F" w:rsidRPr="00DD47DF">
        <w:t xml:space="preserve">č. </w:t>
      </w:r>
      <w:r w:rsidR="00E54216" w:rsidRPr="00DD47DF">
        <w:t xml:space="preserve">3. </w:t>
      </w:r>
    </w:p>
    <w:p w14:paraId="175E4CEE" w14:textId="77777777" w:rsidR="00606989" w:rsidRPr="00DD47DF" w:rsidRDefault="00606989" w:rsidP="004126CC">
      <w:pPr>
        <w:pStyle w:val="kapitola2A0"/>
        <w:numPr>
          <w:ilvl w:val="0"/>
          <w:numId w:val="0"/>
        </w:numPr>
        <w:rPr>
          <w:color w:val="auto"/>
        </w:rPr>
        <w:sectPr w:rsidR="00606989" w:rsidRPr="00DD47DF" w:rsidSect="004126CC">
          <w:headerReference w:type="default" r:id="rId31"/>
          <w:footerReference w:type="default" r:id="rId32"/>
          <w:pgSz w:w="16838" w:h="11906" w:orient="landscape"/>
          <w:pgMar w:top="1418" w:right="1418" w:bottom="1276" w:left="1276" w:header="709" w:footer="709" w:gutter="0"/>
          <w:cols w:space="708"/>
          <w:docGrid w:linePitch="272"/>
        </w:sectPr>
      </w:pPr>
    </w:p>
    <w:p w14:paraId="17BA0B9F" w14:textId="77777777" w:rsidR="00DB73B5" w:rsidRPr="00DD47DF" w:rsidRDefault="00636BAA" w:rsidP="00441D67">
      <w:pPr>
        <w:pStyle w:val="kapitola2A0"/>
        <w:numPr>
          <w:ilvl w:val="2"/>
          <w:numId w:val="128"/>
        </w:numPr>
      </w:pPr>
      <w:bookmarkStart w:id="37" w:name="_Toc129005376"/>
      <w:r w:rsidRPr="00DD47DF">
        <w:lastRenderedPageBreak/>
        <w:t>K</w:t>
      </w:r>
      <w:r w:rsidR="00F2469F" w:rsidRPr="00DD47DF">
        <w:t>ategorie zásahů</w:t>
      </w:r>
      <w:bookmarkEnd w:id="37"/>
    </w:p>
    <w:p w14:paraId="575C9F56" w14:textId="5EFD7E80" w:rsidR="002A1792" w:rsidRPr="00DD47DF" w:rsidRDefault="002A1792" w:rsidP="004126CC">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BE086E">
        <w:t>10</w:t>
      </w:r>
      <w:r w:rsidRPr="00DD47DF">
        <w:t xml:space="preserve">: Kategorie </w:t>
      </w:r>
      <w:r w:rsidR="00F2469F" w:rsidRPr="00DD47DF">
        <w:t>zásahů</w:t>
      </w:r>
      <w:r w:rsidR="00BA502F" w:rsidRPr="00DD47DF">
        <w:rPr>
          <w:rStyle w:val="Znakapoznpodarou"/>
        </w:rPr>
        <w:footnoteReference w:id="4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1656"/>
        <w:gridCol w:w="509"/>
        <w:gridCol w:w="1720"/>
        <w:gridCol w:w="589"/>
        <w:gridCol w:w="1643"/>
        <w:gridCol w:w="526"/>
        <w:gridCol w:w="1705"/>
      </w:tblGrid>
      <w:tr w:rsidR="000B2315" w:rsidRPr="00DD47DF" w14:paraId="24FF76B8" w14:textId="77777777">
        <w:tc>
          <w:tcPr>
            <w:tcW w:w="5000" w:type="pct"/>
            <w:gridSpan w:val="8"/>
            <w:shd w:val="clear" w:color="auto" w:fill="B8CCE4"/>
            <w:vAlign w:val="center"/>
          </w:tcPr>
          <w:p w14:paraId="17599883" w14:textId="77777777" w:rsidR="000B2315" w:rsidRPr="00DD47DF" w:rsidRDefault="005646B0" w:rsidP="004126CC">
            <w:pPr>
              <w:pStyle w:val="Tabulka"/>
              <w:keepNext/>
              <w:keepLines/>
              <w:rPr>
                <w:rFonts w:cs="Calibri"/>
                <w:b/>
              </w:rPr>
            </w:pPr>
            <w:r w:rsidRPr="00DD47DF">
              <w:rPr>
                <w:rFonts w:cs="Calibri"/>
                <w:b/>
              </w:rPr>
              <w:t>F</w:t>
            </w:r>
            <w:r w:rsidR="000B2315" w:rsidRPr="00DD47DF">
              <w:rPr>
                <w:rFonts w:cs="Calibri"/>
                <w:b/>
              </w:rPr>
              <w:t>ond</w:t>
            </w:r>
            <w:r w:rsidRPr="00DD47DF">
              <w:rPr>
                <w:rFonts w:cs="Calibri"/>
                <w:b/>
              </w:rPr>
              <w:t xml:space="preserve">: </w:t>
            </w:r>
            <w:r w:rsidRPr="00DD47DF">
              <w:rPr>
                <w:rFonts w:cs="Calibri"/>
              </w:rPr>
              <w:t>EFRR</w:t>
            </w:r>
          </w:p>
          <w:p w14:paraId="633C8D24" w14:textId="77777777" w:rsidR="000B2315" w:rsidRPr="00DD47DF" w:rsidRDefault="005646B0" w:rsidP="004126CC">
            <w:pPr>
              <w:pStyle w:val="Tabulka"/>
              <w:keepNext/>
              <w:keepLines/>
              <w:rPr>
                <w:rFonts w:cs="Calibri"/>
              </w:rPr>
            </w:pPr>
            <w:r w:rsidRPr="00DD47DF">
              <w:rPr>
                <w:rFonts w:cs="Calibri"/>
                <w:b/>
              </w:rPr>
              <w:t xml:space="preserve">Kategorie regionů: </w:t>
            </w:r>
            <w:r w:rsidR="000B2315" w:rsidRPr="00DD47DF">
              <w:rPr>
                <w:rFonts w:cs="Calibri"/>
              </w:rPr>
              <w:t>Méně rozvinuté regiony</w:t>
            </w:r>
          </w:p>
        </w:tc>
      </w:tr>
      <w:tr w:rsidR="000B2315" w:rsidRPr="00DD47DF" w14:paraId="09F354A5" w14:textId="77777777">
        <w:tc>
          <w:tcPr>
            <w:tcW w:w="1412" w:type="pct"/>
            <w:gridSpan w:val="2"/>
            <w:shd w:val="clear" w:color="auto" w:fill="B8CCE4"/>
            <w:vAlign w:val="center"/>
          </w:tcPr>
          <w:p w14:paraId="777A461C" w14:textId="77777777" w:rsidR="000B2315" w:rsidRPr="00DD47DF" w:rsidRDefault="000B2315" w:rsidP="008F72F4">
            <w:pPr>
              <w:pStyle w:val="Tabulka"/>
              <w:keepNext/>
              <w:keepLines/>
              <w:rPr>
                <w:rFonts w:cs="Calibri"/>
              </w:rPr>
            </w:pPr>
            <w:r w:rsidRPr="00DD47DF">
              <w:rPr>
                <w:rFonts w:cs="Calibri"/>
              </w:rPr>
              <w:t>Tabulka č. 7:</w:t>
            </w:r>
          </w:p>
          <w:p w14:paraId="28E09523" w14:textId="77777777" w:rsidR="000B2315" w:rsidRPr="00DD47DF" w:rsidRDefault="000B2315" w:rsidP="008F72F4">
            <w:pPr>
              <w:pStyle w:val="Tabulka"/>
              <w:keepNext/>
              <w:keepLines/>
              <w:rPr>
                <w:rFonts w:cs="Calibri"/>
              </w:rPr>
            </w:pPr>
            <w:r w:rsidRPr="00DD47DF">
              <w:rPr>
                <w:rFonts w:cs="Calibri"/>
              </w:rPr>
              <w:t>Dimenze 1</w:t>
            </w:r>
          </w:p>
          <w:p w14:paraId="4AC62805" w14:textId="77777777" w:rsidR="000B2315" w:rsidRPr="00DD47DF" w:rsidRDefault="000B2315" w:rsidP="008F72F4">
            <w:pPr>
              <w:pStyle w:val="Tabulka"/>
              <w:keepNext/>
              <w:keepLines/>
              <w:rPr>
                <w:rFonts w:cs="Calibri"/>
              </w:rPr>
            </w:pPr>
            <w:r w:rsidRPr="00DD47DF">
              <w:rPr>
                <w:rFonts w:cs="Calibri"/>
              </w:rPr>
              <w:t>Oblast zásahu</w:t>
            </w:r>
          </w:p>
        </w:tc>
        <w:tc>
          <w:tcPr>
            <w:tcW w:w="1195" w:type="pct"/>
            <w:gridSpan w:val="2"/>
            <w:shd w:val="clear" w:color="auto" w:fill="B8CCE4"/>
            <w:vAlign w:val="center"/>
          </w:tcPr>
          <w:p w14:paraId="2EFA2C85" w14:textId="77777777" w:rsidR="000B2315" w:rsidRPr="00DD47DF" w:rsidRDefault="000B2315" w:rsidP="008F72F4">
            <w:pPr>
              <w:pStyle w:val="Tabulka"/>
              <w:keepNext/>
              <w:keepLines/>
              <w:rPr>
                <w:rFonts w:cs="Calibri"/>
              </w:rPr>
            </w:pPr>
            <w:r w:rsidRPr="00DD47DF">
              <w:rPr>
                <w:rFonts w:cs="Calibri"/>
              </w:rPr>
              <w:t>Tabulka č. 8:</w:t>
            </w:r>
          </w:p>
          <w:p w14:paraId="4E8AC8F3" w14:textId="77777777" w:rsidR="000B2315" w:rsidRPr="00DD47DF" w:rsidRDefault="000B2315" w:rsidP="008F72F4">
            <w:pPr>
              <w:pStyle w:val="Tabulka"/>
              <w:keepNext/>
              <w:keepLines/>
              <w:rPr>
                <w:rFonts w:cs="Calibri"/>
              </w:rPr>
            </w:pPr>
            <w:r w:rsidRPr="00DD47DF">
              <w:rPr>
                <w:rFonts w:cs="Calibri"/>
              </w:rPr>
              <w:t>Dimenze 2</w:t>
            </w:r>
          </w:p>
          <w:p w14:paraId="3D4BFBED" w14:textId="77777777" w:rsidR="000B2315" w:rsidRPr="00DD47DF" w:rsidRDefault="000B2315" w:rsidP="008F72F4">
            <w:pPr>
              <w:pStyle w:val="Tabulka"/>
              <w:keepNext/>
              <w:keepLines/>
              <w:rPr>
                <w:rFonts w:cs="Calibri"/>
              </w:rPr>
            </w:pPr>
            <w:r w:rsidRPr="00DD47DF">
              <w:rPr>
                <w:rFonts w:cs="Calibri"/>
              </w:rPr>
              <w:t>Forma financování</w:t>
            </w:r>
          </w:p>
        </w:tc>
        <w:tc>
          <w:tcPr>
            <w:tcW w:w="1197" w:type="pct"/>
            <w:gridSpan w:val="2"/>
            <w:shd w:val="clear" w:color="auto" w:fill="B8CCE4"/>
            <w:vAlign w:val="center"/>
          </w:tcPr>
          <w:p w14:paraId="270C9149" w14:textId="77777777" w:rsidR="000B2315" w:rsidRPr="00DD47DF" w:rsidRDefault="000B2315" w:rsidP="008F72F4">
            <w:pPr>
              <w:pStyle w:val="Tabulka"/>
              <w:keepNext/>
              <w:keepLines/>
              <w:rPr>
                <w:rFonts w:cs="Calibri"/>
              </w:rPr>
            </w:pPr>
            <w:r w:rsidRPr="00DD47DF">
              <w:rPr>
                <w:rFonts w:cs="Calibri"/>
              </w:rPr>
              <w:t>Tabulka č. 9:</w:t>
            </w:r>
          </w:p>
          <w:p w14:paraId="282E5D5C" w14:textId="77777777" w:rsidR="000B2315" w:rsidRPr="00DD47DF" w:rsidRDefault="000B2315" w:rsidP="008F72F4">
            <w:pPr>
              <w:pStyle w:val="Tabulka"/>
              <w:keepNext/>
              <w:keepLines/>
              <w:rPr>
                <w:rFonts w:cs="Calibri"/>
              </w:rPr>
            </w:pPr>
            <w:r w:rsidRPr="00DD47DF">
              <w:rPr>
                <w:rFonts w:cs="Calibri"/>
              </w:rPr>
              <w:t>Dimenze 3</w:t>
            </w:r>
          </w:p>
          <w:p w14:paraId="15C062F9" w14:textId="77777777" w:rsidR="000B2315" w:rsidRPr="00DD47DF" w:rsidRDefault="000B2315" w:rsidP="008F72F4">
            <w:pPr>
              <w:pStyle w:val="Tabulka"/>
              <w:keepNext/>
              <w:keepLines/>
              <w:rPr>
                <w:rFonts w:cs="Calibri"/>
              </w:rPr>
            </w:pPr>
            <w:r w:rsidRPr="00DD47DF">
              <w:rPr>
                <w:rFonts w:cs="Calibri"/>
              </w:rPr>
              <w:t>Typ území</w:t>
            </w:r>
          </w:p>
        </w:tc>
        <w:tc>
          <w:tcPr>
            <w:tcW w:w="1196" w:type="pct"/>
            <w:gridSpan w:val="2"/>
            <w:shd w:val="clear" w:color="auto" w:fill="B8CCE4"/>
            <w:vAlign w:val="center"/>
          </w:tcPr>
          <w:p w14:paraId="10A1A80D" w14:textId="77777777" w:rsidR="000B2315" w:rsidRPr="00DD47DF" w:rsidRDefault="000B2315" w:rsidP="008F72F4">
            <w:pPr>
              <w:pStyle w:val="Tabulka"/>
              <w:keepNext/>
              <w:keepLines/>
              <w:rPr>
                <w:rFonts w:cs="Calibri"/>
              </w:rPr>
            </w:pPr>
            <w:r w:rsidRPr="00DD47DF">
              <w:rPr>
                <w:rFonts w:cs="Calibri"/>
              </w:rPr>
              <w:t>Tabulka č. 10:</w:t>
            </w:r>
          </w:p>
          <w:p w14:paraId="24B8BA0A" w14:textId="77777777" w:rsidR="000B2315" w:rsidRPr="00DD47DF" w:rsidRDefault="000B2315" w:rsidP="008F72F4">
            <w:pPr>
              <w:pStyle w:val="Tabulka"/>
              <w:keepNext/>
              <w:keepLines/>
              <w:rPr>
                <w:rFonts w:cs="Calibri"/>
              </w:rPr>
            </w:pPr>
            <w:r w:rsidRPr="00DD47DF">
              <w:rPr>
                <w:rFonts w:cs="Calibri"/>
              </w:rPr>
              <w:t>Dimenze 4</w:t>
            </w:r>
          </w:p>
          <w:p w14:paraId="5DC5D7C4" w14:textId="77777777" w:rsidR="000B2315" w:rsidRPr="00DD47DF" w:rsidRDefault="000B2315" w:rsidP="008F72F4">
            <w:pPr>
              <w:pStyle w:val="Tabulka"/>
              <w:keepNext/>
              <w:keepLines/>
              <w:rPr>
                <w:rFonts w:cs="Calibri"/>
              </w:rPr>
            </w:pPr>
            <w:r w:rsidRPr="00DD47DF">
              <w:rPr>
                <w:rFonts w:cs="Calibri"/>
              </w:rPr>
              <w:t>Mechanismus územního plnění</w:t>
            </w:r>
          </w:p>
        </w:tc>
      </w:tr>
      <w:tr w:rsidR="000B2315" w:rsidRPr="00DD47DF" w14:paraId="28B2B3BE" w14:textId="77777777" w:rsidTr="00F42FC2">
        <w:tc>
          <w:tcPr>
            <w:tcW w:w="524" w:type="pct"/>
            <w:shd w:val="clear" w:color="auto" w:fill="DBE5F1"/>
            <w:vAlign w:val="center"/>
          </w:tcPr>
          <w:p w14:paraId="5702FAA2" w14:textId="77777777" w:rsidR="000B2315" w:rsidRPr="00DD47DF" w:rsidRDefault="000B2315" w:rsidP="008F72F4">
            <w:pPr>
              <w:pStyle w:val="Tabulka"/>
              <w:keepNext/>
              <w:keepLines/>
              <w:rPr>
                <w:rFonts w:cs="Calibri"/>
              </w:rPr>
            </w:pPr>
            <w:r w:rsidRPr="00DD47DF">
              <w:rPr>
                <w:rFonts w:cs="Calibri"/>
              </w:rPr>
              <w:t>Kód</w:t>
            </w:r>
          </w:p>
        </w:tc>
        <w:tc>
          <w:tcPr>
            <w:tcW w:w="888" w:type="pct"/>
            <w:shd w:val="clear" w:color="auto" w:fill="DBE5F1"/>
            <w:vAlign w:val="center"/>
          </w:tcPr>
          <w:p w14:paraId="2855F7A3" w14:textId="77777777" w:rsidR="000B2315" w:rsidRPr="00DD47DF" w:rsidRDefault="00D16DE9" w:rsidP="00814828">
            <w:pPr>
              <w:pStyle w:val="Tabulka"/>
              <w:keepNext/>
              <w:keepLines/>
              <w:rPr>
                <w:rFonts w:cs="Calibri"/>
              </w:rPr>
            </w:pPr>
            <w:r w:rsidRPr="00DD47DF">
              <w:rPr>
                <w:rFonts w:cs="Calibri"/>
              </w:rPr>
              <w:t>Částka (v EUR)</w:t>
            </w:r>
          </w:p>
        </w:tc>
        <w:tc>
          <w:tcPr>
            <w:tcW w:w="273" w:type="pct"/>
            <w:shd w:val="clear" w:color="auto" w:fill="DBE5F1"/>
            <w:vAlign w:val="center"/>
          </w:tcPr>
          <w:p w14:paraId="0509F971" w14:textId="77777777" w:rsidR="000B2315" w:rsidRPr="00DD47DF" w:rsidRDefault="000B2315" w:rsidP="008F72F4">
            <w:pPr>
              <w:pStyle w:val="Tabulka"/>
              <w:keepNext/>
              <w:keepLines/>
              <w:rPr>
                <w:rFonts w:cs="Calibri"/>
              </w:rPr>
            </w:pPr>
            <w:r w:rsidRPr="00DD47DF">
              <w:rPr>
                <w:rFonts w:cs="Calibri"/>
              </w:rPr>
              <w:t>Kód</w:t>
            </w:r>
          </w:p>
        </w:tc>
        <w:tc>
          <w:tcPr>
            <w:tcW w:w="922" w:type="pct"/>
            <w:shd w:val="clear" w:color="auto" w:fill="DBE5F1"/>
            <w:vAlign w:val="center"/>
          </w:tcPr>
          <w:p w14:paraId="6AB313A1" w14:textId="77777777" w:rsidR="000B2315" w:rsidRPr="00DD47DF" w:rsidRDefault="00D16DE9" w:rsidP="008F72F4">
            <w:pPr>
              <w:pStyle w:val="Tabulka"/>
              <w:keepNext/>
              <w:keepLines/>
              <w:rPr>
                <w:rFonts w:cs="Calibri"/>
              </w:rPr>
            </w:pPr>
            <w:r w:rsidRPr="00DD47DF">
              <w:rPr>
                <w:rFonts w:cs="Calibri"/>
              </w:rPr>
              <w:t>Částka (v EUR)</w:t>
            </w:r>
          </w:p>
        </w:tc>
        <w:tc>
          <w:tcPr>
            <w:tcW w:w="316" w:type="pct"/>
            <w:shd w:val="clear" w:color="auto" w:fill="DBE5F1"/>
            <w:vAlign w:val="center"/>
          </w:tcPr>
          <w:p w14:paraId="7304EE70" w14:textId="77777777" w:rsidR="000B2315" w:rsidRPr="00DD47DF" w:rsidRDefault="000B2315" w:rsidP="008F72F4">
            <w:pPr>
              <w:pStyle w:val="Tabulka"/>
              <w:keepNext/>
              <w:keepLines/>
              <w:rPr>
                <w:rFonts w:cs="Calibri"/>
              </w:rPr>
            </w:pPr>
            <w:r w:rsidRPr="00DD47DF">
              <w:rPr>
                <w:rFonts w:cs="Calibri"/>
              </w:rPr>
              <w:t>Kód</w:t>
            </w:r>
          </w:p>
        </w:tc>
        <w:tc>
          <w:tcPr>
            <w:tcW w:w="881" w:type="pct"/>
            <w:shd w:val="clear" w:color="auto" w:fill="DBE5F1"/>
            <w:vAlign w:val="center"/>
          </w:tcPr>
          <w:p w14:paraId="1F3C2E8F" w14:textId="77777777" w:rsidR="000B2315" w:rsidRPr="00DD47DF" w:rsidRDefault="00D16DE9" w:rsidP="008F72F4">
            <w:pPr>
              <w:pStyle w:val="Tabulka"/>
              <w:keepNext/>
              <w:keepLines/>
              <w:rPr>
                <w:rFonts w:cs="Calibri"/>
              </w:rPr>
            </w:pPr>
            <w:r w:rsidRPr="00DD47DF">
              <w:rPr>
                <w:rFonts w:cs="Calibri"/>
              </w:rPr>
              <w:t>Částka (v EUR)</w:t>
            </w:r>
          </w:p>
        </w:tc>
        <w:tc>
          <w:tcPr>
            <w:tcW w:w="282" w:type="pct"/>
            <w:shd w:val="clear" w:color="auto" w:fill="DBE5F1"/>
            <w:vAlign w:val="center"/>
          </w:tcPr>
          <w:p w14:paraId="62D2DEC4" w14:textId="77777777" w:rsidR="000B2315" w:rsidRPr="00DD47DF" w:rsidRDefault="000B2315" w:rsidP="008F72F4">
            <w:pPr>
              <w:pStyle w:val="Tabulka"/>
              <w:keepNext/>
              <w:keepLines/>
              <w:rPr>
                <w:rFonts w:cs="Calibri"/>
              </w:rPr>
            </w:pPr>
            <w:r w:rsidRPr="00DD47DF">
              <w:rPr>
                <w:rFonts w:cs="Calibri"/>
              </w:rPr>
              <w:t>Kód</w:t>
            </w:r>
          </w:p>
        </w:tc>
        <w:tc>
          <w:tcPr>
            <w:tcW w:w="914" w:type="pct"/>
            <w:shd w:val="clear" w:color="auto" w:fill="DBE5F1"/>
            <w:vAlign w:val="center"/>
          </w:tcPr>
          <w:p w14:paraId="4EB8F598" w14:textId="77777777" w:rsidR="000B2315" w:rsidRPr="00DD47DF" w:rsidRDefault="00D16DE9" w:rsidP="008F72F4">
            <w:pPr>
              <w:pStyle w:val="Tabulka"/>
              <w:keepNext/>
              <w:keepLines/>
              <w:rPr>
                <w:rFonts w:cs="Calibri"/>
              </w:rPr>
            </w:pPr>
            <w:r w:rsidRPr="00DD47DF">
              <w:rPr>
                <w:rFonts w:cs="Calibri"/>
              </w:rPr>
              <w:t>Částka (v EUR)</w:t>
            </w:r>
          </w:p>
        </w:tc>
      </w:tr>
      <w:tr w:rsidR="00E129EE" w:rsidRPr="00DD47DF" w14:paraId="64C19428" w14:textId="77777777" w:rsidTr="00D05A06">
        <w:tc>
          <w:tcPr>
            <w:tcW w:w="524" w:type="pct"/>
            <w:shd w:val="clear" w:color="auto" w:fill="auto"/>
            <w:vAlign w:val="center"/>
          </w:tcPr>
          <w:p w14:paraId="6AA64C99" w14:textId="77777777" w:rsidR="00E129EE" w:rsidRPr="00DD47DF" w:rsidRDefault="00E129EE" w:rsidP="00E129EE">
            <w:pPr>
              <w:pStyle w:val="Tabulka"/>
              <w:keepNext/>
              <w:keepLines/>
              <w:rPr>
                <w:rFonts w:cs="Calibri"/>
              </w:rPr>
            </w:pPr>
            <w:r w:rsidRPr="00DD47DF">
              <w:rPr>
                <w:rFonts w:cs="Calibri"/>
              </w:rPr>
              <w:t>002</w:t>
            </w:r>
          </w:p>
        </w:tc>
        <w:tc>
          <w:tcPr>
            <w:tcW w:w="888" w:type="pct"/>
            <w:tcBorders>
              <w:top w:val="single" w:sz="8" w:space="0" w:color="auto"/>
              <w:left w:val="nil"/>
              <w:bottom w:val="single" w:sz="8" w:space="0" w:color="auto"/>
              <w:right w:val="single" w:sz="8" w:space="0" w:color="auto"/>
            </w:tcBorders>
            <w:shd w:val="clear" w:color="auto" w:fill="auto"/>
            <w:vAlign w:val="center"/>
          </w:tcPr>
          <w:p w14:paraId="08D57BDA" w14:textId="57BEE93E" w:rsidR="00E129EE" w:rsidRPr="00DD47DF" w:rsidRDefault="00E0634C" w:rsidP="00E129EE">
            <w:pPr>
              <w:pStyle w:val="Tabulka"/>
              <w:jc w:val="right"/>
              <w:rPr>
                <w:color w:val="000000"/>
              </w:rPr>
            </w:pPr>
            <w:r w:rsidRPr="00E0634C">
              <w:rPr>
                <w:color w:val="000000"/>
              </w:rPr>
              <w:t>156 000 000</w:t>
            </w:r>
          </w:p>
        </w:tc>
        <w:tc>
          <w:tcPr>
            <w:tcW w:w="273" w:type="pct"/>
            <w:shd w:val="clear" w:color="auto" w:fill="auto"/>
            <w:vAlign w:val="center"/>
          </w:tcPr>
          <w:p w14:paraId="00FD0DC0" w14:textId="77777777" w:rsidR="00E129EE" w:rsidRPr="00DD47DF" w:rsidRDefault="00E129EE" w:rsidP="00E129EE">
            <w:pPr>
              <w:pStyle w:val="Tabulka"/>
              <w:rPr>
                <w:rFonts w:cs="Calibri"/>
              </w:rPr>
            </w:pPr>
            <w:r w:rsidRPr="00DD47DF">
              <w:rPr>
                <w:rFonts w:cs="Calibri"/>
              </w:rPr>
              <w:t>01</w:t>
            </w:r>
          </w:p>
        </w:tc>
        <w:tc>
          <w:tcPr>
            <w:tcW w:w="922" w:type="pct"/>
            <w:shd w:val="clear" w:color="auto" w:fill="auto"/>
            <w:vAlign w:val="center"/>
          </w:tcPr>
          <w:p w14:paraId="07053108" w14:textId="5206C65D" w:rsidR="00E129EE" w:rsidRPr="00DD47DF" w:rsidRDefault="00E0634C" w:rsidP="00E129EE">
            <w:pPr>
              <w:pStyle w:val="Tabulka"/>
              <w:jc w:val="right"/>
              <w:rPr>
                <w:rFonts w:cs="Calibri"/>
              </w:rPr>
            </w:pPr>
            <w:r w:rsidRPr="00E0634C">
              <w:rPr>
                <w:rFonts w:cs="Calibri"/>
              </w:rPr>
              <w:t>1 255 221 763</w:t>
            </w:r>
          </w:p>
        </w:tc>
        <w:tc>
          <w:tcPr>
            <w:tcW w:w="316" w:type="pct"/>
            <w:shd w:val="clear" w:color="auto" w:fill="auto"/>
            <w:vAlign w:val="center"/>
          </w:tcPr>
          <w:p w14:paraId="6D36AECF" w14:textId="77777777" w:rsidR="00E129EE" w:rsidRPr="00DD47DF" w:rsidRDefault="00E129EE" w:rsidP="00E129EE">
            <w:pPr>
              <w:pStyle w:val="Tabulka"/>
              <w:rPr>
                <w:rFonts w:cs="Calibri"/>
              </w:rPr>
            </w:pPr>
            <w:r w:rsidRPr="00DD47DF">
              <w:rPr>
                <w:rFonts w:cs="Calibri"/>
              </w:rPr>
              <w:t>01</w:t>
            </w:r>
          </w:p>
        </w:tc>
        <w:tc>
          <w:tcPr>
            <w:tcW w:w="881" w:type="pct"/>
            <w:shd w:val="clear" w:color="auto" w:fill="auto"/>
            <w:vAlign w:val="bottom"/>
          </w:tcPr>
          <w:p w14:paraId="65DD3BA9" w14:textId="68F4CBA1" w:rsidR="00E129EE" w:rsidRPr="00DD47DF" w:rsidRDefault="00E0634C" w:rsidP="00E129EE">
            <w:pPr>
              <w:pStyle w:val="Tabulka"/>
              <w:jc w:val="right"/>
            </w:pPr>
            <w:r w:rsidRPr="00E0634C">
              <w:t>398 636 049</w:t>
            </w:r>
          </w:p>
        </w:tc>
        <w:tc>
          <w:tcPr>
            <w:tcW w:w="282" w:type="pct"/>
            <w:shd w:val="clear" w:color="auto" w:fill="auto"/>
            <w:vAlign w:val="center"/>
          </w:tcPr>
          <w:p w14:paraId="7346BFBF" w14:textId="77777777" w:rsidR="00E129EE" w:rsidRPr="00DD47DF" w:rsidRDefault="00E129EE" w:rsidP="00E129EE">
            <w:pPr>
              <w:pStyle w:val="Tabulka"/>
              <w:rPr>
                <w:rFonts w:cs="Calibri"/>
              </w:rPr>
            </w:pPr>
            <w:r w:rsidRPr="00DD47DF">
              <w:rPr>
                <w:rFonts w:cs="Calibri"/>
              </w:rPr>
              <w:t>01</w:t>
            </w:r>
          </w:p>
        </w:tc>
        <w:tc>
          <w:tcPr>
            <w:tcW w:w="914" w:type="pct"/>
            <w:shd w:val="clear" w:color="auto" w:fill="auto"/>
            <w:vAlign w:val="bottom"/>
          </w:tcPr>
          <w:p w14:paraId="7C36FE2A" w14:textId="0D5A4A4F" w:rsidR="00E129EE" w:rsidRPr="00DD47DF" w:rsidRDefault="00E0634C" w:rsidP="00E129EE">
            <w:pPr>
              <w:pStyle w:val="Tabulka"/>
              <w:jc w:val="right"/>
            </w:pPr>
            <w:r w:rsidRPr="00E0634C">
              <w:t>58 926 355</w:t>
            </w:r>
          </w:p>
        </w:tc>
      </w:tr>
      <w:tr w:rsidR="00E129EE" w:rsidRPr="00DD47DF" w14:paraId="07019E05" w14:textId="77777777" w:rsidTr="00D05A06">
        <w:tc>
          <w:tcPr>
            <w:tcW w:w="524" w:type="pct"/>
            <w:shd w:val="clear" w:color="auto" w:fill="auto"/>
            <w:vAlign w:val="center"/>
          </w:tcPr>
          <w:p w14:paraId="715DA8F5" w14:textId="77777777" w:rsidR="00E129EE" w:rsidRPr="00DD47DF" w:rsidRDefault="00E129EE" w:rsidP="00E129EE">
            <w:pPr>
              <w:pStyle w:val="Tabulka"/>
              <w:rPr>
                <w:rFonts w:cs="Calibri"/>
              </w:rPr>
            </w:pPr>
            <w:r w:rsidRPr="00DD47DF">
              <w:rPr>
                <w:rFonts w:cs="Calibri"/>
              </w:rPr>
              <w:t>056</w:t>
            </w:r>
          </w:p>
        </w:tc>
        <w:tc>
          <w:tcPr>
            <w:tcW w:w="888" w:type="pct"/>
            <w:tcBorders>
              <w:top w:val="nil"/>
              <w:left w:val="nil"/>
              <w:bottom w:val="single" w:sz="8" w:space="0" w:color="auto"/>
              <w:right w:val="single" w:sz="8" w:space="0" w:color="auto"/>
            </w:tcBorders>
            <w:shd w:val="clear" w:color="auto" w:fill="auto"/>
            <w:vAlign w:val="center"/>
          </w:tcPr>
          <w:p w14:paraId="3127A475" w14:textId="5BE177DD" w:rsidR="00E129EE" w:rsidRPr="00DD47DF" w:rsidRDefault="00E0634C" w:rsidP="00E129EE">
            <w:pPr>
              <w:pStyle w:val="Tabulka"/>
              <w:jc w:val="right"/>
              <w:rPr>
                <w:color w:val="000000"/>
              </w:rPr>
            </w:pPr>
            <w:r w:rsidRPr="00E0634C">
              <w:rPr>
                <w:color w:val="000000"/>
              </w:rPr>
              <w:t>153 324 051</w:t>
            </w:r>
          </w:p>
        </w:tc>
        <w:tc>
          <w:tcPr>
            <w:tcW w:w="273" w:type="pct"/>
            <w:shd w:val="clear" w:color="auto" w:fill="auto"/>
            <w:vAlign w:val="center"/>
          </w:tcPr>
          <w:p w14:paraId="58DCF43E" w14:textId="77777777" w:rsidR="00E129EE" w:rsidRPr="00DD47DF" w:rsidRDefault="00E129EE" w:rsidP="00E129EE">
            <w:pPr>
              <w:pStyle w:val="Tabulka"/>
              <w:rPr>
                <w:rFonts w:cs="Calibri"/>
              </w:rPr>
            </w:pPr>
            <w:r w:rsidRPr="00DD47DF">
              <w:rPr>
                <w:rFonts w:cs="Calibri"/>
              </w:rPr>
              <w:t>03</w:t>
            </w:r>
          </w:p>
        </w:tc>
        <w:tc>
          <w:tcPr>
            <w:tcW w:w="922" w:type="pct"/>
            <w:shd w:val="clear" w:color="auto" w:fill="auto"/>
            <w:vAlign w:val="center"/>
          </w:tcPr>
          <w:p w14:paraId="2F92E343" w14:textId="6EB0627B" w:rsidR="00E129EE" w:rsidRPr="00DD47DF" w:rsidRDefault="00EB5215" w:rsidP="00E129EE">
            <w:pPr>
              <w:pStyle w:val="Tabulka"/>
              <w:jc w:val="right"/>
              <w:rPr>
                <w:rFonts w:cs="Calibri"/>
              </w:rPr>
            </w:pPr>
            <w:r>
              <w:rPr>
                <w:rFonts w:cs="Calibri"/>
              </w:rPr>
              <w:t>0</w:t>
            </w:r>
          </w:p>
        </w:tc>
        <w:tc>
          <w:tcPr>
            <w:tcW w:w="316" w:type="pct"/>
            <w:shd w:val="clear" w:color="auto" w:fill="auto"/>
            <w:vAlign w:val="center"/>
          </w:tcPr>
          <w:p w14:paraId="31255B08" w14:textId="77777777" w:rsidR="00E129EE" w:rsidRPr="00DD47DF" w:rsidRDefault="00E129EE" w:rsidP="00E129EE">
            <w:pPr>
              <w:pStyle w:val="Tabulka"/>
              <w:rPr>
                <w:rFonts w:cs="Calibri"/>
              </w:rPr>
            </w:pPr>
            <w:r w:rsidRPr="00DD47DF">
              <w:rPr>
                <w:rFonts w:cs="Calibri"/>
              </w:rPr>
              <w:t>02</w:t>
            </w:r>
          </w:p>
        </w:tc>
        <w:tc>
          <w:tcPr>
            <w:tcW w:w="881" w:type="pct"/>
            <w:shd w:val="clear" w:color="auto" w:fill="auto"/>
            <w:vAlign w:val="bottom"/>
          </w:tcPr>
          <w:p w14:paraId="012205A5" w14:textId="73C037D8" w:rsidR="00E129EE" w:rsidRPr="00DD47DF" w:rsidRDefault="00E0634C" w:rsidP="00E129EE">
            <w:pPr>
              <w:pStyle w:val="Tabulka"/>
              <w:jc w:val="right"/>
            </w:pPr>
            <w:r w:rsidRPr="00E0634C">
              <w:t>484 766 912</w:t>
            </w:r>
          </w:p>
        </w:tc>
        <w:tc>
          <w:tcPr>
            <w:tcW w:w="282" w:type="pct"/>
            <w:shd w:val="clear" w:color="auto" w:fill="auto"/>
            <w:vAlign w:val="center"/>
          </w:tcPr>
          <w:p w14:paraId="113F4636" w14:textId="77777777" w:rsidR="00E129EE" w:rsidRPr="00DD47DF" w:rsidRDefault="00E129EE" w:rsidP="00E129EE">
            <w:pPr>
              <w:pStyle w:val="Tabulka"/>
              <w:rPr>
                <w:rFonts w:cs="Calibri"/>
              </w:rPr>
            </w:pPr>
            <w:r w:rsidRPr="00DD47DF">
              <w:rPr>
                <w:rFonts w:cs="Calibri"/>
              </w:rPr>
              <w:t>07</w:t>
            </w:r>
          </w:p>
        </w:tc>
        <w:tc>
          <w:tcPr>
            <w:tcW w:w="914" w:type="pct"/>
            <w:shd w:val="clear" w:color="auto" w:fill="auto"/>
            <w:vAlign w:val="bottom"/>
          </w:tcPr>
          <w:p w14:paraId="43755318" w14:textId="302B3C27" w:rsidR="00E129EE" w:rsidRPr="00DD47DF" w:rsidRDefault="00E0634C" w:rsidP="00E129EE">
            <w:pPr>
              <w:pStyle w:val="Tabulka"/>
              <w:jc w:val="right"/>
            </w:pPr>
            <w:r w:rsidRPr="00E0634C">
              <w:t>1 196 295 408</w:t>
            </w:r>
          </w:p>
        </w:tc>
      </w:tr>
      <w:tr w:rsidR="00E129EE" w:rsidRPr="00DD47DF" w14:paraId="3D1EF6F8" w14:textId="77777777" w:rsidTr="00D05A06">
        <w:tc>
          <w:tcPr>
            <w:tcW w:w="524" w:type="pct"/>
            <w:shd w:val="clear" w:color="auto" w:fill="auto"/>
            <w:vAlign w:val="center"/>
          </w:tcPr>
          <w:p w14:paraId="6417DCF6" w14:textId="77777777" w:rsidR="00E129EE" w:rsidRPr="00DD47DF" w:rsidRDefault="00E129EE" w:rsidP="00E129EE">
            <w:pPr>
              <w:pStyle w:val="Tabulka"/>
              <w:rPr>
                <w:rFonts w:cs="Calibri"/>
              </w:rPr>
            </w:pPr>
            <w:r w:rsidRPr="00DD47DF">
              <w:rPr>
                <w:rFonts w:cs="Calibri"/>
              </w:rPr>
              <w:t>057</w:t>
            </w:r>
          </w:p>
        </w:tc>
        <w:tc>
          <w:tcPr>
            <w:tcW w:w="888" w:type="pct"/>
            <w:tcBorders>
              <w:top w:val="nil"/>
              <w:left w:val="nil"/>
              <w:bottom w:val="single" w:sz="8" w:space="0" w:color="auto"/>
              <w:right w:val="single" w:sz="8" w:space="0" w:color="auto"/>
            </w:tcBorders>
            <w:shd w:val="clear" w:color="auto" w:fill="auto"/>
            <w:vAlign w:val="center"/>
          </w:tcPr>
          <w:p w14:paraId="0284BD96" w14:textId="05AF6030" w:rsidR="00E129EE" w:rsidRPr="00DD47DF" w:rsidRDefault="00E0634C" w:rsidP="00E129EE">
            <w:pPr>
              <w:pStyle w:val="Tabulka"/>
              <w:jc w:val="right"/>
              <w:rPr>
                <w:color w:val="000000"/>
              </w:rPr>
            </w:pPr>
            <w:r w:rsidRPr="00E0634C">
              <w:rPr>
                <w:color w:val="000000"/>
              </w:rPr>
              <w:t>95 000 000</w:t>
            </w:r>
          </w:p>
        </w:tc>
        <w:tc>
          <w:tcPr>
            <w:tcW w:w="273" w:type="pct"/>
            <w:shd w:val="clear" w:color="auto" w:fill="auto"/>
            <w:vAlign w:val="center"/>
          </w:tcPr>
          <w:p w14:paraId="3969CC67" w14:textId="77777777" w:rsidR="00E129EE" w:rsidRPr="00DD47DF" w:rsidRDefault="00E129EE" w:rsidP="00E129EE">
            <w:pPr>
              <w:pStyle w:val="Tabulka"/>
              <w:rPr>
                <w:rFonts w:cs="Calibri"/>
              </w:rPr>
            </w:pPr>
          </w:p>
        </w:tc>
        <w:tc>
          <w:tcPr>
            <w:tcW w:w="922" w:type="pct"/>
            <w:shd w:val="clear" w:color="auto" w:fill="auto"/>
            <w:vAlign w:val="center"/>
          </w:tcPr>
          <w:p w14:paraId="2AD36C01" w14:textId="77777777" w:rsidR="00E129EE" w:rsidRPr="00DD47DF" w:rsidRDefault="00E129EE" w:rsidP="00E129EE">
            <w:pPr>
              <w:pStyle w:val="Tabulka"/>
              <w:jc w:val="right"/>
              <w:rPr>
                <w:rFonts w:cs="Calibri"/>
              </w:rPr>
            </w:pPr>
          </w:p>
        </w:tc>
        <w:tc>
          <w:tcPr>
            <w:tcW w:w="316" w:type="pct"/>
            <w:shd w:val="clear" w:color="auto" w:fill="auto"/>
            <w:vAlign w:val="center"/>
          </w:tcPr>
          <w:p w14:paraId="0BE33204" w14:textId="77777777" w:rsidR="00E129EE" w:rsidRPr="00DD47DF" w:rsidRDefault="00E129EE" w:rsidP="00E129EE">
            <w:pPr>
              <w:pStyle w:val="Tabulka"/>
              <w:rPr>
                <w:rFonts w:cs="Calibri"/>
              </w:rPr>
            </w:pPr>
            <w:r w:rsidRPr="00DD47DF">
              <w:rPr>
                <w:rFonts w:cs="Calibri"/>
              </w:rPr>
              <w:t>03</w:t>
            </w:r>
          </w:p>
        </w:tc>
        <w:tc>
          <w:tcPr>
            <w:tcW w:w="881" w:type="pct"/>
            <w:shd w:val="clear" w:color="auto" w:fill="auto"/>
            <w:vAlign w:val="bottom"/>
          </w:tcPr>
          <w:p w14:paraId="26027A27" w14:textId="3409D7DF" w:rsidR="00E129EE" w:rsidRPr="00DD47DF" w:rsidRDefault="00E0634C" w:rsidP="00E129EE">
            <w:pPr>
              <w:pStyle w:val="Tabulka"/>
              <w:jc w:val="right"/>
            </w:pPr>
            <w:r w:rsidRPr="00E0634C">
              <w:t>371 818 802</w:t>
            </w:r>
          </w:p>
        </w:tc>
        <w:tc>
          <w:tcPr>
            <w:tcW w:w="282" w:type="pct"/>
            <w:shd w:val="clear" w:color="auto" w:fill="auto"/>
            <w:vAlign w:val="center"/>
          </w:tcPr>
          <w:p w14:paraId="4814F492" w14:textId="77777777" w:rsidR="00E129EE" w:rsidRPr="00DD47DF" w:rsidRDefault="00E129EE" w:rsidP="00E129EE">
            <w:pPr>
              <w:pStyle w:val="Tabulka"/>
              <w:rPr>
                <w:rFonts w:cs="Calibri"/>
              </w:rPr>
            </w:pPr>
          </w:p>
        </w:tc>
        <w:tc>
          <w:tcPr>
            <w:tcW w:w="914" w:type="pct"/>
            <w:shd w:val="clear" w:color="auto" w:fill="auto"/>
            <w:vAlign w:val="center"/>
          </w:tcPr>
          <w:p w14:paraId="66F76D0A" w14:textId="77777777" w:rsidR="00E129EE" w:rsidRPr="00DD47DF" w:rsidRDefault="00E129EE" w:rsidP="00E129EE">
            <w:pPr>
              <w:pStyle w:val="Tabulka"/>
              <w:jc w:val="right"/>
              <w:rPr>
                <w:rFonts w:cs="Calibri"/>
              </w:rPr>
            </w:pPr>
          </w:p>
        </w:tc>
      </w:tr>
      <w:tr w:rsidR="00E9476F" w:rsidRPr="00DD47DF" w14:paraId="0091BD83" w14:textId="77777777" w:rsidTr="00D05A06">
        <w:tc>
          <w:tcPr>
            <w:tcW w:w="524" w:type="pct"/>
            <w:shd w:val="clear" w:color="auto" w:fill="auto"/>
            <w:vAlign w:val="center"/>
          </w:tcPr>
          <w:p w14:paraId="67F555DE" w14:textId="77777777" w:rsidR="00E9476F" w:rsidRPr="00DD47DF" w:rsidRDefault="00E9476F" w:rsidP="00E9476F">
            <w:pPr>
              <w:pStyle w:val="Tabulka"/>
              <w:rPr>
                <w:rFonts w:cs="Calibri"/>
              </w:rPr>
            </w:pPr>
            <w:r w:rsidRPr="00DD47DF">
              <w:rPr>
                <w:rFonts w:cs="Calibri"/>
              </w:rPr>
              <w:t>058</w:t>
            </w:r>
          </w:p>
        </w:tc>
        <w:tc>
          <w:tcPr>
            <w:tcW w:w="888" w:type="pct"/>
            <w:tcBorders>
              <w:top w:val="nil"/>
              <w:left w:val="nil"/>
              <w:bottom w:val="single" w:sz="8" w:space="0" w:color="auto"/>
              <w:right w:val="single" w:sz="8" w:space="0" w:color="auto"/>
            </w:tcBorders>
            <w:shd w:val="clear" w:color="auto" w:fill="auto"/>
            <w:vAlign w:val="center"/>
          </w:tcPr>
          <w:p w14:paraId="49EC1451" w14:textId="78AB55F5" w:rsidR="00E9476F" w:rsidRPr="00DD47DF" w:rsidRDefault="00E0634C" w:rsidP="00E9476F">
            <w:pPr>
              <w:pStyle w:val="Tabulka"/>
              <w:jc w:val="right"/>
            </w:pPr>
            <w:r w:rsidRPr="00E0634C">
              <w:rPr>
                <w:color w:val="000000"/>
              </w:rPr>
              <w:t>28 132 392</w:t>
            </w:r>
          </w:p>
        </w:tc>
        <w:tc>
          <w:tcPr>
            <w:tcW w:w="273" w:type="pct"/>
            <w:shd w:val="clear" w:color="auto" w:fill="auto"/>
            <w:vAlign w:val="center"/>
          </w:tcPr>
          <w:p w14:paraId="00D44C22" w14:textId="77777777" w:rsidR="00E9476F" w:rsidRPr="00DD47DF" w:rsidRDefault="00E9476F" w:rsidP="00E9476F">
            <w:pPr>
              <w:pStyle w:val="Tabulka"/>
              <w:rPr>
                <w:rFonts w:cs="Calibri"/>
              </w:rPr>
            </w:pPr>
          </w:p>
        </w:tc>
        <w:tc>
          <w:tcPr>
            <w:tcW w:w="922" w:type="pct"/>
            <w:shd w:val="clear" w:color="auto" w:fill="auto"/>
            <w:vAlign w:val="center"/>
          </w:tcPr>
          <w:p w14:paraId="6B796C9F" w14:textId="77777777" w:rsidR="00E9476F" w:rsidRPr="00DD47DF" w:rsidRDefault="00E9476F" w:rsidP="00E9476F">
            <w:pPr>
              <w:pStyle w:val="Tabulka"/>
              <w:jc w:val="right"/>
              <w:rPr>
                <w:rFonts w:cs="Calibri"/>
              </w:rPr>
            </w:pPr>
          </w:p>
        </w:tc>
        <w:tc>
          <w:tcPr>
            <w:tcW w:w="316" w:type="pct"/>
            <w:shd w:val="clear" w:color="auto" w:fill="auto"/>
            <w:vAlign w:val="center"/>
          </w:tcPr>
          <w:p w14:paraId="2C48F96A" w14:textId="77777777" w:rsidR="00E9476F" w:rsidRPr="00DD47DF" w:rsidRDefault="00E9476F" w:rsidP="00E9476F">
            <w:pPr>
              <w:pStyle w:val="Tabulka"/>
              <w:rPr>
                <w:rFonts w:cs="Calibri"/>
              </w:rPr>
            </w:pPr>
          </w:p>
        </w:tc>
        <w:tc>
          <w:tcPr>
            <w:tcW w:w="881" w:type="pct"/>
            <w:shd w:val="clear" w:color="auto" w:fill="auto"/>
            <w:vAlign w:val="center"/>
          </w:tcPr>
          <w:p w14:paraId="06951ADF" w14:textId="77777777" w:rsidR="00E9476F" w:rsidRPr="00DD47DF" w:rsidRDefault="00E9476F" w:rsidP="00E9476F">
            <w:pPr>
              <w:pStyle w:val="Tabulka"/>
              <w:jc w:val="right"/>
              <w:rPr>
                <w:rFonts w:cs="Calibri"/>
              </w:rPr>
            </w:pPr>
          </w:p>
        </w:tc>
        <w:tc>
          <w:tcPr>
            <w:tcW w:w="282" w:type="pct"/>
            <w:shd w:val="clear" w:color="auto" w:fill="auto"/>
            <w:vAlign w:val="center"/>
          </w:tcPr>
          <w:p w14:paraId="21349BCE" w14:textId="77777777" w:rsidR="00E9476F" w:rsidRPr="00DD47DF" w:rsidRDefault="00E9476F" w:rsidP="00E9476F">
            <w:pPr>
              <w:pStyle w:val="Tabulka"/>
              <w:rPr>
                <w:rFonts w:cs="Calibri"/>
              </w:rPr>
            </w:pPr>
          </w:p>
        </w:tc>
        <w:tc>
          <w:tcPr>
            <w:tcW w:w="914" w:type="pct"/>
            <w:shd w:val="clear" w:color="auto" w:fill="auto"/>
            <w:vAlign w:val="center"/>
          </w:tcPr>
          <w:p w14:paraId="7A49E98D" w14:textId="77777777" w:rsidR="00E9476F" w:rsidRPr="00DD47DF" w:rsidRDefault="00E9476F" w:rsidP="00E9476F">
            <w:pPr>
              <w:pStyle w:val="Tabulka"/>
              <w:jc w:val="right"/>
              <w:rPr>
                <w:rFonts w:cs="Calibri"/>
              </w:rPr>
            </w:pPr>
          </w:p>
        </w:tc>
      </w:tr>
      <w:tr w:rsidR="00E9476F" w:rsidRPr="00DD47DF" w14:paraId="7FDB7B1C" w14:textId="77777777" w:rsidTr="00D05A06">
        <w:tc>
          <w:tcPr>
            <w:tcW w:w="524" w:type="pct"/>
            <w:shd w:val="clear" w:color="auto" w:fill="auto"/>
            <w:vAlign w:val="center"/>
          </w:tcPr>
          <w:p w14:paraId="722004A8" w14:textId="77777777" w:rsidR="00E9476F" w:rsidRPr="00DD47DF" w:rsidRDefault="00E9476F" w:rsidP="00E9476F">
            <w:pPr>
              <w:pStyle w:val="Tabulka"/>
              <w:rPr>
                <w:rFonts w:cs="Calibri"/>
              </w:rPr>
            </w:pPr>
            <w:r w:rsidRPr="00DD47DF">
              <w:rPr>
                <w:rFonts w:cs="Calibri"/>
              </w:rPr>
              <w:t>059</w:t>
            </w:r>
          </w:p>
        </w:tc>
        <w:tc>
          <w:tcPr>
            <w:tcW w:w="888" w:type="pct"/>
            <w:tcBorders>
              <w:top w:val="nil"/>
              <w:left w:val="nil"/>
              <w:bottom w:val="single" w:sz="8" w:space="0" w:color="auto"/>
              <w:right w:val="single" w:sz="8" w:space="0" w:color="auto"/>
            </w:tcBorders>
            <w:shd w:val="clear" w:color="auto" w:fill="auto"/>
            <w:vAlign w:val="center"/>
          </w:tcPr>
          <w:p w14:paraId="515F9878" w14:textId="600D90F0" w:rsidR="00E9476F" w:rsidRPr="00DD47DF" w:rsidRDefault="00E0634C" w:rsidP="00E9476F">
            <w:pPr>
              <w:pStyle w:val="Tabulka"/>
              <w:jc w:val="right"/>
            </w:pPr>
            <w:r w:rsidRPr="00E0634C">
              <w:rPr>
                <w:color w:val="000000"/>
              </w:rPr>
              <w:t>72 504 207</w:t>
            </w:r>
          </w:p>
        </w:tc>
        <w:tc>
          <w:tcPr>
            <w:tcW w:w="273" w:type="pct"/>
            <w:shd w:val="clear" w:color="auto" w:fill="auto"/>
            <w:vAlign w:val="center"/>
          </w:tcPr>
          <w:p w14:paraId="5B690723" w14:textId="77777777" w:rsidR="00E9476F" w:rsidRPr="00DD47DF" w:rsidRDefault="00E9476F" w:rsidP="00E9476F">
            <w:pPr>
              <w:pStyle w:val="Tabulka"/>
              <w:rPr>
                <w:rFonts w:cs="Calibri"/>
              </w:rPr>
            </w:pPr>
          </w:p>
        </w:tc>
        <w:tc>
          <w:tcPr>
            <w:tcW w:w="922" w:type="pct"/>
            <w:shd w:val="clear" w:color="auto" w:fill="auto"/>
            <w:vAlign w:val="center"/>
          </w:tcPr>
          <w:p w14:paraId="6743B7DB" w14:textId="77777777" w:rsidR="00E9476F" w:rsidRPr="00DD47DF" w:rsidRDefault="00E9476F" w:rsidP="00E9476F">
            <w:pPr>
              <w:pStyle w:val="Tabulka"/>
              <w:jc w:val="right"/>
              <w:rPr>
                <w:rFonts w:cs="Calibri"/>
              </w:rPr>
            </w:pPr>
          </w:p>
        </w:tc>
        <w:tc>
          <w:tcPr>
            <w:tcW w:w="316" w:type="pct"/>
            <w:shd w:val="clear" w:color="auto" w:fill="auto"/>
            <w:vAlign w:val="center"/>
          </w:tcPr>
          <w:p w14:paraId="2BF14D36" w14:textId="77777777" w:rsidR="00E9476F" w:rsidRPr="00DD47DF" w:rsidRDefault="00E9476F" w:rsidP="00E9476F">
            <w:pPr>
              <w:pStyle w:val="Tabulka"/>
              <w:rPr>
                <w:rFonts w:cs="Calibri"/>
              </w:rPr>
            </w:pPr>
          </w:p>
        </w:tc>
        <w:tc>
          <w:tcPr>
            <w:tcW w:w="881" w:type="pct"/>
            <w:shd w:val="clear" w:color="auto" w:fill="auto"/>
            <w:vAlign w:val="center"/>
          </w:tcPr>
          <w:p w14:paraId="632BE5BC" w14:textId="77777777" w:rsidR="00E9476F" w:rsidRPr="00DD47DF" w:rsidRDefault="00E9476F" w:rsidP="00E9476F">
            <w:pPr>
              <w:pStyle w:val="Tabulka"/>
              <w:jc w:val="right"/>
              <w:rPr>
                <w:rFonts w:cs="Calibri"/>
              </w:rPr>
            </w:pPr>
          </w:p>
        </w:tc>
        <w:tc>
          <w:tcPr>
            <w:tcW w:w="282" w:type="pct"/>
            <w:shd w:val="clear" w:color="auto" w:fill="auto"/>
            <w:vAlign w:val="center"/>
          </w:tcPr>
          <w:p w14:paraId="26194453" w14:textId="77777777" w:rsidR="00E9476F" w:rsidRPr="00DD47DF" w:rsidRDefault="00E9476F" w:rsidP="00E9476F">
            <w:pPr>
              <w:pStyle w:val="Tabulka"/>
              <w:rPr>
                <w:rFonts w:cs="Calibri"/>
              </w:rPr>
            </w:pPr>
          </w:p>
        </w:tc>
        <w:tc>
          <w:tcPr>
            <w:tcW w:w="914" w:type="pct"/>
            <w:shd w:val="clear" w:color="auto" w:fill="auto"/>
            <w:vAlign w:val="center"/>
          </w:tcPr>
          <w:p w14:paraId="325EF4A0" w14:textId="77777777" w:rsidR="00E9476F" w:rsidRPr="00DD47DF" w:rsidRDefault="00E9476F" w:rsidP="00E9476F">
            <w:pPr>
              <w:pStyle w:val="Tabulka"/>
              <w:jc w:val="right"/>
              <w:rPr>
                <w:rFonts w:cs="Calibri"/>
              </w:rPr>
            </w:pPr>
          </w:p>
        </w:tc>
      </w:tr>
      <w:tr w:rsidR="00E9476F" w:rsidRPr="00DD47DF" w14:paraId="6D6F1C52" w14:textId="77777777" w:rsidTr="00D05A06">
        <w:tc>
          <w:tcPr>
            <w:tcW w:w="524" w:type="pct"/>
            <w:shd w:val="clear" w:color="auto" w:fill="auto"/>
            <w:vAlign w:val="center"/>
          </w:tcPr>
          <w:p w14:paraId="220ECAF9" w14:textId="77777777" w:rsidR="00E9476F" w:rsidRPr="00DD47DF" w:rsidRDefault="00E9476F" w:rsidP="00E9476F">
            <w:pPr>
              <w:pStyle w:val="Tabulka"/>
              <w:rPr>
                <w:rFonts w:cs="Calibri"/>
              </w:rPr>
            </w:pPr>
            <w:r w:rsidRPr="00DD47DF">
              <w:rPr>
                <w:rFonts w:cs="Calibri"/>
              </w:rPr>
              <w:t>060</w:t>
            </w:r>
          </w:p>
        </w:tc>
        <w:tc>
          <w:tcPr>
            <w:tcW w:w="888" w:type="pct"/>
            <w:tcBorders>
              <w:top w:val="nil"/>
              <w:left w:val="nil"/>
              <w:bottom w:val="single" w:sz="8" w:space="0" w:color="auto"/>
              <w:right w:val="single" w:sz="8" w:space="0" w:color="auto"/>
            </w:tcBorders>
            <w:shd w:val="clear" w:color="auto" w:fill="auto"/>
            <w:vAlign w:val="center"/>
          </w:tcPr>
          <w:p w14:paraId="2C8D7837" w14:textId="037E27A0" w:rsidR="00E9476F" w:rsidRPr="00DD47DF" w:rsidRDefault="00E0634C" w:rsidP="00E9476F">
            <w:pPr>
              <w:pStyle w:val="Tabulka"/>
              <w:jc w:val="right"/>
            </w:pPr>
            <w:r w:rsidRPr="00E0634C">
              <w:t>56 556 490</w:t>
            </w:r>
          </w:p>
        </w:tc>
        <w:tc>
          <w:tcPr>
            <w:tcW w:w="273" w:type="pct"/>
            <w:shd w:val="clear" w:color="auto" w:fill="auto"/>
            <w:vAlign w:val="center"/>
          </w:tcPr>
          <w:p w14:paraId="4A49B3F1" w14:textId="77777777" w:rsidR="00E9476F" w:rsidRPr="00DD47DF" w:rsidRDefault="00E9476F" w:rsidP="00E9476F">
            <w:pPr>
              <w:pStyle w:val="Tabulka"/>
              <w:rPr>
                <w:rFonts w:cs="Calibri"/>
              </w:rPr>
            </w:pPr>
          </w:p>
        </w:tc>
        <w:tc>
          <w:tcPr>
            <w:tcW w:w="922" w:type="pct"/>
            <w:shd w:val="clear" w:color="auto" w:fill="auto"/>
            <w:vAlign w:val="center"/>
          </w:tcPr>
          <w:p w14:paraId="0888F5DA" w14:textId="77777777" w:rsidR="00E9476F" w:rsidRPr="00DD47DF" w:rsidRDefault="00E9476F" w:rsidP="00E9476F">
            <w:pPr>
              <w:pStyle w:val="Tabulka"/>
              <w:jc w:val="right"/>
              <w:rPr>
                <w:rFonts w:cs="Calibri"/>
              </w:rPr>
            </w:pPr>
          </w:p>
        </w:tc>
        <w:tc>
          <w:tcPr>
            <w:tcW w:w="316" w:type="pct"/>
            <w:shd w:val="clear" w:color="auto" w:fill="auto"/>
            <w:vAlign w:val="center"/>
          </w:tcPr>
          <w:p w14:paraId="094C62BF" w14:textId="77777777" w:rsidR="00E9476F" w:rsidRPr="00DD47DF" w:rsidRDefault="00E9476F" w:rsidP="00E9476F">
            <w:pPr>
              <w:pStyle w:val="Tabulka"/>
              <w:rPr>
                <w:rFonts w:cs="Calibri"/>
              </w:rPr>
            </w:pPr>
          </w:p>
        </w:tc>
        <w:tc>
          <w:tcPr>
            <w:tcW w:w="881" w:type="pct"/>
            <w:shd w:val="clear" w:color="auto" w:fill="auto"/>
            <w:vAlign w:val="center"/>
          </w:tcPr>
          <w:p w14:paraId="5274F5DA" w14:textId="77777777" w:rsidR="00E9476F" w:rsidRPr="00DD47DF" w:rsidRDefault="00E9476F" w:rsidP="00E9476F">
            <w:pPr>
              <w:pStyle w:val="Tabulka"/>
              <w:jc w:val="right"/>
              <w:rPr>
                <w:rFonts w:cs="Calibri"/>
              </w:rPr>
            </w:pPr>
          </w:p>
        </w:tc>
        <w:tc>
          <w:tcPr>
            <w:tcW w:w="282" w:type="pct"/>
            <w:shd w:val="clear" w:color="auto" w:fill="auto"/>
            <w:vAlign w:val="center"/>
          </w:tcPr>
          <w:p w14:paraId="6C089C6F" w14:textId="77777777" w:rsidR="00E9476F" w:rsidRPr="00DD47DF" w:rsidRDefault="00E9476F" w:rsidP="00E9476F">
            <w:pPr>
              <w:pStyle w:val="Tabulka"/>
              <w:rPr>
                <w:rFonts w:cs="Calibri"/>
              </w:rPr>
            </w:pPr>
          </w:p>
        </w:tc>
        <w:tc>
          <w:tcPr>
            <w:tcW w:w="914" w:type="pct"/>
            <w:shd w:val="clear" w:color="auto" w:fill="auto"/>
            <w:vAlign w:val="center"/>
          </w:tcPr>
          <w:p w14:paraId="21665246" w14:textId="77777777" w:rsidR="00E9476F" w:rsidRPr="00DD47DF" w:rsidRDefault="00E9476F" w:rsidP="00E9476F">
            <w:pPr>
              <w:pStyle w:val="Tabulka"/>
              <w:jc w:val="right"/>
              <w:rPr>
                <w:rFonts w:cs="Calibri"/>
              </w:rPr>
            </w:pPr>
          </w:p>
        </w:tc>
      </w:tr>
      <w:tr w:rsidR="00E9476F" w:rsidRPr="00DD47DF" w14:paraId="192ED411" w14:textId="77777777" w:rsidTr="00D05A06">
        <w:tc>
          <w:tcPr>
            <w:tcW w:w="524" w:type="pct"/>
            <w:shd w:val="clear" w:color="auto" w:fill="auto"/>
            <w:vAlign w:val="center"/>
          </w:tcPr>
          <w:p w14:paraId="5A9E6E46" w14:textId="77777777" w:rsidR="00E9476F" w:rsidRPr="00DD47DF" w:rsidRDefault="00E9476F" w:rsidP="00E9476F">
            <w:pPr>
              <w:pStyle w:val="Tabulka"/>
              <w:rPr>
                <w:rFonts w:cs="Calibri"/>
              </w:rPr>
            </w:pPr>
            <w:r w:rsidRPr="00DD47DF">
              <w:rPr>
                <w:rFonts w:cs="Calibri"/>
              </w:rPr>
              <w:t>061</w:t>
            </w:r>
          </w:p>
        </w:tc>
        <w:tc>
          <w:tcPr>
            <w:tcW w:w="888" w:type="pct"/>
            <w:tcBorders>
              <w:top w:val="nil"/>
              <w:left w:val="nil"/>
              <w:bottom w:val="single" w:sz="8" w:space="0" w:color="auto"/>
              <w:right w:val="single" w:sz="8" w:space="0" w:color="auto"/>
            </w:tcBorders>
            <w:shd w:val="clear" w:color="auto" w:fill="auto"/>
            <w:vAlign w:val="center"/>
          </w:tcPr>
          <w:p w14:paraId="0AF95045" w14:textId="19C2CFD6" w:rsidR="00E9476F" w:rsidRPr="00DD47DF" w:rsidRDefault="00E0634C" w:rsidP="00E9476F">
            <w:pPr>
              <w:pStyle w:val="Tabulka"/>
              <w:jc w:val="right"/>
            </w:pPr>
            <w:r w:rsidRPr="00E0634C">
              <w:t>238 440 100</w:t>
            </w:r>
          </w:p>
        </w:tc>
        <w:tc>
          <w:tcPr>
            <w:tcW w:w="273" w:type="pct"/>
            <w:shd w:val="clear" w:color="auto" w:fill="auto"/>
            <w:vAlign w:val="center"/>
          </w:tcPr>
          <w:p w14:paraId="19891C91" w14:textId="77777777" w:rsidR="00E9476F" w:rsidRPr="00DD47DF" w:rsidRDefault="00E9476F" w:rsidP="00E9476F">
            <w:pPr>
              <w:pStyle w:val="Tabulka"/>
              <w:rPr>
                <w:rFonts w:cs="Calibri"/>
              </w:rPr>
            </w:pPr>
          </w:p>
        </w:tc>
        <w:tc>
          <w:tcPr>
            <w:tcW w:w="922" w:type="pct"/>
            <w:shd w:val="clear" w:color="auto" w:fill="auto"/>
            <w:vAlign w:val="center"/>
          </w:tcPr>
          <w:p w14:paraId="3C19B4AD" w14:textId="77777777" w:rsidR="00E9476F" w:rsidRPr="00DD47DF" w:rsidRDefault="00E9476F" w:rsidP="00E9476F">
            <w:pPr>
              <w:pStyle w:val="Tabulka"/>
              <w:jc w:val="right"/>
              <w:rPr>
                <w:rFonts w:cs="Calibri"/>
              </w:rPr>
            </w:pPr>
          </w:p>
        </w:tc>
        <w:tc>
          <w:tcPr>
            <w:tcW w:w="316" w:type="pct"/>
            <w:shd w:val="clear" w:color="auto" w:fill="auto"/>
            <w:vAlign w:val="center"/>
          </w:tcPr>
          <w:p w14:paraId="41352E0F" w14:textId="77777777" w:rsidR="00E9476F" w:rsidRPr="00DD47DF" w:rsidRDefault="00E9476F" w:rsidP="00E9476F">
            <w:pPr>
              <w:pStyle w:val="Tabulka"/>
              <w:rPr>
                <w:rFonts w:cs="Calibri"/>
              </w:rPr>
            </w:pPr>
          </w:p>
        </w:tc>
        <w:tc>
          <w:tcPr>
            <w:tcW w:w="881" w:type="pct"/>
            <w:shd w:val="clear" w:color="auto" w:fill="auto"/>
            <w:vAlign w:val="center"/>
          </w:tcPr>
          <w:p w14:paraId="3034CDCA" w14:textId="77777777" w:rsidR="00E9476F" w:rsidRPr="00DD47DF" w:rsidRDefault="00E9476F" w:rsidP="00E9476F">
            <w:pPr>
              <w:pStyle w:val="Tabulka"/>
              <w:jc w:val="right"/>
              <w:rPr>
                <w:rFonts w:cs="Calibri"/>
              </w:rPr>
            </w:pPr>
          </w:p>
        </w:tc>
        <w:tc>
          <w:tcPr>
            <w:tcW w:w="282" w:type="pct"/>
            <w:shd w:val="clear" w:color="auto" w:fill="auto"/>
            <w:vAlign w:val="center"/>
          </w:tcPr>
          <w:p w14:paraId="74C79E23" w14:textId="77777777" w:rsidR="00E9476F" w:rsidRPr="00DD47DF" w:rsidRDefault="00E9476F" w:rsidP="00E9476F">
            <w:pPr>
              <w:pStyle w:val="Tabulka"/>
              <w:rPr>
                <w:rFonts w:cs="Calibri"/>
              </w:rPr>
            </w:pPr>
          </w:p>
        </w:tc>
        <w:tc>
          <w:tcPr>
            <w:tcW w:w="914" w:type="pct"/>
            <w:shd w:val="clear" w:color="auto" w:fill="auto"/>
            <w:vAlign w:val="center"/>
          </w:tcPr>
          <w:p w14:paraId="290AAA2A" w14:textId="77777777" w:rsidR="00E9476F" w:rsidRPr="00DD47DF" w:rsidRDefault="00E9476F" w:rsidP="00E9476F">
            <w:pPr>
              <w:pStyle w:val="Tabulka"/>
              <w:jc w:val="right"/>
              <w:rPr>
                <w:rFonts w:cs="Calibri"/>
              </w:rPr>
            </w:pPr>
          </w:p>
        </w:tc>
      </w:tr>
      <w:tr w:rsidR="00E9476F" w:rsidRPr="00DD47DF" w14:paraId="10FA2335" w14:textId="77777777" w:rsidTr="00D05A06">
        <w:tc>
          <w:tcPr>
            <w:tcW w:w="524" w:type="pct"/>
            <w:shd w:val="clear" w:color="auto" w:fill="auto"/>
            <w:vAlign w:val="center"/>
          </w:tcPr>
          <w:p w14:paraId="348A5C9B" w14:textId="77777777" w:rsidR="00E9476F" w:rsidRPr="00DD47DF" w:rsidRDefault="00E9476F" w:rsidP="00E9476F">
            <w:pPr>
              <w:pStyle w:val="Tabulka"/>
              <w:rPr>
                <w:rFonts w:cs="Calibri"/>
              </w:rPr>
            </w:pPr>
            <w:r w:rsidRPr="00DD47DF">
              <w:rPr>
                <w:rFonts w:cs="Calibri"/>
              </w:rPr>
              <w:t>062</w:t>
            </w:r>
          </w:p>
        </w:tc>
        <w:tc>
          <w:tcPr>
            <w:tcW w:w="888" w:type="pct"/>
            <w:tcBorders>
              <w:top w:val="nil"/>
              <w:left w:val="nil"/>
              <w:bottom w:val="single" w:sz="8" w:space="0" w:color="auto"/>
              <w:right w:val="single" w:sz="8" w:space="0" w:color="auto"/>
            </w:tcBorders>
            <w:shd w:val="clear" w:color="auto" w:fill="auto"/>
            <w:vAlign w:val="center"/>
          </w:tcPr>
          <w:p w14:paraId="3B0F6446" w14:textId="61AC0CBF" w:rsidR="00E9476F" w:rsidRPr="00DD47DF" w:rsidRDefault="00E0634C" w:rsidP="00E9476F">
            <w:pPr>
              <w:pStyle w:val="Tabulka"/>
              <w:jc w:val="right"/>
            </w:pPr>
            <w:r w:rsidRPr="00E0634C">
              <w:rPr>
                <w:color w:val="000000"/>
              </w:rPr>
              <w:t>7 756 525</w:t>
            </w:r>
          </w:p>
        </w:tc>
        <w:tc>
          <w:tcPr>
            <w:tcW w:w="273" w:type="pct"/>
            <w:shd w:val="clear" w:color="auto" w:fill="auto"/>
            <w:vAlign w:val="center"/>
          </w:tcPr>
          <w:p w14:paraId="5886B396" w14:textId="77777777" w:rsidR="00E9476F" w:rsidRPr="00DD47DF" w:rsidRDefault="00E9476F" w:rsidP="00E9476F">
            <w:pPr>
              <w:pStyle w:val="Tabulka"/>
              <w:rPr>
                <w:rFonts w:cs="Calibri"/>
              </w:rPr>
            </w:pPr>
          </w:p>
        </w:tc>
        <w:tc>
          <w:tcPr>
            <w:tcW w:w="922" w:type="pct"/>
            <w:shd w:val="clear" w:color="auto" w:fill="auto"/>
            <w:vAlign w:val="center"/>
          </w:tcPr>
          <w:p w14:paraId="42A45962" w14:textId="77777777" w:rsidR="00E9476F" w:rsidRPr="00DD47DF" w:rsidRDefault="00E9476F" w:rsidP="00E9476F">
            <w:pPr>
              <w:pStyle w:val="Tabulka"/>
              <w:jc w:val="right"/>
              <w:rPr>
                <w:rFonts w:cs="Calibri"/>
              </w:rPr>
            </w:pPr>
          </w:p>
        </w:tc>
        <w:tc>
          <w:tcPr>
            <w:tcW w:w="316" w:type="pct"/>
            <w:shd w:val="clear" w:color="auto" w:fill="auto"/>
            <w:vAlign w:val="center"/>
          </w:tcPr>
          <w:p w14:paraId="3605E0EA" w14:textId="77777777" w:rsidR="00E9476F" w:rsidRPr="00DD47DF" w:rsidRDefault="00E9476F" w:rsidP="00E9476F">
            <w:pPr>
              <w:pStyle w:val="Tabulka"/>
              <w:rPr>
                <w:rFonts w:cs="Calibri"/>
              </w:rPr>
            </w:pPr>
          </w:p>
        </w:tc>
        <w:tc>
          <w:tcPr>
            <w:tcW w:w="881" w:type="pct"/>
            <w:shd w:val="clear" w:color="auto" w:fill="auto"/>
            <w:vAlign w:val="center"/>
          </w:tcPr>
          <w:p w14:paraId="1A924275" w14:textId="77777777" w:rsidR="00E9476F" w:rsidRPr="00DD47DF" w:rsidRDefault="00E9476F" w:rsidP="00E9476F">
            <w:pPr>
              <w:pStyle w:val="Tabulka"/>
              <w:jc w:val="right"/>
              <w:rPr>
                <w:rFonts w:cs="Calibri"/>
              </w:rPr>
            </w:pPr>
          </w:p>
        </w:tc>
        <w:tc>
          <w:tcPr>
            <w:tcW w:w="282" w:type="pct"/>
            <w:shd w:val="clear" w:color="auto" w:fill="auto"/>
            <w:vAlign w:val="center"/>
          </w:tcPr>
          <w:p w14:paraId="780C46FC" w14:textId="77777777" w:rsidR="00E9476F" w:rsidRPr="00DD47DF" w:rsidRDefault="00E9476F" w:rsidP="00E9476F">
            <w:pPr>
              <w:pStyle w:val="Tabulka"/>
              <w:rPr>
                <w:rFonts w:cs="Calibri"/>
              </w:rPr>
            </w:pPr>
          </w:p>
        </w:tc>
        <w:tc>
          <w:tcPr>
            <w:tcW w:w="914" w:type="pct"/>
            <w:shd w:val="clear" w:color="auto" w:fill="auto"/>
            <w:vAlign w:val="center"/>
          </w:tcPr>
          <w:p w14:paraId="0A0C3281" w14:textId="77777777" w:rsidR="00E9476F" w:rsidRPr="00DD47DF" w:rsidRDefault="00E9476F" w:rsidP="00E9476F">
            <w:pPr>
              <w:pStyle w:val="Tabulka"/>
              <w:jc w:val="right"/>
              <w:rPr>
                <w:rFonts w:cs="Calibri"/>
              </w:rPr>
            </w:pPr>
          </w:p>
        </w:tc>
      </w:tr>
      <w:tr w:rsidR="00E9476F" w:rsidRPr="00DD47DF" w14:paraId="730382E2" w14:textId="77777777" w:rsidTr="00D05A06">
        <w:tc>
          <w:tcPr>
            <w:tcW w:w="524" w:type="pct"/>
            <w:shd w:val="clear" w:color="auto" w:fill="auto"/>
            <w:vAlign w:val="center"/>
          </w:tcPr>
          <w:p w14:paraId="67255F66" w14:textId="77777777" w:rsidR="00E9476F" w:rsidRPr="00DD47DF" w:rsidRDefault="00E9476F" w:rsidP="00E9476F">
            <w:pPr>
              <w:pStyle w:val="Tabulka"/>
              <w:rPr>
                <w:rFonts w:cs="Calibri"/>
              </w:rPr>
            </w:pPr>
            <w:r w:rsidRPr="00DD47DF">
              <w:rPr>
                <w:rFonts w:cs="Calibri"/>
              </w:rPr>
              <w:t>063</w:t>
            </w:r>
          </w:p>
        </w:tc>
        <w:tc>
          <w:tcPr>
            <w:tcW w:w="888" w:type="pct"/>
            <w:tcBorders>
              <w:top w:val="nil"/>
              <w:left w:val="nil"/>
              <w:bottom w:val="single" w:sz="8" w:space="0" w:color="auto"/>
              <w:right w:val="single" w:sz="8" w:space="0" w:color="auto"/>
            </w:tcBorders>
            <w:shd w:val="clear" w:color="auto" w:fill="auto"/>
            <w:vAlign w:val="center"/>
          </w:tcPr>
          <w:p w14:paraId="1FC9C045" w14:textId="2071EA95" w:rsidR="00E9476F" w:rsidRPr="00DD47DF" w:rsidRDefault="00E0634C" w:rsidP="00E9476F">
            <w:pPr>
              <w:pStyle w:val="Tabulka"/>
              <w:jc w:val="right"/>
            </w:pPr>
            <w:r w:rsidRPr="00E0634C">
              <w:t>256 556 902</w:t>
            </w:r>
          </w:p>
        </w:tc>
        <w:tc>
          <w:tcPr>
            <w:tcW w:w="273" w:type="pct"/>
            <w:shd w:val="clear" w:color="auto" w:fill="auto"/>
            <w:vAlign w:val="center"/>
          </w:tcPr>
          <w:p w14:paraId="19E1E658" w14:textId="77777777" w:rsidR="00E9476F" w:rsidRPr="00DD47DF" w:rsidRDefault="00E9476F" w:rsidP="00E9476F">
            <w:pPr>
              <w:pStyle w:val="Tabulka"/>
              <w:rPr>
                <w:rFonts w:cs="Calibri"/>
              </w:rPr>
            </w:pPr>
          </w:p>
        </w:tc>
        <w:tc>
          <w:tcPr>
            <w:tcW w:w="922" w:type="pct"/>
            <w:shd w:val="clear" w:color="auto" w:fill="auto"/>
            <w:vAlign w:val="center"/>
          </w:tcPr>
          <w:p w14:paraId="0A4E7831" w14:textId="77777777" w:rsidR="00E9476F" w:rsidRPr="00DD47DF" w:rsidRDefault="00E9476F" w:rsidP="00E9476F">
            <w:pPr>
              <w:pStyle w:val="Tabulka"/>
              <w:jc w:val="right"/>
              <w:rPr>
                <w:rFonts w:cs="Calibri"/>
              </w:rPr>
            </w:pPr>
          </w:p>
        </w:tc>
        <w:tc>
          <w:tcPr>
            <w:tcW w:w="316" w:type="pct"/>
            <w:shd w:val="clear" w:color="auto" w:fill="auto"/>
            <w:vAlign w:val="center"/>
          </w:tcPr>
          <w:p w14:paraId="7F65A871" w14:textId="77777777" w:rsidR="00E9476F" w:rsidRPr="00DD47DF" w:rsidRDefault="00E9476F" w:rsidP="00E9476F">
            <w:pPr>
              <w:pStyle w:val="Tabulka"/>
              <w:rPr>
                <w:rFonts w:cs="Calibri"/>
              </w:rPr>
            </w:pPr>
          </w:p>
        </w:tc>
        <w:tc>
          <w:tcPr>
            <w:tcW w:w="881" w:type="pct"/>
            <w:shd w:val="clear" w:color="auto" w:fill="auto"/>
            <w:vAlign w:val="center"/>
          </w:tcPr>
          <w:p w14:paraId="79FC038A" w14:textId="77777777" w:rsidR="00E9476F" w:rsidRPr="00DD47DF" w:rsidRDefault="00E9476F" w:rsidP="00E9476F">
            <w:pPr>
              <w:pStyle w:val="Tabulka"/>
              <w:jc w:val="right"/>
              <w:rPr>
                <w:rFonts w:cs="Calibri"/>
              </w:rPr>
            </w:pPr>
          </w:p>
        </w:tc>
        <w:tc>
          <w:tcPr>
            <w:tcW w:w="282" w:type="pct"/>
            <w:shd w:val="clear" w:color="auto" w:fill="auto"/>
            <w:vAlign w:val="center"/>
          </w:tcPr>
          <w:p w14:paraId="5420B526" w14:textId="77777777" w:rsidR="00E9476F" w:rsidRPr="00DD47DF" w:rsidRDefault="00E9476F" w:rsidP="00E9476F">
            <w:pPr>
              <w:pStyle w:val="Tabulka"/>
              <w:rPr>
                <w:rFonts w:cs="Calibri"/>
              </w:rPr>
            </w:pPr>
          </w:p>
        </w:tc>
        <w:tc>
          <w:tcPr>
            <w:tcW w:w="914" w:type="pct"/>
            <w:shd w:val="clear" w:color="auto" w:fill="auto"/>
            <w:vAlign w:val="center"/>
          </w:tcPr>
          <w:p w14:paraId="05D261ED" w14:textId="77777777" w:rsidR="00E9476F" w:rsidRPr="00DD47DF" w:rsidRDefault="00E9476F" w:rsidP="00E9476F">
            <w:pPr>
              <w:pStyle w:val="Tabulka"/>
              <w:jc w:val="right"/>
              <w:rPr>
                <w:rFonts w:cs="Calibri"/>
              </w:rPr>
            </w:pPr>
          </w:p>
        </w:tc>
      </w:tr>
      <w:tr w:rsidR="00E9476F" w:rsidRPr="00DD47DF" w14:paraId="1082CEA1" w14:textId="77777777" w:rsidTr="00D05A06">
        <w:tc>
          <w:tcPr>
            <w:tcW w:w="524" w:type="pct"/>
            <w:shd w:val="clear" w:color="auto" w:fill="auto"/>
            <w:vAlign w:val="center"/>
          </w:tcPr>
          <w:p w14:paraId="68C1045F" w14:textId="77777777" w:rsidR="00E9476F" w:rsidRPr="00DD47DF" w:rsidRDefault="00E9476F" w:rsidP="00E9476F">
            <w:pPr>
              <w:pStyle w:val="Tabulka"/>
              <w:rPr>
                <w:rFonts w:cs="Calibri"/>
              </w:rPr>
            </w:pPr>
            <w:r w:rsidRPr="00DD47DF">
              <w:rPr>
                <w:rFonts w:cs="Calibri"/>
              </w:rPr>
              <w:t>064</w:t>
            </w:r>
          </w:p>
        </w:tc>
        <w:tc>
          <w:tcPr>
            <w:tcW w:w="888" w:type="pct"/>
            <w:tcBorders>
              <w:top w:val="nil"/>
              <w:left w:val="nil"/>
              <w:bottom w:val="single" w:sz="8" w:space="0" w:color="auto"/>
              <w:right w:val="single" w:sz="8" w:space="0" w:color="auto"/>
            </w:tcBorders>
            <w:shd w:val="clear" w:color="auto" w:fill="auto"/>
            <w:vAlign w:val="center"/>
          </w:tcPr>
          <w:p w14:paraId="4FD19C7C" w14:textId="4D411EE2" w:rsidR="00E9476F" w:rsidRPr="00DD47DF" w:rsidRDefault="00E0634C" w:rsidP="00E9476F">
            <w:pPr>
              <w:pStyle w:val="Tabulka"/>
              <w:jc w:val="right"/>
            </w:pPr>
            <w:r w:rsidRPr="00E0634C">
              <w:rPr>
                <w:color w:val="000000"/>
              </w:rPr>
              <w:t>70 478 256</w:t>
            </w:r>
          </w:p>
        </w:tc>
        <w:tc>
          <w:tcPr>
            <w:tcW w:w="273" w:type="pct"/>
            <w:shd w:val="clear" w:color="auto" w:fill="auto"/>
            <w:vAlign w:val="center"/>
          </w:tcPr>
          <w:p w14:paraId="376D1112" w14:textId="77777777" w:rsidR="00E9476F" w:rsidRPr="00DD47DF" w:rsidRDefault="00E9476F" w:rsidP="00E9476F">
            <w:pPr>
              <w:pStyle w:val="Tabulka"/>
              <w:rPr>
                <w:rFonts w:cs="Calibri"/>
              </w:rPr>
            </w:pPr>
          </w:p>
        </w:tc>
        <w:tc>
          <w:tcPr>
            <w:tcW w:w="922" w:type="pct"/>
            <w:shd w:val="clear" w:color="auto" w:fill="auto"/>
            <w:vAlign w:val="center"/>
          </w:tcPr>
          <w:p w14:paraId="6E34B913" w14:textId="77777777" w:rsidR="00E9476F" w:rsidRPr="00DD47DF" w:rsidRDefault="00E9476F" w:rsidP="00E9476F">
            <w:pPr>
              <w:pStyle w:val="Tabulka"/>
              <w:jc w:val="right"/>
              <w:rPr>
                <w:rFonts w:cs="Calibri"/>
              </w:rPr>
            </w:pPr>
          </w:p>
        </w:tc>
        <w:tc>
          <w:tcPr>
            <w:tcW w:w="316" w:type="pct"/>
            <w:shd w:val="clear" w:color="auto" w:fill="auto"/>
            <w:vAlign w:val="center"/>
          </w:tcPr>
          <w:p w14:paraId="77AD106D" w14:textId="77777777" w:rsidR="00E9476F" w:rsidRPr="00DD47DF" w:rsidRDefault="00E9476F" w:rsidP="00E9476F">
            <w:pPr>
              <w:pStyle w:val="Tabulka"/>
              <w:rPr>
                <w:rFonts w:cs="Calibri"/>
              </w:rPr>
            </w:pPr>
          </w:p>
        </w:tc>
        <w:tc>
          <w:tcPr>
            <w:tcW w:w="881" w:type="pct"/>
            <w:shd w:val="clear" w:color="auto" w:fill="auto"/>
            <w:vAlign w:val="center"/>
          </w:tcPr>
          <w:p w14:paraId="455C0F9F" w14:textId="77777777" w:rsidR="00E9476F" w:rsidRPr="00DD47DF" w:rsidRDefault="00E9476F" w:rsidP="00E9476F">
            <w:pPr>
              <w:pStyle w:val="Tabulka"/>
              <w:jc w:val="right"/>
              <w:rPr>
                <w:rFonts w:cs="Calibri"/>
              </w:rPr>
            </w:pPr>
          </w:p>
        </w:tc>
        <w:tc>
          <w:tcPr>
            <w:tcW w:w="282" w:type="pct"/>
            <w:shd w:val="clear" w:color="auto" w:fill="auto"/>
            <w:vAlign w:val="center"/>
          </w:tcPr>
          <w:p w14:paraId="77D0217F" w14:textId="77777777" w:rsidR="00E9476F" w:rsidRPr="00DD47DF" w:rsidRDefault="00E9476F" w:rsidP="00E9476F">
            <w:pPr>
              <w:pStyle w:val="Tabulka"/>
              <w:rPr>
                <w:rFonts w:cs="Calibri"/>
              </w:rPr>
            </w:pPr>
          </w:p>
        </w:tc>
        <w:tc>
          <w:tcPr>
            <w:tcW w:w="914" w:type="pct"/>
            <w:shd w:val="clear" w:color="auto" w:fill="auto"/>
            <w:vAlign w:val="center"/>
          </w:tcPr>
          <w:p w14:paraId="06A20412" w14:textId="77777777" w:rsidR="00E9476F" w:rsidRPr="00DD47DF" w:rsidRDefault="00E9476F" w:rsidP="00E9476F">
            <w:pPr>
              <w:pStyle w:val="Tabulka"/>
              <w:jc w:val="right"/>
              <w:rPr>
                <w:rFonts w:cs="Calibri"/>
              </w:rPr>
            </w:pPr>
          </w:p>
        </w:tc>
      </w:tr>
      <w:tr w:rsidR="00E9476F" w:rsidRPr="00DD47DF" w14:paraId="5F01AA88" w14:textId="77777777" w:rsidTr="00D05A06">
        <w:tc>
          <w:tcPr>
            <w:tcW w:w="524" w:type="pct"/>
            <w:shd w:val="clear" w:color="auto" w:fill="auto"/>
            <w:vAlign w:val="center"/>
          </w:tcPr>
          <w:p w14:paraId="053DB0C9" w14:textId="77777777" w:rsidR="00E9476F" w:rsidRPr="00DD47DF" w:rsidRDefault="00E9476F" w:rsidP="00E9476F">
            <w:pPr>
              <w:pStyle w:val="Tabulka"/>
              <w:rPr>
                <w:rFonts w:cs="Calibri"/>
              </w:rPr>
            </w:pPr>
            <w:r w:rsidRPr="00DD47DF">
              <w:rPr>
                <w:rFonts w:cs="Calibri"/>
              </w:rPr>
              <w:t>065</w:t>
            </w:r>
          </w:p>
        </w:tc>
        <w:tc>
          <w:tcPr>
            <w:tcW w:w="888" w:type="pct"/>
            <w:tcBorders>
              <w:top w:val="nil"/>
              <w:left w:val="nil"/>
              <w:bottom w:val="single" w:sz="8" w:space="0" w:color="auto"/>
              <w:right w:val="single" w:sz="8" w:space="0" w:color="auto"/>
            </w:tcBorders>
            <w:shd w:val="clear" w:color="auto" w:fill="auto"/>
            <w:vAlign w:val="center"/>
          </w:tcPr>
          <w:p w14:paraId="2AB3CEA3" w14:textId="564AAC40" w:rsidR="00E9476F" w:rsidRPr="00DD47DF" w:rsidRDefault="00E0634C" w:rsidP="00E9476F">
            <w:pPr>
              <w:pStyle w:val="Tabulka"/>
              <w:jc w:val="right"/>
            </w:pPr>
            <w:r w:rsidRPr="00E0634C">
              <w:t>120 472 840</w:t>
            </w:r>
          </w:p>
        </w:tc>
        <w:tc>
          <w:tcPr>
            <w:tcW w:w="273" w:type="pct"/>
            <w:shd w:val="clear" w:color="auto" w:fill="auto"/>
            <w:vAlign w:val="center"/>
          </w:tcPr>
          <w:p w14:paraId="4F0AFEDB" w14:textId="77777777" w:rsidR="00E9476F" w:rsidRPr="00DD47DF" w:rsidRDefault="00E9476F" w:rsidP="00E9476F">
            <w:pPr>
              <w:pStyle w:val="Tabulka"/>
              <w:rPr>
                <w:rFonts w:cs="Calibri"/>
              </w:rPr>
            </w:pPr>
          </w:p>
        </w:tc>
        <w:tc>
          <w:tcPr>
            <w:tcW w:w="922" w:type="pct"/>
            <w:shd w:val="clear" w:color="auto" w:fill="auto"/>
            <w:vAlign w:val="center"/>
          </w:tcPr>
          <w:p w14:paraId="73E007E0" w14:textId="77777777" w:rsidR="00E9476F" w:rsidRPr="00DD47DF" w:rsidRDefault="00E9476F" w:rsidP="00E9476F">
            <w:pPr>
              <w:pStyle w:val="Tabulka"/>
              <w:jc w:val="right"/>
              <w:rPr>
                <w:rFonts w:cs="Calibri"/>
              </w:rPr>
            </w:pPr>
          </w:p>
        </w:tc>
        <w:tc>
          <w:tcPr>
            <w:tcW w:w="316" w:type="pct"/>
            <w:shd w:val="clear" w:color="auto" w:fill="auto"/>
            <w:vAlign w:val="center"/>
          </w:tcPr>
          <w:p w14:paraId="749B00ED" w14:textId="77777777" w:rsidR="00E9476F" w:rsidRPr="00DD47DF" w:rsidRDefault="00E9476F" w:rsidP="00E9476F">
            <w:pPr>
              <w:pStyle w:val="Tabulka"/>
              <w:rPr>
                <w:rFonts w:cs="Calibri"/>
              </w:rPr>
            </w:pPr>
          </w:p>
        </w:tc>
        <w:tc>
          <w:tcPr>
            <w:tcW w:w="881" w:type="pct"/>
            <w:shd w:val="clear" w:color="auto" w:fill="auto"/>
            <w:vAlign w:val="center"/>
          </w:tcPr>
          <w:p w14:paraId="797F7B4E" w14:textId="77777777" w:rsidR="00E9476F" w:rsidRPr="00DD47DF" w:rsidRDefault="00E9476F" w:rsidP="00E9476F">
            <w:pPr>
              <w:pStyle w:val="Tabulka"/>
              <w:jc w:val="right"/>
              <w:rPr>
                <w:rFonts w:cs="Calibri"/>
              </w:rPr>
            </w:pPr>
          </w:p>
        </w:tc>
        <w:tc>
          <w:tcPr>
            <w:tcW w:w="282" w:type="pct"/>
            <w:shd w:val="clear" w:color="auto" w:fill="auto"/>
            <w:vAlign w:val="center"/>
          </w:tcPr>
          <w:p w14:paraId="2AAA5F3D" w14:textId="77777777" w:rsidR="00E9476F" w:rsidRPr="00DD47DF" w:rsidRDefault="00E9476F" w:rsidP="00E9476F">
            <w:pPr>
              <w:pStyle w:val="Tabulka"/>
              <w:rPr>
                <w:rFonts w:cs="Calibri"/>
              </w:rPr>
            </w:pPr>
          </w:p>
        </w:tc>
        <w:tc>
          <w:tcPr>
            <w:tcW w:w="914" w:type="pct"/>
            <w:shd w:val="clear" w:color="auto" w:fill="auto"/>
            <w:vAlign w:val="center"/>
          </w:tcPr>
          <w:p w14:paraId="65148365" w14:textId="77777777" w:rsidR="00E9476F" w:rsidRPr="00DD47DF" w:rsidRDefault="00E9476F" w:rsidP="00E9476F">
            <w:pPr>
              <w:pStyle w:val="Tabulka"/>
              <w:jc w:val="right"/>
              <w:rPr>
                <w:rFonts w:cs="Calibri"/>
              </w:rPr>
            </w:pPr>
          </w:p>
        </w:tc>
      </w:tr>
    </w:tbl>
    <w:p w14:paraId="5DF81260" w14:textId="77777777" w:rsidR="00636BAA" w:rsidRPr="00DD47DF" w:rsidRDefault="00DF23DE" w:rsidP="00441D67">
      <w:pPr>
        <w:pStyle w:val="kapitola2A0"/>
        <w:numPr>
          <w:ilvl w:val="2"/>
          <w:numId w:val="128"/>
        </w:numPr>
      </w:pPr>
      <w:bookmarkStart w:id="38" w:name="_Toc351464369"/>
      <w:bookmarkStart w:id="39" w:name="_Toc129005377"/>
      <w:r w:rsidRPr="00DD47DF">
        <w:t>Přehled plánovaného využití technické pomoci, je-li to nutné, včetně opatření na posílení správní kapacity orgánů zapojených do řízení a kontroly programů a příjemců (použije-li se)</w:t>
      </w:r>
      <w:bookmarkEnd w:id="39"/>
    </w:p>
    <w:p w14:paraId="10E5C718" w14:textId="77777777" w:rsidR="005A765B" w:rsidRPr="00DD47DF" w:rsidRDefault="008F72F4" w:rsidP="00133DC7">
      <w:pPr>
        <w:pStyle w:val="Standardntext"/>
        <w:rPr>
          <w:color w:val="FF0000"/>
        </w:rPr>
      </w:pPr>
      <w:r w:rsidRPr="00DD47DF">
        <w:t>Není relevantní pro OP PIK.</w:t>
      </w:r>
    </w:p>
    <w:p w14:paraId="5A138B81" w14:textId="77777777" w:rsidR="00EA3457" w:rsidRPr="00DD47DF" w:rsidRDefault="00EA3457" w:rsidP="00133DC7">
      <w:pPr>
        <w:pStyle w:val="Standardntext"/>
        <w:rPr>
          <w:color w:val="FF0000"/>
        </w:rPr>
      </w:pPr>
      <w:r w:rsidRPr="00DD47DF">
        <w:rPr>
          <w:color w:val="FF0000"/>
        </w:rPr>
        <w:br w:type="page"/>
      </w:r>
    </w:p>
    <w:p w14:paraId="3ADBBF03" w14:textId="77777777" w:rsidR="008C6813" w:rsidRPr="00DD47DF" w:rsidRDefault="008C6813" w:rsidP="005F43DF">
      <w:pPr>
        <w:pStyle w:val="kapitola2A0"/>
        <w:numPr>
          <w:ilvl w:val="2"/>
          <w:numId w:val="15"/>
        </w:numPr>
      </w:pPr>
      <w:bookmarkStart w:id="40" w:name="_Toc129005378"/>
      <w:bookmarkEnd w:id="38"/>
      <w:r w:rsidRPr="00DD47DF">
        <w:lastRenderedPageBreak/>
        <w:t>PRIORITNÍ OSA 2: Rozvoj podnikání a konkurenceschopnosti malých a středních podniků</w:t>
      </w:r>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6813" w:rsidRPr="00DD47DF" w14:paraId="31649EF5" w14:textId="77777777">
        <w:tc>
          <w:tcPr>
            <w:tcW w:w="4736" w:type="pct"/>
            <w:shd w:val="clear" w:color="auto" w:fill="auto"/>
            <w:vAlign w:val="center"/>
          </w:tcPr>
          <w:p w14:paraId="1B3BA631" w14:textId="77777777" w:rsidR="008C6813" w:rsidRPr="00DD47DF" w:rsidRDefault="008C6813" w:rsidP="008C6813">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5A635FF2"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r w:rsidR="008C6813" w:rsidRPr="00DD47DF" w14:paraId="26A6A294" w14:textId="77777777">
        <w:tc>
          <w:tcPr>
            <w:tcW w:w="4736" w:type="pct"/>
            <w:shd w:val="clear" w:color="auto" w:fill="auto"/>
            <w:vAlign w:val="center"/>
          </w:tcPr>
          <w:p w14:paraId="7C32E0E3" w14:textId="77777777" w:rsidR="008C6813" w:rsidRPr="00DD47DF" w:rsidRDefault="008C6813" w:rsidP="008C6813">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46EA5408"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r w:rsidR="008C6813" w:rsidRPr="00DD47DF" w14:paraId="0AE2D798" w14:textId="77777777">
        <w:tc>
          <w:tcPr>
            <w:tcW w:w="4736" w:type="pct"/>
            <w:shd w:val="clear" w:color="auto" w:fill="auto"/>
            <w:vAlign w:val="center"/>
          </w:tcPr>
          <w:p w14:paraId="61B7E247" w14:textId="77777777" w:rsidR="008C6813" w:rsidRPr="00DD47DF" w:rsidRDefault="008C6813" w:rsidP="008C6813">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6670A7D1" w14:textId="77777777" w:rsidR="008C6813" w:rsidRPr="00DD47DF" w:rsidRDefault="002756E7" w:rsidP="008C6813">
            <w:pPr>
              <w:pStyle w:val="Tabulka"/>
              <w:rPr>
                <w:rFonts w:cs="Calibri"/>
              </w:rPr>
            </w:pPr>
            <w:r w:rsidRPr="00DD47DF">
              <w:rPr>
                <w:rFonts w:cs="Calibri"/>
              </w:rPr>
              <w:fldChar w:fldCharType="begin">
                <w:ffData>
                  <w:name w:val="Check1"/>
                  <w:enabled/>
                  <w:calcOnExit w:val="0"/>
                  <w:checkBox>
                    <w:sizeAuto/>
                    <w:default w:val="0"/>
                  </w:checkBox>
                </w:ffData>
              </w:fldChar>
            </w:r>
            <w:r w:rsidR="008C6813"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bl>
    <w:p w14:paraId="3B758D74" w14:textId="77777777" w:rsidR="008C6813" w:rsidRPr="00DD47DF" w:rsidRDefault="008C6813" w:rsidP="005F43DF">
      <w:pPr>
        <w:pStyle w:val="kapitola2A0"/>
        <w:numPr>
          <w:ilvl w:val="2"/>
          <w:numId w:val="15"/>
        </w:numPr>
      </w:pPr>
      <w:bookmarkStart w:id="41" w:name="_Toc129005379"/>
      <w:r w:rsidRPr="00DD47DF">
        <w:t>Odůvodnění pro vytvoření prioritní osy, která zahrnuje více než jednu kategorii regionů nebo více než jeden tematický cíl či fond (použije-li se)</w:t>
      </w:r>
      <w:bookmarkEnd w:id="41"/>
    </w:p>
    <w:p w14:paraId="27C06D90" w14:textId="77777777" w:rsidR="008C6813" w:rsidRPr="00DD47DF" w:rsidRDefault="008C6813" w:rsidP="008C6813">
      <w:pPr>
        <w:pStyle w:val="Standardntext"/>
      </w:pPr>
      <w:r w:rsidRPr="00DD47DF">
        <w:t>Není relevantní pro OP PIK.</w:t>
      </w:r>
    </w:p>
    <w:p w14:paraId="1C37FFA9" w14:textId="77777777" w:rsidR="008C6813" w:rsidRPr="00DD47DF" w:rsidRDefault="008C6813" w:rsidP="005F43DF">
      <w:pPr>
        <w:pStyle w:val="kapitola2A0"/>
        <w:numPr>
          <w:ilvl w:val="2"/>
          <w:numId w:val="15"/>
        </w:numPr>
      </w:pPr>
      <w:bookmarkStart w:id="42" w:name="_Toc129005380"/>
      <w:r w:rsidRPr="00DD47DF">
        <w:t>Fond, kategorie regionů a základ pro výpočet podpory Unie</w:t>
      </w:r>
      <w:bookmarkEnd w:id="42"/>
    </w:p>
    <w:p w14:paraId="2B57C1C6" w14:textId="77777777" w:rsidR="008C6813" w:rsidRPr="00DD47DF" w:rsidRDefault="008C6813" w:rsidP="008C6813">
      <w:pPr>
        <w:pStyle w:val="Standardntext"/>
      </w:pPr>
      <w:r w:rsidRPr="00DD47DF">
        <w:t>Fond: Evropský fond pro regionální rozvoj</w:t>
      </w:r>
    </w:p>
    <w:p w14:paraId="60B1986D" w14:textId="77777777" w:rsidR="008C6813" w:rsidRPr="00DD47DF" w:rsidRDefault="008C6813" w:rsidP="008C6813">
      <w:pPr>
        <w:pStyle w:val="Standardntext"/>
      </w:pPr>
      <w:r w:rsidRPr="00DD47DF">
        <w:t>Kategorie regionů: Méně rozvinuté regiony</w:t>
      </w:r>
    </w:p>
    <w:p w14:paraId="18318317" w14:textId="77777777" w:rsidR="008C6813" w:rsidRPr="00DD47DF" w:rsidRDefault="008668C8" w:rsidP="008C6813">
      <w:pPr>
        <w:pStyle w:val="Standardntext"/>
      </w:pPr>
      <w:r w:rsidRPr="00DD47DF">
        <w:t xml:space="preserve">Základ pro výpočet: </w:t>
      </w:r>
      <w:r w:rsidR="009B6147" w:rsidRPr="00DD47DF">
        <w:t>celkové způsobilé výdaje</w:t>
      </w:r>
    </w:p>
    <w:p w14:paraId="3E7EB5A3" w14:textId="77777777" w:rsidR="008C6813" w:rsidRPr="00DD47DF" w:rsidRDefault="008C6813" w:rsidP="005F43DF">
      <w:pPr>
        <w:pStyle w:val="kapitola2A0"/>
        <w:numPr>
          <w:ilvl w:val="2"/>
          <w:numId w:val="15"/>
        </w:numPr>
      </w:pPr>
      <w:bookmarkStart w:id="43" w:name="_Toc129005381"/>
      <w:r w:rsidRPr="00DD47DF">
        <w:t>INVESTIČNÍ PRIORITA</w:t>
      </w:r>
      <w:r w:rsidR="00AA66A2" w:rsidRPr="00DD47DF">
        <w:t xml:space="preserve"> 1 prioritní osy 2</w:t>
      </w:r>
      <w:r w:rsidRPr="00DD47DF">
        <w:t xml:space="preserve">: </w:t>
      </w:r>
      <w:r w:rsidR="00F27EC3" w:rsidRPr="00DD47DF">
        <w:t>Podpora podnikání, zejména usnadněním hospodářského využívání nových myšlenek a podporou zakládání nových firem</w:t>
      </w:r>
      <w:r w:rsidRPr="00DD47DF">
        <w:t>, mimo jiné prostřednictvím podnikatelských inkubátorů</w:t>
      </w:r>
      <w:bookmarkEnd w:id="43"/>
    </w:p>
    <w:p w14:paraId="1E0B1578" w14:textId="77777777" w:rsidR="00EA3457" w:rsidRPr="00DD47DF" w:rsidRDefault="008C6813" w:rsidP="005F43DF">
      <w:pPr>
        <w:pStyle w:val="kapitola2A0"/>
        <w:numPr>
          <w:ilvl w:val="2"/>
          <w:numId w:val="15"/>
        </w:numPr>
      </w:pPr>
      <w:bookmarkStart w:id="44" w:name="_Toc129005382"/>
      <w:r w:rsidRPr="00DD47DF">
        <w:t>Specifické cíle odpovídající investiční prioritě a očekávané výsledky</w:t>
      </w:r>
      <w:bookmarkEnd w:id="44"/>
    </w:p>
    <w:p w14:paraId="2A435B9C" w14:textId="77777777" w:rsidR="00EA3457" w:rsidRPr="00DD47DF" w:rsidRDefault="00EA3457" w:rsidP="00396141">
      <w:pPr>
        <w:pStyle w:val="Modrnadpis"/>
      </w:pPr>
      <w:r w:rsidRPr="00DD47DF">
        <w:t xml:space="preserve">SPECIFICKÝ CÍL </w:t>
      </w:r>
      <w:r w:rsidR="00C71E6F" w:rsidRPr="00DD47DF">
        <w:t>2.</w:t>
      </w:r>
      <w:r w:rsidRPr="00DD47DF">
        <w:t>1:</w:t>
      </w:r>
      <w:r w:rsidR="00BA4E72" w:rsidRPr="00DD47DF">
        <w:t xml:space="preserve"> </w:t>
      </w:r>
      <w:r w:rsidR="00CE3F25" w:rsidRPr="00DD47DF">
        <w:t>Zvýšit konkurenceschopnost začínajících a rozvojových MSP</w:t>
      </w:r>
    </w:p>
    <w:p w14:paraId="751E404B" w14:textId="2C5A5FF7" w:rsidR="00D03396" w:rsidRPr="00DD47DF" w:rsidRDefault="00D03396" w:rsidP="00D03396">
      <w:pPr>
        <w:pStyle w:val="Standardntext"/>
      </w:pPr>
      <w:r w:rsidRPr="00DD47DF">
        <w:t xml:space="preserve">Malé a střední podniky představují stabilizující prvek prosperity a zaměstnanosti. Generují rozhodující počet nových pracovních míst, svými dodávkami se podílejí na konkurenční schopnosti velkých </w:t>
      </w:r>
      <w:r w:rsidR="00FF3A47" w:rsidRPr="00DD47DF">
        <w:t>podniků</w:t>
      </w:r>
      <w:r w:rsidRPr="00DD47DF">
        <w:t xml:space="preserve"> a na inovacích měnících dílčí produktové trhy. Hlavním cílem bude </w:t>
      </w:r>
      <w:r w:rsidR="00EF1071" w:rsidRPr="00DD47DF">
        <w:t>růst konkurenceschopnosti segmentu MSP prostřednictvím</w:t>
      </w:r>
      <w:r w:rsidR="00EF1071" w:rsidRPr="00DD47DF" w:rsidDel="00EF1071">
        <w:t xml:space="preserve"> </w:t>
      </w:r>
      <w:r w:rsidR="00EF1071" w:rsidRPr="00DD47DF">
        <w:t>zvýšení počtu</w:t>
      </w:r>
      <w:r w:rsidR="007C3741">
        <w:t xml:space="preserve"> </w:t>
      </w:r>
      <w:r w:rsidR="005B7415" w:rsidRPr="00DD47DF">
        <w:t>n</w:t>
      </w:r>
      <w:r w:rsidRPr="00DD47DF">
        <w:t>ových podnikatelských subjektů a nových podnikatelských záměrů zejména inovačního charakteru s vysokým potenciálem růstu, ale i na nižších hodnotových řetězcích</w:t>
      </w:r>
      <w:r w:rsidR="009765C2" w:rsidRPr="00DD47DF">
        <w:t>, a podnikatelů ve službách</w:t>
      </w:r>
      <w:r w:rsidRPr="00DD47DF">
        <w:t xml:space="preserve"> s přínosem pro zaměstnanost.</w:t>
      </w:r>
    </w:p>
    <w:p w14:paraId="2495682C" w14:textId="77777777" w:rsidR="001A5C2A" w:rsidRPr="00DD47DF" w:rsidRDefault="003508A9" w:rsidP="00D03396">
      <w:pPr>
        <w:pStyle w:val="Modrnadpis"/>
      </w:pPr>
      <w:r w:rsidRPr="00DD47DF">
        <w:t>Výsledky, kterých chce ČR dosáhnout s podporou Unie</w:t>
      </w:r>
    </w:p>
    <w:p w14:paraId="12CA1B41" w14:textId="77777777" w:rsidR="009D1769" w:rsidRPr="00DD47DF" w:rsidRDefault="009D1769" w:rsidP="00DA3512">
      <w:pPr>
        <w:pStyle w:val="Standardntext"/>
        <w:numPr>
          <w:ilvl w:val="0"/>
          <w:numId w:val="57"/>
        </w:numPr>
      </w:pPr>
      <w:r w:rsidRPr="00DD47DF">
        <w:t>Rozvoj a posílení endogenního podnikatelského sektoru, vznik nových podniků</w:t>
      </w:r>
      <w:r w:rsidR="00FE0B02" w:rsidRPr="00DD47DF">
        <w:t>.</w:t>
      </w:r>
    </w:p>
    <w:p w14:paraId="6E845A16" w14:textId="77777777" w:rsidR="009D1769" w:rsidRPr="00DD47DF" w:rsidRDefault="00EF1071" w:rsidP="00DA3512">
      <w:pPr>
        <w:pStyle w:val="Standardntext"/>
        <w:numPr>
          <w:ilvl w:val="0"/>
          <w:numId w:val="57"/>
        </w:numPr>
        <w:rPr>
          <w:b/>
        </w:rPr>
      </w:pPr>
      <w:r w:rsidRPr="00DD47DF">
        <w:t xml:space="preserve">Zajištění </w:t>
      </w:r>
      <w:r w:rsidR="009D1769" w:rsidRPr="00DD47DF">
        <w:t>dostupnosti vnějšího financování pro začínající podnikatele a inovační podniky (</w:t>
      </w:r>
      <w:r w:rsidRPr="00DD47DF">
        <w:t>pokrytí tržní mezery v nabídce</w:t>
      </w:r>
      <w:r w:rsidR="009D1769" w:rsidRPr="00DD47DF">
        <w:t xml:space="preserve"> zvýhodněného financování), včetně rizikového kapitálu</w:t>
      </w:r>
      <w:r w:rsidR="006329E9" w:rsidRPr="00DD47DF">
        <w:t xml:space="preserve">, </w:t>
      </w:r>
      <w:r w:rsidR="008F7D94" w:rsidRPr="00DD47DF">
        <w:t xml:space="preserve">a to jak </w:t>
      </w:r>
      <w:r w:rsidR="006329E9" w:rsidRPr="00DD47DF">
        <w:t xml:space="preserve">pro podnikatele </w:t>
      </w:r>
      <w:r w:rsidR="008F7D94" w:rsidRPr="00DD47DF">
        <w:t xml:space="preserve">v oblasti průmyslu, tak </w:t>
      </w:r>
      <w:r w:rsidR="006329E9" w:rsidRPr="00DD47DF">
        <w:t>ve službách</w:t>
      </w:r>
      <w:r w:rsidR="009D1769" w:rsidRPr="00DD47DF">
        <w:t>.</w:t>
      </w:r>
    </w:p>
    <w:p w14:paraId="6680F726" w14:textId="77777777" w:rsidR="009D1769" w:rsidRPr="00DD47DF" w:rsidRDefault="009D1769" w:rsidP="00DA3512">
      <w:pPr>
        <w:pStyle w:val="Standardntext"/>
        <w:numPr>
          <w:ilvl w:val="0"/>
          <w:numId w:val="57"/>
        </w:numPr>
        <w:rPr>
          <w:b/>
        </w:rPr>
      </w:pPr>
      <w:r w:rsidRPr="00DD47DF">
        <w:t xml:space="preserve">Vytvoření nových pracovních míst realizací podpořených podnikatelských záměrů povede ke stabilizaci </w:t>
      </w:r>
      <w:r w:rsidR="008C1551" w:rsidRPr="00DD47DF">
        <w:t xml:space="preserve">trhu práce a souvisejícího </w:t>
      </w:r>
      <w:r w:rsidRPr="00DD47DF">
        <w:t>podnikatelského prostředí</w:t>
      </w:r>
      <w:r w:rsidR="008C1551" w:rsidRPr="00DD47DF">
        <w:t xml:space="preserve"> MSP</w:t>
      </w:r>
    </w:p>
    <w:p w14:paraId="7C966210" w14:textId="77777777" w:rsidR="009D1769" w:rsidRPr="00DD47DF" w:rsidRDefault="009D1769" w:rsidP="00DA3512">
      <w:pPr>
        <w:pStyle w:val="Standardntext"/>
        <w:numPr>
          <w:ilvl w:val="0"/>
          <w:numId w:val="57"/>
        </w:numPr>
      </w:pPr>
      <w:r w:rsidRPr="00DD47DF">
        <w:t>Rozvoj podnikatelské kultury, podnikavosti a podnikatelství vedoucí k vyšší tvorbě nových podniků.</w:t>
      </w:r>
    </w:p>
    <w:p w14:paraId="303D0A48" w14:textId="77777777" w:rsidR="00636AE4" w:rsidRPr="00DD47DF" w:rsidRDefault="00636AE4" w:rsidP="00DA3512">
      <w:pPr>
        <w:pStyle w:val="Standardntext"/>
        <w:numPr>
          <w:ilvl w:val="0"/>
          <w:numId w:val="57"/>
        </w:numPr>
      </w:pPr>
      <w:r w:rsidRPr="00DD47DF">
        <w:lastRenderedPageBreak/>
        <w:t>Rozvoj kreativních odvětví, která jsou rychle rostoucími odvětvími s velkým růstovým potenciálem, a která pozitivně ovlivňují konkurenceschopnost produktů, služeb a rozvoj dalších odvětví (tzv. kreativní či nová ekonomika).</w:t>
      </w:r>
    </w:p>
    <w:p w14:paraId="30C03969" w14:textId="49C8574B" w:rsidR="009D1769" w:rsidRPr="00DD47DF" w:rsidRDefault="009D1769" w:rsidP="006C7113">
      <w:pPr>
        <w:pStyle w:val="Standardntext"/>
        <w:numPr>
          <w:ilvl w:val="0"/>
          <w:numId w:val="57"/>
        </w:numPr>
      </w:pPr>
      <w:r w:rsidRPr="00DD47DF">
        <w:t xml:space="preserve">Vyšší kvalita a dostupnost poradenských služeb </w:t>
      </w:r>
      <w:r w:rsidR="00EF1071" w:rsidRPr="00DD47DF">
        <w:t xml:space="preserve">pro </w:t>
      </w:r>
      <w:r w:rsidR="006C7113" w:rsidRPr="006C7113">
        <w:t>začínající a rozvojové podnikatele</w:t>
      </w:r>
      <w:r w:rsidRPr="00DD47DF">
        <w:t>, které napomohou podnikům se lépe orientovat na trhu a využít všechny tržní příležitosti.</w:t>
      </w:r>
    </w:p>
    <w:p w14:paraId="59672F09" w14:textId="77777777" w:rsidR="009D1769" w:rsidRPr="00DD47DF" w:rsidRDefault="009D1769" w:rsidP="00DA3512">
      <w:pPr>
        <w:pStyle w:val="Standardntext"/>
        <w:numPr>
          <w:ilvl w:val="0"/>
          <w:numId w:val="57"/>
        </w:numPr>
      </w:pPr>
      <w:r w:rsidRPr="00DD47DF">
        <w:t>Zlepšení netechnických kompetencí malých a středních podniků (strategické řízení, marketing, inovační management, zahraniční obchod ad.).</w:t>
      </w:r>
    </w:p>
    <w:p w14:paraId="66844775" w14:textId="77777777" w:rsidR="009D1769" w:rsidRPr="00DD47DF" w:rsidRDefault="009D1769" w:rsidP="00DA3512">
      <w:pPr>
        <w:pStyle w:val="Standardntext"/>
        <w:numPr>
          <w:ilvl w:val="0"/>
          <w:numId w:val="57"/>
        </w:numPr>
      </w:pPr>
      <w:r w:rsidRPr="00DD47DF">
        <w:t xml:space="preserve">Zlepšení podmínek pro podnikání </w:t>
      </w:r>
      <w:r w:rsidR="005B5EB6" w:rsidRPr="00DD47DF">
        <w:t>na celém území ČR s výjimkou území hl. města Prahy</w:t>
      </w:r>
      <w:r w:rsidRPr="00DD47DF">
        <w:t>.</w:t>
      </w:r>
    </w:p>
    <w:p w14:paraId="7BB62F83" w14:textId="77777777" w:rsidR="00D15773" w:rsidRPr="00DD47DF" w:rsidRDefault="00D15773" w:rsidP="00D15773">
      <w:pPr>
        <w:pStyle w:val="Titulek"/>
        <w:keepNext/>
        <w:rPr>
          <w:rFonts w:cs="Calibri"/>
        </w:rPr>
      </w:pPr>
      <w:r w:rsidRPr="00DD47DF">
        <w:rPr>
          <w:rFonts w:cs="Calibri"/>
        </w:rPr>
        <w:t xml:space="preserve">Tabulka </w:t>
      </w:r>
      <w:r w:rsidR="002756E7" w:rsidRPr="00DD47DF">
        <w:rPr>
          <w:rFonts w:cs="Calibri"/>
        </w:rPr>
        <w:fldChar w:fldCharType="begin"/>
      </w:r>
      <w:r w:rsidR="00505E76"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377"/>
        <w:gridCol w:w="946"/>
        <w:gridCol w:w="1390"/>
        <w:gridCol w:w="975"/>
        <w:gridCol w:w="915"/>
        <w:gridCol w:w="1030"/>
        <w:gridCol w:w="895"/>
        <w:gridCol w:w="1134"/>
      </w:tblGrid>
      <w:tr w:rsidR="00CF739D" w:rsidRPr="00DD47DF" w14:paraId="60AB6B5D" w14:textId="77777777">
        <w:trPr>
          <w:trHeight w:hRule="exact" w:val="125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749B6E5" w14:textId="77777777" w:rsidR="00CF739D" w:rsidRPr="00DD47DF" w:rsidRDefault="00CF739D" w:rsidP="001B2E5C">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FA1DE0" w14:textId="77777777" w:rsidR="00CF739D" w:rsidRPr="00DD47DF" w:rsidRDefault="00CF739D" w:rsidP="001B2E5C">
            <w:pPr>
              <w:pStyle w:val="Tabulka"/>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358D411" w14:textId="77777777" w:rsidR="00CF739D" w:rsidRPr="00DD47DF" w:rsidRDefault="00CF739D" w:rsidP="001B2E5C">
            <w:pPr>
              <w:pStyle w:val="Tabulka"/>
              <w:rPr>
                <w:rFonts w:cs="Calibri"/>
                <w:b/>
                <w:bCs/>
              </w:rPr>
            </w:pPr>
            <w:r w:rsidRPr="00DD47DF">
              <w:rPr>
                <w:rFonts w:cs="Calibri"/>
                <w:b/>
                <w:bCs/>
              </w:rPr>
              <w:t>Měrná</w:t>
            </w:r>
          </w:p>
          <w:p w14:paraId="31CC8B23" w14:textId="77777777" w:rsidR="00CF739D" w:rsidRPr="00DD47DF" w:rsidRDefault="00CF739D" w:rsidP="001B2E5C">
            <w:pPr>
              <w:pStyle w:val="Tabulka"/>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028AF8" w14:textId="77777777" w:rsidR="00CF739D" w:rsidRPr="00DD47DF" w:rsidRDefault="00CF739D" w:rsidP="001B2E5C">
            <w:pPr>
              <w:pStyle w:val="Tabulka"/>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F9A09FB" w14:textId="77777777" w:rsidR="00CF739D" w:rsidRPr="00DD47DF" w:rsidRDefault="004B0854" w:rsidP="001B2E5C">
            <w:pPr>
              <w:pStyle w:val="Tabulka"/>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7DE3BD"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967F63" w14:textId="77777777" w:rsidR="00CF739D" w:rsidRPr="00DD47DF" w:rsidRDefault="00CF739D" w:rsidP="001B2E5C">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A1B582" w14:textId="77777777" w:rsidR="00CF739D" w:rsidRPr="00DD47DF" w:rsidRDefault="00CF739D" w:rsidP="001B2E5C">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5BD0D13" w14:textId="77777777" w:rsidR="00CF739D" w:rsidRPr="00DD47DF" w:rsidRDefault="00CF739D" w:rsidP="001B2E5C">
            <w:pPr>
              <w:pStyle w:val="Tabulka"/>
              <w:rPr>
                <w:rFonts w:cs="Calibri"/>
                <w:b/>
                <w:bCs/>
              </w:rPr>
            </w:pPr>
            <w:r w:rsidRPr="00DD47DF">
              <w:rPr>
                <w:rFonts w:cs="Calibri"/>
                <w:b/>
                <w:bCs/>
              </w:rPr>
              <w:t>Četnost podávání zpráv</w:t>
            </w:r>
          </w:p>
        </w:tc>
      </w:tr>
      <w:tr w:rsidR="00D15773" w:rsidRPr="00DD47DF" w14:paraId="410718BC" w14:textId="77777777">
        <w:trPr>
          <w:trHeight w:hRule="exact" w:val="1401"/>
        </w:trPr>
        <w:tc>
          <w:tcPr>
            <w:tcW w:w="0" w:type="auto"/>
            <w:tcBorders>
              <w:top w:val="single" w:sz="4" w:space="0" w:color="000000"/>
              <w:left w:val="single" w:sz="4" w:space="0" w:color="000000"/>
              <w:bottom w:val="single" w:sz="4" w:space="0" w:color="000000"/>
              <w:right w:val="single" w:sz="4" w:space="0" w:color="000000"/>
            </w:tcBorders>
            <w:vAlign w:val="center"/>
          </w:tcPr>
          <w:p w14:paraId="2B42CA58" w14:textId="77777777" w:rsidR="00D15773" w:rsidRPr="00DD47DF" w:rsidRDefault="00D6006C" w:rsidP="00F47B67">
            <w:pPr>
              <w:pStyle w:val="Tabulka"/>
              <w:rPr>
                <w:rFonts w:cs="Calibri"/>
              </w:rPr>
            </w:pPr>
            <w:r w:rsidRPr="00DD47DF">
              <w:rPr>
                <w:rFonts w:cs="Calibri"/>
              </w:rPr>
              <w:t>10701</w:t>
            </w:r>
          </w:p>
        </w:tc>
        <w:tc>
          <w:tcPr>
            <w:tcW w:w="0" w:type="auto"/>
            <w:tcBorders>
              <w:top w:val="single" w:sz="4" w:space="0" w:color="000000"/>
              <w:left w:val="single" w:sz="4" w:space="0" w:color="000000"/>
              <w:bottom w:val="single" w:sz="4" w:space="0" w:color="000000"/>
              <w:right w:val="single" w:sz="4" w:space="0" w:color="000000"/>
            </w:tcBorders>
            <w:vAlign w:val="center"/>
          </w:tcPr>
          <w:p w14:paraId="3C59599A" w14:textId="77777777" w:rsidR="00D15773" w:rsidRPr="00DD47DF" w:rsidRDefault="00F6040D" w:rsidP="00AF574A">
            <w:pPr>
              <w:pStyle w:val="Tabulka"/>
              <w:jc w:val="left"/>
              <w:rPr>
                <w:rFonts w:cs="Calibri"/>
              </w:rPr>
            </w:pPr>
            <w:r w:rsidRPr="00DD47DF">
              <w:rPr>
                <w:rFonts w:cs="Calibri"/>
              </w:rPr>
              <w:t>Přidaná hodnota MSP jako % přidané hodnoty ČR</w:t>
            </w:r>
          </w:p>
        </w:tc>
        <w:tc>
          <w:tcPr>
            <w:tcW w:w="0" w:type="auto"/>
            <w:tcBorders>
              <w:top w:val="single" w:sz="4" w:space="0" w:color="000000"/>
              <w:left w:val="single" w:sz="4" w:space="0" w:color="000000"/>
              <w:bottom w:val="single" w:sz="4" w:space="0" w:color="000000"/>
              <w:right w:val="single" w:sz="4" w:space="0" w:color="000000"/>
            </w:tcBorders>
            <w:vAlign w:val="center"/>
          </w:tcPr>
          <w:p w14:paraId="4ACF354C" w14:textId="77777777" w:rsidR="00D15773" w:rsidRPr="00DD47DF" w:rsidRDefault="00F6040D" w:rsidP="00F47B67">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A3C81F9" w14:textId="77777777" w:rsidR="00D15773" w:rsidRPr="00DD47DF" w:rsidRDefault="00F6040D" w:rsidP="00F47B67">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E52ED5F" w14:textId="77777777" w:rsidR="00D15773" w:rsidRPr="00DD47DF" w:rsidRDefault="00E73136" w:rsidP="00F47B67">
            <w:pPr>
              <w:pStyle w:val="Tabulka"/>
              <w:rPr>
                <w:rFonts w:cs="Calibri"/>
              </w:rPr>
            </w:pPr>
            <w:r w:rsidRPr="00DD47DF">
              <w:rPr>
                <w:rFonts w:cs="Calibri"/>
              </w:rPr>
              <w:t>53,81</w:t>
            </w:r>
          </w:p>
        </w:tc>
        <w:tc>
          <w:tcPr>
            <w:tcW w:w="0" w:type="auto"/>
            <w:tcBorders>
              <w:top w:val="single" w:sz="4" w:space="0" w:color="000000"/>
              <w:left w:val="single" w:sz="4" w:space="0" w:color="000000"/>
              <w:bottom w:val="single" w:sz="4" w:space="0" w:color="000000"/>
              <w:right w:val="single" w:sz="4" w:space="0" w:color="000000"/>
            </w:tcBorders>
            <w:vAlign w:val="center"/>
          </w:tcPr>
          <w:p w14:paraId="5E692D07" w14:textId="77777777" w:rsidR="00D15773" w:rsidRPr="00DD47DF" w:rsidRDefault="00E73136" w:rsidP="00F47B67">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03F14561" w14:textId="77777777" w:rsidR="00D15773" w:rsidRPr="00DD47DF" w:rsidRDefault="006D0B8B" w:rsidP="00F47B67">
            <w:pPr>
              <w:pStyle w:val="Tabulka"/>
              <w:rPr>
                <w:rFonts w:cs="Calibri"/>
              </w:rPr>
            </w:pPr>
            <w:r w:rsidRPr="00DD47DF">
              <w:rPr>
                <w:rFonts w:cs="Calibri"/>
              </w:rPr>
              <w:t>55 - 57</w:t>
            </w:r>
            <w:r w:rsidR="001102B3" w:rsidRPr="00DD47DF">
              <w:rPr>
                <w:rStyle w:val="Znakapoznpodarou"/>
                <w:rFonts w:cs="Calibri"/>
              </w:rPr>
              <w:footnoteReference w:id="49"/>
            </w:r>
          </w:p>
        </w:tc>
        <w:tc>
          <w:tcPr>
            <w:tcW w:w="0" w:type="auto"/>
            <w:tcBorders>
              <w:top w:val="single" w:sz="4" w:space="0" w:color="000000"/>
              <w:left w:val="single" w:sz="4" w:space="0" w:color="000000"/>
              <w:bottom w:val="single" w:sz="4" w:space="0" w:color="000000"/>
              <w:right w:val="single" w:sz="4" w:space="0" w:color="000000"/>
            </w:tcBorders>
            <w:vAlign w:val="center"/>
          </w:tcPr>
          <w:p w14:paraId="59FF59ED" w14:textId="77777777" w:rsidR="00D15773" w:rsidRPr="00DD47DF" w:rsidRDefault="00684DC4" w:rsidP="006D1774">
            <w:pPr>
              <w:pStyle w:val="Tabulka"/>
              <w:rPr>
                <w:rFonts w:cs="Calibri"/>
              </w:rPr>
            </w:pPr>
            <w:r>
              <w:rPr>
                <w:rFonts w:cs="Calibri"/>
              </w:rPr>
              <w:t>MPO</w:t>
            </w:r>
          </w:p>
        </w:tc>
        <w:tc>
          <w:tcPr>
            <w:tcW w:w="0" w:type="auto"/>
            <w:tcBorders>
              <w:top w:val="single" w:sz="4" w:space="0" w:color="000000"/>
              <w:left w:val="single" w:sz="4" w:space="0" w:color="000000"/>
              <w:bottom w:val="single" w:sz="4" w:space="0" w:color="000000"/>
              <w:right w:val="single" w:sz="4" w:space="0" w:color="000000"/>
            </w:tcBorders>
            <w:vAlign w:val="center"/>
          </w:tcPr>
          <w:p w14:paraId="3429C213" w14:textId="77777777" w:rsidR="00D15773" w:rsidRPr="00DD47DF" w:rsidRDefault="00F6040D" w:rsidP="00F47B67">
            <w:pPr>
              <w:pStyle w:val="Tabulka"/>
              <w:rPr>
                <w:rFonts w:cs="Calibri"/>
              </w:rPr>
            </w:pPr>
            <w:r w:rsidRPr="00DD47DF">
              <w:rPr>
                <w:rFonts w:cs="Calibri"/>
              </w:rPr>
              <w:t>ročně</w:t>
            </w:r>
          </w:p>
        </w:tc>
      </w:tr>
      <w:tr w:rsidR="00587FB1" w:rsidRPr="00DD47DF" w14:paraId="623C51C5" w14:textId="77777777">
        <w:trPr>
          <w:trHeight w:hRule="exact" w:val="1401"/>
        </w:trPr>
        <w:tc>
          <w:tcPr>
            <w:tcW w:w="0" w:type="auto"/>
            <w:tcBorders>
              <w:top w:val="single" w:sz="4" w:space="0" w:color="000000"/>
              <w:left w:val="single" w:sz="4" w:space="0" w:color="000000"/>
              <w:bottom w:val="single" w:sz="4" w:space="0" w:color="000000"/>
              <w:right w:val="single" w:sz="4" w:space="0" w:color="000000"/>
            </w:tcBorders>
            <w:vAlign w:val="center"/>
          </w:tcPr>
          <w:p w14:paraId="484CC93A" w14:textId="77777777" w:rsidR="00587FB1" w:rsidRPr="00DD47DF" w:rsidRDefault="00AF4183" w:rsidP="00F47B67">
            <w:pPr>
              <w:pStyle w:val="Tabulka"/>
              <w:rPr>
                <w:rFonts w:cs="Calibri"/>
              </w:rPr>
            </w:pPr>
            <w:r w:rsidRPr="00DD47DF">
              <w:rPr>
                <w:rFonts w:cs="Calibri"/>
              </w:rPr>
              <w:t>10710</w:t>
            </w:r>
          </w:p>
        </w:tc>
        <w:tc>
          <w:tcPr>
            <w:tcW w:w="0" w:type="auto"/>
            <w:tcBorders>
              <w:top w:val="single" w:sz="4" w:space="0" w:color="000000"/>
              <w:left w:val="single" w:sz="4" w:space="0" w:color="000000"/>
              <w:bottom w:val="single" w:sz="4" w:space="0" w:color="000000"/>
              <w:right w:val="single" w:sz="4" w:space="0" w:color="000000"/>
            </w:tcBorders>
            <w:vAlign w:val="center"/>
          </w:tcPr>
          <w:p w14:paraId="44D0833F" w14:textId="77777777" w:rsidR="00587FB1" w:rsidRPr="00DD47DF" w:rsidRDefault="00587FB1" w:rsidP="00AF574A">
            <w:pPr>
              <w:pStyle w:val="Tabulka"/>
              <w:jc w:val="left"/>
              <w:rPr>
                <w:rFonts w:cs="Calibri"/>
              </w:rPr>
            </w:pPr>
            <w:r w:rsidRPr="00DD47DF">
              <w:rPr>
                <w:rFonts w:cs="Calibri"/>
              </w:rPr>
              <w:t>Míra přežití vzniklých podniků</w:t>
            </w:r>
          </w:p>
        </w:tc>
        <w:tc>
          <w:tcPr>
            <w:tcW w:w="0" w:type="auto"/>
            <w:tcBorders>
              <w:top w:val="single" w:sz="4" w:space="0" w:color="000000"/>
              <w:left w:val="single" w:sz="4" w:space="0" w:color="000000"/>
              <w:bottom w:val="single" w:sz="4" w:space="0" w:color="000000"/>
              <w:right w:val="single" w:sz="4" w:space="0" w:color="000000"/>
            </w:tcBorders>
            <w:vAlign w:val="center"/>
          </w:tcPr>
          <w:p w14:paraId="0E47E52D" w14:textId="77777777" w:rsidR="00587FB1" w:rsidRPr="00DD47DF" w:rsidRDefault="00587FB1" w:rsidP="00F47B67">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72FA84A" w14:textId="77777777" w:rsidR="00587FB1" w:rsidRPr="00DD47DF" w:rsidRDefault="00587FB1" w:rsidP="00F47B67">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A5820E1" w14:textId="77777777" w:rsidR="00587FB1" w:rsidRPr="00DD47DF" w:rsidRDefault="00587FB1" w:rsidP="00F47B67">
            <w:pPr>
              <w:pStyle w:val="Tabulka"/>
              <w:rPr>
                <w:rFonts w:cs="Calibri"/>
              </w:rPr>
            </w:pPr>
            <w:r w:rsidRPr="00DD47DF">
              <w:rPr>
                <w:rFonts w:cs="Calibri"/>
              </w:rPr>
              <w:t>67,8</w:t>
            </w:r>
          </w:p>
        </w:tc>
        <w:tc>
          <w:tcPr>
            <w:tcW w:w="0" w:type="auto"/>
            <w:tcBorders>
              <w:top w:val="single" w:sz="4" w:space="0" w:color="000000"/>
              <w:left w:val="single" w:sz="4" w:space="0" w:color="000000"/>
              <w:bottom w:val="single" w:sz="4" w:space="0" w:color="000000"/>
              <w:right w:val="single" w:sz="4" w:space="0" w:color="000000"/>
            </w:tcBorders>
            <w:vAlign w:val="center"/>
          </w:tcPr>
          <w:p w14:paraId="21F25DA3" w14:textId="77777777" w:rsidR="00587FB1" w:rsidRPr="00DD47DF" w:rsidRDefault="00587FB1" w:rsidP="00F47B67">
            <w:pPr>
              <w:pStyle w:val="Tabulka"/>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69FF0077" w14:textId="77777777" w:rsidR="00587FB1" w:rsidRPr="00DD47DF" w:rsidRDefault="00D05818" w:rsidP="00F47B67">
            <w:pPr>
              <w:pStyle w:val="Tabulka"/>
              <w:rPr>
                <w:rFonts w:cs="Calibri"/>
              </w:rPr>
            </w:pPr>
            <w:r w:rsidRPr="00DD47DF">
              <w:rPr>
                <w:rFonts w:cs="Calibri"/>
              </w:rPr>
              <w:t>68 - 69</w:t>
            </w:r>
            <w:r w:rsidRPr="00DD47DF">
              <w:rPr>
                <w:rStyle w:val="Znakapoznpodarou"/>
                <w:rFonts w:cs="Calibri"/>
              </w:rPr>
              <w:footnoteReference w:id="50"/>
            </w:r>
          </w:p>
        </w:tc>
        <w:tc>
          <w:tcPr>
            <w:tcW w:w="0" w:type="auto"/>
            <w:tcBorders>
              <w:top w:val="single" w:sz="4" w:space="0" w:color="000000"/>
              <w:left w:val="single" w:sz="4" w:space="0" w:color="000000"/>
              <w:bottom w:val="single" w:sz="4" w:space="0" w:color="000000"/>
              <w:right w:val="single" w:sz="4" w:space="0" w:color="000000"/>
            </w:tcBorders>
            <w:vAlign w:val="center"/>
          </w:tcPr>
          <w:p w14:paraId="76C1D5A8" w14:textId="77777777" w:rsidR="00587FB1" w:rsidRPr="00DD47DF" w:rsidRDefault="00587FB1" w:rsidP="006D1774">
            <w:pPr>
              <w:pStyle w:val="Tabulka"/>
              <w:rPr>
                <w:rFonts w:cs="Calibri"/>
              </w:rPr>
            </w:pPr>
            <w:r w:rsidRPr="00DD47DF">
              <w:rPr>
                <w:rFonts w:cs="Calibri"/>
              </w:rPr>
              <w:t>Eurostat</w:t>
            </w:r>
          </w:p>
        </w:tc>
        <w:tc>
          <w:tcPr>
            <w:tcW w:w="0" w:type="auto"/>
            <w:tcBorders>
              <w:top w:val="single" w:sz="4" w:space="0" w:color="000000"/>
              <w:left w:val="single" w:sz="4" w:space="0" w:color="000000"/>
              <w:bottom w:val="single" w:sz="4" w:space="0" w:color="000000"/>
              <w:right w:val="single" w:sz="4" w:space="0" w:color="000000"/>
            </w:tcBorders>
            <w:vAlign w:val="center"/>
          </w:tcPr>
          <w:p w14:paraId="052E749D" w14:textId="77777777" w:rsidR="00587FB1" w:rsidRPr="00DD47DF" w:rsidRDefault="00587FB1" w:rsidP="00F47B67">
            <w:pPr>
              <w:pStyle w:val="Tabulka"/>
              <w:rPr>
                <w:rFonts w:cs="Calibri"/>
              </w:rPr>
            </w:pPr>
            <w:r w:rsidRPr="00DD47DF">
              <w:rPr>
                <w:rFonts w:cs="Calibri"/>
              </w:rPr>
              <w:t>ročně</w:t>
            </w:r>
          </w:p>
        </w:tc>
      </w:tr>
    </w:tbl>
    <w:p w14:paraId="3F19EF3F" w14:textId="77777777" w:rsidR="00F27129" w:rsidRPr="00DD47DF" w:rsidRDefault="001B2E5C" w:rsidP="005F43DF">
      <w:pPr>
        <w:pStyle w:val="kapitola2A0"/>
        <w:numPr>
          <w:ilvl w:val="2"/>
          <w:numId w:val="15"/>
        </w:numPr>
      </w:pPr>
      <w:bookmarkStart w:id="45" w:name="_Toc129005383"/>
      <w:r w:rsidRPr="00DD47DF">
        <w:t>Opatření, jež má být podpořeno v rámci investiční priority</w:t>
      </w:r>
      <w:bookmarkEnd w:id="45"/>
    </w:p>
    <w:p w14:paraId="60FC2751" w14:textId="77777777" w:rsidR="00F27129" w:rsidRPr="00DD47DF" w:rsidRDefault="00D479AF" w:rsidP="005F43DF">
      <w:pPr>
        <w:pStyle w:val="Nadpis5"/>
        <w:numPr>
          <w:ilvl w:val="4"/>
          <w:numId w:val="16"/>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447D29B0" w14:textId="77777777" w:rsidR="00C30048" w:rsidRPr="00DD47DF" w:rsidRDefault="000A2EB4" w:rsidP="00DF4F92">
      <w:pPr>
        <w:pStyle w:val="Standardntext"/>
        <w:rPr>
          <w:b/>
        </w:rPr>
      </w:pPr>
      <w:r w:rsidRPr="00DD47DF">
        <w:rPr>
          <w:b/>
        </w:rPr>
        <w:t>Aktivity pro tento specifický cíl:</w:t>
      </w:r>
    </w:p>
    <w:p w14:paraId="10B527EC" w14:textId="77777777" w:rsidR="00527A16" w:rsidRPr="00DD47DF" w:rsidRDefault="004A326E" w:rsidP="00D927A2">
      <w:pPr>
        <w:pStyle w:val="Standardntext"/>
        <w:numPr>
          <w:ilvl w:val="0"/>
          <w:numId w:val="46"/>
        </w:numPr>
      </w:pPr>
      <w:r w:rsidRPr="00DD47DF">
        <w:t xml:space="preserve">Realizace podnikatelských záměrů začínajících </w:t>
      </w:r>
      <w:r w:rsidR="00FF3A47" w:rsidRPr="00DD47DF">
        <w:t>podniků</w:t>
      </w:r>
      <w:r w:rsidRPr="00DD47DF">
        <w:t xml:space="preserve"> (do </w:t>
      </w:r>
      <w:r w:rsidR="00700B4C" w:rsidRPr="00DD47DF">
        <w:t xml:space="preserve">3 </w:t>
      </w:r>
      <w:r w:rsidRPr="00DD47DF">
        <w:t xml:space="preserve">let) a rozvojových </w:t>
      </w:r>
      <w:r w:rsidR="00FF3A47" w:rsidRPr="00DD47DF">
        <w:t>podniků</w:t>
      </w:r>
      <w:r w:rsidRPr="00DD47DF">
        <w:t xml:space="preserve"> prostřednictvím vhodných finančních nástrojů a dotací </w:t>
      </w:r>
      <w:r w:rsidR="00B4602B" w:rsidRPr="00DD47DF">
        <w:t>MSP zejména pro</w:t>
      </w:r>
      <w:r w:rsidR="00BA4E72" w:rsidRPr="00DD47DF">
        <w:t xml:space="preserve"> </w:t>
      </w:r>
      <w:r w:rsidRPr="00DD47DF">
        <w:t>mikropodnik</w:t>
      </w:r>
      <w:r w:rsidR="00B4602B" w:rsidRPr="00DD47DF">
        <w:t>y</w:t>
      </w:r>
      <w:r w:rsidRPr="00DD47DF">
        <w:t>,</w:t>
      </w:r>
    </w:p>
    <w:p w14:paraId="10C93A31" w14:textId="46F559D3" w:rsidR="009D1769" w:rsidRPr="00DD47DF" w:rsidRDefault="004A326E" w:rsidP="00B1704F">
      <w:pPr>
        <w:pStyle w:val="Standardntext"/>
        <w:numPr>
          <w:ilvl w:val="0"/>
          <w:numId w:val="46"/>
        </w:numPr>
      </w:pPr>
      <w:r w:rsidRPr="00DD47DF">
        <w:t xml:space="preserve">poskytování poradenských služeb a služeb pro </w:t>
      </w:r>
      <w:r w:rsidR="00B1704F" w:rsidRPr="00B1704F">
        <w:t>začínající a rozvojové podniky</w:t>
      </w:r>
      <w:r w:rsidRPr="00DD47DF">
        <w:t xml:space="preserve"> </w:t>
      </w:r>
      <w:r w:rsidR="008F7D94" w:rsidRPr="00DD47DF">
        <w:t>na celém území ČR s výjimkou území hl. města Prahy</w:t>
      </w:r>
      <w:r w:rsidR="00E27FF3" w:rsidRPr="00DD47DF">
        <w:t xml:space="preserve"> (např. prostřednictvím podnikatelských </w:t>
      </w:r>
      <w:r w:rsidR="009D1769" w:rsidRPr="00DD47DF">
        <w:t>inkubátorů).</w:t>
      </w:r>
    </w:p>
    <w:p w14:paraId="3EEE70D9" w14:textId="0F40135A" w:rsidR="00B45935" w:rsidRPr="00B959DB" w:rsidRDefault="00B45935" w:rsidP="009D1769">
      <w:pPr>
        <w:pStyle w:val="Standardntext"/>
        <w:rPr>
          <w:u w:val="single"/>
        </w:rPr>
      </w:pPr>
      <w:r w:rsidRPr="00B959DB">
        <w:rPr>
          <w:u w:val="single"/>
        </w:rPr>
        <w:lastRenderedPageBreak/>
        <w:t>Následující pravidla se použijí pro podporu ve formě dotace:</w:t>
      </w:r>
    </w:p>
    <w:p w14:paraId="12CA18C9" w14:textId="77777777" w:rsidR="004F27E6" w:rsidRPr="00DD47DF" w:rsidRDefault="001F0C50" w:rsidP="009D1769">
      <w:pPr>
        <w:pStyle w:val="Standardntext"/>
      </w:pPr>
      <w:r w:rsidRPr="00DD47DF">
        <w:t>V tomto specifickém cíli je počítáno s inovacemi nižších řádů</w:t>
      </w:r>
      <w:r w:rsidR="00654C5F" w:rsidRPr="00DD47DF">
        <w:t xml:space="preserve"> (</w:t>
      </w:r>
      <w:r w:rsidR="0050426F" w:rsidRPr="00DD47DF">
        <w:t>1</w:t>
      </w:r>
      <w:r w:rsidR="00654C5F" w:rsidRPr="00DD47DF">
        <w:t xml:space="preserve">. – </w:t>
      </w:r>
      <w:r w:rsidR="00DA52F2" w:rsidRPr="00DD47DF">
        <w:t>4</w:t>
      </w:r>
      <w:r w:rsidR="00654C5F" w:rsidRPr="00DD47DF">
        <w:t>. řád)</w:t>
      </w:r>
      <w:r w:rsidRPr="00DD47DF">
        <w:rPr>
          <w:rStyle w:val="Znakapoznpodarou"/>
        </w:rPr>
        <w:footnoteReference w:id="51"/>
      </w:r>
      <w:r w:rsidRPr="00DD47DF">
        <w:t xml:space="preserve">, tzn. s podporou modernizačních a rozvojových projektů. </w:t>
      </w:r>
      <w:r w:rsidR="004F27E6" w:rsidRPr="00DD47DF">
        <w:t>Nebude se jednat o prostou výměnu strojů a zařízení, podporovány budou výhradně nové stroje a zařízení, které zvýší technologickou úroveň MSP</w:t>
      </w:r>
      <w:r w:rsidR="0050426F" w:rsidRPr="00DD47DF">
        <w:t xml:space="preserve"> a jejich konkurenceschopnost</w:t>
      </w:r>
      <w:r w:rsidR="004F27E6" w:rsidRPr="00DD47DF">
        <w:t>.</w:t>
      </w:r>
    </w:p>
    <w:p w14:paraId="6E258639" w14:textId="77777777" w:rsidR="001F0C50" w:rsidRPr="00DD47DF" w:rsidRDefault="001F0C50" w:rsidP="009D1769">
      <w:pPr>
        <w:pStyle w:val="Standardntext"/>
      </w:pPr>
      <w:r w:rsidRPr="00DD47DF">
        <w:t>Podporovány nebudou výdaje na výzkum a vývoj podporované v prioritní ose 1. Podporované projekty umožní vznik či rozvoj podnikatelů s krátkou historií nebo udržení a posílení konkurenceschopnosti MSP, což formou nových investic přispěje k tvorbě HDP a nárůstu zaměstnanosti. Podpora bude zaměřena zejména do odvětví zpracovatelského průmyslu a služeb.</w:t>
      </w:r>
    </w:p>
    <w:p w14:paraId="2FCE2C65" w14:textId="69588B3E" w:rsidR="009D1769" w:rsidRDefault="005368EE" w:rsidP="009D1769">
      <w:pPr>
        <w:pStyle w:val="Standardntext"/>
      </w:pPr>
      <w:r w:rsidRPr="00DD47DF">
        <w:t>Další a</w:t>
      </w:r>
      <w:r w:rsidR="00D17DDE" w:rsidRPr="00DD47DF">
        <w:t>ktivita</w:t>
      </w:r>
      <w:r w:rsidRPr="00DD47DF">
        <w:t xml:space="preserve"> SC 2.1</w:t>
      </w:r>
      <w:r w:rsidR="00D17DDE" w:rsidRPr="00DD47DF">
        <w:t xml:space="preserve"> zaměřená na podporu poradenských služeb a služeb pro </w:t>
      </w:r>
      <w:r w:rsidR="00725789" w:rsidRPr="00725789">
        <w:t>začínající a rozvojové podniky</w:t>
      </w:r>
      <w:r w:rsidR="00D17DDE" w:rsidRPr="00DD47DF">
        <w:t xml:space="preserve"> je novou aktivitou reagující na nutnost posílení sektoru dynamicky rostoucích MSP pro zlepšení výkonnosti ekonomiky ČR a </w:t>
      </w:r>
      <w:r w:rsidRPr="00DD47DF">
        <w:t xml:space="preserve">zvýšení </w:t>
      </w:r>
      <w:r w:rsidR="00D17DDE" w:rsidRPr="00DD47DF">
        <w:t>zaměstnanost</w:t>
      </w:r>
      <w:r w:rsidRPr="00DD47DF">
        <w:t>i</w:t>
      </w:r>
      <w:r w:rsidR="00D17DDE" w:rsidRPr="00DD47DF">
        <w:t>.</w:t>
      </w:r>
      <w:r w:rsidR="005B5EB6" w:rsidRPr="00DD47DF">
        <w:t xml:space="preserve"> Poradenské služby jsou dosud poskytovány v podnikatelských inkubátorech </w:t>
      </w:r>
      <w:r w:rsidR="00901B83" w:rsidRPr="00DD47DF">
        <w:t>zejména</w:t>
      </w:r>
      <w:r w:rsidR="005B5EB6" w:rsidRPr="00DD47DF">
        <w:t xml:space="preserve"> pro začínající inovační podniky.</w:t>
      </w:r>
      <w:r w:rsidR="00D17DDE" w:rsidRPr="00DD47DF">
        <w:t xml:space="preserve"> V programov</w:t>
      </w:r>
      <w:r w:rsidRPr="00DD47DF">
        <w:t>acím</w:t>
      </w:r>
      <w:r w:rsidR="00D17DDE" w:rsidRPr="00DD47DF">
        <w:t xml:space="preserve"> období 2007 – 2013 byla podpora poradenských služeb v OPPI zaměřena na přípravu inovačních studií MSP na inovace produktu, procesu, organizační a marketingové inovace. </w:t>
      </w:r>
      <w:r w:rsidR="005B5EB6" w:rsidRPr="00DD47DF">
        <w:t xml:space="preserve">Nově budou podporovány poradenské služby pro </w:t>
      </w:r>
      <w:r w:rsidR="00725789" w:rsidRPr="00725789">
        <w:t>začínající podnikatele do 3 let historie a rozvojové podniky</w:t>
      </w:r>
      <w:r w:rsidR="005B5EB6" w:rsidRPr="00DD47DF">
        <w:t xml:space="preserve"> (podnikatelský plán, základy práva, účetnictví, řízení atp.). </w:t>
      </w:r>
      <w:r w:rsidR="009D1769" w:rsidRPr="00DD47DF">
        <w:t xml:space="preserve">Poznatky z realizace dosavadních podpor poradenských služeb v OPPI, poskytovaných externími poradci MSP, jsou zohledňovány v nastavení podmínek pro přípravu realizace nové aktivity v oblasti poradenských služeb pro </w:t>
      </w:r>
      <w:r w:rsidR="00725789" w:rsidRPr="00725789">
        <w:t>začínající a rozvojové podnikatele</w:t>
      </w:r>
      <w:r w:rsidR="009D1769" w:rsidRPr="00DD47DF">
        <w:t xml:space="preserve"> </w:t>
      </w:r>
      <w:r w:rsidR="005B5EB6" w:rsidRPr="00DD47DF">
        <w:t>na celém území ČR s výjimkou území hl. města Prahy</w:t>
      </w:r>
      <w:r w:rsidR="009D1769" w:rsidRPr="00DD47DF">
        <w:t>, a to i prostřednictvím podnikatelských inkubátorů.</w:t>
      </w:r>
    </w:p>
    <w:p w14:paraId="7956AB54" w14:textId="61E3A9A8" w:rsidR="00B45935" w:rsidRPr="00B959DB" w:rsidRDefault="00B45935" w:rsidP="009D1769">
      <w:pPr>
        <w:pStyle w:val="Standardntext"/>
        <w:rPr>
          <w:u w:val="single"/>
        </w:rPr>
      </w:pPr>
      <w:r w:rsidRPr="00B959DB">
        <w:rPr>
          <w:u w:val="single"/>
        </w:rPr>
        <w:t>V případě podpory ve formě finančních nástrojů se použijí následující pravidla:</w:t>
      </w:r>
    </w:p>
    <w:p w14:paraId="1BBB5B10" w14:textId="368666D2" w:rsidR="00B45935" w:rsidRDefault="00B45935" w:rsidP="009D1769">
      <w:pPr>
        <w:pStyle w:val="Standardntext"/>
      </w:pPr>
      <w:r w:rsidRPr="00B45935">
        <w:t>Aktivita tohoto specifického cíle zaměřená na investiční podporu projektů začínajících a rozvojových firem navazuje na poznatky získané zejména z realizace programů podpory OPPI z prioritních os „Vznik firem“ a „Rozvoj firem“, kde formou podpory byly úvěry, záruky a dotace. Cílem aktivity SC 2.1 OP PIK je zvýšení počtu nových podnikatelských záměrů (investic) začínajících a rozvojových podniků zlepšením přístupu k finančním prostředkům na jejich realizaci, a zavádění nových výrobních technologií a služeb</w:t>
      </w:r>
      <w:r w:rsidR="001C6116">
        <w:t>.</w:t>
      </w:r>
      <w:r w:rsidRPr="00B45935">
        <w:t xml:space="preserve"> </w:t>
      </w:r>
      <w:r w:rsidR="00FD798A">
        <w:t xml:space="preserve">Může </w:t>
      </w:r>
      <w:r w:rsidR="001C6116" w:rsidRPr="001C6116">
        <w:t>být</w:t>
      </w:r>
      <w:r w:rsidR="00FD798A">
        <w:t xml:space="preserve"> také</w:t>
      </w:r>
      <w:r w:rsidR="001C6116" w:rsidRPr="001C6116">
        <w:t xml:space="preserve"> poskytnuta podpora MSP ve formě provozního financování (pracovního kapitálu).</w:t>
      </w:r>
    </w:p>
    <w:p w14:paraId="69B0D9C2" w14:textId="1B2ECA9B" w:rsidR="00B45935" w:rsidRDefault="00B45935" w:rsidP="009D1769">
      <w:pPr>
        <w:pStyle w:val="Standardntext"/>
      </w:pPr>
      <w:r w:rsidRPr="00B45935">
        <w:t>I pro programovací období 2014 – 2020 se ukazuje, že je nadále účelné podporovat přístup ke kapitálu pro podniky z veřejných prostředků a umožnit jim realizaci konkurenceschopných projektů.</w:t>
      </w:r>
    </w:p>
    <w:p w14:paraId="71F487A7" w14:textId="149E2D2A" w:rsidR="00B45935" w:rsidRPr="00DD47DF" w:rsidRDefault="00B45935" w:rsidP="009D1769">
      <w:pPr>
        <w:pStyle w:val="Standardntext"/>
      </w:pPr>
      <w:r w:rsidRPr="00B45935">
        <w:t>K dosažení cílů budou vyhlašovány výzvy, v rámci nichž budou stanoveny podmínky poskytnutí podpory.</w:t>
      </w:r>
      <w:r>
        <w:t xml:space="preserve"> </w:t>
      </w:r>
      <w:r w:rsidRPr="00B45935">
        <w:t>Monitoring údajů o přínosech realizace podpořených projektů bude sledován jak na úrovní začínajících podniků, tak podniků rozvojových. Zkušenosti z implementace OPPI jsou blíže popsány v příloze č. 1.</w:t>
      </w:r>
    </w:p>
    <w:p w14:paraId="79D85D64" w14:textId="1876D0B4" w:rsidR="00115F25" w:rsidRDefault="00115F25" w:rsidP="00D6338B">
      <w:pPr>
        <w:pStyle w:val="Standardntext"/>
      </w:pPr>
    </w:p>
    <w:p w14:paraId="5F09B393" w14:textId="7C83C8AD" w:rsidR="00374BD9" w:rsidRDefault="00374BD9" w:rsidP="00D6338B">
      <w:pPr>
        <w:pStyle w:val="Standardntext"/>
      </w:pPr>
      <w:r w:rsidRPr="00374BD9">
        <w:t>Typovými projekty v oblasti podnikatelských záměrů začínajících a rozvojových podniků, budou v případě všech forem podpory</w:t>
      </w:r>
      <w:r>
        <w:t xml:space="preserve"> </w:t>
      </w:r>
      <w:r w:rsidRPr="00374BD9">
        <w:t>projekty, které jsou spojené:</w:t>
      </w:r>
    </w:p>
    <w:p w14:paraId="5CD85D62" w14:textId="77777777" w:rsidR="00374BD9" w:rsidRPr="00B959DB" w:rsidRDefault="00374BD9" w:rsidP="00374BD9">
      <w:pPr>
        <w:pStyle w:val="Standardntext"/>
        <w:numPr>
          <w:ilvl w:val="0"/>
          <w:numId w:val="135"/>
        </w:numPr>
      </w:pPr>
      <w:r w:rsidRPr="00DD47DF">
        <w:lastRenderedPageBreak/>
        <w:t>s pořízením či rekonstrukcí budov, strojů a zařízení</w:t>
      </w:r>
      <w:r w:rsidRPr="00B959DB">
        <w:t xml:space="preserve"> (v případě finančních nástrojů včetně použitých strojů a zařízení),</w:t>
      </w:r>
    </w:p>
    <w:p w14:paraId="73835CDA" w14:textId="77777777" w:rsidR="00374BD9" w:rsidRPr="00B959DB" w:rsidRDefault="00374BD9" w:rsidP="00374BD9">
      <w:pPr>
        <w:pStyle w:val="Standardntext"/>
        <w:numPr>
          <w:ilvl w:val="0"/>
          <w:numId w:val="135"/>
        </w:numPr>
      </w:pPr>
      <w:r w:rsidRPr="00B959DB">
        <w:t xml:space="preserve">získáním pracovního kapitálu pro zahájení či rozšíření podnikatelské činnosti začínajících podnikatelů (pouze v případě finančních nástrojů), </w:t>
      </w:r>
    </w:p>
    <w:p w14:paraId="118E18C0" w14:textId="77777777" w:rsidR="00374BD9" w:rsidRPr="00115F25" w:rsidRDefault="00374BD9" w:rsidP="00374BD9">
      <w:pPr>
        <w:pStyle w:val="Standardntext"/>
        <w:numPr>
          <w:ilvl w:val="0"/>
          <w:numId w:val="135"/>
        </w:numPr>
      </w:pPr>
      <w:r w:rsidRPr="00B959DB">
        <w:t>se zvyšováním produkční kapacity podnikatelských činností pořízením strojů a zařízení</w:t>
      </w:r>
      <w:r w:rsidRPr="00115F25">
        <w:t>,</w:t>
      </w:r>
    </w:p>
    <w:p w14:paraId="1358337A" w14:textId="3595B6A3" w:rsidR="00374BD9" w:rsidRPr="00B959DB" w:rsidRDefault="00374BD9" w:rsidP="00374BD9">
      <w:pPr>
        <w:pStyle w:val="Standardntext"/>
        <w:numPr>
          <w:ilvl w:val="0"/>
          <w:numId w:val="135"/>
        </w:numPr>
      </w:pPr>
      <w:r w:rsidRPr="00115F25">
        <w:t xml:space="preserve">posílením pracovního kapitálu rozvojových podniků </w:t>
      </w:r>
      <w:r w:rsidRPr="00B959DB">
        <w:t xml:space="preserve">(pouze v případě finančních nástrojů), </w:t>
      </w:r>
    </w:p>
    <w:p w14:paraId="39BB8BDD" w14:textId="77777777" w:rsidR="00374BD9" w:rsidRDefault="00374BD9" w:rsidP="00374BD9">
      <w:pPr>
        <w:pStyle w:val="Standardntext"/>
        <w:numPr>
          <w:ilvl w:val="0"/>
          <w:numId w:val="135"/>
        </w:numPr>
      </w:pPr>
      <w:r w:rsidRPr="00DD47DF">
        <w:t xml:space="preserve">se zvyšováním kvality a efektivity poskytovaných služeb, </w:t>
      </w:r>
    </w:p>
    <w:p w14:paraId="6AF16E21" w14:textId="77777777" w:rsidR="00374BD9" w:rsidRDefault="00374BD9" w:rsidP="00374BD9">
      <w:pPr>
        <w:pStyle w:val="Standardntext"/>
        <w:numPr>
          <w:ilvl w:val="0"/>
          <w:numId w:val="135"/>
        </w:numPr>
      </w:pPr>
      <w:r w:rsidRPr="00DD47DF">
        <w:t>se zaváděním moderních technologických procesů u podnikatelských subjektů s využitím technických a užitných vlastností nových strojů a zařízení, měřidel, hardware a software</w:t>
      </w:r>
      <w:r>
        <w:t>,</w:t>
      </w:r>
    </w:p>
    <w:p w14:paraId="4B1AE7D1" w14:textId="4B8C4F53" w:rsidR="00374BD9" w:rsidRDefault="00374BD9" w:rsidP="00374BD9">
      <w:pPr>
        <w:pStyle w:val="Standardntext"/>
        <w:numPr>
          <w:ilvl w:val="0"/>
          <w:numId w:val="135"/>
        </w:numPr>
      </w:pPr>
      <w:r w:rsidRPr="00DD47DF">
        <w:t xml:space="preserve">s realizací automatizovaných systémů marketingových činností, technické přípravy výroby, řízení výroby a obchodu pořizováním odpovídajícího hardwaru a softwaru. </w:t>
      </w:r>
    </w:p>
    <w:p w14:paraId="6AB6EB1D" w14:textId="623C1244" w:rsidR="00374BD9" w:rsidRPr="00DD47DF" w:rsidRDefault="00374BD9" w:rsidP="00374BD9">
      <w:pPr>
        <w:pStyle w:val="Standardntext"/>
      </w:pPr>
      <w:r w:rsidRPr="00DD47DF">
        <w:t>Výstupem tak budou jednotlivé podpořené podnikatelské záměry, jejichž výsledky se promítnou ve střednědobém horizontu ekonomickými přínosy a nově vytvořenými pracovními místy.</w:t>
      </w:r>
    </w:p>
    <w:p w14:paraId="2DABDB1E" w14:textId="7DA7D049" w:rsidR="00D43022" w:rsidRPr="00DD47DF" w:rsidRDefault="0007086E" w:rsidP="009D1769">
      <w:pPr>
        <w:pStyle w:val="Standardntext"/>
        <w:rPr>
          <w:rFonts w:cs="Arial"/>
        </w:rPr>
      </w:pPr>
      <w:r w:rsidRPr="00DD47DF">
        <w:t xml:space="preserve">V oblasti poskytování poradenských služeb a služeb pro </w:t>
      </w:r>
      <w:r w:rsidR="00534189" w:rsidRPr="00534189">
        <w:t>začínající a rozvojové podnikatele</w:t>
      </w:r>
      <w:r w:rsidRPr="00DD47DF">
        <w:t xml:space="preserve"> půjde o služby</w:t>
      </w:r>
      <w:r w:rsidR="00584311" w:rsidRPr="00DD47DF">
        <w:t xml:space="preserve"> usnadňující zahájení podnikatelské činnosti</w:t>
      </w:r>
      <w:r w:rsidRPr="00DD47DF">
        <w:t xml:space="preserve"> zaměřené zejména na příprav</w:t>
      </w:r>
      <w:r w:rsidR="00C610B3" w:rsidRPr="00DD47DF">
        <w:t>u</w:t>
      </w:r>
      <w:r w:rsidR="00B37B07" w:rsidRPr="00DD47DF">
        <w:t xml:space="preserve"> podnikatelského plánu, základy</w:t>
      </w:r>
      <w:r w:rsidRPr="00DD47DF">
        <w:t xml:space="preserve"> práva a účetnictví, možnost</w:t>
      </w:r>
      <w:r w:rsidR="00B37B07" w:rsidRPr="00DD47DF">
        <w:t>i</w:t>
      </w:r>
      <w:r w:rsidRPr="00DD47DF">
        <w:t xml:space="preserve"> získání finančních </w:t>
      </w:r>
      <w:r w:rsidR="00B37B07" w:rsidRPr="00DD47DF">
        <w:t>prostředků k podnikání a základy</w:t>
      </w:r>
      <w:r w:rsidRPr="00DD47DF">
        <w:t xml:space="preserve"> finančního řízení podniku, finanční analýzy řízení podniku, rozvoj vnitropodnikového řízení, optimalizační systémy rozvoje firem apod.</w:t>
      </w:r>
      <w:r w:rsidR="00B37B07" w:rsidRPr="00DD47DF">
        <w:t xml:space="preserve"> </w:t>
      </w:r>
      <w:r w:rsidR="00B37B07" w:rsidRPr="00DD47DF">
        <w:rPr>
          <w:rFonts w:cs="Arial"/>
        </w:rPr>
        <w:t xml:space="preserve">Výstupem tak bude počet </w:t>
      </w:r>
      <w:r w:rsidR="00584311" w:rsidRPr="00DD47DF">
        <w:t>projektů MSP, kterým byly poskytnuty poradenské služby</w:t>
      </w:r>
      <w:r w:rsidR="00D43022" w:rsidRPr="00DD47DF">
        <w:rPr>
          <w:rFonts w:cs="Arial"/>
        </w:rPr>
        <w:t>.</w:t>
      </w:r>
      <w:r w:rsidR="00B37B07" w:rsidRPr="00DD47DF">
        <w:rPr>
          <w:rFonts w:cs="Arial"/>
        </w:rPr>
        <w:t xml:space="preserve"> </w:t>
      </w:r>
      <w:r w:rsidR="00D43022" w:rsidRPr="00DD47DF">
        <w:rPr>
          <w:rFonts w:cs="Arial"/>
        </w:rPr>
        <w:t xml:space="preserve">Výsledky se </w:t>
      </w:r>
      <w:r w:rsidR="009D1769" w:rsidRPr="00DD47DF">
        <w:rPr>
          <w:rFonts w:cs="Arial"/>
        </w:rPr>
        <w:t xml:space="preserve">na úrovni </w:t>
      </w:r>
      <w:r w:rsidR="00D43022" w:rsidRPr="00DD47DF">
        <w:rPr>
          <w:rFonts w:cs="Arial"/>
        </w:rPr>
        <w:t>projektů budou</w:t>
      </w:r>
      <w:r w:rsidR="009D1769" w:rsidRPr="00DD47DF">
        <w:rPr>
          <w:rFonts w:cs="Arial"/>
        </w:rPr>
        <w:t xml:space="preserve"> promítat </w:t>
      </w:r>
      <w:r w:rsidR="00D43022" w:rsidRPr="00DD47DF">
        <w:rPr>
          <w:rFonts w:cs="Arial"/>
        </w:rPr>
        <w:t xml:space="preserve">do </w:t>
      </w:r>
      <w:r w:rsidR="009D1769" w:rsidRPr="00DD47DF">
        <w:rPr>
          <w:rFonts w:cs="Arial"/>
        </w:rPr>
        <w:t>počtu podniků využívajících podpůrné služby inovační infrastruktury</w:t>
      </w:r>
      <w:r w:rsidR="00D43022" w:rsidRPr="00DD47DF">
        <w:rPr>
          <w:rFonts w:cs="Arial"/>
        </w:rPr>
        <w:t>.</w:t>
      </w:r>
      <w:r w:rsidR="009D1769" w:rsidRPr="00DD47DF">
        <w:rPr>
          <w:rFonts w:cs="Arial"/>
        </w:rPr>
        <w:t xml:space="preserve"> </w:t>
      </w:r>
    </w:p>
    <w:p w14:paraId="3501CD37" w14:textId="77777777" w:rsidR="005C1834" w:rsidRDefault="005C1834" w:rsidP="009D1769">
      <w:pPr>
        <w:pStyle w:val="Standardntext"/>
      </w:pPr>
      <w:r w:rsidRPr="00DD47DF">
        <w:t xml:space="preserve">V SC 2.1 bude využito obou nástrojů podpory, tzn. finančních nástrojů </w:t>
      </w:r>
      <w:r w:rsidR="00FD57C0" w:rsidRPr="00DD47DF">
        <w:t>na základě předběžného posouzení podle čl. 37 odst. 2 obecného nařízení</w:t>
      </w:r>
      <w:r w:rsidRPr="00DD47DF">
        <w:t xml:space="preserve"> i dotací. </w:t>
      </w:r>
      <w:r w:rsidR="003D6734" w:rsidRPr="00DD47DF">
        <w:t xml:space="preserve">Základní rámec režimu rizikového kapitálu je již navržen na základě zkušeností z období 2007-2013 a bude dále diskutován s partnery, zejména soukromými investory, zástupci inovační infrastruktury, sdruženími malých a středních podniků a zpracovatelem předběžného posouzení finančních nástrojů. Hlavní riziko, které je třeba zvážit na základě </w:t>
      </w:r>
      <w:r w:rsidR="00D12D06" w:rsidRPr="00DD47DF">
        <w:t xml:space="preserve">dosavadních </w:t>
      </w:r>
      <w:r w:rsidR="003D6734" w:rsidRPr="00DD47DF">
        <w:t>zkušenost</w:t>
      </w:r>
      <w:r w:rsidR="00D12D06" w:rsidRPr="00DD47DF">
        <w:t>í</w:t>
      </w:r>
      <w:r w:rsidR="003D6734" w:rsidRPr="00DD47DF">
        <w:t xml:space="preserve">, je časový rámec pro přípravu projektu. Mohou nastat neočekávaná zpoždění jako </w:t>
      </w:r>
      <w:r w:rsidR="00584311" w:rsidRPr="00DD47DF">
        <w:t xml:space="preserve">např. </w:t>
      </w:r>
      <w:r w:rsidR="003D6734" w:rsidRPr="00DD47DF">
        <w:t xml:space="preserve">zdlouhavá správní řízení atd. </w:t>
      </w:r>
      <w:r w:rsidR="00584311" w:rsidRPr="00DD47DF">
        <w:t>R</w:t>
      </w:r>
      <w:r w:rsidRPr="00DD47DF">
        <w:t xml:space="preserve">ealizace podnikatelských záměrů začínajících podniků a rozvojových podniků </w:t>
      </w:r>
      <w:r w:rsidR="00584311" w:rsidRPr="00DD47DF">
        <w:t>bude podporována prostřednictvím</w:t>
      </w:r>
      <w:r w:rsidRPr="00DD47DF">
        <w:t xml:space="preserve"> finančních nástrojů a dotací </w:t>
      </w:r>
      <w:r w:rsidR="00514FEC" w:rsidRPr="00DD47DF">
        <w:t>MSP zejména</w:t>
      </w:r>
      <w:r w:rsidRPr="00DD47DF">
        <w:t xml:space="preserve"> pro mikropodniky, zatímco </w:t>
      </w:r>
      <w:r w:rsidR="00584311" w:rsidRPr="00DD47DF">
        <w:t>poradenské</w:t>
      </w:r>
      <w:r w:rsidRPr="00DD47DF">
        <w:t xml:space="preserve"> služb</w:t>
      </w:r>
      <w:r w:rsidR="00584311" w:rsidRPr="00DD47DF">
        <w:t>y</w:t>
      </w:r>
      <w:r w:rsidRPr="00DD47DF">
        <w:t xml:space="preserve"> pro začínající podniky </w:t>
      </w:r>
      <w:r w:rsidR="00584311" w:rsidRPr="00DD47DF">
        <w:t>budou podporovány</w:t>
      </w:r>
      <w:r w:rsidRPr="00DD47DF">
        <w:t xml:space="preserve"> pouze </w:t>
      </w:r>
      <w:r w:rsidR="00584311" w:rsidRPr="00DD47DF">
        <w:t xml:space="preserve">formou </w:t>
      </w:r>
      <w:r w:rsidRPr="00DD47DF">
        <w:t>dotací.</w:t>
      </w:r>
    </w:p>
    <w:p w14:paraId="3C1AC6F5" w14:textId="49201487" w:rsidR="00282E60" w:rsidRPr="00DD47DF" w:rsidRDefault="00282E60" w:rsidP="009D1769">
      <w:pPr>
        <w:pStyle w:val="Standardntext"/>
        <w:rPr>
          <w:rFonts w:cs="Arial"/>
        </w:rPr>
      </w:pPr>
      <w:r w:rsidRPr="00282E60">
        <w:rPr>
          <w:rFonts w:cs="Arial"/>
        </w:rPr>
        <w:t>Typový projekt podpory formou finančních nástrojů kapitálových a kvazikapitálových vstupů bude zaměřen na rozšíření financování rozvoje začínajících a rozvojových MSP prostřednictvím kapitálových a kvazikapitálových investic (rizikového kapitálu a veřejných úpisů na alternativních obchodních platformách pro MSP). Podpořeno bude poskytnutí návratné kapitálové/kvazikapitálové investice, díky které bude moci cílová firma realizovat svůj rozvojový plán (a pokrýt komplexní výdaje s ním spojené), a to v souladu se závěry předběžného posouzení finančních nástrojů.</w:t>
      </w:r>
    </w:p>
    <w:p w14:paraId="212A7D1E" w14:textId="16502413" w:rsidR="00F01494" w:rsidRPr="00DD47DF" w:rsidRDefault="000B1647" w:rsidP="0007086E">
      <w:pPr>
        <w:pStyle w:val="Standardntext"/>
      </w:pPr>
      <w:r w:rsidRPr="00DD47DF">
        <w:t xml:space="preserve">Poskytování podpory začínajícím MSP formou </w:t>
      </w:r>
      <w:r w:rsidR="009D73F6" w:rsidRPr="00DD47DF">
        <w:t>finančních nástrojů</w:t>
      </w:r>
      <w:r w:rsidR="00C34AE7" w:rsidRPr="00DD47DF">
        <w:t xml:space="preserve"> </w:t>
      </w:r>
      <w:r w:rsidRPr="00DD47DF">
        <w:t xml:space="preserve">v aktivitě SC 2.1 </w:t>
      </w:r>
      <w:r w:rsidR="00C34AE7" w:rsidRPr="00DD47DF">
        <w:t>„Realizace podnikatelských záměrů začínajících podniků (do 3 let) prostřednictvím vhodných finančních nástrojů“</w:t>
      </w:r>
      <w:r w:rsidR="006E14F6" w:rsidRPr="00DD47DF">
        <w:t xml:space="preserve"> vycház</w:t>
      </w:r>
      <w:r w:rsidR="00C34AE7" w:rsidRPr="00DD47DF">
        <w:t>í</w:t>
      </w:r>
      <w:r w:rsidR="006E14F6" w:rsidRPr="00DD47DF">
        <w:t xml:space="preserve"> </w:t>
      </w:r>
      <w:r w:rsidRPr="00DD47DF">
        <w:t xml:space="preserve">bezprostředně </w:t>
      </w:r>
      <w:r w:rsidR="006E14F6" w:rsidRPr="00DD47DF">
        <w:t>z potřeb zohledněných v Národní RIS3 strategii a</w:t>
      </w:r>
      <w:r w:rsidR="009B5D47" w:rsidRPr="00DD47DF">
        <w:t xml:space="preserve"> m</w:t>
      </w:r>
      <w:r w:rsidR="00C34AE7" w:rsidRPr="00DD47DF">
        <w:t>á</w:t>
      </w:r>
      <w:r w:rsidR="009B5D47" w:rsidRPr="00DD47DF">
        <w:t xml:space="preserve"> přímou </w:t>
      </w:r>
      <w:r w:rsidR="009B5D47" w:rsidRPr="00DD47DF">
        <w:lastRenderedPageBreak/>
        <w:t>vazbu na strategický cíl</w:t>
      </w:r>
      <w:r w:rsidR="00F01494" w:rsidRPr="00DD47DF">
        <w:t xml:space="preserve"> Národní </w:t>
      </w:r>
      <w:r w:rsidR="002B0AB0" w:rsidRPr="00DD47DF">
        <w:t>RI</w:t>
      </w:r>
      <w:r w:rsidR="00F01494" w:rsidRPr="00DD47DF">
        <w:t>S3 strategie</w:t>
      </w:r>
      <w:r w:rsidRPr="00DD47DF">
        <w:t xml:space="preserve"> </w:t>
      </w:r>
      <w:r w:rsidR="00F01494" w:rsidRPr="00DD47DF">
        <w:t>„Zvýšit míru podnikání ve společnosti s důrazem na zakládání nových rychle rostoucích firem“.</w:t>
      </w:r>
      <w:r w:rsidR="000C7B9A" w:rsidRPr="00DD47DF">
        <w:t xml:space="preserve"> </w:t>
      </w:r>
      <w:r w:rsidR="00EB2A24" w:rsidRPr="00DD47DF">
        <w:t>Druhá aktivita SC2.1 spadá rovněž pod výše uvedený strategický cíl</w:t>
      </w:r>
      <w:r w:rsidRPr="00DD47DF">
        <w:t xml:space="preserve"> RIS3. </w:t>
      </w:r>
      <w:r w:rsidR="000C7B9A" w:rsidRPr="00DD47DF">
        <w:t>Jde především o vzájemnou provázanost s typovými aktivitami/projekty/operacemi specifických cílů</w:t>
      </w:r>
      <w:r w:rsidRPr="00DD47DF">
        <w:t xml:space="preserve"> </w:t>
      </w:r>
      <w:r w:rsidR="000C7B9A" w:rsidRPr="00DD47DF">
        <w:t>A2.1 „Zvýšit počet nových firem usilujících o inovace, zejména vyšších řádů</w:t>
      </w:r>
      <w:r w:rsidR="00044470" w:rsidRPr="00DD47DF">
        <w:t xml:space="preserve">“ </w:t>
      </w:r>
      <w:r w:rsidRPr="00DD47DF">
        <w:t xml:space="preserve">(zde jde o poskytování poradenských služeb </w:t>
      </w:r>
      <w:r w:rsidR="003E6BDD" w:rsidRPr="003E6BDD">
        <w:t>začínajícím a rozvojovým MSP např.</w:t>
      </w:r>
      <w:r w:rsidRPr="00DD47DF">
        <w:t xml:space="preserve"> prostřednictvím podnikatelských inkubátorů</w:t>
      </w:r>
      <w:r w:rsidR="003E6BDD">
        <w:t xml:space="preserve">, </w:t>
      </w:r>
      <w:r w:rsidRPr="00DD47DF">
        <w:t>inovačních center</w:t>
      </w:r>
      <w:r w:rsidR="003E6BDD">
        <w:t xml:space="preserve"> </w:t>
      </w:r>
      <w:r w:rsidR="003E6BDD" w:rsidRPr="003E6BDD">
        <w:t>apod.</w:t>
      </w:r>
      <w:r w:rsidRPr="00DD47DF">
        <w:t xml:space="preserve">) </w:t>
      </w:r>
      <w:r w:rsidR="00044470" w:rsidRPr="00DD47DF">
        <w:t>a</w:t>
      </w:r>
      <w:r w:rsidR="000C7B9A" w:rsidRPr="00DD47DF">
        <w:t xml:space="preserve"> </w:t>
      </w:r>
      <w:r w:rsidRPr="00DD47DF">
        <w:t xml:space="preserve">dále </w:t>
      </w:r>
      <w:r w:rsidR="000C7B9A" w:rsidRPr="00DD47DF">
        <w:t xml:space="preserve">A2.2 „Zlepšit dostupnost vnějšího financování pro začínající podnikatele a firmy s krátkou historií“ Národní </w:t>
      </w:r>
      <w:r w:rsidR="002B0AB0" w:rsidRPr="00DD47DF">
        <w:t>RI</w:t>
      </w:r>
      <w:r w:rsidR="000C7B9A" w:rsidRPr="00DD47DF">
        <w:t>S3 strategie.</w:t>
      </w:r>
    </w:p>
    <w:p w14:paraId="760E9BF8" w14:textId="2B0A9F27" w:rsidR="00527A16" w:rsidRPr="00DD47DF" w:rsidRDefault="00527A16" w:rsidP="00757916">
      <w:pPr>
        <w:pStyle w:val="Standardntext"/>
      </w:pPr>
      <w:r w:rsidRPr="00DD47DF">
        <w:rPr>
          <w:b/>
        </w:rPr>
        <w:t xml:space="preserve">Hlavní cílová skupina: </w:t>
      </w:r>
      <w:r w:rsidR="00E512C6" w:rsidRPr="00DD47DF">
        <w:t>Podnikatelské subjekty (malé a střední podniky).</w:t>
      </w:r>
    </w:p>
    <w:p w14:paraId="29828284" w14:textId="77777777" w:rsidR="00835369" w:rsidRPr="00DD47DF" w:rsidRDefault="00527A16" w:rsidP="00757916">
      <w:pPr>
        <w:pStyle w:val="Standardntext"/>
      </w:pPr>
      <w:r w:rsidRPr="00DD47DF">
        <w:rPr>
          <w:b/>
        </w:rPr>
        <w:t xml:space="preserve">Cílové území: </w:t>
      </w:r>
      <w:r w:rsidRPr="00DD47DF">
        <w:t>Území České republiky, mimo území hl. města Prahy</w:t>
      </w:r>
      <w:r w:rsidR="0066347A" w:rsidRPr="00DD47DF">
        <w:t xml:space="preserve">. </w:t>
      </w:r>
      <w:r w:rsidR="008819EE" w:rsidRPr="00DD47DF">
        <w:t xml:space="preserve">Z hlediska územní dimenze </w:t>
      </w:r>
      <w:r w:rsidR="00A46CD6" w:rsidRPr="00DD47DF">
        <w:t>bude tento specifický cíl zaměřen na hospodářsky problémov</w:t>
      </w:r>
      <w:r w:rsidR="00C859E0" w:rsidRPr="00DD47DF">
        <w:t>é regiony</w:t>
      </w:r>
      <w:r w:rsidR="00A46CD6" w:rsidRPr="00DD47DF">
        <w:t xml:space="preserve"> a území s vysokou mírou nezaměstnaností a dále urbánní území, kde se předpokládá zapojení do integrovaného nástroje ITI. Z tohoto pohledu je vhodné odlišit územní přístupy rovněž dle formy podpory; zatímco v případě finančních nástrojů se předpokládá plošné směřování intervencí, v případě dotací MSP</w:t>
      </w:r>
      <w:r w:rsidR="00584311" w:rsidRPr="00DD47DF">
        <w:t xml:space="preserve"> budou vyhlašovány výzvy na podporu projektů formou dotací prioritně</w:t>
      </w:r>
      <w:r w:rsidR="00A46CD6" w:rsidRPr="00DD47DF">
        <w:t xml:space="preserve"> pro mikropodniky </w:t>
      </w:r>
      <w:r w:rsidR="00584311" w:rsidRPr="00DD47DF">
        <w:t>s orientací</w:t>
      </w:r>
      <w:r w:rsidR="00A46CD6" w:rsidRPr="00DD47DF">
        <w:t xml:space="preserve"> na hospodářsky problémov</w:t>
      </w:r>
      <w:r w:rsidR="00C859E0" w:rsidRPr="00DD47DF">
        <w:t>é regiony</w:t>
      </w:r>
      <w:r w:rsidR="00A46CD6" w:rsidRPr="00DD47DF">
        <w:t xml:space="preserve"> a území s vysokou mírou nezaměstnanost</w:t>
      </w:r>
      <w:r w:rsidR="00D12D06" w:rsidRPr="00DD47DF">
        <w:t xml:space="preserve">i. </w:t>
      </w:r>
    </w:p>
    <w:p w14:paraId="0ED5BA87" w14:textId="5188730F" w:rsidR="00527A16" w:rsidRPr="00DD47DF" w:rsidRDefault="00527A16" w:rsidP="00757916">
      <w:pPr>
        <w:pStyle w:val="Standardntext"/>
      </w:pPr>
      <w:r w:rsidRPr="00DD47DF">
        <w:rPr>
          <w:b/>
        </w:rPr>
        <w:t xml:space="preserve">Typy příjemců: </w:t>
      </w:r>
      <w:r w:rsidR="00E512C6" w:rsidRPr="00DD47DF">
        <w:t>Podnikatelské su</w:t>
      </w:r>
      <w:r w:rsidR="006B4793" w:rsidRPr="00DD47DF">
        <w:t>bjekty (malé a střední podniky)</w:t>
      </w:r>
      <w:r w:rsidR="0066347A" w:rsidRPr="00DD47DF">
        <w:t xml:space="preserve"> ve výrobě a službách, </w:t>
      </w:r>
      <w:r w:rsidR="00F94571" w:rsidRPr="00DD47DF">
        <w:t>provozovatelé inovační infra</w:t>
      </w:r>
      <w:r w:rsidR="00BC2E13" w:rsidRPr="00DD47DF">
        <w:t>struktury</w:t>
      </w:r>
      <w:r w:rsidR="005C1834" w:rsidRPr="00DD47DF">
        <w:t xml:space="preserve"> jako jsou podnikatelské inkubátory, vědeckotechnické parky</w:t>
      </w:r>
      <w:r w:rsidR="001118FB" w:rsidRPr="00DD47DF">
        <w:t xml:space="preserve"> a inovační centra</w:t>
      </w:r>
      <w:r w:rsidR="00DD1A06" w:rsidRPr="00DD47DF">
        <w:t xml:space="preserve"> </w:t>
      </w:r>
      <w:r w:rsidR="006B4793" w:rsidRPr="00DD47DF">
        <w:t>(pouze pro aktivity poskytování poradenských služeb a služeb pro začínající</w:t>
      </w:r>
      <w:r w:rsidR="009D3179">
        <w:t xml:space="preserve"> </w:t>
      </w:r>
      <w:r w:rsidR="009D3179" w:rsidRPr="009D3179">
        <w:t>a rozvojové</w:t>
      </w:r>
      <w:r w:rsidR="006B4793" w:rsidRPr="00DD47DF">
        <w:t xml:space="preserve"> podniky)</w:t>
      </w:r>
      <w:r w:rsidR="0066347A" w:rsidRPr="00DD47DF">
        <w:t xml:space="preserve">; </w:t>
      </w:r>
      <w:r w:rsidR="007459FF" w:rsidRPr="00DD47DF">
        <w:t xml:space="preserve">v rámci tohoto specifického cíle budou </w:t>
      </w:r>
      <w:r w:rsidR="0066347A" w:rsidRPr="00DD47DF">
        <w:t xml:space="preserve">příjemci podpory </w:t>
      </w:r>
      <w:r w:rsidR="007459FF" w:rsidRPr="00DD47DF">
        <w:t>nezemědělští podnikatelé s výstupem projektu mimo položky</w:t>
      </w:r>
      <w:r w:rsidR="004038F0" w:rsidRPr="00DD47DF">
        <w:t xml:space="preserve"> obsažené v dodatku Smlouvy (o EU)</w:t>
      </w:r>
      <w:r w:rsidR="00112C3A" w:rsidRPr="00DD47DF">
        <w:t>, z</w:t>
      </w:r>
      <w:r w:rsidR="007459FF" w:rsidRPr="00DD47DF">
        <w:t>ároveň budou podporovány projekty zemědělských podnikatelů zaměřené na podnikatelské poradenství (nikoliv poradenství do zemědělské činnosti)</w:t>
      </w:r>
      <w:r w:rsidR="00112C3A" w:rsidRPr="00DD47DF">
        <w:t xml:space="preserve">. </w:t>
      </w:r>
    </w:p>
    <w:p w14:paraId="386185D7" w14:textId="77777777" w:rsidR="00F27129" w:rsidRPr="00DD47DF" w:rsidRDefault="00BA6461" w:rsidP="005F43DF">
      <w:pPr>
        <w:pStyle w:val="Nadpis5"/>
        <w:numPr>
          <w:ilvl w:val="4"/>
          <w:numId w:val="16"/>
        </w:numPr>
      </w:pPr>
      <w:r w:rsidRPr="00DD47DF">
        <w:t>Hlavní zásady pro výběr operací</w:t>
      </w:r>
    </w:p>
    <w:p w14:paraId="105856CF" w14:textId="77777777" w:rsidR="00FE3385" w:rsidRPr="00DD47DF" w:rsidRDefault="00FE3385" w:rsidP="00A3171C">
      <w:pPr>
        <w:pStyle w:val="Standardntext"/>
      </w:pPr>
      <w:r w:rsidRPr="00DD47DF">
        <w:t>Společné obecné zásady pro výběr operací pro všechny investiční priority celého OP PIK jsou uvedeny v prioritní ose 1 v oddíle 2.A.6.2.</w:t>
      </w:r>
    </w:p>
    <w:p w14:paraId="2807048A" w14:textId="77777777" w:rsidR="00794BE8" w:rsidRPr="00DD47DF" w:rsidRDefault="00794BE8" w:rsidP="00794BE8">
      <w:pPr>
        <w:pStyle w:val="Standardntext"/>
      </w:pPr>
      <w:r w:rsidRPr="00DD47DF">
        <w:t>V rámci výběru a hodnocení projektů budou posuzována především následující kritéria:</w:t>
      </w:r>
    </w:p>
    <w:p w14:paraId="3045E498" w14:textId="77777777" w:rsidR="00794BE8" w:rsidRPr="00DD47DF" w:rsidRDefault="00794BE8" w:rsidP="00D927A2">
      <w:pPr>
        <w:pStyle w:val="Standardntext"/>
        <w:numPr>
          <w:ilvl w:val="0"/>
          <w:numId w:val="43"/>
        </w:numPr>
      </w:pPr>
      <w:r w:rsidRPr="00DD47DF">
        <w:t xml:space="preserve">Kvalita a potřebnost projektu </w:t>
      </w:r>
      <w:r w:rsidR="00A438A6" w:rsidRPr="00DD47DF">
        <w:t xml:space="preserve">s ohledem na </w:t>
      </w:r>
      <w:r w:rsidR="004E1B49" w:rsidRPr="00DD47DF">
        <w:t>jeho</w:t>
      </w:r>
      <w:r w:rsidR="00A438A6" w:rsidRPr="00DD47DF">
        <w:t xml:space="preserve"> předpokládaný ekonomický přínos, nově vytvořená pracovní místa apod.</w:t>
      </w:r>
    </w:p>
    <w:p w14:paraId="045F797C" w14:textId="77777777" w:rsidR="00A438A6" w:rsidRPr="00DD47DF" w:rsidRDefault="00A438A6" w:rsidP="00D927A2">
      <w:pPr>
        <w:pStyle w:val="Standardntext"/>
        <w:numPr>
          <w:ilvl w:val="0"/>
          <w:numId w:val="43"/>
        </w:numPr>
      </w:pPr>
      <w:r w:rsidRPr="00DD47DF">
        <w:rPr>
          <w:iCs/>
        </w:rPr>
        <w:t>Projekty, které svou realizací prokáž</w:t>
      </w:r>
      <w:r w:rsidR="00634DCF" w:rsidRPr="00DD47DF">
        <w:rPr>
          <w:iCs/>
        </w:rPr>
        <w:t>ou</w:t>
      </w:r>
      <w:r w:rsidRPr="00DD47DF">
        <w:rPr>
          <w:iCs/>
        </w:rPr>
        <w:t xml:space="preserve"> vytvoření, udržitelnost nových pracovních míst a zaměstnání osob znevýhodněných na trhu práce (osoby se zdravotním postižením, matky s dětmi a další pečující osoby, senioři, příslušníci etnických menšin, včetně romské menšiny, cizinci, atd.) budou bonifikovány.</w:t>
      </w:r>
    </w:p>
    <w:p w14:paraId="5DC42A7D" w14:textId="77777777" w:rsidR="00794BE8" w:rsidRPr="00DD47DF" w:rsidRDefault="001963EC" w:rsidP="00D927A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D23729" w:rsidRPr="00DD47DF">
        <w:t xml:space="preserve"> (viz </w:t>
      </w:r>
      <w:r w:rsidR="00D23729" w:rsidRPr="00DD47DF">
        <w:rPr>
          <w:i/>
        </w:rPr>
        <w:t>Cílové území</w:t>
      </w:r>
      <w:r w:rsidR="00D23729" w:rsidRPr="00DD47DF">
        <w:t xml:space="preserve"> v</w:t>
      </w:r>
      <w:r w:rsidR="00C63CF5" w:rsidRPr="00DD47DF">
        <w:t> oddíle 2.A.6.1 a dále oddíl 4</w:t>
      </w:r>
      <w:r w:rsidR="00D23729" w:rsidRPr="00DD47DF">
        <w:t>)</w:t>
      </w:r>
      <w:r w:rsidRPr="00DD47DF">
        <w:t>.</w:t>
      </w:r>
      <w:r w:rsidR="00794BE8" w:rsidRPr="00DD47DF">
        <w:t> </w:t>
      </w:r>
    </w:p>
    <w:p w14:paraId="499EF033" w14:textId="77777777" w:rsidR="00FE3385" w:rsidRPr="00DD47DF" w:rsidRDefault="00FE3385" w:rsidP="00D927A2">
      <w:pPr>
        <w:pStyle w:val="Standardntext"/>
        <w:numPr>
          <w:ilvl w:val="0"/>
          <w:numId w:val="43"/>
        </w:numPr>
      </w:pPr>
      <w:r w:rsidRPr="00DD47DF">
        <w:t>Shoda relevantních projektů s Národní RIS3 strategií bude ověřena v rámci hodnocení projektu, a to z hlediska naplňování výběrových kritérií definovaných v příslušných výzvách.</w:t>
      </w:r>
    </w:p>
    <w:p w14:paraId="7171B8DB" w14:textId="77777777" w:rsidR="00794BE8" w:rsidRPr="00DD47DF" w:rsidRDefault="00794BE8"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2CD8BB7" w14:textId="77777777" w:rsidR="00794BE8" w:rsidRPr="00DD47DF" w:rsidRDefault="00637CF8" w:rsidP="00D927A2">
      <w:pPr>
        <w:pStyle w:val="Standardntext"/>
        <w:numPr>
          <w:ilvl w:val="0"/>
          <w:numId w:val="43"/>
        </w:numPr>
      </w:pPr>
      <w:r w:rsidRPr="00DD47DF">
        <w:lastRenderedPageBreak/>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1275C386" w14:textId="7E440E7E" w:rsidR="00794BE8" w:rsidRPr="00DD47DF" w:rsidRDefault="008F732B" w:rsidP="008F732B">
      <w:pPr>
        <w:pStyle w:val="Standardntext"/>
        <w:numPr>
          <w:ilvl w:val="0"/>
          <w:numId w:val="43"/>
        </w:numPr>
      </w:pPr>
      <w:r w:rsidRPr="008F732B">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4ADAAF90" w14:textId="77777777" w:rsidR="00346C12" w:rsidRPr="00DD47DF" w:rsidRDefault="00BA6461" w:rsidP="005F43DF">
      <w:pPr>
        <w:pStyle w:val="Nadpis5"/>
        <w:numPr>
          <w:ilvl w:val="4"/>
          <w:numId w:val="16"/>
        </w:numPr>
        <w:rPr>
          <w:rFonts w:cs="Calibri"/>
        </w:rPr>
      </w:pPr>
      <w:r w:rsidRPr="00DD47DF">
        <w:t xml:space="preserve">Plánované využití finančních nástrojů </w:t>
      </w:r>
    </w:p>
    <w:p w14:paraId="428E16E2" w14:textId="5B4F9064" w:rsidR="00527A16" w:rsidRPr="00DD47DF" w:rsidRDefault="00806FCA" w:rsidP="00AE26A2">
      <w:pPr>
        <w:pStyle w:val="Standardntext"/>
      </w:pPr>
      <w:r w:rsidRPr="00DD47DF">
        <w:t xml:space="preserve">Při provádění této investiční priority budou koneční příjemci podpořeni finančními nástroji. </w:t>
      </w:r>
      <w:r w:rsidR="000558FE" w:rsidRPr="00DD47DF">
        <w:t>Detaily stanoví Řídící orgán OP PIK na základě předběžného posouzení finančních nástrojů OP PIK dle čl. 37 odst. 2 obecného nařízení, případně jeho revize podle čl. 37 odst. 2 písm. g) obecného nařízení.</w:t>
      </w:r>
      <w:r w:rsidRPr="00DD47DF">
        <w:t xml:space="preserve"> </w:t>
      </w:r>
      <w:r w:rsidR="001049C5" w:rsidRPr="00DD47DF">
        <w:t>Předběžné posouzení finančních nástrojů musí být dokončeno dříve, než řídicí orgán rozhodne, že finanční nástroj obdrží příspěvek z programu.</w:t>
      </w:r>
      <w:r w:rsidR="00D753B0">
        <w:t xml:space="preserve"> </w:t>
      </w:r>
      <w:r w:rsidR="00D753B0" w:rsidRPr="00D753B0">
        <w:t>Příjemce v oblasti finančních nástrojů je povinen postupovat v souladu se schválenou investiční strategií finančního nástroje nebo fondu fondů připravené na základě předběžného posouzení finančních nástrojů, přičemž typy, příklady opatření a aktivity uvedené v části 2.A.6.1 mohou být v investiční strategii upraveny v souladu s běžnou tržní praxí a tedy přizpůsobeny specifickým podmínkám finančních nástrojů. Oddíl 2.A.6.2 Hlavní zásady pro výběr operací se vztahuje pouze k podpoře ve formě dotací, nikoliv pro FN. V případě finančních nástrojů kritéria pro výběr operací schvaluje Monitorovací výbor OP PIK.</w:t>
      </w:r>
    </w:p>
    <w:p w14:paraId="6010A155" w14:textId="77777777" w:rsidR="00346C12" w:rsidRPr="00DD47DF" w:rsidRDefault="00BA6461" w:rsidP="005F43DF">
      <w:pPr>
        <w:pStyle w:val="Nadpis5"/>
        <w:numPr>
          <w:ilvl w:val="4"/>
          <w:numId w:val="16"/>
        </w:numPr>
      </w:pPr>
      <w:r w:rsidRPr="00DD47DF">
        <w:t>Plánované využití velkých projektů (použije-li se)</w:t>
      </w:r>
    </w:p>
    <w:p w14:paraId="790A33C9" w14:textId="77777777" w:rsidR="008B5752" w:rsidRPr="00DD47DF" w:rsidRDefault="008B5752" w:rsidP="008B5752">
      <w:pPr>
        <w:pStyle w:val="Standardntext"/>
      </w:pPr>
      <w:r w:rsidRPr="00DD47DF">
        <w:t xml:space="preserve">Velké projekty ve smyslu čl. </w:t>
      </w:r>
      <w:r w:rsidR="006B7890" w:rsidRPr="00DD47DF">
        <w:t>10</w:t>
      </w:r>
      <w:r w:rsidRPr="00DD47DF">
        <w:t>0 obecného nařízení nejsou plánovány.</w:t>
      </w:r>
    </w:p>
    <w:p w14:paraId="1771942B" w14:textId="77777777" w:rsidR="00346C12" w:rsidRPr="00DD47DF" w:rsidRDefault="00BA6461" w:rsidP="005F43DF">
      <w:pPr>
        <w:pStyle w:val="Nadpis5"/>
        <w:numPr>
          <w:ilvl w:val="4"/>
          <w:numId w:val="16"/>
        </w:numPr>
      </w:pPr>
      <w:r w:rsidRPr="00DD47DF">
        <w:t>Ukazatele výstupů podle investiční priority a případně podle kategorie regionů</w:t>
      </w:r>
    </w:p>
    <w:p w14:paraId="7B4DE9B1" w14:textId="77777777" w:rsidR="00B40D97" w:rsidRPr="00DD47DF" w:rsidRDefault="00B40D97" w:rsidP="00D030DD">
      <w:pPr>
        <w:pStyle w:val="Titulek"/>
        <w:keepNext/>
        <w:keepLines/>
        <w:rPr>
          <w:rFonts w:cs="Calibri"/>
        </w:rPr>
      </w:pPr>
      <w:r w:rsidRPr="00DD47DF">
        <w:rPr>
          <w:rFonts w:cs="Calibri"/>
        </w:rPr>
        <w:t>Tabulka</w:t>
      </w:r>
      <w:r w:rsidR="00505E76" w:rsidRPr="00DD47DF">
        <w:rPr>
          <w:rFonts w:cs="Calibri"/>
        </w:rPr>
        <w:t xml:space="preserve"> </w:t>
      </w:r>
      <w:r w:rsidR="002756E7" w:rsidRPr="00DD47DF">
        <w:rPr>
          <w:rFonts w:cs="Calibri"/>
        </w:rPr>
        <w:fldChar w:fldCharType="begin"/>
      </w:r>
      <w:r w:rsidR="00505E76"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56"/>
        <w:gridCol w:w="2336"/>
        <w:gridCol w:w="1039"/>
        <w:gridCol w:w="665"/>
        <w:gridCol w:w="1202"/>
        <w:gridCol w:w="1464"/>
        <w:gridCol w:w="997"/>
        <w:gridCol w:w="1167"/>
      </w:tblGrid>
      <w:tr w:rsidR="001B2E5C" w:rsidRPr="00DD47DF" w14:paraId="31FF69AE" w14:textId="77777777">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0B34B7" w14:textId="77777777" w:rsidR="001B2E5C" w:rsidRPr="00DD47DF" w:rsidRDefault="001B2E5C" w:rsidP="001B2E5C">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F255C8" w14:textId="77777777" w:rsidR="001B2E5C" w:rsidRPr="00DD47DF" w:rsidRDefault="001B2E5C" w:rsidP="001B2E5C">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2D19288" w14:textId="77777777" w:rsidR="001B2E5C" w:rsidRPr="00DD47DF" w:rsidRDefault="001B2E5C" w:rsidP="001B2E5C">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CEF19B6" w14:textId="77777777" w:rsidR="001B2E5C" w:rsidRPr="00DD47DF" w:rsidRDefault="001B2E5C" w:rsidP="001B2E5C">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BBA3EB3" w14:textId="77777777" w:rsidR="001B2E5C" w:rsidRPr="00DD47DF" w:rsidRDefault="001B2E5C" w:rsidP="001B2E5C">
            <w:pPr>
              <w:pStyle w:val="Tabulka"/>
              <w:keepNext/>
              <w:keepLines/>
              <w:rPr>
                <w:rFonts w:cs="Calibri"/>
                <w:b/>
              </w:rPr>
            </w:pPr>
            <w:r w:rsidRPr="00DD47DF">
              <w:rPr>
                <w:rFonts w:cs="Calibri"/>
                <w:b/>
              </w:rPr>
              <w:t>Kategorie regionu</w:t>
            </w:r>
          </w:p>
        </w:tc>
        <w:tc>
          <w:tcPr>
            <w:tcW w:w="146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30432DD" w14:textId="77777777" w:rsidR="001B2E5C" w:rsidRPr="00DD47DF" w:rsidRDefault="001B2E5C" w:rsidP="00956C4F">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3204053" w14:textId="77777777" w:rsidR="001B2E5C" w:rsidRPr="00DD47DF" w:rsidRDefault="001B2E5C" w:rsidP="001B2E5C">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7506355" w14:textId="77777777" w:rsidR="001B2E5C" w:rsidRPr="00DD47DF" w:rsidRDefault="001B2E5C" w:rsidP="001B2E5C">
            <w:pPr>
              <w:pStyle w:val="Tabulka"/>
              <w:keepNext/>
              <w:keepLines/>
              <w:rPr>
                <w:rFonts w:cs="Calibri"/>
                <w:b/>
              </w:rPr>
            </w:pPr>
            <w:r w:rsidRPr="00DD47DF">
              <w:rPr>
                <w:rFonts w:cs="Calibri"/>
                <w:b/>
              </w:rPr>
              <w:t>Četnost podávání zpráv</w:t>
            </w:r>
          </w:p>
        </w:tc>
      </w:tr>
      <w:tr w:rsidR="00465C6C" w:rsidRPr="00DD47DF" w14:paraId="7EEC84F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E8612B7" w14:textId="575791F2" w:rsidR="00465C6C" w:rsidRPr="00DD47DF" w:rsidRDefault="00C75691" w:rsidP="00D030DD">
            <w:pPr>
              <w:pStyle w:val="Tabulka"/>
              <w:keepNext/>
              <w:keepLines/>
              <w:rPr>
                <w:rFonts w:cs="Calibri"/>
              </w:rPr>
            </w:pPr>
            <w:r w:rsidRPr="00DD47DF">
              <w:rPr>
                <w:rFonts w:cs="Calibri"/>
              </w:rPr>
              <w:t xml:space="preserve">CO </w:t>
            </w:r>
            <w:r w:rsidR="00EA7B06" w:rsidRPr="00DD47DF">
              <w:rPr>
                <w:rFonts w:cs="Calibri"/>
              </w:rPr>
              <w:t>0</w:t>
            </w:r>
            <w:r w:rsidR="00465C6C"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888D141" w14:textId="77777777" w:rsidR="00465C6C" w:rsidRPr="00DD47DF" w:rsidRDefault="007D6298" w:rsidP="00D030DD">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63D099D8" w14:textId="77777777" w:rsidR="00465C6C" w:rsidRPr="00DD47DF" w:rsidRDefault="00050E1B" w:rsidP="00D030DD">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4AAD2ED" w14:textId="77777777" w:rsidR="00465C6C" w:rsidRPr="00DD47DF" w:rsidRDefault="000C37B9" w:rsidP="000C37B9">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86AB7AC" w14:textId="77777777" w:rsidR="00465C6C" w:rsidRPr="00DD47DF" w:rsidRDefault="009974DF" w:rsidP="00D030DD">
            <w:pPr>
              <w:pStyle w:val="Tabulka"/>
              <w:keepNext/>
              <w:keepLines/>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711518B3" w14:textId="7C85CFF8" w:rsidR="00465C6C" w:rsidRPr="00DD47DF" w:rsidRDefault="00D1112B" w:rsidP="00642438">
            <w:pPr>
              <w:pStyle w:val="Tabulka"/>
              <w:keepNext/>
              <w:keepLines/>
              <w:rPr>
                <w:rFonts w:cs="Calibri"/>
              </w:rPr>
            </w:pPr>
            <w:r>
              <w:rPr>
                <w:rFonts w:cs="Calibri"/>
              </w:rPr>
              <w:t>6 050</w:t>
            </w:r>
          </w:p>
        </w:tc>
        <w:tc>
          <w:tcPr>
            <w:tcW w:w="665" w:type="dxa"/>
            <w:tcBorders>
              <w:top w:val="single" w:sz="4" w:space="0" w:color="000000"/>
              <w:left w:val="single" w:sz="4" w:space="0" w:color="000000"/>
              <w:bottom w:val="single" w:sz="4" w:space="0" w:color="000000"/>
              <w:right w:val="single" w:sz="4" w:space="0" w:color="000000"/>
            </w:tcBorders>
            <w:vAlign w:val="center"/>
          </w:tcPr>
          <w:p w14:paraId="5161755A" w14:textId="77777777" w:rsidR="00465C6C" w:rsidRPr="00DD47DF" w:rsidRDefault="00FC7054" w:rsidP="00D030DD">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2DFCDF2" w14:textId="77777777" w:rsidR="00465C6C" w:rsidRPr="00DD47DF" w:rsidRDefault="00FC7054" w:rsidP="00D030DD">
            <w:pPr>
              <w:pStyle w:val="Tabulka"/>
              <w:keepNext/>
              <w:keepLines/>
              <w:rPr>
                <w:rFonts w:cs="Calibri"/>
              </w:rPr>
            </w:pPr>
            <w:r>
              <w:rPr>
                <w:rFonts w:cs="Calibri"/>
              </w:rPr>
              <w:t>průběžně</w:t>
            </w:r>
          </w:p>
        </w:tc>
      </w:tr>
      <w:tr w:rsidR="006D1774" w:rsidRPr="00DD47DF" w14:paraId="3DC4E92A"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2B6FA6F" w14:textId="5586E7AD"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50B25F65" w14:textId="77777777" w:rsidR="006D1774" w:rsidRPr="00DD47DF" w:rsidRDefault="006D1774" w:rsidP="00F47B67">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602952F"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2210B5"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1E7A10F"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7E1A83DA" w14:textId="348866BD" w:rsidR="006D1774" w:rsidRPr="00DD47DF" w:rsidRDefault="00D1112B" w:rsidP="00D5733E">
            <w:pPr>
              <w:pStyle w:val="Tabulka"/>
              <w:rPr>
                <w:rFonts w:cs="Calibri"/>
              </w:rPr>
            </w:pPr>
            <w:r w:rsidRPr="002125F7">
              <w:rPr>
                <w:rFonts w:cs="Calibri"/>
              </w:rPr>
              <w:t>1 500</w:t>
            </w:r>
          </w:p>
        </w:tc>
        <w:tc>
          <w:tcPr>
            <w:tcW w:w="665" w:type="dxa"/>
            <w:tcBorders>
              <w:top w:val="single" w:sz="4" w:space="0" w:color="000000"/>
              <w:left w:val="single" w:sz="4" w:space="0" w:color="000000"/>
              <w:bottom w:val="single" w:sz="4" w:space="0" w:color="000000"/>
              <w:right w:val="single" w:sz="4" w:space="0" w:color="000000"/>
            </w:tcBorders>
            <w:vAlign w:val="center"/>
          </w:tcPr>
          <w:p w14:paraId="5A41465E" w14:textId="77777777" w:rsidR="006D1774" w:rsidRPr="00DD47DF" w:rsidRDefault="00FC7054"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15356DE0" w14:textId="77777777" w:rsidR="006D1774" w:rsidRPr="00DD47DF" w:rsidRDefault="00FC7054" w:rsidP="006D1774">
            <w:pPr>
              <w:pStyle w:val="Tabulka"/>
              <w:rPr>
                <w:rFonts w:cs="Calibri"/>
              </w:rPr>
            </w:pPr>
            <w:r>
              <w:rPr>
                <w:rFonts w:cs="Calibri"/>
              </w:rPr>
              <w:t>průběžně</w:t>
            </w:r>
          </w:p>
        </w:tc>
      </w:tr>
      <w:tr w:rsidR="006D1774" w:rsidRPr="00DD47DF" w14:paraId="501D3AE8"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631D257" w14:textId="3372ADDE"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005F2488" w14:textId="77777777" w:rsidR="006D1774" w:rsidRPr="00DD47DF" w:rsidRDefault="007D6298" w:rsidP="00F47B67">
            <w:pPr>
              <w:pStyle w:val="Tabulka"/>
              <w:jc w:val="left"/>
              <w:rPr>
                <w:rFonts w:cs="Calibri"/>
              </w:rPr>
            </w:pPr>
            <w:r w:rsidRPr="00DD47DF">
              <w:rPr>
                <w:rFonts w:cs="Calibri"/>
              </w:rPr>
              <w:t>Počet podniků p</w:t>
            </w:r>
            <w:r w:rsidR="00974E81">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D092F79"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446F2C65"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806F515"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3DF51107" w14:textId="2025E7A4" w:rsidR="006D1774" w:rsidRPr="00DD47DF" w:rsidRDefault="00D1112B" w:rsidP="00642438">
            <w:pPr>
              <w:pStyle w:val="Tabulka"/>
              <w:rPr>
                <w:rFonts w:cs="Calibri"/>
              </w:rPr>
            </w:pPr>
            <w:r>
              <w:rPr>
                <w:rFonts w:cs="Calibri"/>
              </w:rPr>
              <w:t>4 550</w:t>
            </w:r>
          </w:p>
        </w:tc>
        <w:tc>
          <w:tcPr>
            <w:tcW w:w="665" w:type="dxa"/>
            <w:tcBorders>
              <w:top w:val="single" w:sz="4" w:space="0" w:color="000000"/>
              <w:left w:val="single" w:sz="4" w:space="0" w:color="000000"/>
              <w:bottom w:val="single" w:sz="4" w:space="0" w:color="000000"/>
              <w:right w:val="single" w:sz="4" w:space="0" w:color="000000"/>
            </w:tcBorders>
            <w:vAlign w:val="center"/>
          </w:tcPr>
          <w:p w14:paraId="7D9B10AE" w14:textId="77777777" w:rsidR="006D1774" w:rsidRPr="00DD47DF" w:rsidRDefault="00392BCA"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40DBECEE" w14:textId="77777777" w:rsidR="006D1774" w:rsidRPr="00DD47DF" w:rsidRDefault="00392BCA" w:rsidP="006D1774">
            <w:pPr>
              <w:pStyle w:val="Tabulka"/>
              <w:rPr>
                <w:rFonts w:cs="Calibri"/>
              </w:rPr>
            </w:pPr>
            <w:r>
              <w:rPr>
                <w:rFonts w:cs="Calibri"/>
              </w:rPr>
              <w:t>průběžně</w:t>
            </w:r>
          </w:p>
        </w:tc>
      </w:tr>
      <w:tr w:rsidR="006D1774" w:rsidRPr="00DD47DF" w14:paraId="3D72C76A" w14:textId="77777777">
        <w:trPr>
          <w:trHeight w:val="934"/>
        </w:trPr>
        <w:tc>
          <w:tcPr>
            <w:tcW w:w="0" w:type="auto"/>
            <w:tcBorders>
              <w:top w:val="single" w:sz="4" w:space="0" w:color="000000"/>
              <w:left w:val="single" w:sz="4" w:space="0" w:color="000000"/>
              <w:bottom w:val="single" w:sz="4" w:space="0" w:color="000000"/>
              <w:right w:val="single" w:sz="4" w:space="0" w:color="000000"/>
            </w:tcBorders>
            <w:vAlign w:val="center"/>
          </w:tcPr>
          <w:p w14:paraId="0C69A4F6" w14:textId="5184E534" w:rsidR="006D1774" w:rsidRPr="00DD47DF" w:rsidRDefault="00C75691" w:rsidP="00F47B67">
            <w:pPr>
              <w:pStyle w:val="Tabulka"/>
              <w:rPr>
                <w:rFonts w:cs="Calibri"/>
              </w:rPr>
            </w:pPr>
            <w:r w:rsidRPr="00DD47DF">
              <w:rPr>
                <w:rFonts w:cs="Calibri"/>
              </w:rPr>
              <w:lastRenderedPageBreak/>
              <w:t xml:space="preserve">CO </w:t>
            </w:r>
            <w:r w:rsidR="00EA7B06" w:rsidRPr="00DD47DF">
              <w:rPr>
                <w:rFonts w:cs="Calibri"/>
              </w:rPr>
              <w:t>0</w:t>
            </w:r>
            <w:r w:rsidR="006D1774" w:rsidRPr="00DD47DF">
              <w:rPr>
                <w:rFonts w:cs="Calibri"/>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BEA1A34" w14:textId="77777777" w:rsidR="006D1774" w:rsidRPr="00DD47DF" w:rsidRDefault="00FE1B8C" w:rsidP="00F47B67">
            <w:pPr>
              <w:pStyle w:val="Tabulka"/>
              <w:jc w:val="left"/>
              <w:rPr>
                <w:rFonts w:cs="Calibri"/>
              </w:rPr>
            </w:pPr>
            <w:r w:rsidRPr="00DD47DF">
              <w:rPr>
                <w:rFonts w:cs="Calibri"/>
              </w:rPr>
              <w:t>Počet nových podniků, které dostávají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6EFC1681" w14:textId="77777777" w:rsidR="006D1774" w:rsidRPr="00DD47DF" w:rsidRDefault="006D1774" w:rsidP="00F47B67">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7F835FE"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83C3719"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691AB483" w14:textId="77777777" w:rsidR="006D1774" w:rsidRPr="00DD47DF" w:rsidRDefault="006D1774" w:rsidP="00F47B67">
            <w:pPr>
              <w:pStyle w:val="Tabulka"/>
              <w:rPr>
                <w:rFonts w:cs="Calibri"/>
              </w:rPr>
            </w:pPr>
            <w:r w:rsidRPr="00DD47DF">
              <w:rPr>
                <w:rFonts w:cs="Calibri"/>
              </w:rPr>
              <w:t>402</w:t>
            </w:r>
          </w:p>
        </w:tc>
        <w:tc>
          <w:tcPr>
            <w:tcW w:w="665" w:type="dxa"/>
            <w:tcBorders>
              <w:top w:val="single" w:sz="4" w:space="0" w:color="000000"/>
              <w:left w:val="single" w:sz="4" w:space="0" w:color="000000"/>
              <w:bottom w:val="single" w:sz="4" w:space="0" w:color="000000"/>
              <w:right w:val="single" w:sz="4" w:space="0" w:color="000000"/>
            </w:tcBorders>
            <w:vAlign w:val="center"/>
          </w:tcPr>
          <w:p w14:paraId="408BFE26" w14:textId="77777777" w:rsidR="006D1774" w:rsidRPr="00DD47DF" w:rsidRDefault="004C2A8C"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5A1DB9C" w14:textId="77777777" w:rsidR="006D1774" w:rsidRPr="00DD47DF" w:rsidRDefault="004C2A8C" w:rsidP="006D1774">
            <w:pPr>
              <w:pStyle w:val="Tabulka"/>
              <w:rPr>
                <w:rFonts w:cs="Calibri"/>
              </w:rPr>
            </w:pPr>
            <w:r>
              <w:rPr>
                <w:rFonts w:cs="Calibri"/>
              </w:rPr>
              <w:t>průběžně</w:t>
            </w:r>
          </w:p>
        </w:tc>
      </w:tr>
      <w:tr w:rsidR="006D1774" w:rsidRPr="00DD47DF" w14:paraId="5F0834AF"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758FBE1" w14:textId="7259E7A2"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2BC3E6CB" w14:textId="77777777" w:rsidR="006D1774" w:rsidRPr="00DD47DF" w:rsidRDefault="00892451" w:rsidP="00F47B67">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579BD8F" w14:textId="77777777" w:rsidR="006D1774" w:rsidRPr="00DD47DF" w:rsidRDefault="006D1774" w:rsidP="00F47B67">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A69D92F"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9BDCFCB"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11D971FF" w14:textId="69345186" w:rsidR="006D1774" w:rsidRPr="00DD47DF" w:rsidRDefault="00D1112B" w:rsidP="001C51E1">
            <w:pPr>
              <w:pStyle w:val="Tabulka"/>
              <w:rPr>
                <w:rFonts w:cs="Calibri"/>
              </w:rPr>
            </w:pPr>
            <w:r w:rsidRPr="00047F32">
              <w:rPr>
                <w:rFonts w:cs="Calibri"/>
              </w:rPr>
              <w:t>400 000 000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5DF6EF8B" w14:textId="77777777" w:rsidR="006D1774" w:rsidRPr="00DD47DF" w:rsidRDefault="00800418"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5509244" w14:textId="77777777" w:rsidR="006D1774" w:rsidRPr="00DD47DF" w:rsidRDefault="00934A97" w:rsidP="006D1774">
            <w:pPr>
              <w:pStyle w:val="Tabulka"/>
              <w:rPr>
                <w:rFonts w:cs="Calibri"/>
              </w:rPr>
            </w:pPr>
            <w:r>
              <w:rPr>
                <w:rFonts w:cs="Calibri"/>
              </w:rPr>
              <w:t>průběžně</w:t>
            </w:r>
          </w:p>
        </w:tc>
      </w:tr>
      <w:tr w:rsidR="006D1774" w:rsidRPr="00DD47DF" w14:paraId="391DDCC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8DA12B0" w14:textId="7E1839B1" w:rsidR="006D1774" w:rsidRPr="00DD47DF" w:rsidRDefault="00C75691" w:rsidP="00F47B67">
            <w:pPr>
              <w:pStyle w:val="Tabulka"/>
              <w:rPr>
                <w:rFonts w:cs="Calibri"/>
              </w:rPr>
            </w:pPr>
            <w:r w:rsidRPr="00DD47DF">
              <w:rPr>
                <w:rFonts w:cs="Calibri"/>
              </w:rPr>
              <w:t xml:space="preserve">CO </w:t>
            </w:r>
            <w:r w:rsidR="00EA7B06" w:rsidRPr="00DD47DF">
              <w:rPr>
                <w:rFonts w:cs="Calibri"/>
              </w:rPr>
              <w:t>0</w:t>
            </w:r>
            <w:r w:rsidR="006D1774" w:rsidRPr="00DD47DF">
              <w:rPr>
                <w:rFonts w:cs="Calibri"/>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410BC01B" w14:textId="77777777" w:rsidR="006D1774" w:rsidRPr="00DD47DF" w:rsidRDefault="006D0B6D" w:rsidP="00F47B67">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7AD5A14C" w14:textId="77777777" w:rsidR="006D1774" w:rsidRPr="00DD47DF" w:rsidRDefault="006D1774" w:rsidP="00F47B67">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099EA7A" w14:textId="77777777" w:rsidR="006D1774"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BC52C8D" w14:textId="77777777" w:rsidR="006D1774" w:rsidRPr="00DD47DF" w:rsidRDefault="006D1774"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364AFC28" w14:textId="02BBE9F3" w:rsidR="006D1774" w:rsidRPr="00DD47DF" w:rsidRDefault="00D1112B" w:rsidP="00D5733E">
            <w:pPr>
              <w:pStyle w:val="Tabulka"/>
              <w:rPr>
                <w:rFonts w:cs="Calibri"/>
              </w:rPr>
            </w:pPr>
            <w:r>
              <w:rPr>
                <w:rFonts w:cs="Calibri"/>
              </w:rPr>
              <w:t>1 170 000 000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75B869B0" w14:textId="77777777" w:rsidR="006D1774" w:rsidRPr="00DD47DF" w:rsidRDefault="00392BCA"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EBB7900" w14:textId="77777777" w:rsidR="006D1774" w:rsidRPr="00DD47DF" w:rsidRDefault="00392BCA" w:rsidP="006D1774">
            <w:pPr>
              <w:pStyle w:val="Tabulka"/>
              <w:rPr>
                <w:rFonts w:cs="Calibri"/>
              </w:rPr>
            </w:pPr>
            <w:r>
              <w:rPr>
                <w:rFonts w:cs="Calibri"/>
              </w:rPr>
              <w:t>průběžně</w:t>
            </w:r>
          </w:p>
        </w:tc>
      </w:tr>
      <w:tr w:rsidR="00F6040D" w:rsidRPr="00DD47DF" w14:paraId="35AB8C15" w14:textId="77777777" w:rsidTr="001D58DB">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49AB87B9" w14:textId="026A47A5" w:rsidR="00F6040D" w:rsidRPr="00DD47DF" w:rsidRDefault="00C75691" w:rsidP="008F41A1">
            <w:pPr>
              <w:pStyle w:val="Tabulka"/>
              <w:rPr>
                <w:rFonts w:cs="Calibri"/>
              </w:rPr>
            </w:pPr>
            <w:r w:rsidRPr="00DD47DF">
              <w:rPr>
                <w:rFonts w:cs="Calibri"/>
              </w:rPr>
              <w:t xml:space="preserve">CO </w:t>
            </w:r>
            <w:r w:rsidR="00EA7B06" w:rsidRPr="00DD47DF">
              <w:rPr>
                <w:rFonts w:cs="Calibri"/>
              </w:rPr>
              <w:t>0</w:t>
            </w:r>
            <w:r w:rsidR="00F6040D" w:rsidRPr="00DD47DF">
              <w:rPr>
                <w:rFonts w:cs="Calibri"/>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4829E58" w14:textId="77777777" w:rsidR="00F6040D" w:rsidRPr="00DD47DF" w:rsidRDefault="00F6040D" w:rsidP="008F41A1">
            <w:pPr>
              <w:pStyle w:val="Tabulka"/>
              <w:jc w:val="left"/>
              <w:rPr>
                <w:rFonts w:cs="Calibri"/>
              </w:rPr>
            </w:pPr>
            <w:r w:rsidRPr="00DD47DF">
              <w:rPr>
                <w:rFonts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14:paraId="32018384" w14:textId="77777777" w:rsidR="00F6040D" w:rsidRPr="00DD47DF" w:rsidRDefault="00F6040D" w:rsidP="008F41A1">
            <w:pPr>
              <w:pStyle w:val="Tabulka"/>
              <w:rPr>
                <w:rFonts w:cs="Calibri"/>
              </w:rPr>
            </w:pPr>
            <w:r w:rsidRPr="00DD47DF">
              <w:rPr>
                <w:rFonts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14:paraId="7F1F27DB" w14:textId="77777777" w:rsidR="00F6040D" w:rsidRPr="00DD47DF" w:rsidRDefault="000C37B9" w:rsidP="00F47B67">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948F2A5" w14:textId="77777777" w:rsidR="00F6040D" w:rsidRPr="00DD47DF" w:rsidRDefault="00F6040D" w:rsidP="009974DF">
            <w:pPr>
              <w:pStyle w:val="Tabulka"/>
              <w:rPr>
                <w:rFonts w:cs="Calibri"/>
              </w:rPr>
            </w:pPr>
            <w:r w:rsidRPr="00DD47DF">
              <w:rPr>
                <w:rFonts w:cs="Calibri"/>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14:paraId="2E9187F9" w14:textId="3052C5F9" w:rsidR="00F6040D" w:rsidRPr="00DD47DF" w:rsidRDefault="0016073A" w:rsidP="00757F45">
            <w:pPr>
              <w:pStyle w:val="Tabulka"/>
              <w:rPr>
                <w:rFonts w:cs="Calibri"/>
              </w:rPr>
            </w:pPr>
            <w:r>
              <w:rPr>
                <w:rFonts w:cs="Calibri"/>
              </w:rPr>
              <w:t>5 000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201A21BE" w14:textId="77777777" w:rsidR="00F6040D" w:rsidRPr="00DD47DF" w:rsidRDefault="00F6040D" w:rsidP="008F41A1">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58D380A" w14:textId="77777777" w:rsidR="00F6040D" w:rsidRPr="00DD47DF" w:rsidRDefault="00B404F7" w:rsidP="008F41A1">
            <w:pPr>
              <w:pStyle w:val="Tabulka"/>
              <w:rPr>
                <w:rFonts w:cs="Calibri"/>
              </w:rPr>
            </w:pPr>
            <w:r>
              <w:rPr>
                <w:rFonts w:cs="Calibri"/>
              </w:rPr>
              <w:t>průběžně</w:t>
            </w:r>
          </w:p>
        </w:tc>
      </w:tr>
    </w:tbl>
    <w:p w14:paraId="1129E12A" w14:textId="77777777" w:rsidR="008C7D72" w:rsidRPr="00DD47DF" w:rsidRDefault="008C7D72" w:rsidP="00DA3512">
      <w:pPr>
        <w:pStyle w:val="kapitola2A0"/>
        <w:numPr>
          <w:ilvl w:val="2"/>
          <w:numId w:val="64"/>
        </w:numPr>
      </w:pPr>
      <w:bookmarkStart w:id="46" w:name="_Toc351464373"/>
      <w:bookmarkStart w:id="47" w:name="_Toc129005384"/>
      <w:r w:rsidRPr="00DD47DF">
        <w:t>INVESTIČNÍ PRIORITA</w:t>
      </w:r>
      <w:r w:rsidR="00AA66A2" w:rsidRPr="00DD47DF">
        <w:t xml:space="preserve"> 2 prioritní osy 2</w:t>
      </w:r>
      <w:r w:rsidRPr="00DD47DF">
        <w:t>: Vyvíjení a provádění nových obchodních modelů pro MSP, zejména pro oblast mezinárodního obchodu</w:t>
      </w:r>
      <w:bookmarkEnd w:id="47"/>
    </w:p>
    <w:p w14:paraId="0EAFD271" w14:textId="77777777" w:rsidR="00EB13D9" w:rsidRPr="00DD47DF" w:rsidRDefault="008C7D72" w:rsidP="00DA3512">
      <w:pPr>
        <w:pStyle w:val="kapitola2A0"/>
        <w:numPr>
          <w:ilvl w:val="2"/>
          <w:numId w:val="64"/>
        </w:numPr>
      </w:pPr>
      <w:bookmarkStart w:id="48" w:name="_Toc129005385"/>
      <w:r w:rsidRPr="00DD47DF">
        <w:t>Specifické cíle odpovídající investiční prioritě a očekávané výsledky</w:t>
      </w:r>
      <w:bookmarkEnd w:id="48"/>
    </w:p>
    <w:p w14:paraId="0A28E5C9" w14:textId="77777777" w:rsidR="00EB13D9" w:rsidRPr="00DD47DF" w:rsidRDefault="00EB13D9" w:rsidP="00396141">
      <w:pPr>
        <w:pStyle w:val="Modrnadpis"/>
      </w:pPr>
      <w:r w:rsidRPr="00DD47DF">
        <w:t xml:space="preserve">SPECIFICKÝ CÍL </w:t>
      </w:r>
      <w:r w:rsidR="00C71E6F" w:rsidRPr="00DD47DF">
        <w:t>2.</w:t>
      </w:r>
      <w:r w:rsidRPr="00DD47DF">
        <w:t xml:space="preserve">2: </w:t>
      </w:r>
      <w:r w:rsidR="00FF3A47" w:rsidRPr="00DD47DF">
        <w:t>Zvýšit internacionalizaci malých a středních podniků</w:t>
      </w:r>
    </w:p>
    <w:bookmarkEnd w:id="46"/>
    <w:p w14:paraId="5E04145A" w14:textId="77777777" w:rsidR="001A5C2A" w:rsidRPr="00DD47DF" w:rsidRDefault="005E45B6" w:rsidP="00666B70">
      <w:pPr>
        <w:pStyle w:val="Standardntext"/>
      </w:pPr>
      <w:r w:rsidRPr="00DD47DF">
        <w:t>Konkurenceschopnost MSP a jejich růst jsou zásadním způsobem závislé na schopnosti MSP pronikat na nové a perspektivní zahraniční trhy. Expanze na nové trhy v zahraničí představuje možnost pro MSP dosáhnout posunu v těchto pozicích a orientovat se na výrobu pro koncové zákazníky. Hlavním cílem je zaměřit se na rozvoj internacionalizace podnikání v oblasti sofistikovaných služeb a poradenství a na MSP orientující se na nové zdroje růstu na zahraničních trzích.</w:t>
      </w:r>
    </w:p>
    <w:p w14:paraId="5D8DB3B5" w14:textId="77777777" w:rsidR="001A5C2A" w:rsidRPr="00DD47DF" w:rsidRDefault="003508A9" w:rsidP="001A5C2A">
      <w:pPr>
        <w:pStyle w:val="Modrnadpis"/>
      </w:pPr>
      <w:r w:rsidRPr="00DD47DF">
        <w:t>Výsledky, kterých chce ČR dosáhnout s podporou Unie</w:t>
      </w:r>
    </w:p>
    <w:p w14:paraId="20341FFD"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Zlepšení dostupnosti kvalitních poradenských služeb za účelem napomoci malým a středním podnikům k vyššímu využití tržních příležitostí.</w:t>
      </w:r>
    </w:p>
    <w:p w14:paraId="0ABC02B5"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 xml:space="preserve">Posílení schopnosti a marketinkové připravenosti malých a středních </w:t>
      </w:r>
      <w:r w:rsidR="00594BD9" w:rsidRPr="00DD47DF">
        <w:rPr>
          <w:rFonts w:cs="Calibri"/>
          <w:sz w:val="24"/>
          <w:szCs w:val="24"/>
        </w:rPr>
        <w:t>podniků</w:t>
      </w:r>
      <w:r w:rsidRPr="00DD47DF">
        <w:rPr>
          <w:rFonts w:cs="Calibri"/>
          <w:sz w:val="24"/>
          <w:szCs w:val="24"/>
        </w:rPr>
        <w:t xml:space="preserve"> nacházet nové trhy (územně i produktově) a vstupovat a udržet se na nich. S tím souvisí zvýšená schopnost mezinárodní expanze, rozšiřování exportní působnosti, výrobních a prodejních aktivit. </w:t>
      </w:r>
    </w:p>
    <w:p w14:paraId="69C08C67" w14:textId="77777777" w:rsidR="005E45B6" w:rsidRPr="00DD47DF" w:rsidRDefault="005E45B6" w:rsidP="00D927A2">
      <w:pPr>
        <w:pStyle w:val="Odstavecseseznamem1"/>
        <w:numPr>
          <w:ilvl w:val="0"/>
          <w:numId w:val="54"/>
        </w:numPr>
        <w:jc w:val="both"/>
        <w:rPr>
          <w:rFonts w:cs="Calibri"/>
          <w:sz w:val="24"/>
          <w:szCs w:val="24"/>
        </w:rPr>
      </w:pPr>
      <w:r w:rsidRPr="00DD47DF">
        <w:rPr>
          <w:rFonts w:cs="Calibri"/>
          <w:sz w:val="24"/>
          <w:szCs w:val="24"/>
        </w:rPr>
        <w:t xml:space="preserve">Zlepšení strategického plánování a řízení MSP povede k posílení schopnosti identifikovat nové příležitosti na zahraničních trzích, zvýšení účinnosti řízení klíčových </w:t>
      </w:r>
      <w:r w:rsidR="00594BD9" w:rsidRPr="00DD47DF">
        <w:rPr>
          <w:rFonts w:cs="Calibri"/>
          <w:sz w:val="24"/>
          <w:szCs w:val="24"/>
        </w:rPr>
        <w:t>podnikových</w:t>
      </w:r>
      <w:r w:rsidRPr="00DD47DF">
        <w:rPr>
          <w:rFonts w:cs="Calibri"/>
          <w:sz w:val="24"/>
          <w:szCs w:val="24"/>
        </w:rPr>
        <w:t xml:space="preserve"> procesů a celkovému posílení aktivního přístupu k řízení budoucí konkurenční výhody MSP (princip řízení z budoucnosti).</w:t>
      </w:r>
    </w:p>
    <w:p w14:paraId="1AD74388" w14:textId="77777777" w:rsidR="001A5C2A" w:rsidRPr="00DD47DF" w:rsidRDefault="005E45B6" w:rsidP="00D927A2">
      <w:pPr>
        <w:pStyle w:val="Standardntext"/>
        <w:numPr>
          <w:ilvl w:val="0"/>
          <w:numId w:val="54"/>
        </w:numPr>
      </w:pPr>
      <w:r w:rsidRPr="00DD47DF">
        <w:t>Zlepšení ekonomických výsledků endogenního podnikatelského sektoru v podobě růstu pod</w:t>
      </w:r>
      <w:r w:rsidR="000A3436" w:rsidRPr="00DD47DF">
        <w:t>ílu exportu na celkových výkonech</w:t>
      </w:r>
      <w:r w:rsidRPr="00DD47DF">
        <w:t xml:space="preserve"> povede ke stabilizaci podnikatelského prostředí a vytvoří tak prostor pro další rozvoj klíčových </w:t>
      </w:r>
      <w:r w:rsidR="009D1769" w:rsidRPr="00DD47DF">
        <w:t>kompetencí</w:t>
      </w:r>
      <w:r w:rsidR="000A3436" w:rsidRPr="00DD47DF">
        <w:t xml:space="preserve"> a vyšší diversifikaci exportu.</w:t>
      </w:r>
    </w:p>
    <w:p w14:paraId="4F467266" w14:textId="77777777" w:rsidR="00EB13D9" w:rsidRPr="00DD47DF" w:rsidRDefault="00EB13D9" w:rsidP="007B391E">
      <w:pPr>
        <w:pStyle w:val="Titulek"/>
        <w:keepNext/>
        <w:keepLines/>
        <w:rPr>
          <w:rFonts w:cs="Calibri"/>
        </w:rPr>
      </w:pPr>
      <w:r w:rsidRPr="00DD47DF">
        <w:rPr>
          <w:rFonts w:cs="Calibri"/>
        </w:rPr>
        <w:lastRenderedPageBreak/>
        <w:t>Tabulka</w:t>
      </w:r>
      <w:r w:rsidR="00955F90" w:rsidRPr="00DD47DF">
        <w:rPr>
          <w:rFonts w:cs="Calibri"/>
        </w:rPr>
        <w:t xml:space="preserve"> </w:t>
      </w:r>
      <w:r w:rsidR="002756E7" w:rsidRPr="00DD47DF">
        <w:rPr>
          <w:rFonts w:cs="Calibri"/>
        </w:rPr>
        <w:fldChar w:fldCharType="begin"/>
      </w:r>
      <w:r w:rsidR="00955F90"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708"/>
        <w:gridCol w:w="946"/>
        <w:gridCol w:w="1334"/>
        <w:gridCol w:w="955"/>
        <w:gridCol w:w="905"/>
        <w:gridCol w:w="997"/>
        <w:gridCol w:w="717"/>
        <w:gridCol w:w="1100"/>
      </w:tblGrid>
      <w:tr w:rsidR="00CF739D" w:rsidRPr="00DD47DF" w14:paraId="316C208B" w14:textId="77777777">
        <w:trPr>
          <w:trHeight w:hRule="exact" w:val="12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C9FA385" w14:textId="77777777" w:rsidR="00CF739D" w:rsidRPr="00DD47DF" w:rsidRDefault="00CF739D" w:rsidP="007B391E">
            <w:pPr>
              <w:pStyle w:val="Tabulka"/>
              <w:keepNext/>
              <w:keepLines/>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35117CE" w14:textId="77777777" w:rsidR="00CF739D" w:rsidRPr="00DD47DF" w:rsidRDefault="00CF739D" w:rsidP="007B391E">
            <w:pPr>
              <w:pStyle w:val="Tabulka"/>
              <w:keepNext/>
              <w:keepLines/>
              <w:rPr>
                <w:rFonts w:cs="Calibri"/>
                <w:b/>
                <w:bCs/>
              </w:rPr>
            </w:pPr>
            <w:r w:rsidRPr="00DD47DF">
              <w:rPr>
                <w:rFonts w:cs="Calibri"/>
                <w:b/>
                <w:bCs/>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90B28A9" w14:textId="77777777" w:rsidR="00CF739D" w:rsidRPr="00DD47DF" w:rsidRDefault="00CF739D" w:rsidP="007B391E">
            <w:pPr>
              <w:pStyle w:val="Tabulka"/>
              <w:keepNext/>
              <w:keepLines/>
              <w:rPr>
                <w:rFonts w:cs="Calibri"/>
                <w:b/>
                <w:bCs/>
              </w:rPr>
            </w:pPr>
            <w:r w:rsidRPr="00DD47DF">
              <w:rPr>
                <w:rFonts w:cs="Calibri"/>
                <w:b/>
                <w:bCs/>
              </w:rPr>
              <w:t>Měrná</w:t>
            </w:r>
          </w:p>
          <w:p w14:paraId="0C238163" w14:textId="77777777" w:rsidR="00CF739D" w:rsidRPr="00DD47DF" w:rsidRDefault="00CF739D" w:rsidP="007B391E">
            <w:pPr>
              <w:pStyle w:val="Tabulka"/>
              <w:keepNext/>
              <w:keepLines/>
              <w:rPr>
                <w:rFonts w:cs="Calibri"/>
                <w:b/>
                <w:bCs/>
              </w:rPr>
            </w:pPr>
            <w:r w:rsidRPr="00DD47DF">
              <w:rPr>
                <w:rFonts w:cs="Calibri"/>
                <w:b/>
                <w:bCs/>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92769F6" w14:textId="77777777" w:rsidR="00CF739D" w:rsidRPr="00DD47DF" w:rsidRDefault="00CF739D" w:rsidP="007B391E">
            <w:pPr>
              <w:pStyle w:val="Tabulka"/>
              <w:keepNext/>
              <w:keepLines/>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818E8A6" w14:textId="77777777" w:rsidR="00CF739D" w:rsidRPr="00DD47DF" w:rsidRDefault="004B0854" w:rsidP="007B391E">
            <w:pPr>
              <w:pStyle w:val="Tabulka"/>
              <w:keepNext/>
              <w:keepLines/>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EA1D975" w14:textId="77777777" w:rsidR="00CF739D" w:rsidRPr="00DD47DF" w:rsidRDefault="004B0854" w:rsidP="007B391E">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2203D56" w14:textId="77777777" w:rsidR="00CF739D" w:rsidRPr="00DD47DF" w:rsidRDefault="00CF739D" w:rsidP="007B391E">
            <w:pPr>
              <w:pStyle w:val="Tabulka"/>
              <w:keepNext/>
              <w:keepLines/>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9DDF24C" w14:textId="77777777" w:rsidR="00CF739D" w:rsidRPr="00DD47DF" w:rsidRDefault="00CF739D" w:rsidP="007B391E">
            <w:pPr>
              <w:pStyle w:val="Tabulka"/>
              <w:keepNext/>
              <w:keepLines/>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2A51039" w14:textId="77777777" w:rsidR="00CF739D" w:rsidRPr="00DD47DF" w:rsidRDefault="00CF739D" w:rsidP="007B391E">
            <w:pPr>
              <w:pStyle w:val="Tabulka"/>
              <w:keepNext/>
              <w:keepLines/>
              <w:rPr>
                <w:rFonts w:cs="Calibri"/>
                <w:b/>
                <w:bCs/>
              </w:rPr>
            </w:pPr>
            <w:r w:rsidRPr="00DD47DF">
              <w:rPr>
                <w:rFonts w:cs="Calibri"/>
                <w:b/>
                <w:bCs/>
              </w:rPr>
              <w:t>Četnost podávání zpráv</w:t>
            </w:r>
          </w:p>
        </w:tc>
      </w:tr>
      <w:tr w:rsidR="00EB13D9" w:rsidRPr="00DD47DF" w14:paraId="378CA7C6" w14:textId="77777777">
        <w:trPr>
          <w:trHeight w:hRule="exact" w:val="916"/>
        </w:trPr>
        <w:tc>
          <w:tcPr>
            <w:tcW w:w="0" w:type="auto"/>
            <w:tcBorders>
              <w:top w:val="single" w:sz="4" w:space="0" w:color="000000"/>
              <w:left w:val="single" w:sz="4" w:space="0" w:color="000000"/>
              <w:bottom w:val="single" w:sz="4" w:space="0" w:color="000000"/>
              <w:right w:val="single" w:sz="4" w:space="0" w:color="000000"/>
            </w:tcBorders>
            <w:vAlign w:val="center"/>
          </w:tcPr>
          <w:p w14:paraId="1C293310" w14:textId="77777777" w:rsidR="00EB13D9" w:rsidRPr="00DD47DF" w:rsidRDefault="00D6006C" w:rsidP="00EB13D9">
            <w:pPr>
              <w:pStyle w:val="Tabulka"/>
              <w:rPr>
                <w:rFonts w:cs="Calibri"/>
              </w:rPr>
            </w:pPr>
            <w:r w:rsidRPr="00DD47DF">
              <w:rPr>
                <w:rFonts w:cs="Calibri"/>
              </w:rPr>
              <w:t>10601</w:t>
            </w:r>
          </w:p>
        </w:tc>
        <w:tc>
          <w:tcPr>
            <w:tcW w:w="0" w:type="auto"/>
            <w:tcBorders>
              <w:top w:val="single" w:sz="4" w:space="0" w:color="000000"/>
              <w:left w:val="single" w:sz="4" w:space="0" w:color="000000"/>
              <w:bottom w:val="single" w:sz="4" w:space="0" w:color="000000"/>
              <w:right w:val="single" w:sz="4" w:space="0" w:color="000000"/>
            </w:tcBorders>
            <w:vAlign w:val="center"/>
          </w:tcPr>
          <w:p w14:paraId="7398B9FC" w14:textId="77777777" w:rsidR="00EB13D9" w:rsidRPr="00DD47DF" w:rsidRDefault="00AA6101" w:rsidP="00DC58DF">
            <w:pPr>
              <w:pStyle w:val="Tabulka"/>
              <w:jc w:val="left"/>
              <w:rPr>
                <w:rFonts w:cs="Calibri"/>
              </w:rPr>
            </w:pPr>
            <w:r w:rsidRPr="00DD47DF">
              <w:rPr>
                <w:rFonts w:cs="Calibri"/>
              </w:rPr>
              <w:t>Podíl exportu MSP/celkovým výkonům MSP</w:t>
            </w:r>
          </w:p>
        </w:tc>
        <w:tc>
          <w:tcPr>
            <w:tcW w:w="0" w:type="auto"/>
            <w:tcBorders>
              <w:top w:val="single" w:sz="4" w:space="0" w:color="000000"/>
              <w:left w:val="single" w:sz="4" w:space="0" w:color="000000"/>
              <w:bottom w:val="single" w:sz="4" w:space="0" w:color="000000"/>
              <w:right w:val="single" w:sz="4" w:space="0" w:color="000000"/>
            </w:tcBorders>
            <w:vAlign w:val="center"/>
          </w:tcPr>
          <w:p w14:paraId="4523FC32" w14:textId="77777777" w:rsidR="00EB13D9" w:rsidRPr="00DD47DF" w:rsidRDefault="00AA6101" w:rsidP="00EB13D9">
            <w:pPr>
              <w:pStyle w:val="Tabulka"/>
              <w:rPr>
                <w:rFonts w:cs="Calibri"/>
              </w:rPr>
            </w:pPr>
            <w:r w:rsidRPr="00DD47DF">
              <w:rPr>
                <w:rFonts w:cs="Calibri"/>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08EE98D" w14:textId="77777777" w:rsidR="00EB13D9" w:rsidRPr="00DD47DF" w:rsidRDefault="00AA6101" w:rsidP="00EB13D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5A28277" w14:textId="1C4BDD29" w:rsidR="00EB13D9" w:rsidRPr="00DD47DF" w:rsidRDefault="009760C4" w:rsidP="00EB13D9">
            <w:pPr>
              <w:pStyle w:val="Tabulka"/>
              <w:rPr>
                <w:rFonts w:cs="Calibri"/>
              </w:rPr>
            </w:pPr>
            <w:r>
              <w:rPr>
                <w:rFonts w:cs="Calibri"/>
              </w:rPr>
              <w:t>21,2</w:t>
            </w:r>
          </w:p>
        </w:tc>
        <w:tc>
          <w:tcPr>
            <w:tcW w:w="0" w:type="auto"/>
            <w:tcBorders>
              <w:top w:val="single" w:sz="4" w:space="0" w:color="000000"/>
              <w:left w:val="single" w:sz="4" w:space="0" w:color="000000"/>
              <w:bottom w:val="single" w:sz="4" w:space="0" w:color="000000"/>
              <w:right w:val="single" w:sz="4" w:space="0" w:color="000000"/>
            </w:tcBorders>
            <w:vAlign w:val="center"/>
          </w:tcPr>
          <w:p w14:paraId="5673EA91" w14:textId="257037B3" w:rsidR="00EB13D9" w:rsidRPr="00DD47DF" w:rsidRDefault="009760C4" w:rsidP="00EB13D9">
            <w:pPr>
              <w:pStyle w:val="Tabulka"/>
              <w:rPr>
                <w:rFonts w:cs="Calibri"/>
              </w:rPr>
            </w:pPr>
            <w:r>
              <w:rPr>
                <w:rFonts w:cs="Calibri"/>
              </w:rPr>
              <w:t>2013</w:t>
            </w:r>
          </w:p>
        </w:tc>
        <w:tc>
          <w:tcPr>
            <w:tcW w:w="0" w:type="auto"/>
            <w:tcBorders>
              <w:top w:val="single" w:sz="4" w:space="0" w:color="000000"/>
              <w:left w:val="single" w:sz="4" w:space="0" w:color="000000"/>
              <w:bottom w:val="single" w:sz="4" w:space="0" w:color="000000"/>
              <w:right w:val="single" w:sz="4" w:space="0" w:color="000000"/>
            </w:tcBorders>
            <w:vAlign w:val="center"/>
          </w:tcPr>
          <w:p w14:paraId="37FAA6A0" w14:textId="225A26E2" w:rsidR="00EB13D9" w:rsidRPr="00DD47DF" w:rsidRDefault="009760C4" w:rsidP="009760C4">
            <w:pPr>
              <w:pStyle w:val="Tabulka"/>
              <w:rPr>
                <w:rFonts w:cs="Calibri"/>
              </w:rPr>
            </w:pPr>
            <w:r>
              <w:rPr>
                <w:rFonts w:cs="Calibri"/>
              </w:rPr>
              <w:t>22,3</w:t>
            </w:r>
            <w:r w:rsidR="006A2A56" w:rsidRPr="00DD47DF">
              <w:rPr>
                <w:rFonts w:cs="Calibri"/>
              </w:rPr>
              <w:t xml:space="preserve"> – </w:t>
            </w:r>
            <w:r>
              <w:rPr>
                <w:rFonts w:cs="Calibri"/>
              </w:rPr>
              <w:t>23,8</w:t>
            </w:r>
            <w:r w:rsidR="00E82B5E" w:rsidRPr="00DD47DF">
              <w:rPr>
                <w:rStyle w:val="Znakapoznpodarou"/>
                <w:rFonts w:cs="Calibri"/>
              </w:rPr>
              <w:footnoteReference w:id="52"/>
            </w:r>
          </w:p>
        </w:tc>
        <w:tc>
          <w:tcPr>
            <w:tcW w:w="0" w:type="auto"/>
            <w:tcBorders>
              <w:top w:val="single" w:sz="4" w:space="0" w:color="000000"/>
              <w:left w:val="single" w:sz="4" w:space="0" w:color="000000"/>
              <w:bottom w:val="single" w:sz="4" w:space="0" w:color="000000"/>
              <w:right w:val="single" w:sz="4" w:space="0" w:color="000000"/>
            </w:tcBorders>
            <w:vAlign w:val="center"/>
          </w:tcPr>
          <w:p w14:paraId="25D71BD2" w14:textId="77777777" w:rsidR="00EB13D9" w:rsidRPr="00DD47DF" w:rsidRDefault="00CD39F7" w:rsidP="00D55F1B">
            <w:pPr>
              <w:pStyle w:val="Tabulka"/>
              <w:rPr>
                <w:rFonts w:cs="Calibri"/>
              </w:rPr>
            </w:pPr>
            <w:r>
              <w:rPr>
                <w:rFonts w:cs="Calibri"/>
              </w:rPr>
              <w:t>MPO</w:t>
            </w:r>
          </w:p>
        </w:tc>
        <w:tc>
          <w:tcPr>
            <w:tcW w:w="0" w:type="auto"/>
            <w:tcBorders>
              <w:top w:val="single" w:sz="4" w:space="0" w:color="000000"/>
              <w:left w:val="single" w:sz="4" w:space="0" w:color="000000"/>
              <w:bottom w:val="single" w:sz="4" w:space="0" w:color="000000"/>
              <w:right w:val="single" w:sz="4" w:space="0" w:color="000000"/>
            </w:tcBorders>
            <w:vAlign w:val="center"/>
          </w:tcPr>
          <w:p w14:paraId="48531D02" w14:textId="77777777" w:rsidR="00EB13D9" w:rsidRPr="00DD47DF" w:rsidRDefault="00AA6101" w:rsidP="00EB13D9">
            <w:pPr>
              <w:pStyle w:val="Tabulka"/>
              <w:rPr>
                <w:rFonts w:cs="Calibri"/>
              </w:rPr>
            </w:pPr>
            <w:r w:rsidRPr="00DD47DF">
              <w:rPr>
                <w:rFonts w:cs="Calibri"/>
              </w:rPr>
              <w:t>ročně</w:t>
            </w:r>
          </w:p>
        </w:tc>
      </w:tr>
    </w:tbl>
    <w:p w14:paraId="2A0D2CCD" w14:textId="77777777" w:rsidR="00955F90" w:rsidRPr="00DD47DF" w:rsidRDefault="001B2E5C" w:rsidP="00D927A2">
      <w:pPr>
        <w:pStyle w:val="kapitola2A0"/>
        <w:numPr>
          <w:ilvl w:val="2"/>
          <w:numId w:val="64"/>
        </w:numPr>
      </w:pPr>
      <w:bookmarkStart w:id="49" w:name="_Toc129005386"/>
      <w:r w:rsidRPr="00DD47DF">
        <w:t>Opatření, jež má být podpořeno v rámci investiční priority</w:t>
      </w:r>
      <w:bookmarkEnd w:id="49"/>
    </w:p>
    <w:p w14:paraId="567C6E17" w14:textId="77777777" w:rsidR="00955F90" w:rsidRPr="00DD47DF" w:rsidRDefault="00D479AF" w:rsidP="005F43DF">
      <w:pPr>
        <w:pStyle w:val="Nadpis5"/>
        <w:numPr>
          <w:ilvl w:val="4"/>
          <w:numId w:val="19"/>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7E985C57" w14:textId="77777777" w:rsidR="00955F90" w:rsidRPr="00DD47DF" w:rsidRDefault="000A2EB4" w:rsidP="00DF4F92">
      <w:pPr>
        <w:pStyle w:val="Standardntext"/>
        <w:rPr>
          <w:b/>
        </w:rPr>
      </w:pPr>
      <w:r w:rsidRPr="00DD47DF">
        <w:rPr>
          <w:b/>
        </w:rPr>
        <w:t>Aktivity pro tento specifický cíl:</w:t>
      </w:r>
    </w:p>
    <w:p w14:paraId="361B7CB4" w14:textId="3CF609F0" w:rsidR="00955F90" w:rsidRPr="00DD47DF" w:rsidRDefault="004A326E" w:rsidP="00D927A2">
      <w:pPr>
        <w:pStyle w:val="Standardntext"/>
        <w:numPr>
          <w:ilvl w:val="0"/>
          <w:numId w:val="45"/>
        </w:numPr>
      </w:pPr>
      <w:r w:rsidRPr="00DD47DF">
        <w:t xml:space="preserve">Služby pro MSP zaměřené na mezinárodní konkurenceschopnost usnadňující vstup na zahraniční trhy (účast na zahraničních výstavách a veletrzích, </w:t>
      </w:r>
      <w:r w:rsidR="00D83EFD" w:rsidRPr="00D83EFD">
        <w:t>konaných i online formou</w:t>
      </w:r>
      <w:r w:rsidR="00D83EFD">
        <w:t xml:space="preserve">, </w:t>
      </w:r>
      <w:r w:rsidRPr="00DD47DF">
        <w:t>včetně organizace seminářů/akcí se zaměřením na konkrétní problematiku týkající se mezinárodní konkurenceschopnosti, např. právní aspekty daného teritoria aj.)</w:t>
      </w:r>
      <w:r w:rsidR="00955F90" w:rsidRPr="00DD47DF">
        <w:t>,</w:t>
      </w:r>
    </w:p>
    <w:p w14:paraId="578BCC0C" w14:textId="77777777" w:rsidR="00955F90" w:rsidRPr="00DD47DF" w:rsidRDefault="00AF1B5E" w:rsidP="00D927A2">
      <w:pPr>
        <w:pStyle w:val="Standardntext"/>
        <w:numPr>
          <w:ilvl w:val="0"/>
          <w:numId w:val="45"/>
        </w:numPr>
      </w:pPr>
      <w:r w:rsidRPr="00DD47DF">
        <w:t xml:space="preserve">sofistikované </w:t>
      </w:r>
      <w:r w:rsidR="00FA534B" w:rsidRPr="00DD47DF">
        <w:t>p</w:t>
      </w:r>
      <w:r w:rsidR="004A326E" w:rsidRPr="00DD47DF">
        <w:t>oradenské služby expertů se znalostí mezinárodního prostředí (se specifickou teritoriální znalostí) a poradenské služby pro strategické řízení a management inovací (mentoring, koučin</w:t>
      </w:r>
      <w:r w:rsidR="001F0603" w:rsidRPr="00DD47DF">
        <w:t>g</w:t>
      </w:r>
      <w:r w:rsidR="004A326E" w:rsidRPr="00DD47DF">
        <w:t>, foresight ad.)</w:t>
      </w:r>
      <w:r w:rsidR="00955F90" w:rsidRPr="00DD47DF">
        <w:t xml:space="preserve">, </w:t>
      </w:r>
    </w:p>
    <w:p w14:paraId="291FCD37" w14:textId="77777777" w:rsidR="00955F90" w:rsidRPr="00DD47DF" w:rsidRDefault="00FA534B" w:rsidP="00D927A2">
      <w:pPr>
        <w:pStyle w:val="Standardntext"/>
        <w:numPr>
          <w:ilvl w:val="0"/>
          <w:numId w:val="45"/>
        </w:numPr>
      </w:pPr>
      <w:r w:rsidRPr="00DD47DF">
        <w:t>s</w:t>
      </w:r>
      <w:r w:rsidR="00666B70" w:rsidRPr="00DD47DF">
        <w:t xml:space="preserve">lužby </w:t>
      </w:r>
      <w:r w:rsidR="00D659E9" w:rsidRPr="00DD47DF">
        <w:t xml:space="preserve">zaměřené na podporu internacionalizace zapojováním MSP do </w:t>
      </w:r>
      <w:r w:rsidR="00E211BC" w:rsidRPr="00DD47DF">
        <w:t xml:space="preserve">mezinárodních programů, jako např. v oblasti </w:t>
      </w:r>
      <w:r w:rsidR="00D659E9" w:rsidRPr="00DD47DF">
        <w:t>výzkumné spolupráce</w:t>
      </w:r>
      <w:r w:rsidR="00666B70" w:rsidRPr="00DD47DF">
        <w:t xml:space="preserve"> (</w:t>
      </w:r>
      <w:r w:rsidR="0087102E" w:rsidRPr="00DD47DF">
        <w:t>Horizont 2020</w:t>
      </w:r>
      <w:r w:rsidR="005D4217" w:rsidRPr="00DD47DF">
        <w:t>, COSME</w:t>
      </w:r>
      <w:r w:rsidR="00666B70" w:rsidRPr="00DD47DF">
        <w:t>)</w:t>
      </w:r>
      <w:r w:rsidR="00D659E9" w:rsidRPr="00DD47DF">
        <w:t>.</w:t>
      </w:r>
    </w:p>
    <w:p w14:paraId="44107D30" w14:textId="77777777" w:rsidR="005368EE" w:rsidRPr="00DD47DF" w:rsidRDefault="005368EE" w:rsidP="0027274C">
      <w:pPr>
        <w:pStyle w:val="Standardntext"/>
      </w:pPr>
      <w:r w:rsidRPr="00DD47DF">
        <w:t xml:space="preserve">Aktivity SC 2.2 zaměřené na zvyšování mezinárodní konkurenceschopnosti MSP vycházejí ze zkušeností z realizovaných podpor v programech </w:t>
      </w:r>
      <w:r w:rsidR="00AB0F33" w:rsidRPr="00DD47DF">
        <w:t xml:space="preserve">podpory </w:t>
      </w:r>
      <w:r w:rsidRPr="00DD47DF">
        <w:t xml:space="preserve">OPPI </w:t>
      </w:r>
      <w:r w:rsidRPr="00DD47DF">
        <w:rPr>
          <w:i/>
        </w:rPr>
        <w:t>Poradenství</w:t>
      </w:r>
      <w:r w:rsidRPr="00DD47DF">
        <w:t xml:space="preserve"> a </w:t>
      </w:r>
      <w:r w:rsidRPr="00DD47DF">
        <w:rPr>
          <w:i/>
        </w:rPr>
        <w:t>Marketing</w:t>
      </w:r>
      <w:r w:rsidRPr="00DD47DF">
        <w:t xml:space="preserve"> a specializují se na podpory individuálních a společných účastí MSP na zahraničních výstavách a veletrzích, na poradenské služby se znalostí mezinárodního prostředí a služby na podporu internacionalizace MSP. Dosavadní poznatky z realizace těchto služeb pro MSP, z organizace a přínosů veletržních účastí, </w:t>
      </w:r>
      <w:r w:rsidR="00AB0F33" w:rsidRPr="00DD47DF">
        <w:t xml:space="preserve">interních </w:t>
      </w:r>
      <w:r w:rsidRPr="00DD47DF">
        <w:t xml:space="preserve">projektů </w:t>
      </w:r>
      <w:r w:rsidRPr="00DD47DF">
        <w:rPr>
          <w:i/>
        </w:rPr>
        <w:t>CzechAccelerator</w:t>
      </w:r>
      <w:r w:rsidRPr="00DD47DF">
        <w:t xml:space="preserve">, </w:t>
      </w:r>
      <w:r w:rsidRPr="00DD47DF">
        <w:rPr>
          <w:i/>
        </w:rPr>
        <w:t>CzechEkoSystem</w:t>
      </w:r>
      <w:r w:rsidRPr="00DD47DF">
        <w:t xml:space="preserve">, </w:t>
      </w:r>
      <w:r w:rsidRPr="00DD47DF">
        <w:rPr>
          <w:i/>
        </w:rPr>
        <w:t>Design</w:t>
      </w:r>
      <w:r w:rsidR="00AF1B5E" w:rsidRPr="00DD47DF">
        <w:rPr>
          <w:i/>
        </w:rPr>
        <w:t xml:space="preserve"> pro konkurenceschopnost 2013-2014</w:t>
      </w:r>
      <w:r w:rsidRPr="00DD47DF">
        <w:t xml:space="preserve"> a </w:t>
      </w:r>
      <w:r w:rsidR="00AF1B5E" w:rsidRPr="00DD47DF">
        <w:rPr>
          <w:i/>
        </w:rPr>
        <w:t>Posílení mezinárodní konkurenceschopnosti českých podniků v oblasti kosmických technologií</w:t>
      </w:r>
      <w:r w:rsidR="009D1769" w:rsidRPr="00DD47DF">
        <w:t xml:space="preserve"> jsou využívány v přípravě systému podpory v navržených oblastech SC 2.2 v programovacím období 2014 – 2020. </w:t>
      </w:r>
      <w:r w:rsidR="00023054" w:rsidRPr="00DD47DF">
        <w:t xml:space="preserve">Zohledňovány budou zejména </w:t>
      </w:r>
      <w:r w:rsidR="009D1769" w:rsidRPr="00DD47DF">
        <w:t xml:space="preserve">zkušenosti </w:t>
      </w:r>
      <w:r w:rsidR="00023054" w:rsidRPr="00DD47DF">
        <w:t>a reakce</w:t>
      </w:r>
      <w:r w:rsidR="009D1769" w:rsidRPr="00DD47DF">
        <w:t xml:space="preserve"> MSP na poskytované služby a výši podpory, zkušenosti s výběrem dodavatelů, nastavením výběrových kritérií, hodnocením projektů externími hodnotiteli a také s administrací projektů. </w:t>
      </w:r>
      <w:r w:rsidRPr="00DD47DF">
        <w:t xml:space="preserve">Poznatky z pilotního ověření realizace </w:t>
      </w:r>
      <w:r w:rsidR="00F229AC" w:rsidRPr="00DD47DF">
        <w:t xml:space="preserve">takovýchto </w:t>
      </w:r>
      <w:r w:rsidRPr="00DD47DF">
        <w:t>projektů poskytujících služby MSP j</w:t>
      </w:r>
      <w:r w:rsidR="009D1769" w:rsidRPr="00DD47DF">
        <w:t>sou</w:t>
      </w:r>
      <w:r w:rsidRPr="00DD47DF">
        <w:t xml:space="preserve"> dalším potenciálem využitelným v přípravě programů a projektů z této oblasti pro období 2014 – 2020.</w:t>
      </w:r>
    </w:p>
    <w:p w14:paraId="479F7BD8" w14:textId="0749FEC5" w:rsidR="009D1769" w:rsidRPr="00DD47DF" w:rsidRDefault="0027274C" w:rsidP="009D1769">
      <w:pPr>
        <w:pStyle w:val="Standardntext"/>
      </w:pPr>
      <w:r w:rsidRPr="00DD47DF">
        <w:lastRenderedPageBreak/>
        <w:t>Typový projekt v o</w:t>
      </w:r>
      <w:r w:rsidR="00840AC4" w:rsidRPr="00DD47DF">
        <w:t xml:space="preserve">blasti služeb pro MSP </w:t>
      </w:r>
      <w:r w:rsidR="00AF1B5E" w:rsidRPr="00DD47DF">
        <w:t>na</w:t>
      </w:r>
      <w:r w:rsidR="00AB7642" w:rsidRPr="00DD47DF">
        <w:t xml:space="preserve"> podporu</w:t>
      </w:r>
      <w:r w:rsidRPr="00DD47DF">
        <w:t xml:space="preserve"> mezinárodní konkurenceschopnost</w:t>
      </w:r>
      <w:r w:rsidR="00AB7642" w:rsidRPr="00DD47DF">
        <w:t>i</w:t>
      </w:r>
      <w:r w:rsidRPr="00DD47DF">
        <w:t xml:space="preserve"> usnadňující vstup na zahraniční trhy</w:t>
      </w:r>
      <w:r w:rsidR="00840AC4" w:rsidRPr="00DD47DF">
        <w:t xml:space="preserve"> bude podporovat</w:t>
      </w:r>
      <w:r w:rsidR="00AB7642" w:rsidRPr="00DD47DF">
        <w:t xml:space="preserve"> specializované asistenční služby, rozvíjející internacionalizační know-how podpořených MSP, např. služby zaměřené na tvorbu nových exportních strategií MSP, jako jsou služby související se vzděláváním exportujících MSP (teritoriální semináře), </w:t>
      </w:r>
      <w:r w:rsidR="00781B41" w:rsidRPr="00DD47DF">
        <w:t xml:space="preserve">tvorba a úprava podnikatelských plánů pro zahraniční trh, </w:t>
      </w:r>
      <w:r w:rsidR="00AB7642" w:rsidRPr="00DD47DF">
        <w:t>analýzy k plánování a designu nových produktů včetně posouzení jejich tržního potenciálu, vyhledávání cílových skupin v daném teritoriu, asistenční služby spojené s legislativními požadavky vstupu na konkrétní zahraniční trh (např. technické normy a certifikáty) nebo pobyt MSP v zahraničních výzkumných inkubátorech ve vybraných destinacích s možností networkingu</w:t>
      </w:r>
      <w:r w:rsidR="00781B41" w:rsidRPr="00DD47DF">
        <w:t xml:space="preserve"> (s potenciálními obchodními partnery, investory atd.), čerpání poradenských služeb, mentoringu, couchingu usnadňují vstup na zahraniční trh (viz. výše). Podpora účasti MSP na prezentacích před investory (business angels, Venture capital), účasti v akceleračních programech a účasti na významných mezinárodních start</w:t>
      </w:r>
      <w:r w:rsidR="00634DCF" w:rsidRPr="00DD47DF">
        <w:t>-</w:t>
      </w:r>
      <w:r w:rsidR="00781B41" w:rsidRPr="00DD47DF">
        <w:t xml:space="preserve">upových akcích (festivalech, konferencích atd.). Tyto služby přispějí rovněž k vytváření ucelených marketingových a obchodních strategií u konkrétních MSP, které jim umožní vstoupit na jiné trhy. Tvorba obchodní strategie v sobě zahrnuje vedle identifikace obchodních příležitostí i koncepci komunikace s cílovými skupinami. </w:t>
      </w:r>
      <w:r w:rsidR="00AB7642" w:rsidRPr="00DD47DF">
        <w:t>Dále bude podpořena účast MSP na zahraničních veletrzích, zahrnující</w:t>
      </w:r>
      <w:r w:rsidRPr="00DD47DF">
        <w:t xml:space="preserve"> pronájem výstavních ploch, technické </w:t>
      </w:r>
      <w:r w:rsidR="00781B41" w:rsidRPr="00DD47DF">
        <w:t xml:space="preserve">a architektonické </w:t>
      </w:r>
      <w:r w:rsidRPr="00DD47DF">
        <w:t>návrhy, pronájem a montáž výstavní expozice včetně nezbytného zařízení</w:t>
      </w:r>
      <w:r w:rsidR="00AB0F33" w:rsidRPr="00DD47DF">
        <w:t xml:space="preserve">, </w:t>
      </w:r>
      <w:r w:rsidRPr="00DD47DF">
        <w:t>základní služby související s provozem výstavní expozice</w:t>
      </w:r>
      <w:r w:rsidR="00AB0F33" w:rsidRPr="00DD47DF">
        <w:t xml:space="preserve">, </w:t>
      </w:r>
      <w:r w:rsidRPr="00DD47DF">
        <w:t>propagaci</w:t>
      </w:r>
      <w:r w:rsidR="00781B41" w:rsidRPr="00DD47DF">
        <w:t>, doprovodný program</w:t>
      </w:r>
      <w:r w:rsidRPr="00DD47DF">
        <w:t xml:space="preserve"> a dopravu.</w:t>
      </w:r>
      <w:r w:rsidR="005A40EE" w:rsidRPr="00DD47DF">
        <w:t xml:space="preserve"> </w:t>
      </w:r>
      <w:r w:rsidR="00D83EFD" w:rsidRPr="00D83EFD">
        <w:t>Podpořen bude rovněž alternativní způsob účasti na zahraničních výstavách a veletrzích, které se budou konat online formou. Účast bude zahrnovat náklady spojené s virtuální účastí jako je registrace, zajištění virtuální plochy/stánku, zápis do katalogu, technické zabezpečení.</w:t>
      </w:r>
      <w:r w:rsidR="00D83EFD">
        <w:t xml:space="preserve"> </w:t>
      </w:r>
      <w:r w:rsidR="00803C8E" w:rsidRPr="00DD47DF">
        <w:t xml:space="preserve">Na rozdíl od SC 2.1 se </w:t>
      </w:r>
      <w:r w:rsidR="00320279" w:rsidRPr="00DD47DF">
        <w:t xml:space="preserve">v SC 2.2 </w:t>
      </w:r>
      <w:r w:rsidR="00803C8E" w:rsidRPr="00DD47DF">
        <w:t>bude jednat o sofistikované poradenské služby z oblasti mezinárodního prostředí a strategického řízení a managementu inovací</w:t>
      </w:r>
      <w:r w:rsidR="00004CEF" w:rsidRPr="00DD47DF">
        <w:t xml:space="preserve"> (mentoring, koučin</w:t>
      </w:r>
      <w:r w:rsidR="001F0603" w:rsidRPr="00DD47DF">
        <w:t>g</w:t>
      </w:r>
      <w:r w:rsidR="00004CEF" w:rsidRPr="00DD47DF">
        <w:t>, foresight ad.)</w:t>
      </w:r>
      <w:r w:rsidR="00803C8E" w:rsidRPr="00DD47DF">
        <w:t xml:space="preserve">. </w:t>
      </w:r>
      <w:r w:rsidR="005A40EE" w:rsidRPr="00DD47DF">
        <w:t>Výs</w:t>
      </w:r>
      <w:r w:rsidR="00231B6C" w:rsidRPr="00DD47DF">
        <w:t>tupem těchto aktivit budou realizované podnikatelské záměry v oblasti služeb</w:t>
      </w:r>
      <w:r w:rsidR="005A40EE" w:rsidRPr="00DD47DF">
        <w:t xml:space="preserve">, jejichž výsledky se promítnou ve střednědobém horizontu </w:t>
      </w:r>
      <w:r w:rsidR="009D1769" w:rsidRPr="00DD47DF">
        <w:t>do vyššího podílu exportu na celkových výkonech podniku</w:t>
      </w:r>
      <w:r w:rsidR="00F34564" w:rsidRPr="00DD47DF">
        <w:t xml:space="preserve"> v sektoru MSP</w:t>
      </w:r>
      <w:r w:rsidR="009D1769" w:rsidRPr="00DD47DF">
        <w:t>.</w:t>
      </w:r>
    </w:p>
    <w:p w14:paraId="4C5EEC67" w14:textId="77777777" w:rsidR="005B495A" w:rsidRPr="00DD47DF" w:rsidRDefault="00F01494" w:rsidP="005B495A">
      <w:pPr>
        <w:pStyle w:val="Standardntext"/>
      </w:pPr>
      <w:r w:rsidRPr="00DD47DF">
        <w:t xml:space="preserve">Aktivity SC 2.2 </w:t>
      </w:r>
      <w:r w:rsidR="006E14F6" w:rsidRPr="00DD47DF">
        <w:t xml:space="preserve">vychází z potřeb zohledněných v Národní RIS3 strategii a </w:t>
      </w:r>
      <w:r w:rsidRPr="00DD47DF">
        <w:t xml:space="preserve">mají přímou vazbu na tyto strategické cíle Národní </w:t>
      </w:r>
      <w:r w:rsidR="002B0AB0" w:rsidRPr="00DD47DF">
        <w:t>RI</w:t>
      </w:r>
      <w:r w:rsidRPr="00DD47DF">
        <w:t>S3 strategie: „</w:t>
      </w:r>
      <w:r w:rsidR="00D6559B" w:rsidRPr="00DD47DF">
        <w:t>Zvýšit inovační poptávku ve firmách (i ve veřejném sektoru)</w:t>
      </w:r>
      <w:r w:rsidRPr="00DD47DF">
        <w:t>“ a „Zvýšit internacionalizaci MSP“.</w:t>
      </w:r>
      <w:r w:rsidR="005B495A" w:rsidRPr="00DD47DF">
        <w:t xml:space="preserve"> Jde především o vzájemnou provázanost s typovými aktivitami/projekty/operacemi specifických cílů A1.2 „Zlepšit strategické řízení v MSP“, A3.1 „Zvýšení dostupnosti strategických informací o cílových trzích místních MSP“ a A3.3 „Snížení nákladů a rizik MSP spojených se vstupem na zahraniční trhy“ Národní </w:t>
      </w:r>
      <w:r w:rsidR="002B0AB0" w:rsidRPr="00DD47DF">
        <w:t>RI</w:t>
      </w:r>
      <w:r w:rsidR="005B495A" w:rsidRPr="00DD47DF">
        <w:t>S3 strategie.</w:t>
      </w:r>
    </w:p>
    <w:p w14:paraId="70A00A93" w14:textId="77777777" w:rsidR="00955F90" w:rsidRPr="00DD47DF" w:rsidRDefault="00955F90" w:rsidP="00757916">
      <w:pPr>
        <w:pStyle w:val="Standardntext"/>
      </w:pPr>
      <w:r w:rsidRPr="00DD47DF">
        <w:rPr>
          <w:b/>
        </w:rPr>
        <w:t xml:space="preserve">Hlavní cílová skupina: </w:t>
      </w:r>
      <w:r w:rsidRPr="00DD47DF">
        <w:t>Podnikatelské subjekty (malé a střední podniky).</w:t>
      </w:r>
    </w:p>
    <w:p w14:paraId="46C29D77" w14:textId="77777777" w:rsidR="00955F90" w:rsidRPr="00DD47DF" w:rsidRDefault="00955F90" w:rsidP="00757916">
      <w:pPr>
        <w:pStyle w:val="Standardntext"/>
      </w:pPr>
      <w:r w:rsidRPr="00DD47DF">
        <w:rPr>
          <w:b/>
        </w:rPr>
        <w:t xml:space="preserve">Cílové území: </w:t>
      </w:r>
      <w:r w:rsidRPr="00DD47DF">
        <w:t>Území České repu</w:t>
      </w:r>
      <w:r w:rsidR="002B15A3" w:rsidRPr="00DD47DF">
        <w:t>bliky, mimo území hl. m. Prah</w:t>
      </w:r>
      <w:r w:rsidR="00835369" w:rsidRPr="00DD47DF">
        <w:t>y.</w:t>
      </w:r>
      <w:r w:rsidR="00A46CD6" w:rsidRPr="00DD47DF">
        <w:t xml:space="preserve"> Předpokládá se plošné směrování intervencí bez vymezení územní dimenze</w:t>
      </w:r>
      <w:r w:rsidR="00015039" w:rsidRPr="00DD47DF">
        <w:t>.</w:t>
      </w:r>
    </w:p>
    <w:p w14:paraId="331FC602" w14:textId="779276E0" w:rsidR="00955F90" w:rsidRPr="00DD47DF" w:rsidRDefault="00955F90" w:rsidP="00757916">
      <w:pPr>
        <w:pStyle w:val="Standardntext"/>
      </w:pPr>
      <w:r w:rsidRPr="00DD47DF">
        <w:rPr>
          <w:b/>
        </w:rPr>
        <w:t xml:space="preserve">Typy příjemců: </w:t>
      </w:r>
      <w:r w:rsidRPr="00DD47DF">
        <w:t xml:space="preserve">Podnikatelské subjekty (malé a střední podniky), </w:t>
      </w:r>
      <w:r w:rsidR="00101D0A">
        <w:t>Agentura pro podporu podnikání a investic CzechInvest</w:t>
      </w:r>
      <w:r w:rsidR="00F229AC" w:rsidRPr="00DD47DF">
        <w:t xml:space="preserve">, </w:t>
      </w:r>
      <w:r w:rsidR="00271197" w:rsidRPr="00DD47DF">
        <w:t xml:space="preserve">Česká agentura na podporu </w:t>
      </w:r>
      <w:r w:rsidR="00816871" w:rsidRPr="00DD47DF">
        <w:t xml:space="preserve">exportu </w:t>
      </w:r>
      <w:r w:rsidR="00271197" w:rsidRPr="00DD47DF">
        <w:t>CzechTrade</w:t>
      </w:r>
      <w:r w:rsidRPr="00DD47DF">
        <w:t>.</w:t>
      </w:r>
      <w:r w:rsidR="00112C3A" w:rsidRPr="00DD47DF">
        <w:t xml:space="preserve"> V rámci tohoto specifického cíle budou podporováni nezemědělští podnikatelé s výstupem projektu mimo položky</w:t>
      </w:r>
      <w:r w:rsidR="004038F0" w:rsidRPr="00DD47DF">
        <w:t xml:space="preserve"> obsažené v dodatku Smlouvy (o EU)</w:t>
      </w:r>
      <w:r w:rsidR="00112C3A" w:rsidRPr="00DD47DF">
        <w:t>, v případě zemědělských podnikatelů budou podporovány projekty zaměřené na podnikatelské poradenství (nikoliv poradenství do zemědělské činnosti) související s internacionalizací těchto podniků.</w:t>
      </w:r>
    </w:p>
    <w:p w14:paraId="64FC0428" w14:textId="77777777" w:rsidR="00DE124D" w:rsidRPr="00DD47DF" w:rsidRDefault="00BA6461" w:rsidP="005F43DF">
      <w:pPr>
        <w:pStyle w:val="Nadpis5"/>
        <w:numPr>
          <w:ilvl w:val="4"/>
          <w:numId w:val="19"/>
        </w:numPr>
      </w:pPr>
      <w:r w:rsidRPr="00DD47DF">
        <w:lastRenderedPageBreak/>
        <w:t>Hlavní zásady pro výběr operací</w:t>
      </w:r>
    </w:p>
    <w:p w14:paraId="33384CAC" w14:textId="77777777" w:rsidR="00FE3385" w:rsidRPr="00DD47DF" w:rsidRDefault="00FE3385" w:rsidP="005E45B6">
      <w:pPr>
        <w:pStyle w:val="Standardntext"/>
      </w:pPr>
      <w:r w:rsidRPr="00DD47DF">
        <w:t>Společné obecné zásady pro výběr operací pro všechny investiční priority celého OP PIK jsou uvedeny v prioritní ose 1 v oddíle 2.A.6.2.</w:t>
      </w:r>
    </w:p>
    <w:p w14:paraId="11E229AB" w14:textId="77777777" w:rsidR="00A438A6" w:rsidRPr="00DD47DF" w:rsidRDefault="00EB56AF" w:rsidP="00A438A6">
      <w:pPr>
        <w:pStyle w:val="Standardntext"/>
      </w:pPr>
      <w:r w:rsidRPr="00DD47DF">
        <w:t xml:space="preserve"> </w:t>
      </w:r>
      <w:r w:rsidR="00A438A6" w:rsidRPr="00DD47DF">
        <w:t>V rámci výběru a hodnocení projektů budou posuzována především následující kritéria:</w:t>
      </w:r>
    </w:p>
    <w:p w14:paraId="2C654E07" w14:textId="77777777" w:rsidR="00A438A6" w:rsidRPr="00DD47DF" w:rsidRDefault="00A438A6" w:rsidP="00D927A2">
      <w:pPr>
        <w:pStyle w:val="Standardntext"/>
        <w:numPr>
          <w:ilvl w:val="0"/>
          <w:numId w:val="43"/>
        </w:numPr>
      </w:pPr>
      <w:r w:rsidRPr="00DD47DF">
        <w:t xml:space="preserve">Kvalita a potřebnost projektu s ohledem na zpracovanou obchodní strategii. </w:t>
      </w:r>
      <w:r w:rsidR="009D1769" w:rsidRPr="00DD47DF">
        <w:t>U tzv. interních projektů se</w:t>
      </w:r>
      <w:r w:rsidRPr="00DD47DF">
        <w:t xml:space="preserve"> bude přihlížet zejména na jejich úspěšnou realizaci v oblastech specializovaných poradenských služeb a internacionalizace.</w:t>
      </w:r>
    </w:p>
    <w:p w14:paraId="456F3244" w14:textId="77777777" w:rsidR="00A438A6" w:rsidRPr="00DD47DF" w:rsidRDefault="009D1769" w:rsidP="00D927A2">
      <w:pPr>
        <w:pStyle w:val="Standardntext"/>
        <w:numPr>
          <w:ilvl w:val="0"/>
          <w:numId w:val="43"/>
        </w:numPr>
      </w:pPr>
      <w:r w:rsidRPr="00DD47DF">
        <w:t>Interní projekty nabízející</w:t>
      </w:r>
      <w:r w:rsidR="00A438A6" w:rsidRPr="00DD47DF">
        <w:t xml:space="preserve"> MSP specializované poradenské služby a služby v oblasti internacionalizace budou posuzovány a hodnoceny v rámci specifického režimu hodnocení schváleného monitorovacím výborem, včetně výběrových kritérií. Transparentnost tohoto režimu bude zajištěna a o realizaci takovýchto projektů bude referováno ve Výročních zprávách OP PIK.</w:t>
      </w:r>
    </w:p>
    <w:p w14:paraId="55E83EBB" w14:textId="77777777" w:rsidR="00FE3385" w:rsidRPr="00DD47DF" w:rsidRDefault="00FE3385" w:rsidP="00D927A2">
      <w:pPr>
        <w:pStyle w:val="Standardntext"/>
        <w:numPr>
          <w:ilvl w:val="0"/>
          <w:numId w:val="43"/>
        </w:numPr>
      </w:pPr>
      <w:r w:rsidRPr="00DD47DF">
        <w:t>Shoda relevantních projektů s Národní RIS3 strategií bude ověřena v rámci hodnocení projektu, a to z hlediska naplňování výběrových kritérií definovaných v příslušných výzvách.</w:t>
      </w:r>
    </w:p>
    <w:p w14:paraId="49BB7894" w14:textId="77777777" w:rsidR="00A438A6" w:rsidRPr="00DD47DF" w:rsidRDefault="00A438A6"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80DAE24" w14:textId="77777777" w:rsidR="00A438A6" w:rsidRPr="00DD47DF" w:rsidRDefault="00637CF8"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7FDE75E3" w14:textId="77777777" w:rsidR="00955F90" w:rsidRPr="00DD47DF" w:rsidRDefault="00BA6461" w:rsidP="005F43DF">
      <w:pPr>
        <w:pStyle w:val="Nadpis5"/>
        <w:numPr>
          <w:ilvl w:val="4"/>
          <w:numId w:val="19"/>
        </w:numPr>
        <w:rPr>
          <w:rFonts w:cs="Calibri"/>
        </w:rPr>
      </w:pPr>
      <w:r w:rsidRPr="00DD47DF">
        <w:t>Plánované využití finančních nástrojů (použije-li se)</w:t>
      </w:r>
    </w:p>
    <w:p w14:paraId="145D8B5D" w14:textId="77777777" w:rsidR="00955F90" w:rsidRPr="00DD47DF" w:rsidRDefault="00CB19AE" w:rsidP="002A4D1D">
      <w:pPr>
        <w:pStyle w:val="Standardntext"/>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63B8390A" w14:textId="77777777" w:rsidR="00DE124D" w:rsidRPr="00DD47DF" w:rsidRDefault="00BA6461" w:rsidP="005F43DF">
      <w:pPr>
        <w:pStyle w:val="Nadpis5"/>
        <w:numPr>
          <w:ilvl w:val="4"/>
          <w:numId w:val="19"/>
        </w:numPr>
      </w:pPr>
      <w:r w:rsidRPr="00DD47DF">
        <w:t>Plánované využití velkých projektů (použije-li se)</w:t>
      </w:r>
    </w:p>
    <w:p w14:paraId="2D710EB3"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654DA93D" w14:textId="77777777" w:rsidR="00DE124D" w:rsidRPr="00DD47DF" w:rsidRDefault="00BA6461" w:rsidP="005F43DF">
      <w:pPr>
        <w:pStyle w:val="Nadpis5"/>
        <w:numPr>
          <w:ilvl w:val="4"/>
          <w:numId w:val="19"/>
        </w:numPr>
      </w:pPr>
      <w:r w:rsidRPr="00DD47DF">
        <w:t>Ukazatele výstupů podle investiční priority a případně podle kategorie regionů</w:t>
      </w:r>
    </w:p>
    <w:p w14:paraId="6F627C8C" w14:textId="77777777" w:rsidR="00DE124D" w:rsidRPr="00DD47DF" w:rsidRDefault="00DE124D" w:rsidP="00DE124D">
      <w:pPr>
        <w:pStyle w:val="Titulek"/>
        <w:keepNext/>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81"/>
        <w:gridCol w:w="2276"/>
        <w:gridCol w:w="1098"/>
        <w:gridCol w:w="665"/>
        <w:gridCol w:w="1227"/>
        <w:gridCol w:w="1237"/>
        <w:gridCol w:w="1057"/>
        <w:gridCol w:w="1285"/>
      </w:tblGrid>
      <w:tr w:rsidR="001B2E5C" w:rsidRPr="00DD47DF" w14:paraId="7A0E209A" w14:textId="77777777">
        <w:trPr>
          <w:trHeight w:hRule="exact" w:val="107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050FC93" w14:textId="77777777" w:rsidR="001B2E5C" w:rsidRPr="00DD47DF" w:rsidRDefault="001B2E5C" w:rsidP="001B2E5C">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DF654AB" w14:textId="77777777" w:rsidR="001B2E5C" w:rsidRPr="00DD47DF" w:rsidRDefault="001B2E5C" w:rsidP="001B2E5C">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E1ADF9D" w14:textId="77777777" w:rsidR="001B2E5C" w:rsidRPr="00DD47DF" w:rsidRDefault="001B2E5C" w:rsidP="001B2E5C">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8016C6A" w14:textId="77777777" w:rsidR="001B2E5C" w:rsidRPr="00DD47DF" w:rsidRDefault="001B2E5C" w:rsidP="001B2E5C">
            <w:pPr>
              <w:pStyle w:val="Tabulka"/>
              <w:rPr>
                <w:rFonts w:cs="Calibri"/>
                <w:b/>
              </w:rPr>
            </w:pPr>
            <w:r w:rsidRPr="00DD47DF">
              <w:rPr>
                <w:rFonts w:cs="Calibri"/>
                <w:b/>
              </w:rPr>
              <w:t>Fond</w:t>
            </w:r>
          </w:p>
        </w:tc>
        <w:tc>
          <w:tcPr>
            <w:tcW w:w="122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9A90B4D" w14:textId="77777777" w:rsidR="001B2E5C" w:rsidRPr="00DD47DF" w:rsidRDefault="001B2E5C" w:rsidP="001B2E5C">
            <w:pPr>
              <w:pStyle w:val="Tabulka"/>
              <w:rPr>
                <w:rFonts w:cs="Calibri"/>
                <w:b/>
              </w:rPr>
            </w:pPr>
            <w:r w:rsidRPr="00DD47DF">
              <w:rPr>
                <w:rFonts w:cs="Calibri"/>
                <w:b/>
              </w:rPr>
              <w:t>Kategorie regionu</w:t>
            </w:r>
          </w:p>
        </w:tc>
        <w:tc>
          <w:tcPr>
            <w:tcW w:w="123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5237F48" w14:textId="77777777" w:rsidR="001B2E5C" w:rsidRPr="00DD47DF" w:rsidRDefault="001B2E5C" w:rsidP="002153F2">
            <w:pPr>
              <w:pStyle w:val="Tabulka"/>
              <w:rPr>
                <w:rFonts w:cs="Calibri"/>
                <w:b/>
              </w:rPr>
            </w:pPr>
            <w:r w:rsidRPr="00DD47DF">
              <w:rPr>
                <w:rFonts w:cs="Calibri"/>
                <w:b/>
              </w:rPr>
              <w:t>Cílová hodnota</w:t>
            </w:r>
            <w:r w:rsidR="002153F2"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DD6E62B" w14:textId="77777777" w:rsidR="001B2E5C" w:rsidRPr="00DD47DF" w:rsidRDefault="001B2E5C" w:rsidP="001B2E5C">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848C082" w14:textId="77777777" w:rsidR="001B2E5C" w:rsidRPr="00DD47DF" w:rsidRDefault="001B2E5C" w:rsidP="001B2E5C">
            <w:pPr>
              <w:pStyle w:val="Tabulka"/>
              <w:rPr>
                <w:rFonts w:cs="Calibri"/>
                <w:b/>
              </w:rPr>
            </w:pPr>
            <w:r w:rsidRPr="00DD47DF">
              <w:rPr>
                <w:rFonts w:cs="Calibri"/>
                <w:b/>
              </w:rPr>
              <w:t>Četnost podávání zpráv</w:t>
            </w:r>
          </w:p>
        </w:tc>
      </w:tr>
      <w:tr w:rsidR="009974DF" w:rsidRPr="00DD47DF" w14:paraId="44013D01"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B05AAEF" w14:textId="2CC440AC" w:rsidR="009974DF" w:rsidRPr="00DD47DF" w:rsidRDefault="00C75691" w:rsidP="005A765B">
            <w:pPr>
              <w:pStyle w:val="Tabulka"/>
              <w:rPr>
                <w:rFonts w:cs="Calibri"/>
              </w:rPr>
            </w:pPr>
            <w:r w:rsidRPr="00DD47DF">
              <w:rPr>
                <w:rFonts w:cs="Calibri"/>
              </w:rPr>
              <w:t xml:space="preserve">CO </w:t>
            </w:r>
            <w:r w:rsidR="00927ADD" w:rsidRPr="00DD47DF">
              <w:rPr>
                <w:rFonts w:cs="Calibri"/>
              </w:rPr>
              <w:t>0</w:t>
            </w:r>
            <w:r w:rsidR="009974DF"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37B5761" w14:textId="77777777" w:rsidR="009974DF" w:rsidRPr="00DD47DF" w:rsidRDefault="007D6298" w:rsidP="00DE124D">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5DD42C28" w14:textId="77777777" w:rsidR="009974DF" w:rsidRPr="00DD47DF" w:rsidRDefault="009974DF"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FAEE78E" w14:textId="77777777" w:rsidR="009974DF" w:rsidRPr="00DD47DF" w:rsidRDefault="002B3F69" w:rsidP="00DE124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63F5F113" w14:textId="77777777" w:rsidR="009974DF" w:rsidRPr="00DD47DF" w:rsidRDefault="009974DF" w:rsidP="00DE124D">
            <w:pPr>
              <w:pStyle w:val="Tabulka"/>
              <w:rPr>
                <w:rFonts w:cs="Calibri"/>
              </w:rPr>
            </w:pPr>
            <w:r w:rsidRPr="00DD47DF">
              <w:rPr>
                <w:rFonts w:cs="Calibri"/>
              </w:rPr>
              <w:t xml:space="preserve">Méně rozvinuté </w:t>
            </w:r>
            <w:r w:rsidRPr="00DD47DF">
              <w:rPr>
                <w:rFonts w:cs="Calibri"/>
              </w:rPr>
              <w:lastRenderedPageBreak/>
              <w:t>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6D2E5279" w14:textId="49A7BF4F" w:rsidR="009974DF" w:rsidRPr="00DD47DF" w:rsidRDefault="00CF4655" w:rsidP="00DE124D">
            <w:pPr>
              <w:pStyle w:val="Tabulka"/>
              <w:rPr>
                <w:rFonts w:cs="Calibri"/>
              </w:rPr>
            </w:pPr>
            <w:r>
              <w:rPr>
                <w:rFonts w:cs="Calibri"/>
              </w:rPr>
              <w:lastRenderedPageBreak/>
              <w:t>1 320</w:t>
            </w:r>
          </w:p>
        </w:tc>
        <w:tc>
          <w:tcPr>
            <w:tcW w:w="0" w:type="auto"/>
            <w:tcBorders>
              <w:top w:val="single" w:sz="4" w:space="0" w:color="000000"/>
              <w:left w:val="single" w:sz="4" w:space="0" w:color="000000"/>
              <w:bottom w:val="single" w:sz="4" w:space="0" w:color="000000"/>
              <w:right w:val="single" w:sz="4" w:space="0" w:color="000000"/>
            </w:tcBorders>
            <w:vAlign w:val="center"/>
          </w:tcPr>
          <w:p w14:paraId="251ECD5E" w14:textId="77777777" w:rsidR="009974DF" w:rsidRPr="00DD47DF" w:rsidRDefault="00FC7054" w:rsidP="00DE124D">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9B947B9" w14:textId="77777777" w:rsidR="009974DF" w:rsidRPr="00DD47DF" w:rsidRDefault="00FC7054" w:rsidP="009974DF">
            <w:pPr>
              <w:pStyle w:val="Tabulka"/>
              <w:rPr>
                <w:rFonts w:cs="Calibri"/>
              </w:rPr>
            </w:pPr>
            <w:r>
              <w:rPr>
                <w:rFonts w:cs="Calibri"/>
              </w:rPr>
              <w:t>průběžně</w:t>
            </w:r>
          </w:p>
        </w:tc>
      </w:tr>
      <w:tr w:rsidR="006D1774" w:rsidRPr="00DD47DF" w14:paraId="2C812308"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E8E1D0F" w14:textId="7FF1C4BF" w:rsidR="006D1774" w:rsidRPr="00DD47DF" w:rsidRDefault="00C75691" w:rsidP="005A765B">
            <w:pPr>
              <w:pStyle w:val="Tabulka"/>
              <w:rPr>
                <w:rFonts w:cs="Calibri"/>
              </w:rPr>
            </w:pPr>
            <w:r w:rsidRPr="00DD47DF">
              <w:rPr>
                <w:rFonts w:cs="Calibri"/>
              </w:rPr>
              <w:t xml:space="preserve">CO </w:t>
            </w:r>
            <w:r w:rsidR="00927ADD" w:rsidRPr="00DD47DF">
              <w:rPr>
                <w:rFonts w:cs="Calibri"/>
              </w:rPr>
              <w:t>0</w:t>
            </w:r>
            <w:r w:rsidR="006D177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2CFDD684" w14:textId="77777777" w:rsidR="006D1774" w:rsidRPr="00DD47DF" w:rsidRDefault="006D1774" w:rsidP="00DE124D">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11B486B" w14:textId="77777777" w:rsidR="006D1774" w:rsidRPr="00DD47DF" w:rsidRDefault="006D1774"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EB5E8C5" w14:textId="77777777" w:rsidR="006D1774"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13AF9460" w14:textId="77777777" w:rsidR="006D1774" w:rsidRPr="00DD47DF" w:rsidRDefault="006D1774"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51DBF34D" w14:textId="6765AA57" w:rsidR="006D1774" w:rsidRPr="00DD47DF" w:rsidRDefault="00CF4655" w:rsidP="00DE124D">
            <w:pPr>
              <w:pStyle w:val="Tabulka"/>
              <w:rPr>
                <w:rFonts w:cs="Calibri"/>
              </w:rPr>
            </w:pPr>
            <w:r>
              <w:rPr>
                <w:rFonts w:cs="Calibri"/>
              </w:rPr>
              <w:t>500</w:t>
            </w:r>
          </w:p>
        </w:tc>
        <w:tc>
          <w:tcPr>
            <w:tcW w:w="0" w:type="auto"/>
            <w:tcBorders>
              <w:top w:val="single" w:sz="4" w:space="0" w:color="000000"/>
              <w:left w:val="single" w:sz="4" w:space="0" w:color="000000"/>
              <w:bottom w:val="single" w:sz="4" w:space="0" w:color="000000"/>
              <w:right w:val="single" w:sz="4" w:space="0" w:color="000000"/>
            </w:tcBorders>
            <w:vAlign w:val="center"/>
          </w:tcPr>
          <w:p w14:paraId="7E11B54C" w14:textId="77777777" w:rsidR="006D1774" w:rsidRPr="00DD47DF" w:rsidRDefault="00FC7054"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8652D22" w14:textId="77777777" w:rsidR="006D1774" w:rsidRPr="00DD47DF" w:rsidRDefault="00FC7054" w:rsidP="009974DF">
            <w:pPr>
              <w:pStyle w:val="Tabulka"/>
              <w:rPr>
                <w:rFonts w:cs="Calibri"/>
              </w:rPr>
            </w:pPr>
            <w:r>
              <w:rPr>
                <w:rFonts w:cs="Calibri"/>
              </w:rPr>
              <w:t>průběžně</w:t>
            </w:r>
          </w:p>
        </w:tc>
      </w:tr>
      <w:tr w:rsidR="002A46AD" w:rsidRPr="00DD47DF" w14:paraId="1DA3A4CF"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129ADCA" w14:textId="7915D16A" w:rsidR="002A46AD" w:rsidRPr="00DD47DF" w:rsidRDefault="00C75691" w:rsidP="005A765B">
            <w:pPr>
              <w:pStyle w:val="Tabulka"/>
              <w:rPr>
                <w:rFonts w:cs="Calibri"/>
              </w:rPr>
            </w:pPr>
            <w:r w:rsidRPr="00DD47DF">
              <w:rPr>
                <w:rFonts w:cs="Calibri"/>
              </w:rPr>
              <w:t xml:space="preserve">CO </w:t>
            </w:r>
            <w:r w:rsidR="00927ADD" w:rsidRPr="00DD47DF">
              <w:rPr>
                <w:rFonts w:cs="Calibri"/>
              </w:rPr>
              <w:t>0</w:t>
            </w:r>
            <w:r w:rsidR="002A46AD" w:rsidRPr="00DD47DF">
              <w:rPr>
                <w:rFonts w:cs="Calibri"/>
              </w:rPr>
              <w:t>4</w:t>
            </w:r>
          </w:p>
        </w:tc>
        <w:tc>
          <w:tcPr>
            <w:tcW w:w="0" w:type="auto"/>
            <w:tcBorders>
              <w:top w:val="single" w:sz="4" w:space="0" w:color="000000"/>
              <w:left w:val="single" w:sz="4" w:space="0" w:color="000000"/>
              <w:bottom w:val="single" w:sz="4" w:space="0" w:color="000000"/>
              <w:right w:val="single" w:sz="4" w:space="0" w:color="000000"/>
            </w:tcBorders>
            <w:vAlign w:val="center"/>
          </w:tcPr>
          <w:p w14:paraId="66FD0DF3" w14:textId="77777777" w:rsidR="002A46AD" w:rsidRPr="00DD47DF" w:rsidRDefault="00FE1B8C" w:rsidP="00DE124D">
            <w:pPr>
              <w:pStyle w:val="Tabulka"/>
              <w:jc w:val="left"/>
              <w:rPr>
                <w:rFonts w:cs="Calibri"/>
              </w:rPr>
            </w:pPr>
            <w:r w:rsidRPr="00DD47DF">
              <w:rPr>
                <w:rFonts w:cs="Calibri"/>
              </w:rPr>
              <w:t>Počet podniků pobírajících nefinanční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150D0EF4" w14:textId="77777777" w:rsidR="002A46AD" w:rsidRPr="00DD47DF" w:rsidRDefault="002A46AD" w:rsidP="00DE124D">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1035ACB" w14:textId="77777777" w:rsidR="002A46AD"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68BEE167" w14:textId="77777777" w:rsidR="002A46AD" w:rsidRPr="00DD47DF" w:rsidRDefault="002A46AD"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7DDA2D71" w14:textId="4244C7FD" w:rsidR="002A46AD" w:rsidRPr="00DD47DF" w:rsidRDefault="00CF4655" w:rsidP="00DE124D">
            <w:pPr>
              <w:pStyle w:val="Tabulka"/>
              <w:rPr>
                <w:rFonts w:cs="Calibri"/>
              </w:rPr>
            </w:pPr>
            <w:r>
              <w:rPr>
                <w:rFonts w:cs="Calibri"/>
              </w:rPr>
              <w:t>820</w:t>
            </w:r>
          </w:p>
        </w:tc>
        <w:tc>
          <w:tcPr>
            <w:tcW w:w="0" w:type="auto"/>
            <w:tcBorders>
              <w:top w:val="single" w:sz="4" w:space="0" w:color="000000"/>
              <w:left w:val="single" w:sz="4" w:space="0" w:color="000000"/>
              <w:bottom w:val="single" w:sz="4" w:space="0" w:color="000000"/>
              <w:right w:val="single" w:sz="4" w:space="0" w:color="000000"/>
            </w:tcBorders>
            <w:vAlign w:val="center"/>
          </w:tcPr>
          <w:p w14:paraId="360E4003" w14:textId="77777777" w:rsidR="002A46AD" w:rsidRPr="00DD47DF" w:rsidRDefault="00800418" w:rsidP="006D1774">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BBA8596" w14:textId="77777777" w:rsidR="002A46AD" w:rsidRPr="00DD47DF" w:rsidRDefault="00800418" w:rsidP="009974DF">
            <w:pPr>
              <w:pStyle w:val="Tabulka"/>
              <w:rPr>
                <w:rFonts w:cs="Calibri"/>
              </w:rPr>
            </w:pPr>
            <w:r>
              <w:rPr>
                <w:rFonts w:cs="Calibri"/>
              </w:rPr>
              <w:t>průběžně</w:t>
            </w:r>
          </w:p>
        </w:tc>
      </w:tr>
      <w:tr w:rsidR="006D1774" w:rsidRPr="00DD47DF" w14:paraId="2C9C0A4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9F66075" w14:textId="550FBD6D" w:rsidR="006D1774" w:rsidRPr="00DD47DF" w:rsidRDefault="00C75691" w:rsidP="005A765B">
            <w:pPr>
              <w:pStyle w:val="Tabulka"/>
              <w:rPr>
                <w:rFonts w:cs="Calibri"/>
              </w:rPr>
            </w:pPr>
            <w:r w:rsidRPr="00DD47DF">
              <w:rPr>
                <w:rFonts w:cs="Calibri"/>
              </w:rPr>
              <w:t xml:space="preserve">CO </w:t>
            </w:r>
            <w:r w:rsidR="00927ADD" w:rsidRPr="00DD47DF">
              <w:rPr>
                <w:rFonts w:cs="Calibri"/>
              </w:rPr>
              <w:t>0</w:t>
            </w:r>
            <w:r w:rsidR="006D177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6BDF3860" w14:textId="77777777" w:rsidR="006D1774" w:rsidRPr="00DD47DF" w:rsidRDefault="00892451" w:rsidP="00B5004C">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D82ACD7" w14:textId="77777777" w:rsidR="006D1774" w:rsidRPr="00DD47DF" w:rsidRDefault="006D1774" w:rsidP="00DE124D">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492D9896" w14:textId="77777777" w:rsidR="006D1774" w:rsidRPr="00DD47DF" w:rsidRDefault="002B3F69" w:rsidP="002A46AD">
            <w:pPr>
              <w:pStyle w:val="Tabulka"/>
              <w:rPr>
                <w:rFonts w:cs="Calibri"/>
              </w:rPr>
            </w:pPr>
            <w:r w:rsidRPr="00DD47DF">
              <w:rPr>
                <w:rFonts w:cs="Calibri"/>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14:paraId="75437C4B" w14:textId="77777777" w:rsidR="006D1774" w:rsidRPr="00DD47DF" w:rsidRDefault="006D1774" w:rsidP="00DE124D">
            <w:pPr>
              <w:pStyle w:val="Tabulka"/>
              <w:rPr>
                <w:rFonts w:cs="Calibri"/>
              </w:rPr>
            </w:pPr>
            <w:r w:rsidRPr="00DD47DF">
              <w:rPr>
                <w:rFonts w:cs="Calibri"/>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14:paraId="3904463A" w14:textId="63B8FC77" w:rsidR="006D1774" w:rsidRPr="00DD47DF" w:rsidRDefault="00CF4655" w:rsidP="00DE124D">
            <w:pPr>
              <w:pStyle w:val="Tabulka"/>
              <w:rPr>
                <w:rFonts w:cs="Calibri"/>
              </w:rPr>
            </w:pPr>
            <w:r>
              <w:rPr>
                <w:rFonts w:cs="Calibri"/>
              </w:rPr>
              <w:t>35</w:t>
            </w:r>
            <w:r w:rsidRPr="00DD47DF">
              <w:rPr>
                <w:rFonts w:cs="Calibri"/>
              </w:rPr>
              <w:t> </w:t>
            </w:r>
            <w:r w:rsidR="00457AB8" w:rsidRPr="00DD47DF">
              <w:rPr>
                <w:rFonts w:cs="Calibri"/>
              </w:rPr>
              <w:t>0</w:t>
            </w:r>
            <w:r w:rsidR="00084ED8" w:rsidRPr="00DD47DF">
              <w:rPr>
                <w:rFonts w:cs="Calibri"/>
              </w:rPr>
              <w:t>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7406F802" w14:textId="77777777" w:rsidR="006D1774" w:rsidRPr="00DD47DF" w:rsidRDefault="00800418" w:rsidP="006D177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A6555DE" w14:textId="77777777" w:rsidR="006D1774" w:rsidRPr="00DD47DF" w:rsidRDefault="00934A97" w:rsidP="009974DF">
            <w:pPr>
              <w:pStyle w:val="Tabulka"/>
              <w:rPr>
                <w:rFonts w:cs="Calibri"/>
              </w:rPr>
            </w:pPr>
            <w:r>
              <w:rPr>
                <w:rFonts w:cs="Calibri"/>
              </w:rPr>
              <w:t>průběžně</w:t>
            </w:r>
          </w:p>
        </w:tc>
      </w:tr>
    </w:tbl>
    <w:p w14:paraId="79431D75" w14:textId="77777777" w:rsidR="00786F1A" w:rsidRPr="00DD47DF" w:rsidRDefault="008C7D72" w:rsidP="00DA3512">
      <w:pPr>
        <w:pStyle w:val="kapitola2A0"/>
        <w:numPr>
          <w:ilvl w:val="2"/>
          <w:numId w:val="63"/>
        </w:numPr>
      </w:pPr>
      <w:bookmarkStart w:id="50" w:name="_Toc129005387"/>
      <w:r w:rsidRPr="00DD47DF">
        <w:t>INVESTIČNÍ PRIORITA</w:t>
      </w:r>
      <w:r w:rsidR="00AA66A2" w:rsidRPr="00DD47DF">
        <w:t xml:space="preserve"> 3 prioritní osy 2</w:t>
      </w:r>
      <w:r w:rsidRPr="00DD47DF">
        <w:t xml:space="preserve">: </w:t>
      </w:r>
      <w:r w:rsidR="002641C7" w:rsidRPr="00DD47DF">
        <w:t>Podpora vytváření a rozšiřování vyspělých</w:t>
      </w:r>
      <w:r w:rsidRPr="00DD47DF">
        <w:t xml:space="preserve"> kapacit pro rozvoj produktů a služeb</w:t>
      </w:r>
      <w:bookmarkEnd w:id="50"/>
    </w:p>
    <w:p w14:paraId="1ECDFF47" w14:textId="77777777" w:rsidR="00EB13D9" w:rsidRPr="00DD47DF" w:rsidRDefault="008C7D72" w:rsidP="00DA3512">
      <w:pPr>
        <w:pStyle w:val="kapitola2A0"/>
        <w:numPr>
          <w:ilvl w:val="2"/>
          <w:numId w:val="63"/>
        </w:numPr>
      </w:pPr>
      <w:bookmarkStart w:id="51" w:name="_Toc129005388"/>
      <w:r w:rsidRPr="00DD47DF">
        <w:t>Specifické cíle odpovídající investiční prioritě a očekávané výsledky</w:t>
      </w:r>
      <w:bookmarkEnd w:id="51"/>
    </w:p>
    <w:p w14:paraId="5FC6FE50" w14:textId="77777777" w:rsidR="00EB13D9" w:rsidRPr="00DD47DF" w:rsidRDefault="00EB13D9" w:rsidP="00396141">
      <w:pPr>
        <w:pStyle w:val="Modrnadpis"/>
      </w:pPr>
      <w:r w:rsidRPr="00DD47DF">
        <w:t xml:space="preserve">SPECIFICKÝ CÍL </w:t>
      </w:r>
      <w:r w:rsidR="00C71E6F" w:rsidRPr="00DD47DF">
        <w:t>2.</w:t>
      </w:r>
      <w:r w:rsidRPr="00DD47DF">
        <w:t xml:space="preserve">3: </w:t>
      </w:r>
      <w:r w:rsidR="00C76EE3" w:rsidRPr="00DD47DF">
        <w:t>Zvýš</w:t>
      </w:r>
      <w:r w:rsidR="00771951" w:rsidRPr="00DD47DF">
        <w:t xml:space="preserve">it </w:t>
      </w:r>
      <w:r w:rsidR="00C76EE3" w:rsidRPr="00DD47DF">
        <w:t>využitelnost infrastruktury pro podnikání</w:t>
      </w:r>
    </w:p>
    <w:p w14:paraId="701733C1" w14:textId="77777777" w:rsidR="00781B41" w:rsidRPr="00DD47DF" w:rsidRDefault="00781B41" w:rsidP="005E45B6">
      <w:pPr>
        <w:pStyle w:val="Standardntext"/>
      </w:pPr>
      <w:r w:rsidRPr="00DD47DF">
        <w:t>Rozvoj nových a inovativních podnikatelských aktivit MSP je limitován nevhodnými parametry zastaralé podnikatelské infrastruktury jejíž provoz navíc vyžaduje vysoké režijní náklady. V regionech ČR se zároveň vyskytuje řada lokalit typu brownfield, které by bylo možné regenerovat a opětovně využít pro ekonomické aktivity MSP. Specifickým cílem je proto zlepšit kvalitu a zvýšit využitelnost podnikatelské infrastruktury</w:t>
      </w:r>
      <w:r w:rsidR="00906ED2" w:rsidRPr="00DD47DF">
        <w:t xml:space="preserve"> typu</w:t>
      </w:r>
      <w:r w:rsidRPr="00DD47DF">
        <w:t xml:space="preserve"> brownfield, a umožnit tak MSP realizovat své rozvojové podnikatelské záměry, které mohou vést nejen k rozšiřování výroby, ale také k posunu podniků směrem výše v rámci hodnotového řetězce.</w:t>
      </w:r>
    </w:p>
    <w:p w14:paraId="45295425" w14:textId="77777777" w:rsidR="001A5C2A" w:rsidRPr="00DD47DF" w:rsidRDefault="003508A9" w:rsidP="001A5C2A">
      <w:pPr>
        <w:pStyle w:val="Modrnadpis"/>
      </w:pPr>
      <w:r w:rsidRPr="00DD47DF">
        <w:t>Výsledky, kterých chce ČR dosáhnout s podporou Unie</w:t>
      </w:r>
    </w:p>
    <w:p w14:paraId="5D8DF1F8" w14:textId="788BDD87" w:rsidR="001A5C2A" w:rsidRPr="00DD47DF" w:rsidRDefault="008E3478" w:rsidP="00D927A2">
      <w:pPr>
        <w:pStyle w:val="Standardntext"/>
        <w:numPr>
          <w:ilvl w:val="0"/>
          <w:numId w:val="55"/>
        </w:numPr>
      </w:pPr>
      <w:r w:rsidRPr="00700E39">
        <w:t>Prostorově a ekonomicky vyhovující podnikatelské infrastruktury, včetně regenerovaných lokalit typu brownfield, umožní MSP přechod od běžné výroby a služeb na výrobu či služby s vyšší technickou a technologickou úrovní zajišťující konkurenceschopnost, snížení provozních nákladů, vysokou přidanou hodnotu s potenciálem lepšího uplatnění na zahraničních trzích.</w:t>
      </w:r>
    </w:p>
    <w:p w14:paraId="2988B1D4" w14:textId="77777777" w:rsidR="00EB13D9" w:rsidRPr="00DD47DF" w:rsidRDefault="00EB13D9" w:rsidP="00EB13D9">
      <w:pPr>
        <w:pStyle w:val="Titulek"/>
        <w:keepNext/>
        <w:rPr>
          <w:rFonts w:cs="Calibri"/>
        </w:rPr>
      </w:pPr>
      <w:r w:rsidRPr="00DD47DF">
        <w:rPr>
          <w:rFonts w:cs="Calibri"/>
        </w:rPr>
        <w:t xml:space="preserve">Tabulka </w:t>
      </w:r>
      <w:r w:rsidR="002756E7" w:rsidRPr="00DD47DF">
        <w:rPr>
          <w:rFonts w:cs="Calibri"/>
        </w:rPr>
        <w:fldChar w:fldCharType="begin"/>
      </w:r>
      <w:r w:rsidR="00955F90"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00955F90" w:rsidRPr="00DD47DF">
        <w:rPr>
          <w:rFonts w:cs="Calibri"/>
        </w:rPr>
        <w:t>a</w:t>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766"/>
        <w:gridCol w:w="1559"/>
        <w:gridCol w:w="998"/>
        <w:gridCol w:w="1117"/>
        <w:gridCol w:w="862"/>
        <w:gridCol w:w="851"/>
        <w:gridCol w:w="1134"/>
        <w:gridCol w:w="994"/>
        <w:gridCol w:w="1045"/>
      </w:tblGrid>
      <w:tr w:rsidR="006103E6" w:rsidRPr="00DD47DF" w14:paraId="42220E72" w14:textId="77777777" w:rsidTr="004E589F">
        <w:trPr>
          <w:trHeight w:hRule="exact" w:val="1262"/>
        </w:trPr>
        <w:tc>
          <w:tcPr>
            <w:tcW w:w="41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C1AD9B8" w14:textId="77777777" w:rsidR="00CF739D" w:rsidRPr="00DD47DF" w:rsidRDefault="00CF739D" w:rsidP="001B2E5C">
            <w:pPr>
              <w:pStyle w:val="Tabulka"/>
              <w:rPr>
                <w:rFonts w:cs="Calibri"/>
                <w:b/>
                <w:bCs/>
                <w:sz w:val="20"/>
              </w:rPr>
            </w:pPr>
            <w:r w:rsidRPr="00DD47DF">
              <w:rPr>
                <w:rFonts w:cs="Calibri"/>
                <w:b/>
                <w:bCs/>
                <w:sz w:val="20"/>
              </w:rPr>
              <w:t>ID</w:t>
            </w:r>
          </w:p>
        </w:tc>
        <w:tc>
          <w:tcPr>
            <w:tcW w:w="83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D1F6187" w14:textId="77777777" w:rsidR="00CF739D" w:rsidRPr="00DD47DF" w:rsidRDefault="00CF739D" w:rsidP="001B2E5C">
            <w:pPr>
              <w:pStyle w:val="Tabulka"/>
              <w:rPr>
                <w:rFonts w:cs="Calibri"/>
                <w:b/>
                <w:bCs/>
                <w:sz w:val="20"/>
              </w:rPr>
            </w:pPr>
            <w:r w:rsidRPr="00DD47DF">
              <w:rPr>
                <w:rFonts w:cs="Calibri"/>
                <w:b/>
                <w:bCs/>
                <w:sz w:val="20"/>
              </w:rPr>
              <w:t>Ukazatel</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7ED5149" w14:textId="77777777" w:rsidR="00CF739D" w:rsidRPr="00DD47DF" w:rsidRDefault="00CF739D" w:rsidP="001B2E5C">
            <w:pPr>
              <w:pStyle w:val="Tabulka"/>
              <w:rPr>
                <w:rFonts w:cs="Calibri"/>
                <w:b/>
                <w:bCs/>
                <w:sz w:val="20"/>
              </w:rPr>
            </w:pPr>
            <w:r w:rsidRPr="00DD47DF">
              <w:rPr>
                <w:rFonts w:cs="Calibri"/>
                <w:b/>
                <w:bCs/>
                <w:sz w:val="20"/>
              </w:rPr>
              <w:t>Měrná</w:t>
            </w:r>
          </w:p>
          <w:p w14:paraId="56541DCF" w14:textId="77777777" w:rsidR="00CF739D" w:rsidRPr="00DD47DF" w:rsidRDefault="00CF739D" w:rsidP="001B2E5C">
            <w:pPr>
              <w:pStyle w:val="Tabulka"/>
              <w:rPr>
                <w:rFonts w:cs="Calibri"/>
                <w:b/>
                <w:bCs/>
                <w:sz w:val="20"/>
              </w:rPr>
            </w:pPr>
            <w:r w:rsidRPr="00DD47DF">
              <w:rPr>
                <w:rFonts w:cs="Calibri"/>
                <w:b/>
                <w:bCs/>
                <w:sz w:val="20"/>
              </w:rPr>
              <w:t>jednotka</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4086231" w14:textId="77777777" w:rsidR="00CF739D" w:rsidRPr="00DD47DF" w:rsidRDefault="00CF739D" w:rsidP="001B2E5C">
            <w:pPr>
              <w:pStyle w:val="Tabulka"/>
              <w:rPr>
                <w:rFonts w:cs="Calibri"/>
                <w:b/>
                <w:bCs/>
                <w:sz w:val="20"/>
              </w:rPr>
            </w:pPr>
            <w:r w:rsidRPr="00DD47DF">
              <w:rPr>
                <w:rFonts w:cs="Calibri"/>
                <w:b/>
                <w:bCs/>
                <w:sz w:val="20"/>
              </w:rPr>
              <w:t>Kategorie regionů (je-li relevantní)</w:t>
            </w:r>
          </w:p>
        </w:tc>
        <w:tc>
          <w:tcPr>
            <w:tcW w:w="46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0ABE365" w14:textId="77777777" w:rsidR="00CF739D" w:rsidRPr="00DD47DF" w:rsidRDefault="004B0854" w:rsidP="001B2E5C">
            <w:pPr>
              <w:pStyle w:val="Tabulka"/>
              <w:rPr>
                <w:rFonts w:cs="Calibri"/>
                <w:b/>
                <w:bCs/>
                <w:sz w:val="20"/>
              </w:rPr>
            </w:pPr>
            <w:r w:rsidRPr="00DD47DF">
              <w:rPr>
                <w:rFonts w:cs="Calibri"/>
                <w:b/>
                <w:bCs/>
                <w:sz w:val="20"/>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D3F5B41" w14:textId="77777777" w:rsidR="00CF739D" w:rsidRPr="00DD47DF" w:rsidRDefault="004B0854" w:rsidP="004B0854">
            <w:pPr>
              <w:pStyle w:val="Tabulka"/>
              <w:rPr>
                <w:rFonts w:cs="Calibri"/>
                <w:b/>
                <w:bCs/>
                <w:sz w:val="20"/>
              </w:rPr>
            </w:pPr>
            <w:r w:rsidRPr="00DD47DF">
              <w:rPr>
                <w:rFonts w:cs="Calibri"/>
                <w:b/>
                <w:bCs/>
                <w:sz w:val="20"/>
              </w:rPr>
              <w:t xml:space="preserve">Výchozí </w:t>
            </w:r>
            <w:r w:rsidR="00CF739D" w:rsidRPr="00DD47DF">
              <w:rPr>
                <w:rFonts w:cs="Calibri"/>
                <w:b/>
                <w:bCs/>
                <w:sz w:val="20"/>
              </w:rPr>
              <w:t>rok</w:t>
            </w:r>
          </w:p>
        </w:tc>
        <w:tc>
          <w:tcPr>
            <w:tcW w:w="60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29CA3FB" w14:textId="77777777" w:rsidR="00CF739D" w:rsidRPr="00DD47DF" w:rsidRDefault="00CF739D" w:rsidP="001B2E5C">
            <w:pPr>
              <w:pStyle w:val="Tabulka"/>
              <w:rPr>
                <w:rFonts w:cs="Calibri"/>
                <w:b/>
                <w:bCs/>
                <w:sz w:val="20"/>
              </w:rPr>
            </w:pPr>
            <w:r w:rsidRPr="00DD47DF">
              <w:rPr>
                <w:rFonts w:cs="Calibri"/>
                <w:b/>
                <w:bCs/>
                <w:sz w:val="20"/>
              </w:rPr>
              <w:t>Cílová hodnota (2023)</w:t>
            </w:r>
          </w:p>
        </w:tc>
        <w:tc>
          <w:tcPr>
            <w:tcW w:w="53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4BB18C" w14:textId="77777777" w:rsidR="00CF739D" w:rsidRPr="00DD47DF" w:rsidRDefault="00CF739D" w:rsidP="001B2E5C">
            <w:pPr>
              <w:pStyle w:val="Tabulka"/>
              <w:rPr>
                <w:rFonts w:cs="Calibri"/>
                <w:b/>
                <w:bCs/>
                <w:sz w:val="20"/>
              </w:rPr>
            </w:pPr>
            <w:r w:rsidRPr="00DD47DF">
              <w:rPr>
                <w:rFonts w:cs="Calibri"/>
                <w:b/>
                <w:bCs/>
                <w:sz w:val="20"/>
              </w:rPr>
              <w:t>Zdroj údajů</w:t>
            </w:r>
          </w:p>
        </w:tc>
        <w:tc>
          <w:tcPr>
            <w:tcW w:w="56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E707C6" w14:textId="77777777" w:rsidR="00CF739D" w:rsidRPr="00DD47DF" w:rsidRDefault="00CF739D" w:rsidP="001B2E5C">
            <w:pPr>
              <w:pStyle w:val="Tabulka"/>
              <w:rPr>
                <w:rFonts w:cs="Calibri"/>
                <w:b/>
                <w:bCs/>
                <w:sz w:val="20"/>
              </w:rPr>
            </w:pPr>
            <w:r w:rsidRPr="00DD47DF">
              <w:rPr>
                <w:rFonts w:cs="Calibri"/>
                <w:b/>
                <w:bCs/>
                <w:sz w:val="20"/>
              </w:rPr>
              <w:t>Četnost podávání zpráv</w:t>
            </w:r>
          </w:p>
        </w:tc>
      </w:tr>
      <w:tr w:rsidR="009A45DC" w:rsidRPr="00DD47DF" w14:paraId="252538E5" w14:textId="77777777" w:rsidTr="001D58DB">
        <w:trPr>
          <w:trHeight w:hRule="exact" w:val="2377"/>
        </w:trPr>
        <w:tc>
          <w:tcPr>
            <w:tcW w:w="411" w:type="pct"/>
            <w:tcBorders>
              <w:top w:val="single" w:sz="4" w:space="0" w:color="000000"/>
              <w:left w:val="single" w:sz="4" w:space="0" w:color="000000"/>
              <w:bottom w:val="single" w:sz="4" w:space="0" w:color="000000"/>
              <w:right w:val="single" w:sz="4" w:space="0" w:color="000000"/>
            </w:tcBorders>
            <w:vAlign w:val="center"/>
          </w:tcPr>
          <w:p w14:paraId="2F910B40" w14:textId="77777777" w:rsidR="009A45DC" w:rsidRPr="00DD47DF" w:rsidDel="009A45DC" w:rsidRDefault="00922197" w:rsidP="00EB13D9">
            <w:pPr>
              <w:pStyle w:val="Tabulka"/>
              <w:rPr>
                <w:rFonts w:cs="Calibri"/>
              </w:rPr>
            </w:pPr>
            <w:r w:rsidRPr="00DD47DF">
              <w:rPr>
                <w:rFonts w:cs="Calibri"/>
              </w:rPr>
              <w:lastRenderedPageBreak/>
              <w:t>2</w:t>
            </w:r>
            <w:r w:rsidR="00831F28" w:rsidRPr="00DD47DF">
              <w:rPr>
                <w:rFonts w:cs="Calibri"/>
              </w:rPr>
              <w:t>3300</w:t>
            </w:r>
          </w:p>
        </w:tc>
        <w:tc>
          <w:tcPr>
            <w:tcW w:w="836" w:type="pct"/>
            <w:tcBorders>
              <w:top w:val="single" w:sz="4" w:space="0" w:color="000000"/>
              <w:left w:val="single" w:sz="4" w:space="0" w:color="000000"/>
              <w:bottom w:val="single" w:sz="4" w:space="0" w:color="000000"/>
              <w:right w:val="single" w:sz="4" w:space="0" w:color="000000"/>
            </w:tcBorders>
            <w:vAlign w:val="center"/>
          </w:tcPr>
          <w:p w14:paraId="6A6955F0" w14:textId="77777777" w:rsidR="009A45DC" w:rsidRPr="00DD47DF" w:rsidDel="009A45DC" w:rsidRDefault="00831F28" w:rsidP="00AF574A">
            <w:pPr>
              <w:pStyle w:val="Tabulka"/>
              <w:jc w:val="left"/>
              <w:rPr>
                <w:rFonts w:cs="Calibri"/>
              </w:rPr>
            </w:pPr>
            <w:r w:rsidRPr="00DD47DF">
              <w:rPr>
                <w:rFonts w:cs="Calibri"/>
              </w:rPr>
              <w:t>Celková rozloha regenerovaných lokalit v Národní databázi brownfieldů pro ekonomické využití MSP</w:t>
            </w:r>
          </w:p>
        </w:tc>
        <w:tc>
          <w:tcPr>
            <w:tcW w:w="535" w:type="pct"/>
            <w:tcBorders>
              <w:top w:val="single" w:sz="4" w:space="0" w:color="000000"/>
              <w:left w:val="single" w:sz="4" w:space="0" w:color="000000"/>
              <w:bottom w:val="single" w:sz="4" w:space="0" w:color="000000"/>
              <w:right w:val="single" w:sz="4" w:space="0" w:color="000000"/>
            </w:tcBorders>
            <w:vAlign w:val="center"/>
          </w:tcPr>
          <w:p w14:paraId="6612C129" w14:textId="77777777" w:rsidR="009A45DC" w:rsidRPr="00DD47DF" w:rsidDel="009A45DC" w:rsidRDefault="009A45DC" w:rsidP="00EB13D9">
            <w:pPr>
              <w:pStyle w:val="Tabulka"/>
              <w:rPr>
                <w:rFonts w:cs="Calibri"/>
              </w:rPr>
            </w:pPr>
            <w:r w:rsidRPr="00DD47DF">
              <w:rPr>
                <w:rFonts w:cs="Calibri"/>
                <w:bCs/>
              </w:rPr>
              <w:t>m</w:t>
            </w:r>
            <w:r w:rsidRPr="00DD47DF">
              <w:rPr>
                <w:rFonts w:cs="Calibri"/>
                <w:bCs/>
                <w:vertAlign w:val="superscript"/>
              </w:rPr>
              <w:t>2</w:t>
            </w:r>
          </w:p>
        </w:tc>
        <w:tc>
          <w:tcPr>
            <w:tcW w:w="599" w:type="pct"/>
            <w:tcBorders>
              <w:top w:val="single" w:sz="4" w:space="0" w:color="000000"/>
              <w:left w:val="single" w:sz="4" w:space="0" w:color="000000"/>
              <w:bottom w:val="single" w:sz="4" w:space="0" w:color="000000"/>
              <w:right w:val="single" w:sz="4" w:space="0" w:color="000000"/>
            </w:tcBorders>
            <w:vAlign w:val="center"/>
          </w:tcPr>
          <w:p w14:paraId="78892E16" w14:textId="77777777" w:rsidR="009A45DC" w:rsidRPr="00DD47DF" w:rsidDel="009A45DC" w:rsidRDefault="009A45DC" w:rsidP="00EB13D9">
            <w:pPr>
              <w:pStyle w:val="Tabulka"/>
              <w:rPr>
                <w:rFonts w:cs="Calibri"/>
              </w:rPr>
            </w:pPr>
            <w:r w:rsidRPr="00DD47DF">
              <w:rPr>
                <w:rFonts w:cs="Calibri"/>
              </w:rPr>
              <w:t>Méně rozvinuté regiony</w:t>
            </w:r>
          </w:p>
        </w:tc>
        <w:tc>
          <w:tcPr>
            <w:tcW w:w="462" w:type="pct"/>
            <w:tcBorders>
              <w:top w:val="single" w:sz="4" w:space="0" w:color="000000"/>
              <w:left w:val="single" w:sz="4" w:space="0" w:color="000000"/>
              <w:bottom w:val="single" w:sz="4" w:space="0" w:color="000000"/>
              <w:right w:val="single" w:sz="4" w:space="0" w:color="000000"/>
            </w:tcBorders>
            <w:vAlign w:val="center"/>
          </w:tcPr>
          <w:p w14:paraId="41BA0D49" w14:textId="77777777" w:rsidR="009A45DC" w:rsidRPr="00DD47DF" w:rsidDel="009A45DC" w:rsidRDefault="00831F28" w:rsidP="00EB13D9">
            <w:pPr>
              <w:pStyle w:val="Tabulka"/>
              <w:rPr>
                <w:rFonts w:cs="Calibri"/>
              </w:rPr>
            </w:pPr>
            <w:r w:rsidRPr="00DD47DF">
              <w:rPr>
                <w:rFonts w:cs="Calibri"/>
              </w:rPr>
              <w:t>258 756 977</w:t>
            </w:r>
          </w:p>
        </w:tc>
        <w:tc>
          <w:tcPr>
            <w:tcW w:w="456" w:type="pct"/>
            <w:tcBorders>
              <w:top w:val="single" w:sz="4" w:space="0" w:color="000000"/>
              <w:left w:val="single" w:sz="4" w:space="0" w:color="000000"/>
              <w:bottom w:val="single" w:sz="4" w:space="0" w:color="000000"/>
              <w:right w:val="single" w:sz="4" w:space="0" w:color="000000"/>
            </w:tcBorders>
            <w:vAlign w:val="center"/>
          </w:tcPr>
          <w:p w14:paraId="199C76C6" w14:textId="77777777" w:rsidR="009A45DC" w:rsidRPr="00DD47DF" w:rsidDel="009A45DC" w:rsidRDefault="009A45DC" w:rsidP="00EB13D9">
            <w:pPr>
              <w:pStyle w:val="Tabulka"/>
              <w:rPr>
                <w:rFonts w:cs="Calibri"/>
              </w:rPr>
            </w:pPr>
            <w:r w:rsidRPr="00DD47DF">
              <w:rPr>
                <w:rFonts w:cs="Calibri"/>
              </w:rPr>
              <w:t>2014</w:t>
            </w:r>
          </w:p>
        </w:tc>
        <w:tc>
          <w:tcPr>
            <w:tcW w:w="608" w:type="pct"/>
            <w:tcBorders>
              <w:top w:val="single" w:sz="4" w:space="0" w:color="000000"/>
              <w:left w:val="single" w:sz="4" w:space="0" w:color="000000"/>
              <w:bottom w:val="single" w:sz="4" w:space="0" w:color="000000"/>
              <w:right w:val="single" w:sz="4" w:space="0" w:color="000000"/>
            </w:tcBorders>
            <w:vAlign w:val="center"/>
          </w:tcPr>
          <w:p w14:paraId="228547D3" w14:textId="77777777" w:rsidR="009A45DC" w:rsidRPr="00DD47DF" w:rsidDel="009A45DC" w:rsidRDefault="00831F28" w:rsidP="00EB13D9">
            <w:pPr>
              <w:pStyle w:val="Tabulka"/>
              <w:rPr>
                <w:rFonts w:cs="Calibri"/>
                <w:sz w:val="20"/>
              </w:rPr>
            </w:pPr>
            <w:r w:rsidRPr="00DD47DF">
              <w:rPr>
                <w:rFonts w:cs="Calibri"/>
              </w:rPr>
              <w:t>259 000 000 – 260 500 000</w:t>
            </w:r>
            <w:r w:rsidRPr="00DD47DF">
              <w:rPr>
                <w:rStyle w:val="Znakapoznpodarou"/>
                <w:rFonts w:cs="Calibri"/>
              </w:rPr>
              <w:footnoteReference w:id="53"/>
            </w:r>
          </w:p>
        </w:tc>
        <w:tc>
          <w:tcPr>
            <w:tcW w:w="533" w:type="pct"/>
            <w:tcBorders>
              <w:top w:val="single" w:sz="4" w:space="0" w:color="000000"/>
              <w:left w:val="single" w:sz="4" w:space="0" w:color="000000"/>
              <w:bottom w:val="single" w:sz="4" w:space="0" w:color="000000"/>
              <w:right w:val="single" w:sz="4" w:space="0" w:color="000000"/>
            </w:tcBorders>
            <w:vAlign w:val="center"/>
          </w:tcPr>
          <w:p w14:paraId="6E211E79" w14:textId="77777777" w:rsidR="00F229AC" w:rsidRPr="00DD47DF" w:rsidRDefault="00CA3ED8" w:rsidP="00F229AC">
            <w:pPr>
              <w:pStyle w:val="Tabulka"/>
              <w:rPr>
                <w:rFonts w:cs="Calibri"/>
              </w:rPr>
            </w:pPr>
            <w:r>
              <w:rPr>
                <w:rFonts w:cs="Calibri"/>
              </w:rPr>
              <w:t>ŘO</w:t>
            </w:r>
          </w:p>
          <w:p w14:paraId="079B0A56" w14:textId="77777777" w:rsidR="009A45DC" w:rsidRPr="00DD47DF" w:rsidDel="009A45DC" w:rsidRDefault="009A45DC" w:rsidP="00F229AC">
            <w:pPr>
              <w:pStyle w:val="Tabulka"/>
              <w:rPr>
                <w:rFonts w:cs="Calibri"/>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61E83AD0" w14:textId="77777777" w:rsidR="009A45DC" w:rsidRPr="00DD47DF" w:rsidDel="009A45DC" w:rsidRDefault="009A45DC" w:rsidP="00EB13D9">
            <w:pPr>
              <w:pStyle w:val="Tabulka"/>
              <w:rPr>
                <w:rFonts w:cs="Calibri"/>
              </w:rPr>
            </w:pPr>
            <w:r w:rsidRPr="00DD47DF">
              <w:rPr>
                <w:rFonts w:cs="Calibri"/>
              </w:rPr>
              <w:t>ročně</w:t>
            </w:r>
          </w:p>
        </w:tc>
      </w:tr>
    </w:tbl>
    <w:p w14:paraId="20048249" w14:textId="77777777" w:rsidR="00F262C8" w:rsidRPr="00DD47DF" w:rsidRDefault="001B2E5C" w:rsidP="00DA3512">
      <w:pPr>
        <w:pStyle w:val="kapitola2A0"/>
        <w:numPr>
          <w:ilvl w:val="2"/>
          <w:numId w:val="63"/>
        </w:numPr>
      </w:pPr>
      <w:bookmarkStart w:id="52" w:name="_Toc129005389"/>
      <w:r w:rsidRPr="00DD47DF">
        <w:t>Opatření, jež má být podpořeno v rámci investiční priority</w:t>
      </w:r>
      <w:bookmarkEnd w:id="52"/>
    </w:p>
    <w:p w14:paraId="6806DCDF" w14:textId="77777777" w:rsidR="00F262C8" w:rsidRPr="00DD47DF" w:rsidRDefault="00D479AF" w:rsidP="00EA7151">
      <w:pPr>
        <w:pStyle w:val="Nadpis5"/>
        <w:numPr>
          <w:ilvl w:val="4"/>
          <w:numId w:val="20"/>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6A54333F" w14:textId="77777777" w:rsidR="00F262C8" w:rsidRPr="00DD47DF" w:rsidRDefault="00F262C8" w:rsidP="00EA7151">
      <w:pPr>
        <w:pStyle w:val="Modrnadpis"/>
      </w:pPr>
      <w:r w:rsidRPr="00DD47DF">
        <w:t xml:space="preserve">SPECIFICKÝ CÍL </w:t>
      </w:r>
      <w:r w:rsidR="00C71E6F" w:rsidRPr="00DD47DF">
        <w:t>2.</w:t>
      </w:r>
      <w:r w:rsidRPr="00DD47DF">
        <w:t>3:</w:t>
      </w:r>
      <w:r w:rsidR="00C76EE3" w:rsidRPr="00DD47DF">
        <w:t xml:space="preserve"> Zvýš</w:t>
      </w:r>
      <w:r w:rsidR="00771951" w:rsidRPr="00DD47DF">
        <w:t xml:space="preserve">it </w:t>
      </w:r>
      <w:r w:rsidR="00C76EE3" w:rsidRPr="00DD47DF">
        <w:t>využitelnost infrastruktury pro podnikání</w:t>
      </w:r>
      <w:r w:rsidRPr="00DD47DF">
        <w:t xml:space="preserve"> </w:t>
      </w:r>
    </w:p>
    <w:p w14:paraId="3B3EE8BB" w14:textId="77777777" w:rsidR="00F262C8" w:rsidRPr="00DD47DF" w:rsidRDefault="000A2EB4" w:rsidP="00EA7151">
      <w:pPr>
        <w:pStyle w:val="Standardntext"/>
        <w:keepNext/>
        <w:keepLines/>
        <w:rPr>
          <w:b/>
        </w:rPr>
      </w:pPr>
      <w:r w:rsidRPr="00DD47DF">
        <w:rPr>
          <w:b/>
        </w:rPr>
        <w:t>Aktivity pro tento specifický cíl:</w:t>
      </w:r>
    </w:p>
    <w:p w14:paraId="77731689" w14:textId="77777777" w:rsidR="00F262C8" w:rsidRPr="00DD47DF" w:rsidRDefault="007C0A99" w:rsidP="00D927A2">
      <w:pPr>
        <w:pStyle w:val="Standardntext"/>
        <w:keepNext/>
        <w:keepLines/>
        <w:numPr>
          <w:ilvl w:val="0"/>
          <w:numId w:val="44"/>
        </w:numPr>
      </w:pPr>
      <w:r w:rsidRPr="00DD47DF">
        <w:t>Technické a stavební rekonstrukce brownfieldů (bez výdajů na odstranění ekologických zátěží) a jejich přeměna na moderní podnikatelské objekty a vznik nově zrekonstruovatelných podnikatelských ploch</w:t>
      </w:r>
      <w:r w:rsidR="00F262C8" w:rsidRPr="00DD47DF">
        <w:t>,</w:t>
      </w:r>
    </w:p>
    <w:p w14:paraId="7F7B9F55" w14:textId="77777777" w:rsidR="000E4AB2" w:rsidRDefault="007C0A99" w:rsidP="00D927A2">
      <w:pPr>
        <w:pStyle w:val="Standardntext"/>
        <w:numPr>
          <w:ilvl w:val="0"/>
          <w:numId w:val="44"/>
        </w:numPr>
      </w:pPr>
      <w:r w:rsidRPr="00DD47DF">
        <w:t>realizace komplexních stavebně-technických opatření vedoucích k rekonstrukcím technicky nevyhovující podnikatelské nemovitostí nebo brownfieldů na podnikatelský objekt a vzniku nově zrekonstruovaných podnikatelských ploch</w:t>
      </w:r>
      <w:r w:rsidR="000E4AB2">
        <w:t>,</w:t>
      </w:r>
    </w:p>
    <w:p w14:paraId="15348659" w14:textId="68774E89" w:rsidR="00F262C8" w:rsidRPr="00DD47DF" w:rsidRDefault="000E4AB2" w:rsidP="000E4AB2">
      <w:pPr>
        <w:pStyle w:val="Standardntext"/>
        <w:numPr>
          <w:ilvl w:val="0"/>
          <w:numId w:val="44"/>
        </w:numPr>
      </w:pPr>
      <w:r w:rsidRPr="000E4AB2">
        <w:t>v případě realizace projektu prostřednictvím finančního nástroje navíc také umožnění nové výstavby na regenerovaných plochách brownfield v případech, kdy tyto neobsahují objekt určený k</w:t>
      </w:r>
      <w:r>
        <w:t> </w:t>
      </w:r>
      <w:r w:rsidRPr="000E4AB2">
        <w:t>rekonstrukci</w:t>
      </w:r>
      <w:r>
        <w:t>.</w:t>
      </w:r>
    </w:p>
    <w:p w14:paraId="1B12D27C" w14:textId="0C930BBE" w:rsidR="005368EE" w:rsidRPr="00DD47DF" w:rsidRDefault="005368EE" w:rsidP="00226516">
      <w:pPr>
        <w:pStyle w:val="Standardntext"/>
      </w:pPr>
      <w:r w:rsidRPr="00DD47DF">
        <w:t>Aktivity SC 2.3 jsou orientovány na zvýšení využitelnosti infrastruktury pro podnikání, na modernizaci stávající infrastruktury v oblasti výroby a služeb a na rekonstrukci brownfield</w:t>
      </w:r>
      <w:r w:rsidR="00BF7E1C" w:rsidRPr="00DD47DF">
        <w:t>ů</w:t>
      </w:r>
      <w:r w:rsidR="002D5F98">
        <w:t xml:space="preserve"> </w:t>
      </w:r>
      <w:r w:rsidR="002D5F98" w:rsidRPr="002D5F98">
        <w:t>a v případě finančních nástrojů také na projekty, jejichž součástí je v rámci regenerace lokality brownfieldu i výstavba nové infrastruktury</w:t>
      </w:r>
      <w:r w:rsidRPr="00DD47DF">
        <w:t xml:space="preserve">. SC 2.3 navazuje na </w:t>
      </w:r>
      <w:r w:rsidR="00292B8D" w:rsidRPr="00DD47DF">
        <w:t xml:space="preserve">program </w:t>
      </w:r>
      <w:r w:rsidRPr="00DD47DF">
        <w:t xml:space="preserve">podpory OPPI </w:t>
      </w:r>
      <w:r w:rsidR="00292B8D" w:rsidRPr="00DD47DF">
        <w:rPr>
          <w:i/>
        </w:rPr>
        <w:t xml:space="preserve">Nemovitosti, </w:t>
      </w:r>
      <w:r w:rsidR="00292B8D" w:rsidRPr="00DD47DF">
        <w:t>který byl v letech 2007 - 2013 zaměřen na budování a rozvoj i</w:t>
      </w:r>
      <w:r w:rsidRPr="00DD47DF">
        <w:t>nfrastruktur</w:t>
      </w:r>
      <w:r w:rsidR="00292B8D" w:rsidRPr="00DD47DF">
        <w:t>y</w:t>
      </w:r>
      <w:r w:rsidRPr="00DD47DF">
        <w:t xml:space="preserve"> pro podnikání</w:t>
      </w:r>
      <w:r w:rsidR="00292B8D" w:rsidRPr="00DD47DF">
        <w:t xml:space="preserve"> a který </w:t>
      </w:r>
      <w:r w:rsidRPr="00DD47DF">
        <w:t>přispěl k částečnému zlepšení nevyhovující podnikatelské infrastruktury</w:t>
      </w:r>
      <w:r w:rsidR="00DD19A9" w:rsidRPr="00DD47DF">
        <w:t>. N</w:t>
      </w:r>
      <w:r w:rsidRPr="00DD47DF">
        <w:t xml:space="preserve">avrhované aktivity SC 2.3 umožní pokračovat v tomto procesu ve prospěch MSP, a to především </w:t>
      </w:r>
      <w:r w:rsidR="007C0A99" w:rsidRPr="00DD47DF">
        <w:t xml:space="preserve">komplexní stavební </w:t>
      </w:r>
      <w:r w:rsidRPr="00DD47DF">
        <w:t xml:space="preserve">rekonstrukcí </w:t>
      </w:r>
      <w:r w:rsidR="00803C8E" w:rsidRPr="00DD47DF">
        <w:t>stávajících objektů</w:t>
      </w:r>
      <w:r w:rsidR="00803C8E" w:rsidRPr="00DD47DF" w:rsidDel="00803C8E">
        <w:t xml:space="preserve"> </w:t>
      </w:r>
      <w:r w:rsidRPr="00DD47DF">
        <w:t>pro rozvoj výrobních činností a služeb s přínosem pro zaměstnanost, ekonomiku a životní prostředí</w:t>
      </w:r>
      <w:r w:rsidR="007C0A99" w:rsidRPr="00DD47DF">
        <w:t>, to vše při povinnosti zajistit jejich maximální energetickou efektivitu</w:t>
      </w:r>
      <w:r w:rsidRPr="00DD47DF">
        <w:t xml:space="preserve">. Zkušenosti z dosavadní realizace programu </w:t>
      </w:r>
      <w:r w:rsidR="00292B8D" w:rsidRPr="00DD47DF">
        <w:t xml:space="preserve">podpory OPPI </w:t>
      </w:r>
      <w:r w:rsidRPr="00DD47DF">
        <w:rPr>
          <w:i/>
        </w:rPr>
        <w:t xml:space="preserve">Nemovitosti </w:t>
      </w:r>
      <w:r w:rsidRPr="00DD47DF">
        <w:t xml:space="preserve">především v nastavení programových podmínek, struktury projektu a příloh, výběrových kritérií, externího hodnocení projektů a administrace </w:t>
      </w:r>
      <w:r w:rsidR="009D1769" w:rsidRPr="00DD47DF">
        <w:t>projektů jsou využívány pro</w:t>
      </w:r>
      <w:r w:rsidRPr="00DD47DF">
        <w:t xml:space="preserve"> přípravu programů </w:t>
      </w:r>
      <w:r w:rsidR="00292B8D" w:rsidRPr="00DD47DF">
        <w:t xml:space="preserve">pro období 2014 – 2020 </w:t>
      </w:r>
      <w:r w:rsidRPr="00DD47DF">
        <w:t>v rámci aktivit SC 2.3.</w:t>
      </w:r>
      <w:r w:rsidR="00F753FF">
        <w:t xml:space="preserve"> </w:t>
      </w:r>
      <w:r w:rsidR="00F753FF" w:rsidRPr="00F753FF">
        <w:t xml:space="preserve">Podpora v SC 2.3 bude navíc oproti předchozímu období doplněna o realizaci finančního nástroje podporujícího projekty komplexní regenerace brownfieldů a technicky nevyhovujících podnikatelských nemovitostí (včetně dostavby a výstavby nových objektů na regenerované </w:t>
      </w:r>
      <w:r w:rsidR="00F753FF" w:rsidRPr="00F753FF">
        <w:lastRenderedPageBreak/>
        <w:t>ploše a modernizace stávajících budov) do podoby moderní podnikatelské infrastruktury k pronájmu.</w:t>
      </w:r>
    </w:p>
    <w:p w14:paraId="3C21A3D5" w14:textId="394B320F" w:rsidR="009D1769" w:rsidRDefault="008A41A4" w:rsidP="009D1769">
      <w:pPr>
        <w:pStyle w:val="Standardntext"/>
      </w:pPr>
      <w:r w:rsidRPr="00DD47DF">
        <w:t>Typovým projektem bude modernizace zastaralých, prostorově a technicky nevyhovujících objektů, budov a areálů</w:t>
      </w:r>
      <w:r w:rsidR="00835369" w:rsidRPr="00DD47DF">
        <w:t>,</w:t>
      </w:r>
      <w:r w:rsidR="00803C8E" w:rsidRPr="00DD47DF">
        <w:t xml:space="preserve"> které bude možné znovu využít pro rozvoj výrobních činností a služeb</w:t>
      </w:r>
      <w:r w:rsidR="00781B41" w:rsidRPr="00DD47DF">
        <w:t xml:space="preserve"> MSP</w:t>
      </w:r>
      <w:r w:rsidR="00711B4C" w:rsidRPr="00DD47DF">
        <w:t xml:space="preserve">. </w:t>
      </w:r>
      <w:r w:rsidR="00803C8E" w:rsidRPr="00DD47DF">
        <w:t>Rekonstrukce stávajících objektů není v případě SC 2.3 spojena s pořízením nových technologií.</w:t>
      </w:r>
      <w:r w:rsidRPr="00DD47DF">
        <w:t xml:space="preserve"> </w:t>
      </w:r>
      <w:r w:rsidR="00711B4C" w:rsidRPr="00DD47DF">
        <w:t>Příjemcem podpory v tomto specifickém cíli budou malé a střední podniky a také municipality</w:t>
      </w:r>
      <w:r w:rsidR="006C1F43" w:rsidRPr="00DD47DF">
        <w:t xml:space="preserve">. </w:t>
      </w:r>
      <w:r w:rsidR="003C64C0" w:rsidRPr="003C64C0">
        <w:t>V případě finančních nástrojů bude typový projekt zahrnovat též komplexní regeneraci brownfieldu (včetně výstavby nových objektů na regenerované ploše a modernizace stávajících budov) do podoby moderní podnikatelské infrastruktury k pronájmu. Příjemcem podpory mohou být v případě finančního nástroje též municipality a velké podniky, za podmínky následného využití vzniklé infrastruktury převážně malými a středními podniky.</w:t>
      </w:r>
      <w:r w:rsidR="003C64C0">
        <w:t xml:space="preserve"> </w:t>
      </w:r>
      <w:r w:rsidR="005368EE" w:rsidRPr="00DD47DF">
        <w:t xml:space="preserve">Podporovány nebudou </w:t>
      </w:r>
      <w:r w:rsidR="006C1F43" w:rsidRPr="00DD47DF">
        <w:t xml:space="preserve">developerské </w:t>
      </w:r>
      <w:r w:rsidR="00292B8D" w:rsidRPr="00DD47DF">
        <w:t>projekty</w:t>
      </w:r>
      <w:r w:rsidR="007F3712">
        <w:t xml:space="preserve"> (</w:t>
      </w:r>
      <w:r w:rsidR="007F3712" w:rsidRPr="007F3712">
        <w:t>nevztahuje se na projekty podpořené finančním nástroje</w:t>
      </w:r>
      <w:r w:rsidR="007F3712">
        <w:t>m).</w:t>
      </w:r>
      <w:r w:rsidR="006C1F43" w:rsidRPr="00DD47DF">
        <w:t xml:space="preserve"> </w:t>
      </w:r>
      <w:r w:rsidR="007F3712">
        <w:t xml:space="preserve">Nebude podporována </w:t>
      </w:r>
      <w:r w:rsidR="00E25F1B" w:rsidRPr="00DD47DF">
        <w:t xml:space="preserve">výstavba na „zelené louce“ vyžadující zábor zemědělského půdního fondu. </w:t>
      </w:r>
      <w:r w:rsidR="00231B6C" w:rsidRPr="00DD47DF">
        <w:t xml:space="preserve">Výstupem </w:t>
      </w:r>
      <w:r w:rsidR="006C1F43" w:rsidRPr="00DD47DF">
        <w:t xml:space="preserve">projektů v rámci tohoto specifického cíle </w:t>
      </w:r>
      <w:r w:rsidR="00231B6C" w:rsidRPr="00DD47DF">
        <w:t xml:space="preserve">bude </w:t>
      </w:r>
      <w:r w:rsidR="000640D3">
        <w:t xml:space="preserve">nová či </w:t>
      </w:r>
      <w:r w:rsidR="00231B6C" w:rsidRPr="00DD47DF">
        <w:t>nově zrekonstruovaná podnikatelská infrastruktura</w:t>
      </w:r>
      <w:r w:rsidR="006C1F43" w:rsidRPr="00DD47DF">
        <w:t xml:space="preserve">, </w:t>
      </w:r>
      <w:r w:rsidR="00A45A2E" w:rsidRPr="00DD47DF">
        <w:t>výsled</w:t>
      </w:r>
      <w:r w:rsidR="008F3B30" w:rsidRPr="00DD47DF">
        <w:t>k</w:t>
      </w:r>
      <w:r w:rsidR="00A45A2E" w:rsidRPr="00DD47DF">
        <w:t>em</w:t>
      </w:r>
      <w:r w:rsidR="008F3B30" w:rsidRPr="00DD47DF">
        <w:t xml:space="preserve"> </w:t>
      </w:r>
      <w:r w:rsidR="006C1F43" w:rsidRPr="00DD47DF">
        <w:t xml:space="preserve">aktivit specifického cíle </w:t>
      </w:r>
      <w:r w:rsidR="00A45A2E" w:rsidRPr="00DD47DF">
        <w:t xml:space="preserve">bude </w:t>
      </w:r>
      <w:r w:rsidR="002171D3" w:rsidRPr="00DD47DF">
        <w:t xml:space="preserve">růst celkové rozlohy </w:t>
      </w:r>
      <w:r w:rsidR="009D1769" w:rsidRPr="00DD47DF">
        <w:t>regenerovaných lokalit</w:t>
      </w:r>
      <w:r w:rsidR="00F86517" w:rsidRPr="00DD47DF">
        <w:t xml:space="preserve"> využitelných pro podnikatelské aktivity</w:t>
      </w:r>
      <w:r w:rsidR="00781B41" w:rsidRPr="00DD47DF">
        <w:t xml:space="preserve"> MSP</w:t>
      </w:r>
      <w:r w:rsidR="009D1769" w:rsidRPr="00DD47DF">
        <w:t>.</w:t>
      </w:r>
    </w:p>
    <w:p w14:paraId="7973AB6E" w14:textId="105B01D4" w:rsidR="00683E91" w:rsidRPr="00DD47DF" w:rsidRDefault="00683E91" w:rsidP="009D1769">
      <w:pPr>
        <w:pStyle w:val="Standardntext"/>
      </w:pPr>
      <w:r w:rsidRPr="00700E39">
        <w:t xml:space="preserve">Typovým projektem v rámci </w:t>
      </w:r>
      <w:r w:rsidRPr="00700E39">
        <w:rPr>
          <w:b/>
        </w:rPr>
        <w:t>režimu regionální podpory zaměřeného na cestovní ruch v podporovaných specifických oblastech</w:t>
      </w:r>
      <w:r w:rsidRPr="00700E39">
        <w:t xml:space="preserve"> </w:t>
      </w:r>
      <w:r w:rsidR="00D35E06" w:rsidRPr="00D35E06">
        <w:t>a ve strukturálně postižených uhelných regionech v souladu se strategickým rámcem a akčním plánem strategie hospodářské restrukturalizace Moravskoslezského, Ústeckého a Karlovarského kraje (RE:START)</w:t>
      </w:r>
      <w:r w:rsidR="00D35E06">
        <w:t xml:space="preserve"> </w:t>
      </w:r>
      <w:r w:rsidRPr="00700E39">
        <w:t xml:space="preserve">bude modernizace zastaralých, prostorově a technicky nevyhovujících objektů, budov a areálů, které bude možné znovu využít pro rozvoj podnikatelských činností a služeb MSP v cestovním ruchu. Rekonstrukce stávajících objektů může být v rámci dobudování multifunkční infrastruktury spojena s pořízením nových technologií do maximální výše 30% způsobilých výdajů. Příjemcem podpory v tomto specifickém cíli budou malé a střední podniky. V rámci tohoto typu projektů </w:t>
      </w:r>
      <w:r w:rsidRPr="00700E39">
        <w:rPr>
          <w:b/>
        </w:rPr>
        <w:t>nebudou podpořeny aktivity směřující k vybudování nebo revitalizaci golfových hřišť a areálů a samostatných veřejných aquaparků či koupališť</w:t>
      </w:r>
      <w:r w:rsidRPr="00700E39">
        <w:t xml:space="preserve">. Podporovány nebudou developerské projekty, ani nová výstavba na „zelené louce“ vyžadující zábor zemědělského půdního fondu. V případě přístaveb a dostaveb </w:t>
      </w:r>
      <w:r w:rsidRPr="00700E39">
        <w:rPr>
          <w:b/>
        </w:rPr>
        <w:t>stávajících objektů,</w:t>
      </w:r>
      <w:r w:rsidRPr="00700E39">
        <w:t xml:space="preserve"> které vyžadují zábor zemědělského půdního fondu, bude podpora poskytnuta jen při vyloučení negativních enviromentálních vlivů a v souladu s udržitelnou výstavbou budov – </w:t>
      </w:r>
      <w:r w:rsidRPr="00700E39">
        <w:rPr>
          <w:b/>
        </w:rPr>
        <w:t>závazek úspěšné certifikace dle BREEAM nebo LEED</w:t>
      </w:r>
      <w:r w:rsidRPr="00700E39">
        <w:t>. Výstupem projektů v rámci tohoto specifického cíle bude nově zrekonstruovaná a vybudovaná podnikatelská multifunkční infrastruktura cestovního ruchu, výsledkem aktivit specifického cíle bude růst celkové rozlohy regenerovaných lokalit využitelných pro podnikatelské aktivity MSP a v tomto typu projektu doprovodně i vytvoření nových pracovních míst.</w:t>
      </w:r>
    </w:p>
    <w:p w14:paraId="7196F279" w14:textId="3E881DF9" w:rsidR="00896EDF" w:rsidRPr="00DD47DF" w:rsidRDefault="00F262C8" w:rsidP="00757916">
      <w:pPr>
        <w:pStyle w:val="Standardntext"/>
      </w:pPr>
      <w:r w:rsidRPr="00DD47DF">
        <w:rPr>
          <w:b/>
        </w:rPr>
        <w:t xml:space="preserve">Hlavní cílová skupina: </w:t>
      </w:r>
      <w:r w:rsidRPr="00DD47DF">
        <w:t xml:space="preserve">Podnikatelské </w:t>
      </w:r>
      <w:r w:rsidR="00835369" w:rsidRPr="00DD47DF">
        <w:t>subjekty (</w:t>
      </w:r>
      <w:r w:rsidR="00B15EC4" w:rsidRPr="00B15EC4">
        <w:t xml:space="preserve">u dotační podpory pouze </w:t>
      </w:r>
      <w:r w:rsidR="00835369" w:rsidRPr="00DD47DF">
        <w:t>malé a střední podniky)</w:t>
      </w:r>
    </w:p>
    <w:p w14:paraId="46E112D4" w14:textId="7A40A543" w:rsidR="00F262C8" w:rsidRPr="00DD47DF" w:rsidRDefault="00F262C8" w:rsidP="00757916">
      <w:pPr>
        <w:pStyle w:val="Standardntext"/>
      </w:pPr>
      <w:r w:rsidRPr="00DD47DF">
        <w:rPr>
          <w:b/>
        </w:rPr>
        <w:t xml:space="preserve">Cílové území: </w:t>
      </w:r>
      <w:r w:rsidR="009E0DDE" w:rsidRPr="00700E39">
        <w:t xml:space="preserve">Území České republiky, mimo území hl. m. Prahy. Z hlediska územní dimenze bude tento specifický cíl zaměřen na urbánní území, kde se předpokládá zapojení do integrovaného nástroje ITI. V rámci </w:t>
      </w:r>
      <w:r w:rsidR="009E0DDE" w:rsidRPr="00700E39">
        <w:rPr>
          <w:b/>
        </w:rPr>
        <w:t>režimu regionální podpory zaměřeného na cestovní ruch v podporovaných specifických oblastech</w:t>
      </w:r>
      <w:r w:rsidR="009E0DDE" w:rsidRPr="00700E39">
        <w:t xml:space="preserve"> jsou tyto oblasti definovány jako malé venkovské obce (do 3.000 obyvatel) s výjimečným potenciálem přírodního subsystému cestovního ruchu (100 a více bodů), který je definován studií – výzkumným úkolem – „Hodnocení potenciálu cestovního ruchu na území ČR“ zpracovanou ÚÚR. Seznam těchto obcí – podporovaných specifických oblastí, a teritoriální vymezení režimu regionální podpory </w:t>
      </w:r>
      <w:r w:rsidR="009E0DDE" w:rsidRPr="00700E39">
        <w:lastRenderedPageBreak/>
        <w:t>zaměřeného na cestovní ruch jsou uvedeny v Nepovinné příloze č. 6.</w:t>
      </w:r>
      <w:r w:rsidR="00F56185">
        <w:t xml:space="preserve"> </w:t>
      </w:r>
      <w:r w:rsidR="00F56185" w:rsidRPr="00F56185">
        <w:t>Řídící orgán dále předpokládá vyhlášení omezených specifických výzev s vazbou na RE:START, tj. na proces naplňování Strategie hospodářské restrukturalizace Ústeckého, Moravskoslezského a Karlovarského kraje a účast těchto krajů v evropské Platformě pro uhelné regiony v transformaci.</w:t>
      </w:r>
    </w:p>
    <w:p w14:paraId="439C270E" w14:textId="09C6757E" w:rsidR="00F262C8" w:rsidRPr="00DD47DF" w:rsidRDefault="00F262C8" w:rsidP="00757916">
      <w:pPr>
        <w:pStyle w:val="Standardntext"/>
      </w:pPr>
      <w:r w:rsidRPr="00DD47DF">
        <w:rPr>
          <w:b/>
        </w:rPr>
        <w:t xml:space="preserve">Typy příjemců: </w:t>
      </w:r>
      <w:r w:rsidRPr="00DD47DF">
        <w:t>Podnikatelské subjekty (</w:t>
      </w:r>
      <w:r w:rsidR="00CF411E" w:rsidRPr="00CF411E">
        <w:t xml:space="preserve">u dotační podpory </w:t>
      </w:r>
      <w:r w:rsidRPr="00DD47DF">
        <w:t>malé a střední podniky)</w:t>
      </w:r>
      <w:r w:rsidR="00B93322" w:rsidRPr="00DD47DF">
        <w:t>, municipality.</w:t>
      </w:r>
    </w:p>
    <w:p w14:paraId="58932E55" w14:textId="77777777" w:rsidR="00A25CBC" w:rsidRPr="00DD47DF" w:rsidRDefault="00A25CBC" w:rsidP="00AC36CB">
      <w:pPr>
        <w:pStyle w:val="kapitola2A0"/>
        <w:numPr>
          <w:ilvl w:val="2"/>
          <w:numId w:val="130"/>
        </w:numPr>
      </w:pPr>
      <w:bookmarkStart w:id="53" w:name="_Toc129005390"/>
      <w:r w:rsidRPr="00DD47DF">
        <w:t>Specifické cíle odpovídající investiční prioritě a očekávané výsledky</w:t>
      </w:r>
      <w:bookmarkEnd w:id="53"/>
    </w:p>
    <w:p w14:paraId="21656273" w14:textId="77777777" w:rsidR="00A25CBC" w:rsidRPr="00DD47DF" w:rsidRDefault="00A25CBC" w:rsidP="00A25CBC">
      <w:pPr>
        <w:pStyle w:val="Modrnadpis"/>
        <w:ind w:left="0" w:firstLine="0"/>
      </w:pPr>
      <w:r w:rsidRPr="00DD47DF">
        <w:t>SPECIFICKÝ CÍL 2.4: Zvýšit kapacitu pro odborné vzdělávání v MSP</w:t>
      </w:r>
    </w:p>
    <w:p w14:paraId="497E9B03" w14:textId="77777777" w:rsidR="00A25CBC" w:rsidRPr="00DD47DF" w:rsidRDefault="00A25CBC" w:rsidP="00A25CBC">
      <w:pPr>
        <w:pStyle w:val="Standardntext"/>
      </w:pPr>
      <w:r w:rsidRPr="00DD47DF">
        <w:t>MSP se potýkají s nedostatkem kvalifikované pracovní síly v podnikání, zejména v případě inovačních procesů vyžadujících dostatečnou úroveň odborných znalostí a dovedností. Nezbytným faktorem konkurenceschopnosti MSP je udržet krok s dynamickým technologickým rozvojem, což s sebou přináší nutnost kontinuálního rozvoje lidských zdrojů v podnicích, zejména zvyšování odbornosti a kvalifikace zaměstnanců i zaměstnavatelů. Tomu často brání nedostatek kapacit pro odborné vzdělávání v MSP. Specifickým cílem je proto rozvoj nové a lepší využití stávající infrastruktury pro odborné vzdělávání a zvyšování kvalifikace pracovníků v sektoru MSP.</w:t>
      </w:r>
    </w:p>
    <w:p w14:paraId="190D95A3" w14:textId="77777777" w:rsidR="00A25CBC" w:rsidRPr="00DD47DF" w:rsidRDefault="00A25CBC" w:rsidP="00A25CBC">
      <w:pPr>
        <w:pStyle w:val="Modrnadpis"/>
      </w:pPr>
      <w:r w:rsidRPr="00DD47DF">
        <w:t>Výsledky, kterých chce ČR dosáhnout s podporou Unie</w:t>
      </w:r>
    </w:p>
    <w:p w14:paraId="393255FF" w14:textId="77777777" w:rsidR="00A25CBC" w:rsidRPr="00DD47DF" w:rsidRDefault="00A25CBC" w:rsidP="00A25CBC">
      <w:pPr>
        <w:pStyle w:val="Standardntext"/>
        <w:numPr>
          <w:ilvl w:val="0"/>
          <w:numId w:val="56"/>
        </w:numPr>
      </w:pPr>
      <w:r w:rsidRPr="00DD47DF">
        <w:t xml:space="preserve">Odpovídající zajištění materiálních (moderní stroje a další vybavení či lokace využitelné pro zaškolování) kapacit MSP pro zajištění činností souvisejících s odborným </w:t>
      </w:r>
      <w:r w:rsidRPr="00DD47DF">
        <w:rPr>
          <w:color w:val="000000"/>
        </w:rPr>
        <w:t xml:space="preserve">vzděláváním </w:t>
      </w:r>
      <w:r w:rsidR="00954E0C" w:rsidRPr="00DD47DF">
        <w:rPr>
          <w:color w:val="000000"/>
        </w:rPr>
        <w:t xml:space="preserve">a zvyšováním kvalifikace pracovníků MSP.  </w:t>
      </w:r>
    </w:p>
    <w:p w14:paraId="5B19F1ED" w14:textId="77777777" w:rsidR="00A25CBC" w:rsidRPr="00DD47DF" w:rsidRDefault="00A25CBC" w:rsidP="00A25CBC">
      <w:pPr>
        <w:pStyle w:val="Textkomente"/>
        <w:numPr>
          <w:ilvl w:val="0"/>
          <w:numId w:val="76"/>
        </w:numPr>
        <w:rPr>
          <w:rFonts w:ascii="Times New Roman" w:hAnsi="Times New Roman"/>
          <w:sz w:val="24"/>
          <w:szCs w:val="24"/>
        </w:rPr>
      </w:pPr>
      <w:r w:rsidRPr="00DD47DF">
        <w:rPr>
          <w:rFonts w:ascii="Times New Roman" w:hAnsi="Times New Roman"/>
          <w:sz w:val="24"/>
          <w:szCs w:val="24"/>
        </w:rPr>
        <w:t>Zvýšení produktivity práce v sektoru MSP, mj. i v důsledku vyšší odbornosti a kvalifikace zaměstnanců a zaměstnavatelů.</w:t>
      </w:r>
    </w:p>
    <w:p w14:paraId="0D62E638" w14:textId="77777777" w:rsidR="00A25CBC" w:rsidRPr="00DD47DF" w:rsidRDefault="00A25CBC" w:rsidP="00A25CBC">
      <w:pPr>
        <w:pStyle w:val="Textkomente"/>
        <w:numPr>
          <w:ilvl w:val="0"/>
          <w:numId w:val="76"/>
        </w:numPr>
        <w:rPr>
          <w:rFonts w:ascii="Times New Roman" w:hAnsi="Times New Roman"/>
          <w:sz w:val="24"/>
          <w:szCs w:val="24"/>
        </w:rPr>
      </w:pPr>
      <w:r w:rsidRPr="00DD47DF">
        <w:rPr>
          <w:rFonts w:ascii="Times New Roman" w:hAnsi="Times New Roman"/>
          <w:sz w:val="24"/>
          <w:szCs w:val="24"/>
        </w:rPr>
        <w:t xml:space="preserve">Zvýšení podílů osob v produktivním věku účastnících se dalšího </w:t>
      </w:r>
      <w:r w:rsidR="00954E0C" w:rsidRPr="00DD47DF">
        <w:rPr>
          <w:rFonts w:ascii="Times New Roman" w:hAnsi="Times New Roman"/>
          <w:sz w:val="24"/>
          <w:szCs w:val="24"/>
        </w:rPr>
        <w:t xml:space="preserve">odborného </w:t>
      </w:r>
      <w:r w:rsidRPr="00DD47DF">
        <w:rPr>
          <w:rFonts w:ascii="Times New Roman" w:hAnsi="Times New Roman"/>
          <w:sz w:val="24"/>
          <w:szCs w:val="24"/>
        </w:rPr>
        <w:t>vzdělávání</w:t>
      </w:r>
      <w:r w:rsidR="00954E0C" w:rsidRPr="00DD47DF">
        <w:rPr>
          <w:rFonts w:ascii="Times New Roman" w:hAnsi="Times New Roman"/>
          <w:sz w:val="24"/>
          <w:szCs w:val="24"/>
        </w:rPr>
        <w:t xml:space="preserve"> v podnicích.</w:t>
      </w:r>
    </w:p>
    <w:p w14:paraId="2626B302" w14:textId="77777777" w:rsidR="00A25CBC" w:rsidRPr="00DD47DF" w:rsidRDefault="00A25CBC" w:rsidP="00A25CBC">
      <w:pPr>
        <w:pStyle w:val="Standardntext"/>
        <w:numPr>
          <w:ilvl w:val="0"/>
          <w:numId w:val="56"/>
        </w:numPr>
      </w:pPr>
      <w:r w:rsidRPr="00DD47DF">
        <w:t>Zvýšení inovačních aktivit MSP v důsledku lepší dostupnosti kvalifikovaných lidských zdrojů</w:t>
      </w:r>
    </w:p>
    <w:p w14:paraId="35AE2433" w14:textId="77777777" w:rsidR="00A25CBC" w:rsidRPr="00DD47DF" w:rsidRDefault="00A25CBC" w:rsidP="00A25CBC">
      <w:pPr>
        <w:pStyle w:val="Titulek"/>
        <w:keepNext/>
        <w:keepLines/>
        <w:rPr>
          <w:rFonts w:cs="Calibri"/>
        </w:rPr>
      </w:pPr>
      <w:r w:rsidRPr="00DD47DF">
        <w:rPr>
          <w:rFonts w:cs="Calibri"/>
        </w:rPr>
        <w:lastRenderedPageBreak/>
        <w:t xml:space="preserve">Tabulka </w:t>
      </w:r>
      <w:r w:rsidRPr="00DD47DF">
        <w:rPr>
          <w:rFonts w:cs="Calibri"/>
        </w:rPr>
        <w:fldChar w:fldCharType="begin"/>
      </w:r>
      <w:r w:rsidRPr="00DD47DF">
        <w:rPr>
          <w:rFonts w:cs="Calibri"/>
        </w:rPr>
        <w:instrText xml:space="preserve"> SEQ Tabulka \* ARABIC \r3 </w:instrText>
      </w:r>
      <w:r w:rsidRPr="00DD47DF">
        <w:rPr>
          <w:rFonts w:cs="Calibri"/>
        </w:rPr>
        <w:fldChar w:fldCharType="separate"/>
      </w:r>
      <w:r w:rsidR="00117847">
        <w:rPr>
          <w:rFonts w:cs="Calibri"/>
          <w:noProof/>
        </w:rPr>
        <w:t>3</w:t>
      </w:r>
      <w:r w:rsidRPr="00DD47DF">
        <w:rPr>
          <w:rFonts w:cs="Calibri"/>
        </w:rPr>
        <w:fldChar w:fldCharType="end"/>
      </w:r>
      <w:r w:rsidRPr="00DD47DF">
        <w:rPr>
          <w:rFonts w:cs="Calibri"/>
        </w:rPr>
        <w:t>b: 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908"/>
        <w:gridCol w:w="1470"/>
        <w:gridCol w:w="946"/>
        <w:gridCol w:w="1183"/>
        <w:gridCol w:w="885"/>
        <w:gridCol w:w="873"/>
        <w:gridCol w:w="1022"/>
        <w:gridCol w:w="1002"/>
        <w:gridCol w:w="1037"/>
      </w:tblGrid>
      <w:tr w:rsidR="00A25CBC" w:rsidRPr="00DD47DF" w14:paraId="68D227A6" w14:textId="77777777" w:rsidTr="00335A15">
        <w:trPr>
          <w:trHeight w:hRule="exact" w:val="1221"/>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4AF9583" w14:textId="77777777" w:rsidR="00A25CBC" w:rsidRPr="00DD47DF" w:rsidRDefault="00A25CBC" w:rsidP="00335A15">
            <w:pPr>
              <w:pStyle w:val="Tabulka"/>
              <w:keepNext/>
              <w:keepLines/>
              <w:rPr>
                <w:rFonts w:cs="Calibri"/>
                <w:b/>
                <w:bCs/>
              </w:rPr>
            </w:pPr>
            <w:r w:rsidRPr="00DD47DF">
              <w:rPr>
                <w:rFonts w:cs="Calibri"/>
                <w:b/>
                <w:bCs/>
              </w:rPr>
              <w:t>ID</w:t>
            </w:r>
          </w:p>
        </w:tc>
        <w:tc>
          <w:tcPr>
            <w:tcW w:w="78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F07AC64" w14:textId="77777777" w:rsidR="00A25CBC" w:rsidRPr="00DD47DF" w:rsidRDefault="00A25CBC" w:rsidP="00335A15">
            <w:pPr>
              <w:pStyle w:val="Tabulka"/>
              <w:keepNext/>
              <w:keepLines/>
              <w:rPr>
                <w:rFonts w:cs="Calibri"/>
                <w:b/>
                <w:bCs/>
              </w:rPr>
            </w:pPr>
            <w:r w:rsidRPr="00DD47DF">
              <w:rPr>
                <w:rFonts w:cs="Calibri"/>
                <w:b/>
                <w:bCs/>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46D3E16" w14:textId="77777777" w:rsidR="00A25CBC" w:rsidRPr="00DD47DF" w:rsidRDefault="00A25CBC" w:rsidP="00335A15">
            <w:pPr>
              <w:pStyle w:val="Tabulka"/>
              <w:keepNext/>
              <w:keepLines/>
              <w:rPr>
                <w:rFonts w:cs="Calibri"/>
                <w:b/>
                <w:bCs/>
              </w:rPr>
            </w:pPr>
            <w:r w:rsidRPr="00DD47DF">
              <w:rPr>
                <w:rFonts w:cs="Calibri"/>
                <w:b/>
                <w:bCs/>
              </w:rPr>
              <w:t>Měrná</w:t>
            </w:r>
          </w:p>
          <w:p w14:paraId="5DF3AFF3" w14:textId="77777777" w:rsidR="00A25CBC" w:rsidRPr="00DD47DF" w:rsidRDefault="00A25CBC" w:rsidP="00335A15">
            <w:pPr>
              <w:pStyle w:val="Tabulka"/>
              <w:keepNext/>
              <w:keepLines/>
              <w:rPr>
                <w:rFonts w:cs="Calibri"/>
                <w:b/>
                <w:bCs/>
              </w:rPr>
            </w:pPr>
            <w:r w:rsidRPr="00DD47DF">
              <w:rPr>
                <w:rFonts w:cs="Calibri"/>
                <w:b/>
                <w:bCs/>
              </w:rPr>
              <w:t>jednotka</w:t>
            </w:r>
          </w:p>
        </w:tc>
        <w:tc>
          <w:tcPr>
            <w:tcW w:w="63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8B1F4F0" w14:textId="77777777" w:rsidR="00A25CBC" w:rsidRPr="00DD47DF" w:rsidRDefault="00A25CBC" w:rsidP="00335A15">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E0E781A" w14:textId="77777777" w:rsidR="00A25CBC" w:rsidRPr="00DD47DF" w:rsidRDefault="00A25CBC" w:rsidP="00335A15">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C2239E9" w14:textId="77777777" w:rsidR="00A25CBC" w:rsidRPr="00DD47DF" w:rsidRDefault="00A25CBC" w:rsidP="00335A15">
            <w:pPr>
              <w:pStyle w:val="Tabulka"/>
              <w:keepNext/>
              <w:keepLines/>
              <w:rPr>
                <w:rFonts w:cs="Calibri"/>
                <w:b/>
                <w:bCs/>
              </w:rPr>
            </w:pPr>
            <w:r w:rsidRPr="00DD47DF">
              <w:rPr>
                <w:rFonts w:cs="Calibri"/>
                <w:b/>
                <w:bCs/>
              </w:rPr>
              <w:t>Výchozí rok</w:t>
            </w:r>
          </w:p>
        </w:tc>
        <w:tc>
          <w:tcPr>
            <w:tcW w:w="54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8148FE4" w14:textId="77777777" w:rsidR="00A25CBC" w:rsidRPr="00DD47DF" w:rsidRDefault="00A25CBC" w:rsidP="00335A15">
            <w:pPr>
              <w:pStyle w:val="Tabulka"/>
              <w:keepNext/>
              <w:keepLines/>
              <w:rPr>
                <w:rFonts w:cs="Calibri"/>
                <w:b/>
                <w:bCs/>
              </w:rPr>
            </w:pPr>
            <w:r w:rsidRPr="00DD47DF">
              <w:rPr>
                <w:rFonts w:cs="Calibri"/>
                <w:b/>
                <w:bCs/>
              </w:rPr>
              <w:t>Cílová hodnota (2023)</w:t>
            </w:r>
          </w:p>
        </w:tc>
        <w:tc>
          <w:tcPr>
            <w:tcW w:w="53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7E0D50D" w14:textId="77777777" w:rsidR="00A25CBC" w:rsidRPr="00DD47DF" w:rsidRDefault="00A25CBC" w:rsidP="00335A15">
            <w:pPr>
              <w:pStyle w:val="Tabulka"/>
              <w:keepNext/>
              <w:keepLines/>
              <w:rPr>
                <w:rFonts w:cs="Calibri"/>
                <w:b/>
                <w:bCs/>
              </w:rPr>
            </w:pPr>
            <w:r w:rsidRPr="00DD47DF">
              <w:rPr>
                <w:rFonts w:cs="Calibri"/>
                <w:b/>
                <w:bCs/>
              </w:rPr>
              <w:t>Zdroj údajů</w:t>
            </w:r>
          </w:p>
        </w:tc>
        <w:tc>
          <w:tcPr>
            <w:tcW w:w="5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75A288B" w14:textId="77777777" w:rsidR="00A25CBC" w:rsidRPr="00DD47DF" w:rsidRDefault="00A25CBC" w:rsidP="00335A15">
            <w:pPr>
              <w:pStyle w:val="Tabulka"/>
              <w:keepNext/>
              <w:keepLines/>
              <w:rPr>
                <w:rFonts w:cs="Calibri"/>
                <w:b/>
                <w:bCs/>
              </w:rPr>
            </w:pPr>
            <w:r w:rsidRPr="00DD47DF">
              <w:rPr>
                <w:rFonts w:cs="Calibri"/>
                <w:b/>
                <w:bCs/>
              </w:rPr>
              <w:t>Četnost podávání zpráv</w:t>
            </w:r>
          </w:p>
        </w:tc>
      </w:tr>
      <w:tr w:rsidR="00A25CBC" w:rsidRPr="00DD47DF" w:rsidDel="00580FCF" w14:paraId="1E2F10E9" w14:textId="77777777" w:rsidTr="00335A15">
        <w:trPr>
          <w:trHeight w:hRule="exact" w:val="2636"/>
        </w:trPr>
        <w:tc>
          <w:tcPr>
            <w:tcW w:w="487" w:type="pct"/>
            <w:tcBorders>
              <w:top w:val="single" w:sz="4" w:space="0" w:color="000000"/>
              <w:left w:val="single" w:sz="4" w:space="0" w:color="000000"/>
              <w:bottom w:val="single" w:sz="4" w:space="0" w:color="000000"/>
              <w:right w:val="single" w:sz="4" w:space="0" w:color="000000"/>
            </w:tcBorders>
            <w:vAlign w:val="center"/>
          </w:tcPr>
          <w:p w14:paraId="6147EC43" w14:textId="77777777" w:rsidR="00A25CBC" w:rsidRPr="00DD47DF" w:rsidDel="00580FCF" w:rsidRDefault="00A25CBC" w:rsidP="00335A15">
            <w:pPr>
              <w:pStyle w:val="Tabulka"/>
              <w:rPr>
                <w:rFonts w:cs="Calibri"/>
              </w:rPr>
            </w:pPr>
            <w:r w:rsidRPr="00DD47DF">
              <w:rPr>
                <w:rFonts w:cs="Calibri"/>
              </w:rPr>
              <w:t>66810</w:t>
            </w:r>
          </w:p>
        </w:tc>
        <w:tc>
          <w:tcPr>
            <w:tcW w:w="788" w:type="pct"/>
            <w:tcBorders>
              <w:top w:val="single" w:sz="4" w:space="0" w:color="000000"/>
              <w:left w:val="single" w:sz="4" w:space="0" w:color="000000"/>
              <w:bottom w:val="single" w:sz="4" w:space="0" w:color="000000"/>
              <w:right w:val="single" w:sz="4" w:space="0" w:color="000000"/>
            </w:tcBorders>
            <w:vAlign w:val="center"/>
          </w:tcPr>
          <w:p w14:paraId="1F3FA1D4" w14:textId="77777777" w:rsidR="00A25CBC" w:rsidRPr="00DD47DF" w:rsidDel="00580FCF" w:rsidRDefault="00A25CBC" w:rsidP="00335A15">
            <w:pPr>
              <w:pStyle w:val="Tabulka"/>
              <w:rPr>
                <w:rFonts w:cs="Calibri"/>
              </w:rPr>
            </w:pPr>
            <w:r w:rsidRPr="00DD47DF">
              <w:rPr>
                <w:rFonts w:cs="Calibri"/>
              </w:rPr>
              <w:t>Podíl účastníků kurzů dalšího odborného vzdělávání na celkovém počtu zaměstnaných osob u malých podniků</w:t>
            </w:r>
          </w:p>
        </w:tc>
        <w:tc>
          <w:tcPr>
            <w:tcW w:w="507" w:type="pct"/>
            <w:tcBorders>
              <w:top w:val="single" w:sz="4" w:space="0" w:color="000000"/>
              <w:left w:val="single" w:sz="4" w:space="0" w:color="000000"/>
              <w:bottom w:val="single" w:sz="4" w:space="0" w:color="000000"/>
              <w:right w:val="single" w:sz="4" w:space="0" w:color="000000"/>
            </w:tcBorders>
            <w:vAlign w:val="center"/>
          </w:tcPr>
          <w:p w14:paraId="67301389" w14:textId="77777777" w:rsidR="00A25CBC" w:rsidRPr="00DD47DF" w:rsidDel="00580FCF" w:rsidRDefault="00A25CBC" w:rsidP="00335A15">
            <w:pPr>
              <w:pStyle w:val="Tabulka"/>
              <w:rPr>
                <w:rFonts w:cs="Calibri"/>
              </w:rPr>
            </w:pPr>
            <w:r w:rsidRPr="00DD47DF">
              <w:rPr>
                <w:rFonts w:cs="Calibri"/>
              </w:rPr>
              <w:t>%</w:t>
            </w:r>
          </w:p>
        </w:tc>
        <w:tc>
          <w:tcPr>
            <w:tcW w:w="634" w:type="pct"/>
            <w:tcBorders>
              <w:top w:val="single" w:sz="4" w:space="0" w:color="000000"/>
              <w:left w:val="single" w:sz="4" w:space="0" w:color="000000"/>
              <w:bottom w:val="single" w:sz="4" w:space="0" w:color="000000"/>
              <w:right w:val="single" w:sz="4" w:space="0" w:color="000000"/>
            </w:tcBorders>
            <w:vAlign w:val="center"/>
          </w:tcPr>
          <w:p w14:paraId="3A6A6096" w14:textId="77777777" w:rsidR="00A25CBC" w:rsidRPr="00DD47DF" w:rsidDel="00580FCF" w:rsidRDefault="00A25CBC" w:rsidP="00335A15">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1E0830F6" w14:textId="77777777" w:rsidR="00A25CBC" w:rsidRPr="00DD47DF" w:rsidDel="00580FCF" w:rsidRDefault="00A25CBC" w:rsidP="00335A15">
            <w:pPr>
              <w:pStyle w:val="Tabulka"/>
              <w:rPr>
                <w:rFonts w:cs="Calibri"/>
              </w:rPr>
            </w:pPr>
            <w:r w:rsidRPr="00DD47DF">
              <w:rPr>
                <w:rFonts w:cs="Calibri"/>
              </w:rPr>
              <w:t>46,5</w:t>
            </w:r>
          </w:p>
        </w:tc>
        <w:tc>
          <w:tcPr>
            <w:tcW w:w="468" w:type="pct"/>
            <w:tcBorders>
              <w:top w:val="single" w:sz="4" w:space="0" w:color="000000"/>
              <w:left w:val="single" w:sz="4" w:space="0" w:color="000000"/>
              <w:bottom w:val="single" w:sz="4" w:space="0" w:color="000000"/>
              <w:right w:val="single" w:sz="4" w:space="0" w:color="000000"/>
            </w:tcBorders>
            <w:vAlign w:val="center"/>
          </w:tcPr>
          <w:p w14:paraId="3B4B185F" w14:textId="3A0548BD" w:rsidR="00A25CBC" w:rsidRPr="00DD47DF" w:rsidDel="00580FCF" w:rsidRDefault="005742CF" w:rsidP="005742CF">
            <w:pPr>
              <w:pStyle w:val="Tabulka"/>
              <w:rPr>
                <w:rFonts w:cs="Calibri"/>
              </w:rPr>
            </w:pPr>
            <w:r w:rsidRPr="00DD47DF">
              <w:rPr>
                <w:rFonts w:cs="Calibri"/>
              </w:rPr>
              <w:t>201</w:t>
            </w:r>
            <w:r>
              <w:rPr>
                <w:rFonts w:cs="Calibri"/>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4AF2C788" w14:textId="77C4558C" w:rsidR="00A25CBC" w:rsidRPr="00DD47DF" w:rsidDel="00580FCF" w:rsidRDefault="00650A04" w:rsidP="00335A15">
            <w:pPr>
              <w:pStyle w:val="Tabulka"/>
              <w:rPr>
                <w:rFonts w:cs="Calibri"/>
              </w:rPr>
            </w:pPr>
            <w:r>
              <w:rPr>
                <w:rFonts w:cs="Calibri"/>
              </w:rPr>
              <w:t>81</w:t>
            </w:r>
          </w:p>
        </w:tc>
        <w:tc>
          <w:tcPr>
            <w:tcW w:w="537" w:type="pct"/>
            <w:tcBorders>
              <w:top w:val="single" w:sz="4" w:space="0" w:color="000000"/>
              <w:left w:val="single" w:sz="4" w:space="0" w:color="000000"/>
              <w:bottom w:val="single" w:sz="4" w:space="0" w:color="000000"/>
              <w:right w:val="single" w:sz="4" w:space="0" w:color="000000"/>
            </w:tcBorders>
            <w:vAlign w:val="center"/>
          </w:tcPr>
          <w:p w14:paraId="5EDD9022" w14:textId="77777777" w:rsidR="00A25CBC" w:rsidRPr="00DD47DF" w:rsidDel="00580FCF" w:rsidRDefault="00A25CBC" w:rsidP="00335A15">
            <w:pPr>
              <w:pStyle w:val="Tabulka"/>
              <w:rPr>
                <w:rFonts w:cs="Calibri"/>
              </w:rPr>
            </w:pPr>
            <w:r w:rsidRPr="00DD47DF">
              <w:rPr>
                <w:rFonts w:cs="Calibri"/>
              </w:rPr>
              <w:t>ČSÚ, Eurostat</w:t>
            </w:r>
          </w:p>
        </w:tc>
        <w:tc>
          <w:tcPr>
            <w:tcW w:w="556" w:type="pct"/>
            <w:tcBorders>
              <w:top w:val="single" w:sz="4" w:space="0" w:color="000000"/>
              <w:left w:val="single" w:sz="4" w:space="0" w:color="000000"/>
              <w:bottom w:val="single" w:sz="4" w:space="0" w:color="000000"/>
              <w:right w:val="single" w:sz="4" w:space="0" w:color="000000"/>
            </w:tcBorders>
            <w:vAlign w:val="center"/>
          </w:tcPr>
          <w:p w14:paraId="74EF5F7C" w14:textId="77777777" w:rsidR="00A25CBC" w:rsidRPr="00DD47DF" w:rsidDel="00580FCF" w:rsidRDefault="00A25CBC" w:rsidP="00335A15">
            <w:pPr>
              <w:pStyle w:val="Tabulka"/>
              <w:rPr>
                <w:rFonts w:cs="Calibri"/>
              </w:rPr>
            </w:pPr>
            <w:r w:rsidRPr="00DD47DF">
              <w:rPr>
                <w:rFonts w:cs="Calibri"/>
              </w:rPr>
              <w:t>5 let</w:t>
            </w:r>
          </w:p>
        </w:tc>
      </w:tr>
      <w:tr w:rsidR="00A25CBC" w:rsidRPr="00DD47DF" w:rsidDel="00580FCF" w14:paraId="388DC751" w14:textId="77777777" w:rsidTr="00335A15">
        <w:trPr>
          <w:trHeight w:hRule="exact" w:val="2972"/>
        </w:trPr>
        <w:tc>
          <w:tcPr>
            <w:tcW w:w="487" w:type="pct"/>
            <w:tcBorders>
              <w:top w:val="single" w:sz="4" w:space="0" w:color="000000"/>
              <w:left w:val="single" w:sz="4" w:space="0" w:color="000000"/>
              <w:bottom w:val="single" w:sz="4" w:space="0" w:color="000000"/>
              <w:right w:val="single" w:sz="4" w:space="0" w:color="000000"/>
            </w:tcBorders>
            <w:vAlign w:val="center"/>
          </w:tcPr>
          <w:p w14:paraId="0EA86DAD" w14:textId="77777777" w:rsidR="00A25CBC" w:rsidRPr="00DD47DF" w:rsidDel="00580FCF" w:rsidRDefault="00A25CBC" w:rsidP="00335A15">
            <w:pPr>
              <w:pStyle w:val="Tabulka"/>
              <w:rPr>
                <w:rFonts w:cs="Calibri"/>
              </w:rPr>
            </w:pPr>
            <w:r w:rsidRPr="00DD47DF">
              <w:rPr>
                <w:rFonts w:cs="Calibri"/>
              </w:rPr>
              <w:t>66820</w:t>
            </w:r>
          </w:p>
        </w:tc>
        <w:tc>
          <w:tcPr>
            <w:tcW w:w="788" w:type="pct"/>
            <w:tcBorders>
              <w:top w:val="single" w:sz="4" w:space="0" w:color="000000"/>
              <w:left w:val="single" w:sz="4" w:space="0" w:color="000000"/>
              <w:bottom w:val="single" w:sz="4" w:space="0" w:color="000000"/>
              <w:right w:val="single" w:sz="4" w:space="0" w:color="000000"/>
            </w:tcBorders>
            <w:vAlign w:val="center"/>
          </w:tcPr>
          <w:p w14:paraId="6E842DB5" w14:textId="77777777" w:rsidR="00A25CBC" w:rsidRPr="00DD47DF" w:rsidDel="00580FCF" w:rsidRDefault="00A25CBC" w:rsidP="00335A15">
            <w:pPr>
              <w:pStyle w:val="Tabulka"/>
              <w:rPr>
                <w:rFonts w:cs="Calibri"/>
              </w:rPr>
            </w:pPr>
            <w:r w:rsidRPr="00DD47DF">
              <w:rPr>
                <w:rFonts w:cs="Calibri"/>
              </w:rPr>
              <w:t>Podíl účastníků kurzů dalšího odborného vzdělávání na celkovém počtu zaměstnaných osob u středních podniků</w:t>
            </w:r>
          </w:p>
        </w:tc>
        <w:tc>
          <w:tcPr>
            <w:tcW w:w="507" w:type="pct"/>
            <w:tcBorders>
              <w:top w:val="single" w:sz="4" w:space="0" w:color="000000"/>
              <w:left w:val="single" w:sz="4" w:space="0" w:color="000000"/>
              <w:bottom w:val="single" w:sz="4" w:space="0" w:color="000000"/>
              <w:right w:val="single" w:sz="4" w:space="0" w:color="000000"/>
            </w:tcBorders>
            <w:vAlign w:val="center"/>
          </w:tcPr>
          <w:p w14:paraId="5FDA6ADE" w14:textId="77777777" w:rsidR="00A25CBC" w:rsidRPr="00DD47DF" w:rsidDel="00580FCF" w:rsidRDefault="00A25CBC" w:rsidP="00335A15">
            <w:pPr>
              <w:pStyle w:val="Tabulka"/>
              <w:rPr>
                <w:rFonts w:cs="Calibri"/>
              </w:rPr>
            </w:pPr>
            <w:r w:rsidRPr="00DD47DF">
              <w:rPr>
                <w:rFonts w:cs="Calibri"/>
              </w:rPr>
              <w:t>%</w:t>
            </w:r>
          </w:p>
        </w:tc>
        <w:tc>
          <w:tcPr>
            <w:tcW w:w="634" w:type="pct"/>
            <w:tcBorders>
              <w:top w:val="single" w:sz="4" w:space="0" w:color="000000"/>
              <w:left w:val="single" w:sz="4" w:space="0" w:color="000000"/>
              <w:bottom w:val="single" w:sz="4" w:space="0" w:color="000000"/>
              <w:right w:val="single" w:sz="4" w:space="0" w:color="000000"/>
            </w:tcBorders>
            <w:vAlign w:val="center"/>
          </w:tcPr>
          <w:p w14:paraId="5942B910" w14:textId="77777777" w:rsidR="00A25CBC" w:rsidRPr="00DD47DF" w:rsidDel="00580FCF" w:rsidRDefault="00A25CBC" w:rsidP="00335A15">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6FC282A9" w14:textId="77777777" w:rsidR="00A25CBC" w:rsidRPr="00DD47DF" w:rsidDel="00580FCF" w:rsidRDefault="00A25CBC" w:rsidP="00335A15">
            <w:pPr>
              <w:pStyle w:val="Tabulka"/>
              <w:rPr>
                <w:rFonts w:cs="Calibri"/>
              </w:rPr>
            </w:pPr>
            <w:r w:rsidRPr="00DD47DF">
              <w:rPr>
                <w:rFonts w:cs="Calibri"/>
              </w:rPr>
              <w:t>60,1</w:t>
            </w:r>
          </w:p>
        </w:tc>
        <w:tc>
          <w:tcPr>
            <w:tcW w:w="468" w:type="pct"/>
            <w:tcBorders>
              <w:top w:val="single" w:sz="4" w:space="0" w:color="000000"/>
              <w:left w:val="single" w:sz="4" w:space="0" w:color="000000"/>
              <w:bottom w:val="single" w:sz="4" w:space="0" w:color="000000"/>
              <w:right w:val="single" w:sz="4" w:space="0" w:color="000000"/>
            </w:tcBorders>
            <w:vAlign w:val="center"/>
          </w:tcPr>
          <w:p w14:paraId="141B8429" w14:textId="64B72FD7" w:rsidR="00A25CBC" w:rsidRPr="00DD47DF" w:rsidDel="00580FCF" w:rsidRDefault="005742CF" w:rsidP="005742CF">
            <w:pPr>
              <w:pStyle w:val="Tabulka"/>
              <w:rPr>
                <w:rFonts w:cs="Calibri"/>
              </w:rPr>
            </w:pPr>
            <w:r w:rsidRPr="00DD47DF">
              <w:rPr>
                <w:rFonts w:cs="Calibri"/>
              </w:rPr>
              <w:t>201</w:t>
            </w:r>
            <w:r>
              <w:rPr>
                <w:rFonts w:cs="Calibri"/>
              </w:rPr>
              <w:t>0</w:t>
            </w:r>
          </w:p>
        </w:tc>
        <w:tc>
          <w:tcPr>
            <w:tcW w:w="548" w:type="pct"/>
            <w:tcBorders>
              <w:top w:val="single" w:sz="4" w:space="0" w:color="000000"/>
              <w:left w:val="single" w:sz="4" w:space="0" w:color="000000"/>
              <w:bottom w:val="single" w:sz="4" w:space="0" w:color="000000"/>
              <w:right w:val="single" w:sz="4" w:space="0" w:color="000000"/>
            </w:tcBorders>
            <w:vAlign w:val="center"/>
          </w:tcPr>
          <w:p w14:paraId="7EA9C89F" w14:textId="62B344F0" w:rsidR="00A25CBC" w:rsidRPr="00DD47DF" w:rsidDel="00580FCF" w:rsidRDefault="00650A04" w:rsidP="00335A15">
            <w:pPr>
              <w:pStyle w:val="Tabulka"/>
              <w:rPr>
                <w:rFonts w:cs="Calibri"/>
              </w:rPr>
            </w:pPr>
            <w:r>
              <w:rPr>
                <w:rFonts w:cs="Calibri"/>
              </w:rPr>
              <w:t>85</w:t>
            </w:r>
          </w:p>
        </w:tc>
        <w:tc>
          <w:tcPr>
            <w:tcW w:w="537" w:type="pct"/>
            <w:tcBorders>
              <w:top w:val="single" w:sz="4" w:space="0" w:color="000000"/>
              <w:left w:val="single" w:sz="4" w:space="0" w:color="000000"/>
              <w:bottom w:val="single" w:sz="4" w:space="0" w:color="000000"/>
              <w:right w:val="single" w:sz="4" w:space="0" w:color="000000"/>
            </w:tcBorders>
            <w:vAlign w:val="center"/>
          </w:tcPr>
          <w:p w14:paraId="528270A6" w14:textId="77777777" w:rsidR="00A25CBC" w:rsidRPr="00DD47DF" w:rsidDel="00580FCF" w:rsidRDefault="00A25CBC" w:rsidP="00335A15">
            <w:pPr>
              <w:pStyle w:val="Tabulka"/>
              <w:rPr>
                <w:rFonts w:cs="Calibri"/>
              </w:rPr>
            </w:pPr>
            <w:r w:rsidRPr="00DD47DF">
              <w:rPr>
                <w:rFonts w:cs="Calibri"/>
              </w:rPr>
              <w:t>ČSÚ, Eurostat</w:t>
            </w:r>
          </w:p>
        </w:tc>
        <w:tc>
          <w:tcPr>
            <w:tcW w:w="556" w:type="pct"/>
            <w:tcBorders>
              <w:top w:val="single" w:sz="4" w:space="0" w:color="000000"/>
              <w:left w:val="single" w:sz="4" w:space="0" w:color="000000"/>
              <w:bottom w:val="single" w:sz="4" w:space="0" w:color="000000"/>
              <w:right w:val="single" w:sz="4" w:space="0" w:color="000000"/>
            </w:tcBorders>
            <w:vAlign w:val="center"/>
          </w:tcPr>
          <w:p w14:paraId="712877EE" w14:textId="77777777" w:rsidR="00A25CBC" w:rsidRPr="00DD47DF" w:rsidDel="00580FCF" w:rsidRDefault="00A25CBC" w:rsidP="00335A15">
            <w:pPr>
              <w:pStyle w:val="Tabulka"/>
              <w:rPr>
                <w:rFonts w:cs="Calibri"/>
              </w:rPr>
            </w:pPr>
            <w:r w:rsidRPr="00DD47DF">
              <w:rPr>
                <w:rFonts w:cs="Calibri"/>
              </w:rPr>
              <w:t>5 let</w:t>
            </w:r>
          </w:p>
        </w:tc>
      </w:tr>
    </w:tbl>
    <w:p w14:paraId="322450F5" w14:textId="77777777" w:rsidR="00A25CBC" w:rsidRPr="00DD47DF" w:rsidRDefault="00A25CBC" w:rsidP="00441D67">
      <w:pPr>
        <w:pStyle w:val="kapitola2A0"/>
        <w:numPr>
          <w:ilvl w:val="2"/>
          <w:numId w:val="131"/>
        </w:numPr>
      </w:pPr>
      <w:bookmarkStart w:id="54" w:name="_Toc129005391"/>
      <w:r w:rsidRPr="00DD47DF">
        <w:t>Opatření, jež má být podpořeno v rámci investiční priority</w:t>
      </w:r>
      <w:bookmarkEnd w:id="54"/>
    </w:p>
    <w:p w14:paraId="36429B60" w14:textId="77777777" w:rsidR="00A25CBC" w:rsidRPr="00DD47DF" w:rsidRDefault="00A25CBC" w:rsidP="00A25CBC">
      <w:pPr>
        <w:pStyle w:val="Nadpis5"/>
        <w:numPr>
          <w:ilvl w:val="4"/>
          <w:numId w:val="132"/>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44F7995" w14:textId="77777777" w:rsidR="00F262C8" w:rsidRPr="00DD47DF" w:rsidRDefault="00F262C8" w:rsidP="00396141">
      <w:pPr>
        <w:pStyle w:val="Modrnadpis"/>
      </w:pPr>
      <w:r w:rsidRPr="00DD47DF">
        <w:t xml:space="preserve">SPECIFICKÝ CÍL </w:t>
      </w:r>
      <w:r w:rsidR="00C71E6F" w:rsidRPr="00DD47DF">
        <w:t>2.</w:t>
      </w:r>
      <w:r w:rsidRPr="00DD47DF">
        <w:t xml:space="preserve">4: </w:t>
      </w:r>
      <w:r w:rsidR="00AC3ECC" w:rsidRPr="00DD47DF">
        <w:t>Zvýšit kapacitu pro odborné vzdělávání v MSP</w:t>
      </w:r>
    </w:p>
    <w:p w14:paraId="67F81C72" w14:textId="77777777" w:rsidR="00F262C8" w:rsidRPr="00DD47DF" w:rsidRDefault="000A2EB4" w:rsidP="00DF4F92">
      <w:pPr>
        <w:pStyle w:val="Standardntext"/>
        <w:rPr>
          <w:b/>
        </w:rPr>
      </w:pPr>
      <w:r w:rsidRPr="00DD47DF">
        <w:rPr>
          <w:b/>
        </w:rPr>
        <w:t>Aktivity pro tento specifický cíl:</w:t>
      </w:r>
    </w:p>
    <w:p w14:paraId="34684105" w14:textId="77777777" w:rsidR="009D1769" w:rsidRPr="00DD47DF" w:rsidRDefault="009D1769" w:rsidP="00D927A2">
      <w:pPr>
        <w:pStyle w:val="Standardntext"/>
        <w:numPr>
          <w:ilvl w:val="0"/>
          <w:numId w:val="49"/>
        </w:numPr>
      </w:pPr>
      <w:r w:rsidRPr="00DD47DF">
        <w:t xml:space="preserve">Zajištění a rozvoj kvalitní infrastruktury pro realizaci, organizaci a řízení odborného vzdělávání </w:t>
      </w:r>
      <w:r w:rsidR="00EF6DE3" w:rsidRPr="00DD47DF">
        <w:t>pracovníků v malých a středních podnicích.</w:t>
      </w:r>
    </w:p>
    <w:p w14:paraId="1E931D1B" w14:textId="77777777" w:rsidR="009D1769" w:rsidRPr="00DD47DF" w:rsidRDefault="00EF6DE3" w:rsidP="00D927A2">
      <w:pPr>
        <w:pStyle w:val="Standardntext"/>
        <w:numPr>
          <w:ilvl w:val="0"/>
          <w:numId w:val="49"/>
        </w:numPr>
      </w:pPr>
      <w:r w:rsidRPr="00DD47DF">
        <w:t xml:space="preserve">Pořízení </w:t>
      </w:r>
      <w:r w:rsidR="009D1769" w:rsidRPr="00DD47DF">
        <w:t>nových zařízení, vybudování/rozšíření školicích středisek, v rámci kterých budou mít zaměstnavatelé</w:t>
      </w:r>
      <w:r w:rsidR="00577711" w:rsidRPr="00DD47DF">
        <w:t>,</w:t>
      </w:r>
      <w:r w:rsidR="009D1769" w:rsidRPr="00DD47DF">
        <w:t xml:space="preserve"> jejich zaměstnanci</w:t>
      </w:r>
      <w:r w:rsidR="00577711" w:rsidRPr="00DD47DF">
        <w:t xml:space="preserve">, </w:t>
      </w:r>
      <w:r w:rsidR="00642E01" w:rsidRPr="00DD47DF">
        <w:t>žáci</w:t>
      </w:r>
      <w:r w:rsidR="00577711" w:rsidRPr="00DD47DF">
        <w:t xml:space="preserve"> a studenti spolupracujících škol možnost</w:t>
      </w:r>
      <w:r w:rsidR="009D1769" w:rsidRPr="00DD47DF">
        <w:t xml:space="preserve"> proškolení a seznámení se s rozvíjejícími se novými technologiemi, odbornostmi</w:t>
      </w:r>
      <w:r w:rsidRPr="00DD47DF">
        <w:t xml:space="preserve"> a </w:t>
      </w:r>
      <w:r w:rsidR="009D1769" w:rsidRPr="00DD47DF">
        <w:t xml:space="preserve">procesy </w:t>
      </w:r>
      <w:r w:rsidRPr="00DD47DF">
        <w:t xml:space="preserve">v daném oboru </w:t>
      </w:r>
      <w:r w:rsidR="009D1769" w:rsidRPr="00DD47DF">
        <w:t>a novou legislativou související s</w:t>
      </w:r>
      <w:r w:rsidR="00781B41" w:rsidRPr="00DD47DF">
        <w:t> </w:t>
      </w:r>
      <w:r w:rsidR="009D1769" w:rsidRPr="00DD47DF">
        <w:t>podnikáním</w:t>
      </w:r>
      <w:r w:rsidR="00781B41" w:rsidRPr="00DD47DF">
        <w:t xml:space="preserve"> i s efektivním marketingem, který je nutnou součástí konkurenceschopnosti</w:t>
      </w:r>
      <w:r w:rsidR="009D1769" w:rsidRPr="00DD47DF">
        <w:t>.</w:t>
      </w:r>
    </w:p>
    <w:p w14:paraId="0CD068CF" w14:textId="77777777" w:rsidR="00896EDF" w:rsidRPr="00DD47DF" w:rsidRDefault="00BE682B" w:rsidP="009D1769">
      <w:pPr>
        <w:pStyle w:val="Standardntext"/>
      </w:pPr>
      <w:r w:rsidRPr="00DD47DF">
        <w:t xml:space="preserve">Aktivity SC 2.4 se zaměřují na zkvalitnění infrastruktury pro rozvoj lidských zdrojů </w:t>
      </w:r>
      <w:r w:rsidR="00EF6DE3" w:rsidRPr="00DD47DF">
        <w:t>v podnicích ve smyslu</w:t>
      </w:r>
      <w:r w:rsidRPr="00DD47DF">
        <w:t xml:space="preserve"> technické</w:t>
      </w:r>
      <w:r w:rsidR="00EF6DE3" w:rsidRPr="00DD47DF">
        <w:t>ho</w:t>
      </w:r>
      <w:r w:rsidRPr="00DD47DF">
        <w:t xml:space="preserve"> odborné</w:t>
      </w:r>
      <w:r w:rsidR="00EF6DE3" w:rsidRPr="00DD47DF">
        <w:t>ho</w:t>
      </w:r>
      <w:r w:rsidRPr="00DD47DF">
        <w:t xml:space="preserve"> vzdělávání</w:t>
      </w:r>
      <w:r w:rsidR="00803C8E" w:rsidRPr="00DD47DF">
        <w:t xml:space="preserve"> zaměstnanců MSP</w:t>
      </w:r>
      <w:r w:rsidR="00803C8E" w:rsidRPr="00DD47DF">
        <w:rPr>
          <w:b/>
        </w:rPr>
        <w:t xml:space="preserve"> </w:t>
      </w:r>
      <w:r w:rsidR="00803C8E" w:rsidRPr="00DD47DF">
        <w:t>a</w:t>
      </w:r>
      <w:r w:rsidRPr="00DD47DF">
        <w:rPr>
          <w:b/>
        </w:rPr>
        <w:t xml:space="preserve"> </w:t>
      </w:r>
      <w:r w:rsidRPr="00DD47DF">
        <w:t>navazují na</w:t>
      </w:r>
      <w:r w:rsidRPr="00DD47DF">
        <w:rPr>
          <w:b/>
        </w:rPr>
        <w:t xml:space="preserve"> </w:t>
      </w:r>
      <w:r w:rsidR="00292B8D" w:rsidRPr="00DD47DF">
        <w:lastRenderedPageBreak/>
        <w:t>program podpory</w:t>
      </w:r>
      <w:r w:rsidR="00292B8D" w:rsidRPr="00DD47DF">
        <w:rPr>
          <w:b/>
        </w:rPr>
        <w:t xml:space="preserve"> </w:t>
      </w:r>
      <w:r w:rsidRPr="00DD47DF">
        <w:t xml:space="preserve">OPPI </w:t>
      </w:r>
      <w:r w:rsidRPr="00DD47DF">
        <w:rPr>
          <w:i/>
        </w:rPr>
        <w:t>Školicí střediska</w:t>
      </w:r>
      <w:r w:rsidRPr="00DD47DF">
        <w:t xml:space="preserve">. Realizace navrhovaných aktivit SC 2.4 umožní další zvýšení </w:t>
      </w:r>
      <w:r w:rsidR="00B07314" w:rsidRPr="00DD47DF">
        <w:t xml:space="preserve">a zkvalitnění </w:t>
      </w:r>
      <w:r w:rsidRPr="00DD47DF">
        <w:t xml:space="preserve">potřebných kapacit pro </w:t>
      </w:r>
      <w:r w:rsidR="00EF6DE3" w:rsidRPr="00DD47DF">
        <w:t xml:space="preserve">odborné </w:t>
      </w:r>
      <w:r w:rsidRPr="00DD47DF">
        <w:t>vzdělávání zaměstnanců</w:t>
      </w:r>
      <w:r w:rsidR="00B07314" w:rsidRPr="00DD47DF">
        <w:t xml:space="preserve"> a</w:t>
      </w:r>
      <w:r w:rsidRPr="00DD47DF">
        <w:t xml:space="preserve"> zaměstnavatelů v sektoru MSP</w:t>
      </w:r>
      <w:r w:rsidR="00577711" w:rsidRPr="00DD47DF">
        <w:t xml:space="preserve"> a – nově oproti praxi z OPPI – také </w:t>
      </w:r>
      <w:r w:rsidR="002464E2" w:rsidRPr="00DD47DF">
        <w:t xml:space="preserve">pro </w:t>
      </w:r>
      <w:r w:rsidR="00D858F6" w:rsidRPr="00DD47DF">
        <w:t xml:space="preserve">odborný výcvik, </w:t>
      </w:r>
      <w:r w:rsidR="002464E2" w:rsidRPr="00DD47DF">
        <w:t xml:space="preserve">odborné praxe a stáže </w:t>
      </w:r>
      <w:r w:rsidR="00642E01" w:rsidRPr="00DD47DF">
        <w:t xml:space="preserve">žáků a </w:t>
      </w:r>
      <w:r w:rsidR="00577711" w:rsidRPr="00DD47DF">
        <w:t>studentů škol, se kterými podpořený MSP naváže spolupráci</w:t>
      </w:r>
      <w:r w:rsidR="00B07314" w:rsidRPr="00DD47DF">
        <w:t>.</w:t>
      </w:r>
      <w:r w:rsidRPr="00DD47DF">
        <w:t xml:space="preserve"> </w:t>
      </w:r>
      <w:r w:rsidR="00B07314" w:rsidRPr="00DD47DF">
        <w:t>Odborné vzdělávání bude souviset zejména s</w:t>
      </w:r>
      <w:r w:rsidR="007E5195" w:rsidRPr="00DD47DF">
        <w:t xml:space="preserve"> pořízením nových technologií, zaváděním inovativních procesů</w:t>
      </w:r>
      <w:r w:rsidR="00B07314" w:rsidRPr="00DD47DF">
        <w:t xml:space="preserve"> a aplikací</w:t>
      </w:r>
      <w:r w:rsidR="007E5195" w:rsidRPr="00DD47DF">
        <w:t xml:space="preserve"> </w:t>
      </w:r>
      <w:r w:rsidR="00B07314" w:rsidRPr="00DD47DF">
        <w:t xml:space="preserve">právních předpisů </w:t>
      </w:r>
      <w:r w:rsidR="007E5195" w:rsidRPr="00DD47DF">
        <w:t xml:space="preserve">z oblasti podnikání. Počítá se </w:t>
      </w:r>
      <w:r w:rsidR="00B07314" w:rsidRPr="00DD47DF">
        <w:t xml:space="preserve">také </w:t>
      </w:r>
      <w:r w:rsidR="007E5195" w:rsidRPr="00DD47DF">
        <w:t>s </w:t>
      </w:r>
      <w:r w:rsidRPr="00DD47DF">
        <w:t>návazným využitím vzdělávacích programů a školení podporovaných z ESF</w:t>
      </w:r>
      <w:r w:rsidR="00E779AA" w:rsidRPr="00DD47DF">
        <w:t xml:space="preserve"> </w:t>
      </w:r>
      <w:r w:rsidR="00B07314" w:rsidRPr="00DD47DF">
        <w:t>v jiných</w:t>
      </w:r>
      <w:r w:rsidR="00E779AA" w:rsidRPr="00DD47DF">
        <w:t xml:space="preserve"> operačních programech (zejména OPZ, OP VVV).</w:t>
      </w:r>
    </w:p>
    <w:p w14:paraId="32517211" w14:textId="77777777" w:rsidR="009D1769" w:rsidRPr="00DD47DF" w:rsidRDefault="00577711" w:rsidP="009D1769">
      <w:pPr>
        <w:pStyle w:val="Standardntext"/>
      </w:pPr>
      <w:r w:rsidRPr="00DD47DF">
        <w:t>Podpo</w:t>
      </w:r>
      <w:r w:rsidR="00B07314" w:rsidRPr="00DD47DF">
        <w:t>rováno</w:t>
      </w:r>
      <w:r w:rsidR="005017B4" w:rsidRPr="00DD47DF">
        <w:t xml:space="preserve"> </w:t>
      </w:r>
      <w:r w:rsidR="00B07314" w:rsidRPr="00DD47DF">
        <w:t xml:space="preserve">bude </w:t>
      </w:r>
      <w:r w:rsidR="00A4574C" w:rsidRPr="00DD47DF">
        <w:t xml:space="preserve">zejména </w:t>
      </w:r>
      <w:r w:rsidR="005017B4" w:rsidRPr="00DD47DF">
        <w:t xml:space="preserve">pořízení nových </w:t>
      </w:r>
      <w:r w:rsidR="00B07314" w:rsidRPr="00DD47DF">
        <w:t xml:space="preserve">nebo </w:t>
      </w:r>
      <w:r w:rsidR="005017B4" w:rsidRPr="00DD47DF">
        <w:t xml:space="preserve">rekonstrukce stávajících školicích center, modernizace </w:t>
      </w:r>
      <w:r w:rsidRPr="00DD47DF">
        <w:t xml:space="preserve">a úprava </w:t>
      </w:r>
      <w:r w:rsidR="005017B4" w:rsidRPr="00DD47DF">
        <w:t xml:space="preserve">prostor pro </w:t>
      </w:r>
      <w:r w:rsidR="00EF6DE3" w:rsidRPr="00DD47DF">
        <w:t xml:space="preserve">odborné </w:t>
      </w:r>
      <w:r w:rsidR="005017B4" w:rsidRPr="00DD47DF">
        <w:t>vzdělávání, pořízení vybavení školicích prostor včetně školicích pomůcek (hardware, sítě, stroje a zařízení), vzdělávacích programů (software, data), práv duševního vlastnictví (nepatentované know-how, operativní nebo patentové licence na know-how, patenty apod.), které jsou nezbytné k zahájení vzdělávací činnosti.</w:t>
      </w:r>
      <w:r w:rsidR="009D1769" w:rsidRPr="00DD47DF">
        <w:t xml:space="preserve"> Výstupem bude modernizovaná infrastruktura zajišťující podmínky pro </w:t>
      </w:r>
      <w:r w:rsidRPr="00DD47DF">
        <w:t xml:space="preserve">kvalitní </w:t>
      </w:r>
      <w:r w:rsidR="00B07314" w:rsidRPr="00DD47DF">
        <w:t xml:space="preserve">odborné </w:t>
      </w:r>
      <w:r w:rsidR="009D1769" w:rsidRPr="00DD47DF">
        <w:t xml:space="preserve">vzdělávání, </w:t>
      </w:r>
      <w:r w:rsidRPr="00DD47DF">
        <w:t>přispívající ke zvýšení inovativnosti a konkurenceschopnosti MSP. V OP PIK nebude podpořena modernizace vzdělávací infrastruktury sloužící k jiným účelům</w:t>
      </w:r>
      <w:r w:rsidR="00B07314" w:rsidRPr="00DD47DF">
        <w:t xml:space="preserve"> než k odbornému vzdělávání</w:t>
      </w:r>
      <w:r w:rsidR="00EF6DE3" w:rsidRPr="00DD47DF">
        <w:t xml:space="preserve"> pracovníků v malých a středních podnicích</w:t>
      </w:r>
      <w:r w:rsidR="00B305DA" w:rsidRPr="00DD47DF">
        <w:t>. Výsledky se promítnou do nárůstu kapacit</w:t>
      </w:r>
      <w:r w:rsidR="009D1769" w:rsidRPr="00DD47DF">
        <w:t xml:space="preserve"> t</w:t>
      </w:r>
      <w:r w:rsidR="00B305DA" w:rsidRPr="00DD47DF">
        <w:t>ěchto</w:t>
      </w:r>
      <w:r w:rsidR="009D1769" w:rsidRPr="00DD47DF">
        <w:t xml:space="preserve"> školicích a vzdělávacích středisek využitelných pro </w:t>
      </w:r>
      <w:r w:rsidR="007E5195" w:rsidRPr="00DD47DF">
        <w:t xml:space="preserve">zaměstnance v sektoru </w:t>
      </w:r>
      <w:r w:rsidR="009D1769" w:rsidRPr="00DD47DF">
        <w:t>MSP</w:t>
      </w:r>
      <w:r w:rsidRPr="00DD47DF">
        <w:t xml:space="preserve"> </w:t>
      </w:r>
      <w:r w:rsidR="00642E01" w:rsidRPr="00DD47DF">
        <w:t xml:space="preserve">a </w:t>
      </w:r>
      <w:r w:rsidR="002464E2" w:rsidRPr="00DD47DF">
        <w:t xml:space="preserve">také pro </w:t>
      </w:r>
      <w:r w:rsidR="00D858F6" w:rsidRPr="00DD47DF">
        <w:t xml:space="preserve">odborný výcvik, </w:t>
      </w:r>
      <w:r w:rsidR="002464E2" w:rsidRPr="00DD47DF">
        <w:t>odborné praxe a stáže studentů a žáků</w:t>
      </w:r>
      <w:r w:rsidR="009D1769" w:rsidRPr="00DD47DF">
        <w:t>.</w:t>
      </w:r>
      <w:r w:rsidR="007E5195" w:rsidRPr="00DD47DF">
        <w:t xml:space="preserve"> </w:t>
      </w:r>
    </w:p>
    <w:p w14:paraId="7991B7BC" w14:textId="77777777" w:rsidR="004963B9" w:rsidRPr="00DD47DF" w:rsidRDefault="004963B9" w:rsidP="004963B9">
      <w:pPr>
        <w:pStyle w:val="Standardntext"/>
      </w:pPr>
      <w:r w:rsidRPr="00DD47DF">
        <w:t xml:space="preserve">V souladu s článkem 98 (2) nařízení č. 1303/2013 bude v rámci tohoto specifického cíle umožněno na úrovni </w:t>
      </w:r>
      <w:r w:rsidR="00294529" w:rsidRPr="00DD47DF">
        <w:t xml:space="preserve">programu a </w:t>
      </w:r>
      <w:r w:rsidRPr="00DD47DF">
        <w:t>výzev pro předkládání projektů využít tzv. křížové financování</w:t>
      </w:r>
      <w:r w:rsidRPr="00DD47DF">
        <w:rPr>
          <w:rStyle w:val="Znakapoznpodarou"/>
        </w:rPr>
        <w:footnoteReference w:id="54"/>
      </w:r>
      <w:r w:rsidRPr="00DD47DF">
        <w:t>.</w:t>
      </w:r>
      <w:r w:rsidR="00BA4E72" w:rsidRPr="00DD47DF">
        <w:t xml:space="preserve"> </w:t>
      </w:r>
    </w:p>
    <w:p w14:paraId="6642A506" w14:textId="77777777" w:rsidR="004963B9" w:rsidRPr="00DD47DF" w:rsidRDefault="004963B9" w:rsidP="004963B9">
      <w:pPr>
        <w:pStyle w:val="Standardntext"/>
      </w:pPr>
      <w:r w:rsidRPr="00DD47DF">
        <w:t>S ohledem na administrativní zjednodušení pro příjemce bude v projektech zaměřených na rozvoj školicích středisek umožněno doplňkové křížové financování pro podporu aktivit, které svým zaměřením spadají již do ESF, avšak bezprostředně souvisejí s</w:t>
      </w:r>
      <w:r w:rsidR="00294529" w:rsidRPr="00DD47DF">
        <w:t xml:space="preserve"> projektem </w:t>
      </w:r>
      <w:r w:rsidRPr="00DD47DF">
        <w:t xml:space="preserve">školicího střediska </w:t>
      </w:r>
      <w:r w:rsidR="00294529" w:rsidRPr="00DD47DF">
        <w:t xml:space="preserve">podporovaného </w:t>
      </w:r>
      <w:r w:rsidRPr="00DD47DF">
        <w:t xml:space="preserve">z prostředků ERDF. </w:t>
      </w:r>
      <w:r w:rsidR="00294529" w:rsidRPr="00DD47DF">
        <w:t>P</w:t>
      </w:r>
      <w:r w:rsidRPr="00DD47DF">
        <w:t xml:space="preserve">říjemcům </w:t>
      </w:r>
      <w:r w:rsidR="00294529" w:rsidRPr="00DD47DF">
        <w:t xml:space="preserve">tím bude </w:t>
      </w:r>
      <w:r w:rsidRPr="00DD47DF">
        <w:t xml:space="preserve">umožněno zahrnout aktivity ERDF i ESF související s rozvojem školicího střediska </w:t>
      </w:r>
      <w:r w:rsidR="00B07314" w:rsidRPr="00DD47DF">
        <w:t xml:space="preserve">a jeho činnosti </w:t>
      </w:r>
      <w:r w:rsidRPr="00DD47DF">
        <w:t xml:space="preserve">do jednoho projektu. Pro monitorování výše prostředků vynaložených na křížové financování bude využit informační systém MS2014+. Řídicí orgán bude sledovat a evidovat používání křížového financování tak, aby výdaje do něj zahrnuté bylo možno </w:t>
      </w:r>
      <w:r w:rsidR="00294529" w:rsidRPr="00DD47DF">
        <w:t xml:space="preserve">přesně </w:t>
      </w:r>
      <w:r w:rsidRPr="00DD47DF">
        <w:t>identifikovat</w:t>
      </w:r>
      <w:r w:rsidR="00294529" w:rsidRPr="00DD47DF">
        <w:t xml:space="preserve"> a aby jejich výše nepřekročila 10 % prostředků na prioritní osu.</w:t>
      </w:r>
    </w:p>
    <w:p w14:paraId="25C1CF97" w14:textId="77777777" w:rsidR="00896EDF" w:rsidRPr="00DD47DF" w:rsidRDefault="00F262C8" w:rsidP="00015039">
      <w:pPr>
        <w:pStyle w:val="Standardntext"/>
      </w:pPr>
      <w:r w:rsidRPr="00DD47DF">
        <w:rPr>
          <w:b/>
        </w:rPr>
        <w:t xml:space="preserve">Hlavní cílová skupina: </w:t>
      </w:r>
      <w:r w:rsidRPr="00DD47DF">
        <w:t>Podnikatelské s</w:t>
      </w:r>
      <w:r w:rsidR="00622C4A" w:rsidRPr="00DD47DF">
        <w:t>ubjekty (malé a střední podniky).</w:t>
      </w:r>
    </w:p>
    <w:p w14:paraId="1745A9BA" w14:textId="13B95D67" w:rsidR="00015039" w:rsidRPr="00DD47DF" w:rsidRDefault="00F262C8" w:rsidP="00015039">
      <w:pPr>
        <w:pStyle w:val="Standardntext"/>
      </w:pPr>
      <w:r w:rsidRPr="00DD47DF">
        <w:rPr>
          <w:b/>
        </w:rPr>
        <w:t xml:space="preserve">Cílové území: </w:t>
      </w:r>
      <w:r w:rsidRPr="00DD47DF">
        <w:t>Území České republiky, mimo území hl. m. Prahy.</w:t>
      </w:r>
      <w:r w:rsidR="00015039" w:rsidRPr="00DD47DF">
        <w:t xml:space="preserve"> Z hlediska územní dimenze </w:t>
      </w:r>
      <w:r w:rsidR="00A46CD6" w:rsidRPr="00DD47DF">
        <w:t>bude tento specifický cíl zaměřen na urbánní území, kde se předpokládá zapojení do int</w:t>
      </w:r>
      <w:r w:rsidR="00622C4A" w:rsidRPr="00DD47DF">
        <w:t>egrovaného nástroje ITI</w:t>
      </w:r>
      <w:r w:rsidR="00015039" w:rsidRPr="00DD47DF">
        <w:t>.</w:t>
      </w:r>
    </w:p>
    <w:p w14:paraId="668CFE30" w14:textId="77777777" w:rsidR="00505F15" w:rsidRPr="00DD47DF" w:rsidRDefault="00505F15" w:rsidP="00757916">
      <w:pPr>
        <w:pStyle w:val="Standardntext"/>
      </w:pPr>
      <w:r w:rsidRPr="00DD47DF">
        <w:rPr>
          <w:b/>
        </w:rPr>
        <w:t xml:space="preserve">Typy příjemců: </w:t>
      </w:r>
      <w:r w:rsidRPr="00DD47DF">
        <w:t>Podnikatelské subjekty (malé a střední podniky).</w:t>
      </w:r>
    </w:p>
    <w:p w14:paraId="4A006B6D" w14:textId="77777777" w:rsidR="00F262C8" w:rsidRPr="00DD47DF" w:rsidRDefault="00BA6461" w:rsidP="00A25CBC">
      <w:pPr>
        <w:pStyle w:val="Nadpis5"/>
        <w:numPr>
          <w:ilvl w:val="4"/>
          <w:numId w:val="132"/>
        </w:numPr>
      </w:pPr>
      <w:r w:rsidRPr="00DD47DF">
        <w:t>Hlavní zásady pro výběr operací</w:t>
      </w:r>
    </w:p>
    <w:p w14:paraId="0D261555" w14:textId="77777777" w:rsidR="004E1B49" w:rsidRPr="00DD47DF" w:rsidRDefault="00FE3385" w:rsidP="0017524E">
      <w:pPr>
        <w:pStyle w:val="Standardntext"/>
      </w:pPr>
      <w:r w:rsidRPr="00DD47DF">
        <w:t>Společné obecné zásady pro výběr operací pro všechny investiční priority celého OP PIK jsou uvedeny v prioritní ose 1 v oddíle 2.A.6.2.</w:t>
      </w:r>
    </w:p>
    <w:p w14:paraId="090D2477" w14:textId="77777777" w:rsidR="00A438A6" w:rsidRPr="00DD47DF" w:rsidRDefault="00A438A6" w:rsidP="00A438A6">
      <w:pPr>
        <w:pStyle w:val="Standardntext"/>
      </w:pPr>
      <w:r w:rsidRPr="00DD47DF">
        <w:lastRenderedPageBreak/>
        <w:t xml:space="preserve">V rámci výběru a hodnocení projektů budou </w:t>
      </w:r>
      <w:r w:rsidR="00847B05" w:rsidRPr="00DD47DF">
        <w:t xml:space="preserve">v této investiční prioritě </w:t>
      </w:r>
      <w:r w:rsidRPr="00DD47DF">
        <w:t>posuzována především následující kritéria:</w:t>
      </w:r>
    </w:p>
    <w:p w14:paraId="583CA0C0" w14:textId="77777777" w:rsidR="00A438A6" w:rsidRPr="00DD47DF" w:rsidRDefault="00A438A6" w:rsidP="00D927A2">
      <w:pPr>
        <w:pStyle w:val="Standardntext"/>
        <w:numPr>
          <w:ilvl w:val="0"/>
          <w:numId w:val="43"/>
        </w:numPr>
      </w:pPr>
      <w:r w:rsidRPr="00DD47DF">
        <w:t xml:space="preserve">Kvalita a potřebnost projektu s ohledem na </w:t>
      </w:r>
      <w:r w:rsidR="004E1B49" w:rsidRPr="00DD47DF">
        <w:t>ekologické a sociální aspekty v případě projektů zaměřených na zvýšení využitelnosti stávající infrastruktury pro podnikání</w:t>
      </w:r>
      <w:r w:rsidRPr="00DD47DF">
        <w:t>.</w:t>
      </w:r>
      <w:r w:rsidR="004E1B49" w:rsidRPr="00DD47DF">
        <w:t xml:space="preserve"> U projektů zaměřených na zkvalitnění infrastruktury pro </w:t>
      </w:r>
      <w:r w:rsidR="00EF6DE3" w:rsidRPr="00DD47DF">
        <w:t>odborné vzdělávání pracovníků v malých a středních podnicích</w:t>
      </w:r>
      <w:r w:rsidR="004E1B49" w:rsidRPr="00DD47DF">
        <w:t xml:space="preserve"> bude hodnocena zejména využitelnost těchto vzdělávacích zařízení pro </w:t>
      </w:r>
      <w:r w:rsidR="00EF6DE3" w:rsidRPr="00DD47DF">
        <w:t>další odborné vzdělávání</w:t>
      </w:r>
      <w:r w:rsidR="004E1B49" w:rsidRPr="00DD47DF">
        <w:rPr>
          <w:color w:val="000000"/>
        </w:rPr>
        <w:t xml:space="preserve"> zaměstnanců i zaměstnavatelů, </w:t>
      </w:r>
      <w:r w:rsidR="004E1B49" w:rsidRPr="00DD47DF">
        <w:t>rozvoj znalostí a dovedností v oblasti odborného vzdělávání.</w:t>
      </w:r>
    </w:p>
    <w:p w14:paraId="28EFD672" w14:textId="77777777" w:rsidR="00A438A6" w:rsidRPr="00DD47DF" w:rsidRDefault="00A438A6" w:rsidP="00D927A2">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14028E16" w14:textId="77777777" w:rsidR="00C6139B" w:rsidRDefault="00C6139B" w:rsidP="00D927A2">
      <w:pPr>
        <w:pStyle w:val="Standardntext"/>
        <w:numPr>
          <w:ilvl w:val="0"/>
          <w:numId w:val="43"/>
        </w:numPr>
      </w:pPr>
      <w:r w:rsidRPr="00DD47DF">
        <w:t>Vliv projektů SC</w:t>
      </w:r>
      <w:r w:rsidR="00D74EA3" w:rsidRPr="00DD47DF">
        <w:t xml:space="preserve"> </w:t>
      </w:r>
      <w:r w:rsidR="00A61EA1" w:rsidRPr="00DD47DF">
        <w:t xml:space="preserve">2.3 na oblast půdy </w:t>
      </w:r>
      <w:r w:rsidRPr="00DD47DF">
        <w:t xml:space="preserve">bude </w:t>
      </w:r>
      <w:r w:rsidR="00A61EA1" w:rsidRPr="00DD47DF">
        <w:t>na projektové úrovni</w:t>
      </w:r>
      <w:r w:rsidR="00642E01" w:rsidRPr="00DD47DF">
        <w:t xml:space="preserve"> </w:t>
      </w:r>
      <w:r w:rsidR="00A61EA1" w:rsidRPr="00DD47DF">
        <w:t>sledován</w:t>
      </w:r>
      <w:r w:rsidRPr="00DD47DF">
        <w:t xml:space="preserve"> prostřednictvím indikátoru „</w:t>
      </w:r>
      <w:r w:rsidR="001F6899" w:rsidRPr="00DD47DF">
        <w:t>Rozšířené, zrekonstruované nebo nově vybudované kapacity bez záboru zemědělského půdního fondu</w:t>
      </w:r>
      <w:r w:rsidRPr="00DD47DF">
        <w:t>“</w:t>
      </w:r>
      <w:r w:rsidR="00C306CB" w:rsidRPr="00DD47DF">
        <w:t xml:space="preserve"> (4 66 01)</w:t>
      </w:r>
      <w:r w:rsidR="001F6899" w:rsidRPr="00DD47DF">
        <w:t>. Tento</w:t>
      </w:r>
      <w:r w:rsidRPr="00DD47DF">
        <w:t xml:space="preserve"> environmentální </w:t>
      </w:r>
      <w:r w:rsidR="001F6899" w:rsidRPr="00DD47DF">
        <w:t>indikátor bude dále agregován</w:t>
      </w:r>
      <w:r w:rsidRPr="00DD47DF">
        <w:t xml:space="preserve"> pro potřeby Dohody o partnerství.</w:t>
      </w:r>
    </w:p>
    <w:p w14:paraId="608B9765" w14:textId="4CFFC794" w:rsidR="00545BCC" w:rsidRPr="00DD47DF" w:rsidRDefault="00545BCC" w:rsidP="00A002C6">
      <w:pPr>
        <w:pStyle w:val="Standardntext"/>
        <w:numPr>
          <w:ilvl w:val="0"/>
          <w:numId w:val="43"/>
        </w:numPr>
      </w:pPr>
      <w:r w:rsidRPr="00545BCC">
        <w:t>V případě, že příjemcem podpory ve SC 2.3 bude municipalita, musí být v projektu jednoznačně prokázáno, že zrekonstruovaný objekt/brownfield bude využit/pronajímán malým a středním podnikům minimálně na dobu 10 let, které budou v daném objektu / na daném brownfieldu realizovat své podnikatelské záměry, a bude tak splněna podmínka modernizace objektu/brownfieldu pro následné ekonomické využití.</w:t>
      </w:r>
      <w:r w:rsidR="00A002C6">
        <w:t xml:space="preserve"> </w:t>
      </w:r>
      <w:r w:rsidR="00A002C6" w:rsidRPr="00A002C6">
        <w:t>Tato podmínka neplatí v případě využití finančních nástrojů.</w:t>
      </w:r>
    </w:p>
    <w:p w14:paraId="41119E16" w14:textId="77777777" w:rsidR="009004A9" w:rsidRPr="00DD47DF" w:rsidRDefault="009004A9" w:rsidP="00D927A2">
      <w:pPr>
        <w:pStyle w:val="Standardntext"/>
        <w:numPr>
          <w:ilvl w:val="0"/>
          <w:numId w:val="43"/>
        </w:numPr>
      </w:pPr>
      <w:r w:rsidRPr="00DD47DF">
        <w:t>Komplexnost opatření formou doložení znaleckého posudku ceny objektu, který je předmětem daného projektu</w:t>
      </w:r>
      <w:r w:rsidR="0017344D" w:rsidRPr="00DD47DF">
        <w:t xml:space="preserve"> v SC 2.3 (blíže viz oddíl 8).</w:t>
      </w:r>
    </w:p>
    <w:p w14:paraId="5BEA7F64" w14:textId="1A229B77" w:rsidR="00320279" w:rsidRDefault="00320279" w:rsidP="00A002C6">
      <w:pPr>
        <w:pStyle w:val="Standardntext"/>
        <w:numPr>
          <w:ilvl w:val="0"/>
          <w:numId w:val="43"/>
        </w:numPr>
      </w:pPr>
      <w:r w:rsidRPr="00DD47DF">
        <w:t>Povinnost předložit energetický audit, nebo  studii deklarující snížení energetické náročnosti rekonstruovaného objektu</w:t>
      </w:r>
      <w:r w:rsidR="00D74EA3" w:rsidRPr="00DD47DF">
        <w:t xml:space="preserve"> v případě projektů </w:t>
      </w:r>
      <w:r w:rsidR="0017344D" w:rsidRPr="00DD47DF">
        <w:t>v</w:t>
      </w:r>
      <w:r w:rsidR="00577711" w:rsidRPr="00DD47DF">
        <w:t xml:space="preserve"> </w:t>
      </w:r>
      <w:r w:rsidR="00D74EA3" w:rsidRPr="00DD47DF">
        <w:t>SC 2.3</w:t>
      </w:r>
      <w:r w:rsidRPr="00DD47DF">
        <w:t>. Úroveň vykazovaných a požadovaných hodnot (stupeň energetické náročnosti) bude stanovena v rámci výběru dané operace.</w:t>
      </w:r>
      <w:r w:rsidR="00A002C6">
        <w:t xml:space="preserve"> </w:t>
      </w:r>
      <w:r w:rsidR="00A002C6" w:rsidRPr="00A002C6">
        <w:t>V případě financování formou finančních nástrojů je podmínka relevantní pouze v projektech zahrnujících rekonstrukci budov.</w:t>
      </w:r>
    </w:p>
    <w:p w14:paraId="78A9EDFA" w14:textId="747EE175" w:rsidR="003E3110" w:rsidRDefault="003E3110" w:rsidP="00D927A2">
      <w:pPr>
        <w:pStyle w:val="Standardntext"/>
        <w:numPr>
          <w:ilvl w:val="0"/>
          <w:numId w:val="43"/>
        </w:numPr>
      </w:pPr>
      <w:r w:rsidRPr="00700E39">
        <w:t>V rámci projektů podpory cestovního ruchu nebudou podpořeny aktivity směřující k vybudování nebo revitalizaci golfových hřišť a areálů a samostatných veřejně přístupných aquaparků či koupališť.</w:t>
      </w:r>
    </w:p>
    <w:p w14:paraId="170AB19C" w14:textId="55CBE4CC" w:rsidR="003E3110" w:rsidRDefault="003E3110" w:rsidP="00F5549B">
      <w:pPr>
        <w:pStyle w:val="Standardntext"/>
        <w:numPr>
          <w:ilvl w:val="0"/>
          <w:numId w:val="43"/>
        </w:numPr>
      </w:pPr>
      <w:r w:rsidRPr="00700E39">
        <w:t xml:space="preserve">S ohledem na hlavní ukazatel – tvorba nových pracovních míst – budou při výběru </w:t>
      </w:r>
      <w:r w:rsidR="00F5549B" w:rsidRPr="00F5549B">
        <w:t xml:space="preserve">v rámci dotační podpory </w:t>
      </w:r>
      <w:r w:rsidRPr="00700E39">
        <w:t>zvýhodněny projekty vytvářející vyšší počty nových přímých celoročních přepočtených úvazků, tj. projekty vytvářející rozvojové póly lokalit.</w:t>
      </w:r>
    </w:p>
    <w:p w14:paraId="339750AB" w14:textId="1AECED4D" w:rsidR="00437534" w:rsidRPr="00DD47DF" w:rsidRDefault="00437534" w:rsidP="00D927A2">
      <w:pPr>
        <w:pStyle w:val="Standardntext"/>
        <w:numPr>
          <w:ilvl w:val="0"/>
          <w:numId w:val="43"/>
        </w:numPr>
      </w:pPr>
      <w:r w:rsidRPr="00700E39">
        <w:t>Podporovány nebudou developerské projekty</w:t>
      </w:r>
      <w:r w:rsidR="00493265" w:rsidRPr="00493265">
        <w:t xml:space="preserve"> (nevztahuje se na projekty podpořené finančním nástrojem)</w:t>
      </w:r>
      <w:r w:rsidRPr="00700E39">
        <w:t>, ani nová výstavba na „zelené louce“ vyžadující zábor zemědělského půdního fondu. V případě přístaveb a dostaveb stávajících objektů, které vyžadují zábor zemědělského půdního fondu, bude podpora poskytnuta jen při vyloučení negativních enviromentálních vlivů a v souladu s udržitelnou výstavbou budov formou doložení úspěšné certifikace procesu dle BREEAM nebo LEED v průběhu územního řízení a stavebního povolení a následně závazek realizace a úspěšné certifikace při realizaci kolaudaci staveb.</w:t>
      </w:r>
    </w:p>
    <w:p w14:paraId="4E261185" w14:textId="77777777" w:rsidR="00320279" w:rsidRDefault="00320279" w:rsidP="00D927A2">
      <w:pPr>
        <w:pStyle w:val="Standardntext"/>
        <w:numPr>
          <w:ilvl w:val="0"/>
          <w:numId w:val="43"/>
        </w:numPr>
      </w:pPr>
      <w:r w:rsidRPr="00DD47DF">
        <w:lastRenderedPageBreak/>
        <w:t>Při výběru budou</w:t>
      </w:r>
      <w:r w:rsidR="00D74EA3" w:rsidRPr="00DD47DF">
        <w:t xml:space="preserve"> v SC 2.4</w:t>
      </w:r>
      <w:r w:rsidRPr="00DD47DF">
        <w:t xml:space="preserve"> zvýhodněny projekty, jejichž součástí bude smlouva se </w:t>
      </w:r>
      <w:r w:rsidR="00642E01" w:rsidRPr="00DD47DF">
        <w:t>školou</w:t>
      </w:r>
      <w:r w:rsidRPr="00DD47DF">
        <w:t xml:space="preserve"> o možnosti využití školicího střediska i pro </w:t>
      </w:r>
      <w:r w:rsidR="00733A8A" w:rsidRPr="00DD47DF">
        <w:t xml:space="preserve">odborný výcvik, </w:t>
      </w:r>
      <w:r w:rsidRPr="00DD47DF">
        <w:t xml:space="preserve">odborné </w:t>
      </w:r>
      <w:r w:rsidR="002464E2" w:rsidRPr="00DD47DF">
        <w:t>praxe a stáže</w:t>
      </w:r>
      <w:r w:rsidRPr="00DD47DF">
        <w:t xml:space="preserve"> žáků a studentů.</w:t>
      </w:r>
    </w:p>
    <w:p w14:paraId="45002177" w14:textId="47FCC243" w:rsidR="003E2410" w:rsidRPr="00DD47DF" w:rsidRDefault="003E2410" w:rsidP="00D927A2">
      <w:pPr>
        <w:pStyle w:val="Standardntext"/>
        <w:numPr>
          <w:ilvl w:val="0"/>
          <w:numId w:val="43"/>
        </w:numPr>
      </w:pPr>
      <w:r w:rsidRPr="003E2410">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257AEE44" w14:textId="77777777" w:rsidR="00A438A6" w:rsidRPr="00DD47DF" w:rsidRDefault="00A438A6"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8135D19" w14:textId="77777777" w:rsidR="009004A9" w:rsidRPr="00DD47DF" w:rsidRDefault="009004A9"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19E78357" w14:textId="77777777" w:rsidR="00F262C8" w:rsidRPr="00DD47DF" w:rsidRDefault="00BA6461" w:rsidP="00A25CBC">
      <w:pPr>
        <w:pStyle w:val="Nadpis5"/>
        <w:numPr>
          <w:ilvl w:val="4"/>
          <w:numId w:val="132"/>
        </w:numPr>
        <w:rPr>
          <w:rFonts w:cs="Calibri"/>
        </w:rPr>
      </w:pPr>
      <w:r w:rsidRPr="00DD47DF">
        <w:t>Plánované využití finančních nástrojů (použije-li se)</w:t>
      </w:r>
    </w:p>
    <w:p w14:paraId="61A672CD" w14:textId="0D642E99" w:rsidR="00F262C8" w:rsidRDefault="00CB0BAE" w:rsidP="00A46BFD">
      <w:pPr>
        <w:pStyle w:val="Standardntext"/>
        <w:rPr>
          <w:lang w:eastAsia="x-none"/>
        </w:rPr>
      </w:pPr>
      <w:r w:rsidRPr="00700E39">
        <w:rPr>
          <w:lang w:val="x-none" w:eastAsia="x-none"/>
        </w:rPr>
        <w:t>Při provádění této investiční priority</w:t>
      </w:r>
      <w:r w:rsidRPr="00700E39">
        <w:rPr>
          <w:lang w:eastAsia="x-none"/>
        </w:rPr>
        <w:t xml:space="preserve"> v rámci specifického cíle 2.3</w:t>
      </w:r>
      <w:r w:rsidRPr="00700E39">
        <w:rPr>
          <w:lang w:val="x-none" w:eastAsia="x-none"/>
        </w:rPr>
        <w:t xml:space="preserve">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 Předběžné posouzení finančních nástrojů musí být dokončeno dříve, než řídicí orgán rozhodne, že finanční nástroj obdrží příspěvek z programu.</w:t>
      </w:r>
      <w:r w:rsidRPr="00700E39">
        <w:rPr>
          <w:lang w:eastAsia="x-none"/>
        </w:rPr>
        <w:t xml:space="preserve"> </w:t>
      </w:r>
      <w:r w:rsidR="000A6378" w:rsidRPr="00D753B0">
        <w:rPr>
          <w:lang w:eastAsia="x-none"/>
        </w:rPr>
        <w:t>Příjemce v oblasti finančních nástrojů je povinen postupovat v souladu se schválenou investiční strategií finančního nástroje nebo fondu fondů připravené na základě předběžného posouzení finančních nástrojů, přičemž typy, příklady opatření a aktivity uvedené v části 2.A.6.1 mohou být v investiční strategii upraveny v souladu s běžnou tržní praxí a tedy přizpůsobeny specifickým podmínkám finančních nástrojů. Oddíl 2.A.6.2 Hlavní zásady pro výběr operací se vztahuje pouze k podpoře ve formě dotací, nikoliv pro FN. V případě finančních nástrojů kritéria pro výběr operací schvaluje Monitorovací výbor OP PIK.</w:t>
      </w:r>
      <w:r w:rsidR="000A6378">
        <w:rPr>
          <w:lang w:eastAsia="x-none"/>
        </w:rPr>
        <w:t xml:space="preserve"> </w:t>
      </w:r>
      <w:r w:rsidRPr="00700E39">
        <w:rPr>
          <w:lang w:eastAsia="x-none"/>
        </w:rPr>
        <w:t>V případě specifického cíle 2.4 bude nástrojem podpory dotace.</w:t>
      </w:r>
    </w:p>
    <w:p w14:paraId="45074E66" w14:textId="77777777" w:rsidR="00D753B0" w:rsidRPr="00DD47DF" w:rsidRDefault="00D753B0" w:rsidP="00A46BFD">
      <w:pPr>
        <w:pStyle w:val="Standardntext"/>
      </w:pPr>
    </w:p>
    <w:p w14:paraId="498F0647" w14:textId="77777777" w:rsidR="00F262C8" w:rsidRPr="00DD47DF" w:rsidRDefault="00BA6461" w:rsidP="00A25CBC">
      <w:pPr>
        <w:pStyle w:val="Nadpis5"/>
        <w:numPr>
          <w:ilvl w:val="4"/>
          <w:numId w:val="132"/>
        </w:numPr>
      </w:pPr>
      <w:r w:rsidRPr="00DD47DF">
        <w:t>Plánované využití velkých projektů (použije-li se)</w:t>
      </w:r>
    </w:p>
    <w:p w14:paraId="0EF0A98A"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41A4BB25" w14:textId="77777777" w:rsidR="00F262C8" w:rsidRPr="00DD47DF" w:rsidRDefault="00BA6461" w:rsidP="00A25CBC">
      <w:pPr>
        <w:pStyle w:val="Nadpis5"/>
        <w:numPr>
          <w:ilvl w:val="4"/>
          <w:numId w:val="132"/>
        </w:numPr>
      </w:pPr>
      <w:r w:rsidRPr="00DD47DF">
        <w:t>Ukazatele výstupů podle investiční priority a případně podle kategorie regionů</w:t>
      </w:r>
    </w:p>
    <w:p w14:paraId="67AC5421" w14:textId="77777777" w:rsidR="00F262C8" w:rsidRPr="00DD47DF" w:rsidRDefault="00F262C8" w:rsidP="000558FE">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158"/>
        <w:gridCol w:w="2311"/>
        <w:gridCol w:w="946"/>
        <w:gridCol w:w="666"/>
        <w:gridCol w:w="1043"/>
        <w:gridCol w:w="1158"/>
        <w:gridCol w:w="998"/>
        <w:gridCol w:w="1046"/>
      </w:tblGrid>
      <w:tr w:rsidR="00956C4F" w:rsidRPr="00DD47DF" w14:paraId="34AEA2E2" w14:textId="77777777" w:rsidTr="00251879">
        <w:trPr>
          <w:trHeight w:hRule="exact" w:val="1058"/>
        </w:trPr>
        <w:tc>
          <w:tcPr>
            <w:tcW w:w="62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9246016" w14:textId="77777777" w:rsidR="001B2E5C" w:rsidRPr="00DD47DF" w:rsidRDefault="001B2E5C" w:rsidP="001B2E5C">
            <w:pPr>
              <w:pStyle w:val="Tabulka"/>
              <w:rPr>
                <w:rFonts w:cs="Calibri"/>
                <w:b/>
              </w:rPr>
            </w:pPr>
            <w:r w:rsidRPr="00DD47DF">
              <w:rPr>
                <w:rFonts w:cs="Calibri"/>
                <w:b/>
              </w:rPr>
              <w:t>ID</w:t>
            </w:r>
          </w:p>
        </w:tc>
        <w:tc>
          <w:tcPr>
            <w:tcW w:w="123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3870D9F" w14:textId="77777777" w:rsidR="001B2E5C" w:rsidRPr="00DD47DF" w:rsidRDefault="001B2E5C" w:rsidP="001B2E5C">
            <w:pPr>
              <w:pStyle w:val="Tabulka"/>
              <w:rPr>
                <w:rFonts w:cs="Calibri"/>
                <w:b/>
              </w:rPr>
            </w:pPr>
            <w:r w:rsidRPr="00DD47DF">
              <w:rPr>
                <w:rFonts w:cs="Calibri"/>
                <w:b/>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F22809A" w14:textId="77777777" w:rsidR="001B2E5C" w:rsidRPr="00DD47DF" w:rsidRDefault="001B2E5C" w:rsidP="001B2E5C">
            <w:pPr>
              <w:pStyle w:val="Tabulka"/>
              <w:rPr>
                <w:rFonts w:cs="Calibri"/>
                <w:b/>
              </w:rPr>
            </w:pPr>
            <w:r w:rsidRPr="00DD47DF">
              <w:rPr>
                <w:rFonts w:cs="Calibri"/>
                <w:b/>
              </w:rPr>
              <w:t>Měrná jednotka</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9AC66BD" w14:textId="77777777" w:rsidR="001B2E5C" w:rsidRPr="00DD47DF" w:rsidRDefault="001B2E5C" w:rsidP="001B2E5C">
            <w:pPr>
              <w:pStyle w:val="Tabulka"/>
              <w:rPr>
                <w:rFonts w:cs="Calibri"/>
                <w:b/>
              </w:rPr>
            </w:pPr>
            <w:r w:rsidRPr="00DD47DF">
              <w:rPr>
                <w:rFonts w:cs="Calibri"/>
                <w:b/>
              </w:rPr>
              <w:t>Fond</w:t>
            </w:r>
          </w:p>
        </w:tc>
        <w:tc>
          <w:tcPr>
            <w:tcW w:w="55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EE55D9" w14:textId="77777777" w:rsidR="001B2E5C" w:rsidRPr="00DD47DF" w:rsidRDefault="001B2E5C" w:rsidP="001B2E5C">
            <w:pPr>
              <w:pStyle w:val="Tabulka"/>
              <w:rPr>
                <w:rFonts w:cs="Calibri"/>
                <w:b/>
              </w:rPr>
            </w:pPr>
            <w:r w:rsidRPr="00DD47DF">
              <w:rPr>
                <w:rFonts w:cs="Calibri"/>
                <w:b/>
              </w:rPr>
              <w:t>Kategorie regionu</w:t>
            </w:r>
          </w:p>
        </w:tc>
        <w:tc>
          <w:tcPr>
            <w:tcW w:w="62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36042F9" w14:textId="77777777" w:rsidR="001B2E5C" w:rsidRPr="00DD47DF" w:rsidRDefault="001B2E5C" w:rsidP="00D57106">
            <w:pPr>
              <w:pStyle w:val="Tabulka"/>
              <w:rPr>
                <w:rFonts w:cs="Calibri"/>
                <w:b/>
              </w:rPr>
            </w:pPr>
            <w:r w:rsidRPr="00DD47DF">
              <w:rPr>
                <w:rFonts w:cs="Calibri"/>
                <w:b/>
              </w:rPr>
              <w:t>Cílová hodnota</w:t>
            </w:r>
            <w:r w:rsidR="00D57106" w:rsidRPr="00DD47DF">
              <w:rPr>
                <w:rFonts w:cs="Calibri"/>
                <w:b/>
              </w:rPr>
              <w:t xml:space="preserve"> </w:t>
            </w:r>
            <w:r w:rsidRPr="00DD47DF">
              <w:rPr>
                <w:rFonts w:cs="Calibri"/>
                <w:b/>
              </w:rPr>
              <w:t>(2023)</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EF5F578" w14:textId="77777777" w:rsidR="001B2E5C" w:rsidRPr="00DD47DF" w:rsidRDefault="001B2E5C" w:rsidP="001B2E5C">
            <w:pPr>
              <w:pStyle w:val="Tabulka"/>
              <w:rPr>
                <w:rFonts w:cs="Calibri"/>
                <w:b/>
              </w:rPr>
            </w:pPr>
            <w:r w:rsidRPr="00DD47DF">
              <w:rPr>
                <w:rFonts w:cs="Calibri"/>
                <w:b/>
              </w:rPr>
              <w:t>Zdroj údajů</w:t>
            </w:r>
          </w:p>
        </w:tc>
        <w:tc>
          <w:tcPr>
            <w:tcW w:w="5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CD6BA1C" w14:textId="77777777" w:rsidR="001B2E5C" w:rsidRPr="00DD47DF" w:rsidRDefault="001B2E5C" w:rsidP="001B2E5C">
            <w:pPr>
              <w:pStyle w:val="Tabulka"/>
              <w:rPr>
                <w:rFonts w:cs="Calibri"/>
                <w:b/>
              </w:rPr>
            </w:pPr>
            <w:r w:rsidRPr="00DD47DF">
              <w:rPr>
                <w:rFonts w:cs="Calibri"/>
                <w:b/>
              </w:rPr>
              <w:t>Četnost podávání zpráv</w:t>
            </w:r>
          </w:p>
        </w:tc>
      </w:tr>
      <w:tr w:rsidR="00956C4F" w:rsidRPr="00DD47DF" w14:paraId="27660EEA"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2AAB825B" w14:textId="57E2EA6B" w:rsidR="007A5135" w:rsidRPr="00DD47DF" w:rsidRDefault="00C75691" w:rsidP="0065467A">
            <w:pPr>
              <w:pStyle w:val="Tabulka"/>
              <w:rPr>
                <w:rFonts w:cs="Calibri"/>
              </w:rPr>
            </w:pPr>
            <w:r w:rsidRPr="00DD47DF">
              <w:rPr>
                <w:rFonts w:cs="Calibri"/>
              </w:rPr>
              <w:t xml:space="preserve">CO </w:t>
            </w:r>
            <w:r w:rsidR="00927ADD" w:rsidRPr="00DD47DF">
              <w:rPr>
                <w:rFonts w:cs="Calibri"/>
              </w:rPr>
              <w:t>0</w:t>
            </w:r>
            <w:r w:rsidR="007A5135" w:rsidRPr="00DD47DF">
              <w:rPr>
                <w:rFonts w:cs="Calibri"/>
              </w:rPr>
              <w:t>1</w:t>
            </w:r>
          </w:p>
        </w:tc>
        <w:tc>
          <w:tcPr>
            <w:tcW w:w="1239" w:type="pct"/>
            <w:tcBorders>
              <w:top w:val="single" w:sz="4" w:space="0" w:color="000000"/>
              <w:left w:val="single" w:sz="4" w:space="0" w:color="000000"/>
              <w:bottom w:val="single" w:sz="4" w:space="0" w:color="000000"/>
              <w:right w:val="single" w:sz="4" w:space="0" w:color="000000"/>
            </w:tcBorders>
            <w:vAlign w:val="center"/>
          </w:tcPr>
          <w:p w14:paraId="10B4B720" w14:textId="77777777" w:rsidR="007A5135" w:rsidRPr="00DD47DF" w:rsidRDefault="007D6298" w:rsidP="0065467A">
            <w:pPr>
              <w:pStyle w:val="Tabulka"/>
              <w:jc w:val="left"/>
              <w:rPr>
                <w:rFonts w:cs="Calibri"/>
              </w:rPr>
            </w:pPr>
            <w:r w:rsidRPr="00DD47DF">
              <w:rPr>
                <w:rFonts w:cs="Calibri"/>
              </w:rPr>
              <w:t>Počet podniků pobírajících podporu</w:t>
            </w:r>
          </w:p>
        </w:tc>
        <w:tc>
          <w:tcPr>
            <w:tcW w:w="507" w:type="pct"/>
            <w:tcBorders>
              <w:top w:val="single" w:sz="4" w:space="0" w:color="000000"/>
              <w:left w:val="single" w:sz="4" w:space="0" w:color="000000"/>
              <w:bottom w:val="single" w:sz="4" w:space="0" w:color="000000"/>
              <w:right w:val="single" w:sz="4" w:space="0" w:color="000000"/>
            </w:tcBorders>
            <w:vAlign w:val="center"/>
          </w:tcPr>
          <w:p w14:paraId="7FE206D6" w14:textId="77777777" w:rsidR="007A5135" w:rsidRPr="00DD47DF" w:rsidRDefault="007A5135" w:rsidP="0065467A">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1D2D3322" w14:textId="77777777" w:rsidR="007A5135" w:rsidRPr="00DD47DF" w:rsidRDefault="002B3F69" w:rsidP="0065467A">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A0F6EB3" w14:textId="77777777" w:rsidR="007A5135" w:rsidRPr="00DD47DF" w:rsidRDefault="007A5135" w:rsidP="0065467A">
            <w:pPr>
              <w:pStyle w:val="Tabulka"/>
              <w:rPr>
                <w:rFonts w:cs="Calibri"/>
              </w:rPr>
            </w:pPr>
            <w:r w:rsidRPr="00DD47DF">
              <w:rPr>
                <w:rFonts w:cs="Calibri"/>
              </w:rPr>
              <w:t xml:space="preserve">Méně rozvinuté </w:t>
            </w:r>
            <w:r w:rsidRPr="00DD47DF">
              <w:rPr>
                <w:rFonts w:cs="Calibri"/>
              </w:rPr>
              <w:lastRenderedPageBreak/>
              <w:t>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D16B093" w14:textId="40997009" w:rsidR="007A5135" w:rsidRPr="00DD47DF" w:rsidRDefault="00642438" w:rsidP="00642438">
            <w:pPr>
              <w:pStyle w:val="Tabulka"/>
              <w:rPr>
                <w:rFonts w:cs="Calibri"/>
              </w:rPr>
            </w:pPr>
            <w:r>
              <w:rPr>
                <w:rFonts w:cs="Calibri"/>
              </w:rPr>
              <w:lastRenderedPageBreak/>
              <w:t>564</w:t>
            </w:r>
          </w:p>
        </w:tc>
        <w:tc>
          <w:tcPr>
            <w:tcW w:w="535" w:type="pct"/>
            <w:tcBorders>
              <w:top w:val="single" w:sz="4" w:space="0" w:color="000000"/>
              <w:left w:val="single" w:sz="4" w:space="0" w:color="000000"/>
              <w:bottom w:val="single" w:sz="4" w:space="0" w:color="000000"/>
              <w:right w:val="single" w:sz="4" w:space="0" w:color="000000"/>
            </w:tcBorders>
            <w:vAlign w:val="center"/>
          </w:tcPr>
          <w:p w14:paraId="1A80F8A8" w14:textId="77777777" w:rsidR="007A5135" w:rsidRPr="00DD47DF" w:rsidRDefault="00FC7054" w:rsidP="0065467A">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60D0053E" w14:textId="77777777" w:rsidR="007A5135" w:rsidRPr="00DD47DF" w:rsidRDefault="00FC7054" w:rsidP="00AB615E">
            <w:pPr>
              <w:pStyle w:val="Tabulka"/>
              <w:rPr>
                <w:rFonts w:cs="Calibri"/>
              </w:rPr>
            </w:pPr>
            <w:r>
              <w:rPr>
                <w:rFonts w:cs="Calibri"/>
              </w:rPr>
              <w:t>průběžně</w:t>
            </w:r>
          </w:p>
        </w:tc>
      </w:tr>
      <w:tr w:rsidR="00956C4F" w:rsidRPr="00DD47DF" w14:paraId="7E1CB933"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1156F65C" w14:textId="3747F352" w:rsidR="007A5135" w:rsidRPr="00DD47DF" w:rsidRDefault="00C75691" w:rsidP="0065467A">
            <w:pPr>
              <w:pStyle w:val="Tabulka"/>
              <w:rPr>
                <w:rFonts w:cs="Calibri"/>
              </w:rPr>
            </w:pPr>
            <w:r w:rsidRPr="00DD47DF">
              <w:rPr>
                <w:rFonts w:cs="Calibri"/>
              </w:rPr>
              <w:t xml:space="preserve">CO </w:t>
            </w:r>
            <w:r w:rsidR="00927ADD" w:rsidRPr="00DD47DF">
              <w:rPr>
                <w:rFonts w:cs="Calibri"/>
              </w:rPr>
              <w:t>0</w:t>
            </w:r>
            <w:r w:rsidR="007A5135" w:rsidRPr="00DD47DF">
              <w:rPr>
                <w:rFonts w:cs="Calibri"/>
              </w:rPr>
              <w:t>2</w:t>
            </w:r>
          </w:p>
        </w:tc>
        <w:tc>
          <w:tcPr>
            <w:tcW w:w="1239" w:type="pct"/>
            <w:tcBorders>
              <w:top w:val="single" w:sz="4" w:space="0" w:color="000000"/>
              <w:left w:val="single" w:sz="4" w:space="0" w:color="000000"/>
              <w:bottom w:val="single" w:sz="4" w:space="0" w:color="000000"/>
              <w:right w:val="single" w:sz="4" w:space="0" w:color="000000"/>
            </w:tcBorders>
            <w:vAlign w:val="center"/>
          </w:tcPr>
          <w:p w14:paraId="5035E89C" w14:textId="77777777" w:rsidR="007A5135" w:rsidRPr="00DD47DF" w:rsidRDefault="007A5135" w:rsidP="0065467A">
            <w:pPr>
              <w:pStyle w:val="Tabulka"/>
              <w:jc w:val="left"/>
              <w:rPr>
                <w:rFonts w:cs="Calibri"/>
              </w:rPr>
            </w:pPr>
            <w:r w:rsidRPr="00DD47DF">
              <w:rPr>
                <w:rFonts w:cs="Calibri"/>
              </w:rPr>
              <w:t>Počet podniků pobírajících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3F29838F" w14:textId="77777777" w:rsidR="007A5135" w:rsidRPr="00DD47DF" w:rsidRDefault="007A5135" w:rsidP="0065467A">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36A8EB74" w14:textId="77777777" w:rsidR="007A5135" w:rsidRPr="00DD47DF" w:rsidRDefault="002B3F69" w:rsidP="008165DC">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095D8734" w14:textId="77777777" w:rsidR="007A5135" w:rsidRPr="00DD47DF" w:rsidRDefault="007A5135" w:rsidP="0065467A">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41882FF" w14:textId="4EB63E84" w:rsidR="007A5135" w:rsidRPr="00DD47DF" w:rsidRDefault="008960D4" w:rsidP="0065467A">
            <w:pPr>
              <w:pStyle w:val="Tabulka"/>
              <w:rPr>
                <w:rFonts w:cs="Calibri"/>
              </w:rPr>
            </w:pPr>
            <w:r>
              <w:rPr>
                <w:rFonts w:cs="Calibri"/>
              </w:rPr>
              <w:t>560</w:t>
            </w:r>
          </w:p>
        </w:tc>
        <w:tc>
          <w:tcPr>
            <w:tcW w:w="535" w:type="pct"/>
            <w:tcBorders>
              <w:top w:val="single" w:sz="4" w:space="0" w:color="000000"/>
              <w:left w:val="single" w:sz="4" w:space="0" w:color="000000"/>
              <w:bottom w:val="single" w:sz="4" w:space="0" w:color="000000"/>
              <w:right w:val="single" w:sz="4" w:space="0" w:color="000000"/>
            </w:tcBorders>
            <w:vAlign w:val="center"/>
          </w:tcPr>
          <w:p w14:paraId="1B6657D1" w14:textId="77777777" w:rsidR="007A5135" w:rsidRPr="00DD47DF" w:rsidRDefault="00FC7054" w:rsidP="007A5135">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4043A4F9" w14:textId="77777777" w:rsidR="007A5135" w:rsidRPr="00DD47DF" w:rsidRDefault="00FC7054" w:rsidP="00AB615E">
            <w:pPr>
              <w:pStyle w:val="Tabulka"/>
              <w:rPr>
                <w:rFonts w:cs="Calibri"/>
              </w:rPr>
            </w:pPr>
            <w:r>
              <w:rPr>
                <w:rFonts w:cs="Calibri"/>
              </w:rPr>
              <w:t>průběžně</w:t>
            </w:r>
          </w:p>
        </w:tc>
      </w:tr>
      <w:tr w:rsidR="007274C3" w:rsidRPr="00DD47DF" w14:paraId="4B4060BC"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07DCA61D" w14:textId="4CB653D0" w:rsidR="007274C3" w:rsidRPr="00DD47DF" w:rsidRDefault="007274C3" w:rsidP="007274C3">
            <w:pPr>
              <w:pStyle w:val="Tabulka"/>
              <w:rPr>
                <w:rFonts w:cs="Calibri"/>
              </w:rPr>
            </w:pPr>
            <w:r w:rsidRPr="00DD47DF">
              <w:rPr>
                <w:rFonts w:cs="Calibri"/>
              </w:rPr>
              <w:t>CO 03</w:t>
            </w:r>
          </w:p>
        </w:tc>
        <w:tc>
          <w:tcPr>
            <w:tcW w:w="1239" w:type="pct"/>
            <w:tcBorders>
              <w:top w:val="single" w:sz="4" w:space="0" w:color="000000"/>
              <w:left w:val="single" w:sz="4" w:space="0" w:color="000000"/>
              <w:bottom w:val="single" w:sz="4" w:space="0" w:color="000000"/>
              <w:right w:val="single" w:sz="4" w:space="0" w:color="000000"/>
            </w:tcBorders>
            <w:vAlign w:val="center"/>
          </w:tcPr>
          <w:p w14:paraId="36DD6134" w14:textId="09BA1E8B" w:rsidR="007274C3" w:rsidRPr="00892451" w:rsidRDefault="007274C3" w:rsidP="007274C3">
            <w:pPr>
              <w:pStyle w:val="Tabulka"/>
              <w:jc w:val="left"/>
              <w:rPr>
                <w:rFonts w:cs="Calibri"/>
              </w:rPr>
            </w:pPr>
            <w:r w:rsidRPr="00DD47DF">
              <w:rPr>
                <w:rFonts w:cs="Calibri"/>
              </w:rPr>
              <w:t>Počet podniků p</w:t>
            </w:r>
            <w:r>
              <w:rPr>
                <w:rFonts w:cs="Calibri"/>
              </w:rPr>
              <w:t>obírajících jinou finanční podporu</w:t>
            </w:r>
            <w:r w:rsidRPr="00DD47DF">
              <w:rPr>
                <w:rFonts w:cs="Calibri"/>
              </w:rPr>
              <w:t xml:space="preserve"> než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65E6EA58" w14:textId="44327504" w:rsidR="007274C3" w:rsidRPr="00DD47DF" w:rsidRDefault="007274C3" w:rsidP="007274C3">
            <w:pPr>
              <w:pStyle w:val="Tabulka"/>
              <w:rPr>
                <w:rFonts w:cs="Calibri"/>
              </w:rPr>
            </w:pPr>
            <w:r w:rsidRPr="00DD47DF">
              <w:rPr>
                <w:rFonts w:cs="Calibri"/>
              </w:rPr>
              <w:t>podniky</w:t>
            </w:r>
          </w:p>
        </w:tc>
        <w:tc>
          <w:tcPr>
            <w:tcW w:w="357" w:type="pct"/>
            <w:tcBorders>
              <w:top w:val="single" w:sz="4" w:space="0" w:color="000000"/>
              <w:left w:val="single" w:sz="4" w:space="0" w:color="000000"/>
              <w:bottom w:val="single" w:sz="4" w:space="0" w:color="000000"/>
              <w:right w:val="single" w:sz="4" w:space="0" w:color="000000"/>
            </w:tcBorders>
            <w:vAlign w:val="center"/>
          </w:tcPr>
          <w:p w14:paraId="66B925BB" w14:textId="5EBFEEF8"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67E9691F" w14:textId="043F9C1B"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72C393" w14:textId="596BE701" w:rsidR="007274C3" w:rsidRPr="00DD47DF" w:rsidRDefault="00642438" w:rsidP="007274C3">
            <w:pPr>
              <w:pStyle w:val="Tabulka"/>
              <w:rPr>
                <w:rFonts w:cs="Calibri"/>
              </w:rPr>
            </w:pPr>
            <w:r>
              <w:rPr>
                <w:rFonts w:cs="Calibri"/>
              </w:rPr>
              <w:t>4</w:t>
            </w:r>
          </w:p>
        </w:tc>
        <w:tc>
          <w:tcPr>
            <w:tcW w:w="535" w:type="pct"/>
            <w:tcBorders>
              <w:top w:val="single" w:sz="4" w:space="0" w:color="000000"/>
              <w:left w:val="single" w:sz="4" w:space="0" w:color="000000"/>
              <w:bottom w:val="single" w:sz="4" w:space="0" w:color="000000"/>
              <w:right w:val="single" w:sz="4" w:space="0" w:color="000000"/>
            </w:tcBorders>
            <w:vAlign w:val="center"/>
          </w:tcPr>
          <w:p w14:paraId="4DC594CD" w14:textId="1A6E5AAC" w:rsidR="007274C3" w:rsidRDefault="007274C3" w:rsidP="007274C3">
            <w:pPr>
              <w:pStyle w:val="Tabulka"/>
              <w:rPr>
                <w:rFonts w:cs="Calibri"/>
              </w:rPr>
            </w:pPr>
            <w:r>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2FEA515E" w14:textId="169931BC" w:rsidR="007274C3" w:rsidRDefault="007274C3" w:rsidP="007274C3">
            <w:pPr>
              <w:pStyle w:val="Tabulka"/>
              <w:rPr>
                <w:rFonts w:cs="Calibri"/>
              </w:rPr>
            </w:pPr>
            <w:r>
              <w:rPr>
                <w:rFonts w:cs="Calibri"/>
              </w:rPr>
              <w:t>průběžně</w:t>
            </w:r>
          </w:p>
        </w:tc>
      </w:tr>
      <w:tr w:rsidR="007274C3" w:rsidRPr="00DD47DF" w14:paraId="3525694E"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2EF9C414" w14:textId="5E4E7292" w:rsidR="007274C3" w:rsidRPr="00DD47DF" w:rsidRDefault="007274C3" w:rsidP="007274C3">
            <w:pPr>
              <w:pStyle w:val="Tabulka"/>
              <w:rPr>
                <w:rFonts w:cs="Calibri"/>
              </w:rPr>
            </w:pPr>
            <w:r w:rsidRPr="00DD47DF">
              <w:rPr>
                <w:rFonts w:cs="Calibri"/>
              </w:rPr>
              <w:t>CO 06</w:t>
            </w:r>
          </w:p>
        </w:tc>
        <w:tc>
          <w:tcPr>
            <w:tcW w:w="1239" w:type="pct"/>
            <w:tcBorders>
              <w:top w:val="single" w:sz="4" w:space="0" w:color="000000"/>
              <w:left w:val="single" w:sz="4" w:space="0" w:color="000000"/>
              <w:bottom w:val="single" w:sz="4" w:space="0" w:color="000000"/>
              <w:right w:val="single" w:sz="4" w:space="0" w:color="000000"/>
            </w:tcBorders>
            <w:vAlign w:val="center"/>
          </w:tcPr>
          <w:p w14:paraId="3EE3F221" w14:textId="77777777" w:rsidR="007274C3" w:rsidRPr="00DD47DF" w:rsidRDefault="007274C3" w:rsidP="007274C3">
            <w:pPr>
              <w:pStyle w:val="Tabulka"/>
              <w:jc w:val="left"/>
              <w:rPr>
                <w:rFonts w:cs="Calibri"/>
              </w:rPr>
            </w:pPr>
            <w:r w:rsidRPr="00892451">
              <w:rPr>
                <w:rFonts w:cs="Calibri"/>
              </w:rPr>
              <w:t>Soukromé investice odpovídající veřejné podpoře podniků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49CCC50A" w14:textId="77777777" w:rsidR="007274C3" w:rsidRPr="00DD47DF" w:rsidRDefault="007274C3" w:rsidP="007274C3">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4FAFDD6F"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28CECC22"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207A01E8" w14:textId="5B709E9B" w:rsidR="007274C3" w:rsidRPr="00DD47DF" w:rsidRDefault="00BE73E4" w:rsidP="007274C3">
            <w:pPr>
              <w:pStyle w:val="Tabulka"/>
              <w:rPr>
                <w:rFonts w:cs="Calibri"/>
              </w:rPr>
            </w:pPr>
            <w:r>
              <w:rPr>
                <w:rFonts w:cs="Calibri"/>
              </w:rPr>
              <w:t>303 9</w:t>
            </w:r>
            <w:r w:rsidR="008960D4">
              <w:rPr>
                <w:rFonts w:cs="Calibri"/>
              </w:rPr>
              <w:t>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03A7D4B0" w14:textId="77777777" w:rsidR="007274C3" w:rsidRPr="00DD47DF" w:rsidRDefault="007274C3" w:rsidP="007274C3">
            <w:pPr>
              <w:pStyle w:val="Tabulka"/>
              <w:rPr>
                <w:rFonts w:cs="Calibri"/>
              </w:rPr>
            </w:pPr>
            <w:r>
              <w:rPr>
                <w:rFonts w:cs="Calibri"/>
              </w:rPr>
              <w:t>MS2014+</w:t>
            </w:r>
          </w:p>
        </w:tc>
        <w:tc>
          <w:tcPr>
            <w:tcW w:w="561" w:type="pct"/>
            <w:tcBorders>
              <w:top w:val="single" w:sz="4" w:space="0" w:color="000000"/>
              <w:left w:val="single" w:sz="4" w:space="0" w:color="000000"/>
              <w:bottom w:val="single" w:sz="4" w:space="0" w:color="000000"/>
              <w:right w:val="single" w:sz="4" w:space="0" w:color="000000"/>
            </w:tcBorders>
            <w:vAlign w:val="center"/>
          </w:tcPr>
          <w:p w14:paraId="58970847" w14:textId="77777777" w:rsidR="007274C3" w:rsidRPr="00DD47DF" w:rsidRDefault="007274C3" w:rsidP="007274C3">
            <w:pPr>
              <w:pStyle w:val="Tabulka"/>
              <w:rPr>
                <w:rFonts w:cs="Calibri"/>
              </w:rPr>
            </w:pPr>
            <w:r>
              <w:rPr>
                <w:rFonts w:cs="Calibri"/>
              </w:rPr>
              <w:t>průběžně</w:t>
            </w:r>
          </w:p>
        </w:tc>
      </w:tr>
      <w:tr w:rsidR="007274C3" w:rsidRPr="00DD47DF" w14:paraId="1FBB93FA"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3163A423" w14:textId="6884335A" w:rsidR="007274C3" w:rsidRPr="00DD47DF" w:rsidRDefault="007274C3" w:rsidP="007274C3">
            <w:pPr>
              <w:pStyle w:val="Tabulka"/>
              <w:rPr>
                <w:rFonts w:cs="Calibri"/>
              </w:rPr>
            </w:pPr>
            <w:r w:rsidRPr="00DD47DF">
              <w:rPr>
                <w:rFonts w:cs="Calibri"/>
              </w:rPr>
              <w:t>CO 07</w:t>
            </w:r>
          </w:p>
        </w:tc>
        <w:tc>
          <w:tcPr>
            <w:tcW w:w="1239" w:type="pct"/>
            <w:tcBorders>
              <w:top w:val="single" w:sz="4" w:space="0" w:color="000000"/>
              <w:left w:val="single" w:sz="4" w:space="0" w:color="000000"/>
              <w:bottom w:val="single" w:sz="4" w:space="0" w:color="000000"/>
              <w:right w:val="single" w:sz="4" w:space="0" w:color="000000"/>
            </w:tcBorders>
            <w:vAlign w:val="center"/>
          </w:tcPr>
          <w:p w14:paraId="569CA4D6" w14:textId="32B2E9C0" w:rsidR="007274C3" w:rsidRPr="00892451" w:rsidRDefault="007274C3" w:rsidP="007274C3">
            <w:pPr>
              <w:pStyle w:val="Tabulka"/>
              <w:jc w:val="left"/>
              <w:rPr>
                <w:rFonts w:cs="Calibri"/>
              </w:rPr>
            </w:pPr>
            <w:r w:rsidRPr="006D0B6D">
              <w:rPr>
                <w:rFonts w:cs="Calibri"/>
              </w:rPr>
              <w:t>Soukromé investice odpovídající veřejné podpoře podniků (jiné než granty)</w:t>
            </w:r>
          </w:p>
        </w:tc>
        <w:tc>
          <w:tcPr>
            <w:tcW w:w="507" w:type="pct"/>
            <w:tcBorders>
              <w:top w:val="single" w:sz="4" w:space="0" w:color="000000"/>
              <w:left w:val="single" w:sz="4" w:space="0" w:color="000000"/>
              <w:bottom w:val="single" w:sz="4" w:space="0" w:color="000000"/>
              <w:right w:val="single" w:sz="4" w:space="0" w:color="000000"/>
            </w:tcBorders>
            <w:vAlign w:val="center"/>
          </w:tcPr>
          <w:p w14:paraId="526C8294" w14:textId="14BE2D5D" w:rsidR="007274C3" w:rsidRPr="00DD47DF" w:rsidRDefault="007274C3" w:rsidP="007274C3">
            <w:pPr>
              <w:pStyle w:val="Tabulka"/>
              <w:rPr>
                <w:rFonts w:cs="Calibri"/>
              </w:rPr>
            </w:pPr>
            <w:r w:rsidRPr="00DD47DF">
              <w:rPr>
                <w:rFonts w:cs="Calibri"/>
              </w:rPr>
              <w:t>EUR</w:t>
            </w:r>
          </w:p>
        </w:tc>
        <w:tc>
          <w:tcPr>
            <w:tcW w:w="357" w:type="pct"/>
            <w:tcBorders>
              <w:top w:val="single" w:sz="4" w:space="0" w:color="000000"/>
              <w:left w:val="single" w:sz="4" w:space="0" w:color="000000"/>
              <w:bottom w:val="single" w:sz="4" w:space="0" w:color="000000"/>
              <w:right w:val="single" w:sz="4" w:space="0" w:color="000000"/>
            </w:tcBorders>
            <w:vAlign w:val="center"/>
          </w:tcPr>
          <w:p w14:paraId="27DA43A1" w14:textId="5EDF0E9E"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B61457C" w14:textId="2E40A854"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5DB3A99F" w14:textId="5F46D12B" w:rsidR="007274C3" w:rsidRPr="00DD47DF" w:rsidRDefault="00CB0BAE" w:rsidP="007274C3">
            <w:pPr>
              <w:pStyle w:val="Tabulka"/>
              <w:rPr>
                <w:rFonts w:cs="Calibri"/>
              </w:rPr>
            </w:pPr>
            <w:r w:rsidRPr="00700E39">
              <w:rPr>
                <w:rFonts w:cs="Calibri"/>
              </w:rPr>
              <w:t>11 500 000</w:t>
            </w:r>
          </w:p>
        </w:tc>
        <w:tc>
          <w:tcPr>
            <w:tcW w:w="535" w:type="pct"/>
            <w:tcBorders>
              <w:top w:val="single" w:sz="4" w:space="0" w:color="000000"/>
              <w:left w:val="single" w:sz="4" w:space="0" w:color="000000"/>
              <w:bottom w:val="single" w:sz="4" w:space="0" w:color="000000"/>
              <w:right w:val="single" w:sz="4" w:space="0" w:color="000000"/>
            </w:tcBorders>
            <w:vAlign w:val="center"/>
          </w:tcPr>
          <w:p w14:paraId="507F111A" w14:textId="1CDE4297" w:rsidR="007274C3" w:rsidRDefault="007274C3" w:rsidP="007274C3">
            <w:pPr>
              <w:pStyle w:val="Tabulka"/>
              <w:rPr>
                <w:rFonts w:cs="Calibri"/>
              </w:rPr>
            </w:pPr>
            <w:r>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35BFF234" w14:textId="15AD53CE" w:rsidR="007274C3" w:rsidRDefault="007274C3" w:rsidP="007274C3">
            <w:pPr>
              <w:pStyle w:val="Tabulka"/>
              <w:rPr>
                <w:rFonts w:cs="Calibri"/>
              </w:rPr>
            </w:pPr>
            <w:r>
              <w:rPr>
                <w:rFonts w:cs="Calibri"/>
              </w:rPr>
              <w:t>průběžně</w:t>
            </w:r>
          </w:p>
        </w:tc>
      </w:tr>
      <w:tr w:rsidR="007274C3" w:rsidRPr="00DD47DF" w14:paraId="526AC888"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7745A32F" w14:textId="7281B380" w:rsidR="007274C3" w:rsidRPr="00DD47DF" w:rsidDel="00C75691" w:rsidRDefault="007274C3" w:rsidP="007274C3">
            <w:pPr>
              <w:pStyle w:val="Tabulka"/>
              <w:rPr>
                <w:rFonts w:cs="Calibri"/>
              </w:rPr>
            </w:pPr>
            <w:r>
              <w:rPr>
                <w:rFonts w:cs="Calibri"/>
              </w:rPr>
              <w:t>CO 22</w:t>
            </w:r>
          </w:p>
        </w:tc>
        <w:tc>
          <w:tcPr>
            <w:tcW w:w="1239" w:type="pct"/>
            <w:tcBorders>
              <w:top w:val="single" w:sz="4" w:space="0" w:color="000000"/>
              <w:left w:val="single" w:sz="4" w:space="0" w:color="000000"/>
              <w:bottom w:val="single" w:sz="4" w:space="0" w:color="000000"/>
              <w:right w:val="single" w:sz="4" w:space="0" w:color="000000"/>
            </w:tcBorders>
            <w:vAlign w:val="center"/>
          </w:tcPr>
          <w:p w14:paraId="459237B6" w14:textId="281823DC" w:rsidR="007274C3" w:rsidRPr="00DD47DF" w:rsidRDefault="007274C3" w:rsidP="007274C3">
            <w:pPr>
              <w:pStyle w:val="Tabulka"/>
              <w:jc w:val="left"/>
              <w:rPr>
                <w:rFonts w:cs="Calibri"/>
              </w:rPr>
            </w:pPr>
            <w:r w:rsidRPr="00A46C56">
              <w:rPr>
                <w:rFonts w:cs="Calibri"/>
              </w:rPr>
              <w:t>Celková plocha rekultivovaného území</w:t>
            </w:r>
          </w:p>
        </w:tc>
        <w:tc>
          <w:tcPr>
            <w:tcW w:w="507" w:type="pct"/>
            <w:tcBorders>
              <w:top w:val="single" w:sz="4" w:space="0" w:color="000000"/>
              <w:left w:val="single" w:sz="4" w:space="0" w:color="000000"/>
              <w:bottom w:val="single" w:sz="4" w:space="0" w:color="000000"/>
              <w:right w:val="single" w:sz="4" w:space="0" w:color="000000"/>
            </w:tcBorders>
            <w:vAlign w:val="center"/>
          </w:tcPr>
          <w:p w14:paraId="157021DA" w14:textId="4A00E643" w:rsidR="007274C3" w:rsidRPr="00DD47DF" w:rsidRDefault="007274C3" w:rsidP="007274C3">
            <w:pPr>
              <w:pStyle w:val="Tabulka"/>
              <w:rPr>
                <w:rFonts w:cs="Calibri"/>
              </w:rPr>
            </w:pPr>
            <w:r>
              <w:rPr>
                <w:rFonts w:cs="Calibri"/>
                <w:bCs/>
              </w:rPr>
              <w:t>ha</w:t>
            </w:r>
          </w:p>
        </w:tc>
        <w:tc>
          <w:tcPr>
            <w:tcW w:w="357" w:type="pct"/>
            <w:tcBorders>
              <w:top w:val="single" w:sz="4" w:space="0" w:color="000000"/>
              <w:left w:val="single" w:sz="4" w:space="0" w:color="000000"/>
              <w:bottom w:val="single" w:sz="4" w:space="0" w:color="000000"/>
              <w:right w:val="single" w:sz="4" w:space="0" w:color="000000"/>
            </w:tcBorders>
            <w:vAlign w:val="center"/>
          </w:tcPr>
          <w:p w14:paraId="09CF6EC8"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75D9A62D"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39C8FD0A" w14:textId="7C78AED5" w:rsidR="007274C3" w:rsidRPr="00DD47DF" w:rsidRDefault="008960D4" w:rsidP="007274C3">
            <w:pPr>
              <w:pStyle w:val="Tabulka"/>
              <w:rPr>
                <w:rFonts w:cs="Calibri"/>
              </w:rPr>
            </w:pPr>
            <w:r>
              <w:rPr>
                <w:rFonts w:cs="Calibri"/>
              </w:rPr>
              <w:t>95</w:t>
            </w:r>
          </w:p>
        </w:tc>
        <w:tc>
          <w:tcPr>
            <w:tcW w:w="535" w:type="pct"/>
            <w:tcBorders>
              <w:top w:val="single" w:sz="4" w:space="0" w:color="000000"/>
              <w:left w:val="single" w:sz="4" w:space="0" w:color="000000"/>
              <w:bottom w:val="single" w:sz="4" w:space="0" w:color="000000"/>
              <w:right w:val="single" w:sz="4" w:space="0" w:color="000000"/>
            </w:tcBorders>
            <w:vAlign w:val="center"/>
          </w:tcPr>
          <w:p w14:paraId="6EA049AA" w14:textId="14141D34" w:rsidR="007274C3" w:rsidRPr="00DD47DF" w:rsidRDefault="007274C3" w:rsidP="007274C3">
            <w:pPr>
              <w:pStyle w:val="Tabulka"/>
              <w:rPr>
                <w:rFonts w:cs="Calibri"/>
              </w:rPr>
            </w:pPr>
            <w:r>
              <w:rPr>
                <w:rFonts w:cs="Calibri"/>
              </w:rPr>
              <w:t>ŘO</w:t>
            </w:r>
          </w:p>
        </w:tc>
        <w:tc>
          <w:tcPr>
            <w:tcW w:w="561" w:type="pct"/>
            <w:tcBorders>
              <w:top w:val="single" w:sz="4" w:space="0" w:color="000000"/>
              <w:left w:val="single" w:sz="4" w:space="0" w:color="000000"/>
              <w:bottom w:val="single" w:sz="4" w:space="0" w:color="000000"/>
              <w:right w:val="single" w:sz="4" w:space="0" w:color="000000"/>
            </w:tcBorders>
            <w:vAlign w:val="center"/>
          </w:tcPr>
          <w:p w14:paraId="1636E137" w14:textId="77777777" w:rsidR="007274C3" w:rsidRPr="00DD47DF" w:rsidRDefault="007274C3" w:rsidP="007274C3">
            <w:pPr>
              <w:pStyle w:val="Tabulka"/>
              <w:rPr>
                <w:rFonts w:cs="Calibri"/>
              </w:rPr>
            </w:pPr>
            <w:r>
              <w:rPr>
                <w:rFonts w:cs="Calibri"/>
              </w:rPr>
              <w:t>průběžně</w:t>
            </w:r>
          </w:p>
        </w:tc>
      </w:tr>
      <w:tr w:rsidR="007274C3" w:rsidRPr="00DD47DF" w14:paraId="665BF13F"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659BE32B" w14:textId="77777777" w:rsidR="007274C3" w:rsidRPr="00DD47DF" w:rsidRDefault="007274C3" w:rsidP="007274C3">
            <w:pPr>
              <w:pStyle w:val="Tabulka"/>
              <w:rPr>
                <w:rFonts w:cs="Calibri"/>
              </w:rPr>
            </w:pPr>
            <w:r w:rsidRPr="00DD47DF">
              <w:rPr>
                <w:rFonts w:cs="Calibri"/>
              </w:rPr>
              <w:t>50002</w:t>
            </w:r>
          </w:p>
        </w:tc>
        <w:tc>
          <w:tcPr>
            <w:tcW w:w="1239" w:type="pct"/>
            <w:tcBorders>
              <w:top w:val="single" w:sz="4" w:space="0" w:color="000000"/>
              <w:left w:val="single" w:sz="4" w:space="0" w:color="000000"/>
              <w:bottom w:val="single" w:sz="4" w:space="0" w:color="000000"/>
              <w:right w:val="single" w:sz="4" w:space="0" w:color="000000"/>
            </w:tcBorders>
            <w:vAlign w:val="center"/>
          </w:tcPr>
          <w:p w14:paraId="2866D9B1" w14:textId="77777777" w:rsidR="007274C3" w:rsidRPr="00DD47DF" w:rsidRDefault="007274C3" w:rsidP="007274C3">
            <w:pPr>
              <w:pStyle w:val="Tabulka"/>
              <w:jc w:val="left"/>
              <w:rPr>
                <w:rFonts w:cs="Calibri"/>
              </w:rPr>
            </w:pPr>
            <w:r w:rsidRPr="00DD47DF">
              <w:rPr>
                <w:rFonts w:cs="Calibri"/>
              </w:rPr>
              <w:t>Nové kapacity pro školení a odborné vzdělávání MSP</w:t>
            </w:r>
          </w:p>
        </w:tc>
        <w:tc>
          <w:tcPr>
            <w:tcW w:w="507" w:type="pct"/>
            <w:tcBorders>
              <w:top w:val="single" w:sz="4" w:space="0" w:color="000000"/>
              <w:left w:val="single" w:sz="4" w:space="0" w:color="000000"/>
              <w:bottom w:val="single" w:sz="4" w:space="0" w:color="000000"/>
              <w:right w:val="single" w:sz="4" w:space="0" w:color="000000"/>
            </w:tcBorders>
            <w:vAlign w:val="center"/>
          </w:tcPr>
          <w:p w14:paraId="0CBA1274" w14:textId="77777777" w:rsidR="007274C3" w:rsidRPr="00DD47DF" w:rsidRDefault="007274C3" w:rsidP="007274C3">
            <w:pPr>
              <w:pStyle w:val="Tabulka"/>
              <w:rPr>
                <w:rFonts w:cs="Calibri"/>
                <w:bCs/>
              </w:rPr>
            </w:pPr>
            <w:r w:rsidRPr="00DD47DF">
              <w:rPr>
                <w:rFonts w:cs="Calibri"/>
                <w:bCs/>
              </w:rPr>
              <w:t>osoby</w:t>
            </w:r>
          </w:p>
        </w:tc>
        <w:tc>
          <w:tcPr>
            <w:tcW w:w="357" w:type="pct"/>
            <w:tcBorders>
              <w:top w:val="single" w:sz="4" w:space="0" w:color="000000"/>
              <w:left w:val="single" w:sz="4" w:space="0" w:color="000000"/>
              <w:bottom w:val="single" w:sz="4" w:space="0" w:color="000000"/>
              <w:right w:val="single" w:sz="4" w:space="0" w:color="000000"/>
            </w:tcBorders>
            <w:vAlign w:val="center"/>
          </w:tcPr>
          <w:p w14:paraId="596293A0" w14:textId="77777777" w:rsidR="007274C3" w:rsidRPr="00DD47DF" w:rsidRDefault="007274C3" w:rsidP="007274C3">
            <w:pPr>
              <w:pStyle w:val="Tabulka"/>
              <w:rPr>
                <w:rFonts w:cs="Calibri"/>
              </w:rPr>
            </w:pPr>
            <w:r w:rsidRPr="00DD47DF">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35C656C3" w14:textId="77777777" w:rsidR="007274C3" w:rsidRPr="00DD47DF" w:rsidRDefault="007274C3" w:rsidP="007274C3">
            <w:pPr>
              <w:pStyle w:val="Tabulka"/>
              <w:rPr>
                <w:rFonts w:cs="Calibri"/>
              </w:rPr>
            </w:pPr>
            <w:r w:rsidRPr="00DD47DF">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14FB576D" w14:textId="3CD81C56" w:rsidR="007274C3" w:rsidRPr="00DD47DF" w:rsidRDefault="008960D4" w:rsidP="007274C3">
            <w:pPr>
              <w:pStyle w:val="Tabulka"/>
              <w:rPr>
                <w:rFonts w:cs="Calibri"/>
              </w:rPr>
            </w:pPr>
            <w:r>
              <w:rPr>
                <w:rFonts w:cs="Calibri"/>
              </w:rPr>
              <w:t>1 700</w:t>
            </w:r>
          </w:p>
        </w:tc>
        <w:tc>
          <w:tcPr>
            <w:tcW w:w="535" w:type="pct"/>
            <w:tcBorders>
              <w:top w:val="single" w:sz="4" w:space="0" w:color="000000"/>
              <w:left w:val="single" w:sz="4" w:space="0" w:color="000000"/>
              <w:bottom w:val="single" w:sz="4" w:space="0" w:color="000000"/>
              <w:right w:val="single" w:sz="4" w:space="0" w:color="000000"/>
            </w:tcBorders>
            <w:vAlign w:val="center"/>
          </w:tcPr>
          <w:p w14:paraId="0955A93F" w14:textId="77777777" w:rsidR="007274C3" w:rsidRPr="00DD47DF" w:rsidRDefault="007274C3" w:rsidP="007274C3">
            <w:pPr>
              <w:pStyle w:val="Tabulka"/>
              <w:rPr>
                <w:rFonts w:cs="Calibri"/>
              </w:rPr>
            </w:pPr>
            <w:r w:rsidRPr="00DD47DF">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364A95A7" w14:textId="77777777" w:rsidR="007274C3" w:rsidRPr="00DD47DF" w:rsidRDefault="007274C3" w:rsidP="007274C3">
            <w:pPr>
              <w:pStyle w:val="Tabulka"/>
              <w:rPr>
                <w:rFonts w:cs="Calibri"/>
              </w:rPr>
            </w:pPr>
            <w:r>
              <w:rPr>
                <w:rFonts w:cs="Calibri"/>
              </w:rPr>
              <w:t>průběžně</w:t>
            </w:r>
          </w:p>
        </w:tc>
      </w:tr>
      <w:tr w:rsidR="00251879" w:rsidRPr="00DD47DF" w14:paraId="1601404B" w14:textId="77777777" w:rsidTr="00251879">
        <w:trPr>
          <w:trHeight w:val="510"/>
        </w:trPr>
        <w:tc>
          <w:tcPr>
            <w:tcW w:w="621" w:type="pct"/>
            <w:tcBorders>
              <w:top w:val="single" w:sz="4" w:space="0" w:color="000000"/>
              <w:left w:val="single" w:sz="4" w:space="0" w:color="000000"/>
              <w:bottom w:val="single" w:sz="4" w:space="0" w:color="000000"/>
              <w:right w:val="single" w:sz="4" w:space="0" w:color="000000"/>
            </w:tcBorders>
            <w:vAlign w:val="center"/>
          </w:tcPr>
          <w:p w14:paraId="75169BF6" w14:textId="180F2D7B" w:rsidR="00251879" w:rsidRPr="00DD47DF" w:rsidRDefault="00251879" w:rsidP="00251879">
            <w:pPr>
              <w:pStyle w:val="Tabulka"/>
              <w:rPr>
                <w:rFonts w:cs="Calibri"/>
              </w:rPr>
            </w:pPr>
            <w:r w:rsidRPr="00700E39">
              <w:rPr>
                <w:rFonts w:cs="Calibri"/>
              </w:rPr>
              <w:t>CO 08</w:t>
            </w:r>
          </w:p>
        </w:tc>
        <w:tc>
          <w:tcPr>
            <w:tcW w:w="1239" w:type="pct"/>
            <w:tcBorders>
              <w:top w:val="single" w:sz="4" w:space="0" w:color="000000"/>
              <w:left w:val="single" w:sz="4" w:space="0" w:color="000000"/>
              <w:bottom w:val="single" w:sz="4" w:space="0" w:color="000000"/>
              <w:right w:val="single" w:sz="4" w:space="0" w:color="000000"/>
            </w:tcBorders>
            <w:vAlign w:val="center"/>
          </w:tcPr>
          <w:p w14:paraId="7F6A2CB7" w14:textId="1950746B" w:rsidR="00251879" w:rsidRPr="00DD47DF" w:rsidRDefault="00251879" w:rsidP="00251879">
            <w:pPr>
              <w:pStyle w:val="Tabulka"/>
              <w:jc w:val="left"/>
              <w:rPr>
                <w:rFonts w:cs="Calibri"/>
              </w:rPr>
            </w:pPr>
            <w:r w:rsidRPr="00700E39">
              <w:rPr>
                <w:rFonts w:cs="Calibri"/>
              </w:rPr>
              <w:t>Zvýšení zaměstnanosti v podporovaných podnicích</w:t>
            </w:r>
          </w:p>
        </w:tc>
        <w:tc>
          <w:tcPr>
            <w:tcW w:w="507" w:type="pct"/>
            <w:tcBorders>
              <w:top w:val="single" w:sz="4" w:space="0" w:color="000000"/>
              <w:left w:val="single" w:sz="4" w:space="0" w:color="000000"/>
              <w:bottom w:val="single" w:sz="4" w:space="0" w:color="000000"/>
              <w:right w:val="single" w:sz="4" w:space="0" w:color="000000"/>
            </w:tcBorders>
            <w:vAlign w:val="center"/>
          </w:tcPr>
          <w:p w14:paraId="27426E87" w14:textId="3E8EF135" w:rsidR="00251879" w:rsidRPr="00DD47DF" w:rsidRDefault="00251879" w:rsidP="00251879">
            <w:pPr>
              <w:pStyle w:val="Tabulka"/>
              <w:rPr>
                <w:rFonts w:cs="Calibri"/>
                <w:bCs/>
              </w:rPr>
            </w:pPr>
            <w:r w:rsidRPr="00700E39">
              <w:rPr>
                <w:rFonts w:cs="Calibri"/>
              </w:rPr>
              <w:t>FTE</w:t>
            </w:r>
          </w:p>
        </w:tc>
        <w:tc>
          <w:tcPr>
            <w:tcW w:w="357" w:type="pct"/>
            <w:tcBorders>
              <w:top w:val="single" w:sz="4" w:space="0" w:color="000000"/>
              <w:left w:val="single" w:sz="4" w:space="0" w:color="000000"/>
              <w:bottom w:val="single" w:sz="4" w:space="0" w:color="000000"/>
              <w:right w:val="single" w:sz="4" w:space="0" w:color="000000"/>
            </w:tcBorders>
            <w:vAlign w:val="center"/>
          </w:tcPr>
          <w:p w14:paraId="3A97093C" w14:textId="0CC84AE9" w:rsidR="00251879" w:rsidRPr="00DD47DF" w:rsidRDefault="00251879" w:rsidP="00251879">
            <w:pPr>
              <w:pStyle w:val="Tabulka"/>
              <w:rPr>
                <w:rFonts w:cs="Calibri"/>
              </w:rPr>
            </w:pPr>
            <w:r w:rsidRPr="00700E39">
              <w:rPr>
                <w:rFonts w:cs="Calibri"/>
              </w:rPr>
              <w:t>EFRR</w:t>
            </w:r>
          </w:p>
        </w:tc>
        <w:tc>
          <w:tcPr>
            <w:tcW w:w="559" w:type="pct"/>
            <w:tcBorders>
              <w:top w:val="single" w:sz="4" w:space="0" w:color="000000"/>
              <w:left w:val="single" w:sz="4" w:space="0" w:color="000000"/>
              <w:bottom w:val="single" w:sz="4" w:space="0" w:color="000000"/>
              <w:right w:val="single" w:sz="4" w:space="0" w:color="000000"/>
            </w:tcBorders>
            <w:vAlign w:val="center"/>
          </w:tcPr>
          <w:p w14:paraId="4F4A149E" w14:textId="7AEE7926" w:rsidR="00251879" w:rsidRPr="00DD47DF" w:rsidRDefault="00251879" w:rsidP="00251879">
            <w:pPr>
              <w:pStyle w:val="Tabulka"/>
              <w:rPr>
                <w:rFonts w:cs="Calibri"/>
              </w:rPr>
            </w:pPr>
            <w:r w:rsidRPr="00700E39">
              <w:rPr>
                <w:rFonts w:cs="Calibri"/>
              </w:rPr>
              <w:t>Méně rozvinuté regiony</w:t>
            </w:r>
          </w:p>
        </w:tc>
        <w:tc>
          <w:tcPr>
            <w:tcW w:w="621" w:type="pct"/>
            <w:tcBorders>
              <w:top w:val="single" w:sz="4" w:space="0" w:color="000000"/>
              <w:left w:val="single" w:sz="4" w:space="0" w:color="000000"/>
              <w:bottom w:val="single" w:sz="4" w:space="0" w:color="000000"/>
              <w:right w:val="single" w:sz="4" w:space="0" w:color="000000"/>
            </w:tcBorders>
            <w:vAlign w:val="center"/>
          </w:tcPr>
          <w:p w14:paraId="6805D8B9" w14:textId="49C3EBEE" w:rsidR="00251879" w:rsidRDefault="008960D4" w:rsidP="00251879">
            <w:pPr>
              <w:pStyle w:val="Tabulka"/>
              <w:rPr>
                <w:rFonts w:cs="Calibri"/>
              </w:rPr>
            </w:pPr>
            <w:r>
              <w:rPr>
                <w:rFonts w:cs="Calibri"/>
              </w:rPr>
              <w:t>120</w:t>
            </w:r>
          </w:p>
        </w:tc>
        <w:tc>
          <w:tcPr>
            <w:tcW w:w="535" w:type="pct"/>
            <w:tcBorders>
              <w:top w:val="single" w:sz="4" w:space="0" w:color="000000"/>
              <w:left w:val="single" w:sz="4" w:space="0" w:color="000000"/>
              <w:bottom w:val="single" w:sz="4" w:space="0" w:color="000000"/>
              <w:right w:val="single" w:sz="4" w:space="0" w:color="000000"/>
            </w:tcBorders>
            <w:vAlign w:val="center"/>
          </w:tcPr>
          <w:p w14:paraId="43581D8E" w14:textId="123A9076" w:rsidR="00251879" w:rsidRPr="00DD47DF" w:rsidRDefault="00251879" w:rsidP="00251879">
            <w:pPr>
              <w:pStyle w:val="Tabulka"/>
              <w:rPr>
                <w:rFonts w:cs="Calibri"/>
              </w:rPr>
            </w:pPr>
            <w:r w:rsidRPr="00700E39">
              <w:rPr>
                <w:rFonts w:cs="Calibri"/>
              </w:rPr>
              <w:t>Ž/P</w:t>
            </w:r>
          </w:p>
        </w:tc>
        <w:tc>
          <w:tcPr>
            <w:tcW w:w="561" w:type="pct"/>
            <w:tcBorders>
              <w:top w:val="single" w:sz="4" w:space="0" w:color="000000"/>
              <w:left w:val="single" w:sz="4" w:space="0" w:color="000000"/>
              <w:bottom w:val="single" w:sz="4" w:space="0" w:color="000000"/>
              <w:right w:val="single" w:sz="4" w:space="0" w:color="000000"/>
            </w:tcBorders>
            <w:vAlign w:val="center"/>
          </w:tcPr>
          <w:p w14:paraId="26729D17" w14:textId="6BC4B137" w:rsidR="00251879" w:rsidRDefault="00251879" w:rsidP="00251879">
            <w:pPr>
              <w:pStyle w:val="Tabulka"/>
              <w:rPr>
                <w:rFonts w:cs="Calibri"/>
              </w:rPr>
            </w:pPr>
            <w:r w:rsidRPr="00700E39">
              <w:rPr>
                <w:rFonts w:cs="Calibri"/>
              </w:rPr>
              <w:t>průběžně</w:t>
            </w:r>
          </w:p>
        </w:tc>
      </w:tr>
    </w:tbl>
    <w:p w14:paraId="7042E5F6" w14:textId="77777777" w:rsidR="00346C12" w:rsidRPr="00DD47DF" w:rsidRDefault="00AC6E26" w:rsidP="00AC36CB">
      <w:pPr>
        <w:pStyle w:val="kapitola2A0"/>
        <w:numPr>
          <w:ilvl w:val="2"/>
          <w:numId w:val="133"/>
        </w:numPr>
      </w:pPr>
      <w:bookmarkStart w:id="55" w:name="_Toc129005392"/>
      <w:r w:rsidRPr="00DD47DF">
        <w:t>Sociální inovace, nadnárodní spolupráce a přínos k tematickým cílům 1 až 7</w:t>
      </w:r>
      <w:bookmarkEnd w:id="55"/>
      <w:r w:rsidR="00346C12" w:rsidRPr="00DD47DF">
        <w:t xml:space="preserve"> </w:t>
      </w:r>
    </w:p>
    <w:p w14:paraId="517CF3AB" w14:textId="77777777" w:rsidR="004126CC" w:rsidRPr="00DD47DF" w:rsidRDefault="008A5FCE" w:rsidP="008A5FCE">
      <w:pPr>
        <w:pStyle w:val="Standardntext"/>
        <w:sectPr w:rsidR="004126CC" w:rsidRPr="00DD47DF" w:rsidSect="00A86EB3">
          <w:headerReference w:type="default" r:id="rId33"/>
          <w:footerReference w:type="default" r:id="rId34"/>
          <w:pgSz w:w="11906" w:h="16838"/>
          <w:pgMar w:top="1418" w:right="1276" w:bottom="1276" w:left="1418" w:header="709" w:footer="709" w:gutter="0"/>
          <w:cols w:space="708"/>
          <w:docGrid w:linePitch="272"/>
        </w:sectPr>
      </w:pPr>
      <w:r w:rsidRPr="00DD47DF">
        <w:t>Není relevantní pro OP PIK.</w:t>
      </w:r>
    </w:p>
    <w:p w14:paraId="419CD724" w14:textId="77777777" w:rsidR="00346C12" w:rsidRPr="00DD47DF" w:rsidRDefault="00AC6E26" w:rsidP="00441D67">
      <w:pPr>
        <w:pStyle w:val="kapitola2A0"/>
        <w:numPr>
          <w:ilvl w:val="2"/>
          <w:numId w:val="133"/>
        </w:numPr>
      </w:pPr>
      <w:bookmarkStart w:id="56" w:name="_Toc129005393"/>
      <w:r w:rsidRPr="00DD47DF">
        <w:lastRenderedPageBreak/>
        <w:t>Výkonnostní rámec</w:t>
      </w:r>
      <w:bookmarkEnd w:id="56"/>
    </w:p>
    <w:p w14:paraId="38F648C2" w14:textId="77777777" w:rsidR="00505E76" w:rsidRPr="00DD47DF" w:rsidRDefault="00505E76" w:rsidP="00B5004C">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689"/>
        <w:gridCol w:w="799"/>
        <w:gridCol w:w="1495"/>
        <w:gridCol w:w="1210"/>
        <w:gridCol w:w="767"/>
        <w:gridCol w:w="1145"/>
        <w:gridCol w:w="1263"/>
        <w:gridCol w:w="1307"/>
        <w:gridCol w:w="997"/>
        <w:gridCol w:w="2653"/>
      </w:tblGrid>
      <w:tr w:rsidR="000E6E04" w:rsidRPr="00DD47DF" w14:paraId="225430CF" w14:textId="77777777" w:rsidTr="00700B4C">
        <w:tc>
          <w:tcPr>
            <w:tcW w:w="345" w:type="pct"/>
            <w:shd w:val="clear" w:color="auto" w:fill="B8CCE4"/>
            <w:vAlign w:val="center"/>
          </w:tcPr>
          <w:p w14:paraId="5B521BA8" w14:textId="77777777" w:rsidR="000E6E04" w:rsidRPr="00DD47DF" w:rsidRDefault="000E6E04" w:rsidP="00700B4C">
            <w:pPr>
              <w:pStyle w:val="Tabulka"/>
              <w:keepNext/>
              <w:keepLines/>
              <w:rPr>
                <w:rFonts w:cs="Calibri"/>
                <w:b/>
              </w:rPr>
            </w:pPr>
            <w:r w:rsidRPr="00DD47DF">
              <w:rPr>
                <w:rFonts w:cs="Calibri"/>
                <w:b/>
              </w:rPr>
              <w:t>Prioritní osa</w:t>
            </w:r>
          </w:p>
        </w:tc>
        <w:tc>
          <w:tcPr>
            <w:tcW w:w="620" w:type="pct"/>
            <w:shd w:val="clear" w:color="auto" w:fill="B8CCE4"/>
            <w:vAlign w:val="center"/>
          </w:tcPr>
          <w:p w14:paraId="77FBEC6C" w14:textId="77777777" w:rsidR="000E6E04" w:rsidRPr="00DD47DF" w:rsidRDefault="000E6E04" w:rsidP="00700B4C">
            <w:pPr>
              <w:pStyle w:val="Tabulka"/>
              <w:keepNext/>
              <w:keepLines/>
              <w:rPr>
                <w:rFonts w:cs="Calibri"/>
                <w:b/>
              </w:rPr>
            </w:pPr>
            <w:r w:rsidRPr="00DD47DF">
              <w:rPr>
                <w:rFonts w:cs="Calibri"/>
                <w:b/>
              </w:rPr>
              <w:t>Typ ukazatele</w:t>
            </w:r>
          </w:p>
          <w:p w14:paraId="16A9D6C2" w14:textId="77777777" w:rsidR="000E6E04" w:rsidRPr="00DD47DF" w:rsidRDefault="000E6E04" w:rsidP="00700B4C">
            <w:pPr>
              <w:pStyle w:val="Tabulka"/>
              <w:keepNext/>
              <w:keepLines/>
              <w:rPr>
                <w:rFonts w:cs="Calibri"/>
                <w:b/>
              </w:rPr>
            </w:pPr>
            <w:r w:rsidRPr="00DD47DF">
              <w:rPr>
                <w:rFonts w:cs="Calibri"/>
                <w:b/>
              </w:rPr>
              <w:t>(klíčový krok provádění, finanční výstup nebo popřípadě ukazatel výsledků)</w:t>
            </w:r>
          </w:p>
        </w:tc>
        <w:tc>
          <w:tcPr>
            <w:tcW w:w="199" w:type="pct"/>
            <w:shd w:val="clear" w:color="auto" w:fill="B8CCE4"/>
            <w:vAlign w:val="center"/>
          </w:tcPr>
          <w:p w14:paraId="0CA09D22" w14:textId="77777777" w:rsidR="000E6E04" w:rsidRPr="00DD47DF" w:rsidRDefault="000E6E04" w:rsidP="00700B4C">
            <w:pPr>
              <w:pStyle w:val="Tabulka"/>
              <w:keepNext/>
              <w:keepLines/>
              <w:rPr>
                <w:rFonts w:cs="Calibri"/>
                <w:b/>
              </w:rPr>
            </w:pPr>
            <w:r w:rsidRPr="00DD47DF">
              <w:rPr>
                <w:rFonts w:cs="Calibri"/>
                <w:b/>
              </w:rPr>
              <w:t>ID</w:t>
            </w:r>
          </w:p>
        </w:tc>
        <w:tc>
          <w:tcPr>
            <w:tcW w:w="547" w:type="pct"/>
            <w:shd w:val="clear" w:color="auto" w:fill="B8CCE4"/>
            <w:tcMar>
              <w:top w:w="0" w:type="dxa"/>
              <w:left w:w="108" w:type="dxa"/>
              <w:bottom w:w="0" w:type="dxa"/>
              <w:right w:w="108" w:type="dxa"/>
            </w:tcMar>
            <w:vAlign w:val="center"/>
          </w:tcPr>
          <w:p w14:paraId="08B8CDDD" w14:textId="77777777" w:rsidR="000E6E04" w:rsidRPr="00DD47DF" w:rsidRDefault="000E6E04" w:rsidP="00700B4C">
            <w:pPr>
              <w:pStyle w:val="Tabulka"/>
              <w:keepNext/>
              <w:keepLines/>
              <w:rPr>
                <w:rFonts w:cs="Calibri"/>
                <w:b/>
              </w:rPr>
            </w:pPr>
            <w:r w:rsidRPr="00DD47DF">
              <w:rPr>
                <w:rFonts w:cs="Calibri"/>
                <w:b/>
              </w:rPr>
              <w:t>Ukazatel nebo klíčový krok provádění</w:t>
            </w:r>
          </w:p>
        </w:tc>
        <w:tc>
          <w:tcPr>
            <w:tcW w:w="447" w:type="pct"/>
            <w:shd w:val="clear" w:color="auto" w:fill="B8CCE4"/>
            <w:tcMar>
              <w:top w:w="0" w:type="dxa"/>
              <w:left w:w="108" w:type="dxa"/>
              <w:bottom w:w="0" w:type="dxa"/>
              <w:right w:w="108" w:type="dxa"/>
            </w:tcMar>
            <w:vAlign w:val="center"/>
          </w:tcPr>
          <w:p w14:paraId="34BE46B7" w14:textId="77777777" w:rsidR="000E6E04" w:rsidRPr="00DD47DF" w:rsidRDefault="000E6E04" w:rsidP="00700B4C">
            <w:pPr>
              <w:pStyle w:val="Tabulka"/>
              <w:keepNext/>
              <w:keepLines/>
              <w:rPr>
                <w:rFonts w:cs="Calibri"/>
                <w:b/>
              </w:rPr>
            </w:pPr>
            <w:r w:rsidRPr="00DD47DF">
              <w:rPr>
                <w:rFonts w:cs="Calibri"/>
                <w:b/>
              </w:rPr>
              <w:t>Měrná jednotka (použije-li se)</w:t>
            </w:r>
          </w:p>
        </w:tc>
        <w:tc>
          <w:tcPr>
            <w:tcW w:w="269" w:type="pct"/>
            <w:shd w:val="clear" w:color="auto" w:fill="B8CCE4"/>
            <w:tcMar>
              <w:top w:w="0" w:type="dxa"/>
              <w:left w:w="108" w:type="dxa"/>
              <w:bottom w:w="0" w:type="dxa"/>
              <w:right w:w="108" w:type="dxa"/>
            </w:tcMar>
            <w:vAlign w:val="center"/>
          </w:tcPr>
          <w:p w14:paraId="02ABB380" w14:textId="77777777" w:rsidR="000E6E04" w:rsidRPr="00DD47DF" w:rsidRDefault="000E6E04" w:rsidP="00700B4C">
            <w:pPr>
              <w:pStyle w:val="Tabulka"/>
              <w:keepNext/>
              <w:keepLines/>
              <w:rPr>
                <w:rFonts w:cs="Calibri"/>
                <w:b/>
              </w:rPr>
            </w:pPr>
            <w:r w:rsidRPr="00DD47DF">
              <w:rPr>
                <w:rFonts w:cs="Calibri"/>
                <w:b/>
              </w:rPr>
              <w:t>Fond</w:t>
            </w:r>
          </w:p>
        </w:tc>
        <w:tc>
          <w:tcPr>
            <w:tcW w:w="402" w:type="pct"/>
            <w:shd w:val="clear" w:color="auto" w:fill="B8CCE4"/>
            <w:tcMar>
              <w:top w:w="0" w:type="dxa"/>
              <w:left w:w="108" w:type="dxa"/>
              <w:bottom w:w="0" w:type="dxa"/>
              <w:right w:w="108" w:type="dxa"/>
            </w:tcMar>
            <w:vAlign w:val="center"/>
          </w:tcPr>
          <w:p w14:paraId="1011E0E3" w14:textId="77777777" w:rsidR="000E6E04" w:rsidRPr="00DD47DF" w:rsidRDefault="000E6E04" w:rsidP="00700B4C">
            <w:pPr>
              <w:pStyle w:val="Tabulka"/>
              <w:keepNext/>
              <w:keepLines/>
              <w:rPr>
                <w:rFonts w:cs="Calibri"/>
                <w:b/>
              </w:rPr>
            </w:pPr>
            <w:r w:rsidRPr="00DD47DF">
              <w:rPr>
                <w:rFonts w:cs="Calibri"/>
                <w:b/>
              </w:rPr>
              <w:t>Kategorie regionů</w:t>
            </w:r>
          </w:p>
        </w:tc>
        <w:tc>
          <w:tcPr>
            <w:tcW w:w="488" w:type="pct"/>
            <w:shd w:val="clear" w:color="auto" w:fill="B8CCE4"/>
            <w:vAlign w:val="center"/>
          </w:tcPr>
          <w:p w14:paraId="18ED1E77" w14:textId="77777777" w:rsidR="000E6E04" w:rsidRPr="00DD47DF" w:rsidRDefault="000E6E04" w:rsidP="00700B4C">
            <w:pPr>
              <w:pStyle w:val="Tabulka"/>
              <w:keepNext/>
              <w:keepLines/>
              <w:rPr>
                <w:rFonts w:cs="Calibri"/>
                <w:b/>
              </w:rPr>
            </w:pPr>
            <w:r w:rsidRPr="00DD47DF">
              <w:rPr>
                <w:rFonts w:cs="Calibri"/>
                <w:b/>
              </w:rPr>
              <w:t>Milník pro rok 2018</w:t>
            </w:r>
          </w:p>
        </w:tc>
        <w:tc>
          <w:tcPr>
            <w:tcW w:w="481" w:type="pct"/>
            <w:shd w:val="clear" w:color="auto" w:fill="B8CCE4"/>
            <w:tcMar>
              <w:top w:w="0" w:type="dxa"/>
              <w:left w:w="108" w:type="dxa"/>
              <w:bottom w:w="0" w:type="dxa"/>
              <w:right w:w="108" w:type="dxa"/>
            </w:tcMar>
            <w:vAlign w:val="center"/>
          </w:tcPr>
          <w:p w14:paraId="5BB675F9" w14:textId="77777777" w:rsidR="000E6E04" w:rsidRPr="00DD47DF" w:rsidRDefault="000E6E04" w:rsidP="00700B4C">
            <w:pPr>
              <w:pStyle w:val="Tabulka"/>
              <w:keepNext/>
              <w:keepLines/>
              <w:rPr>
                <w:rFonts w:cs="Calibri"/>
                <w:b/>
              </w:rPr>
            </w:pPr>
            <w:r w:rsidRPr="00DD47DF">
              <w:rPr>
                <w:rFonts w:cs="Calibri"/>
                <w:b/>
              </w:rPr>
              <w:t>Konečný cíl (2023)</w:t>
            </w:r>
          </w:p>
        </w:tc>
        <w:tc>
          <w:tcPr>
            <w:tcW w:w="249" w:type="pct"/>
            <w:shd w:val="clear" w:color="auto" w:fill="B8CCE4"/>
            <w:vAlign w:val="center"/>
          </w:tcPr>
          <w:p w14:paraId="01D8BAE3" w14:textId="77777777" w:rsidR="000E6E04" w:rsidRPr="00DD47DF" w:rsidRDefault="000E6E04" w:rsidP="00700B4C">
            <w:pPr>
              <w:pStyle w:val="Tabulka"/>
              <w:keepNext/>
              <w:keepLines/>
              <w:rPr>
                <w:rFonts w:cs="Calibri"/>
                <w:b/>
              </w:rPr>
            </w:pPr>
            <w:r w:rsidRPr="00DD47DF">
              <w:rPr>
                <w:rFonts w:cs="Calibri"/>
                <w:b/>
              </w:rPr>
              <w:t>Zdroj dat</w:t>
            </w:r>
          </w:p>
        </w:tc>
        <w:tc>
          <w:tcPr>
            <w:tcW w:w="953" w:type="pct"/>
            <w:shd w:val="clear" w:color="auto" w:fill="B8CCE4"/>
            <w:vAlign w:val="center"/>
          </w:tcPr>
          <w:p w14:paraId="72863961" w14:textId="77777777" w:rsidR="000E6E04" w:rsidRPr="00DD47DF" w:rsidRDefault="000E6E04" w:rsidP="00700B4C">
            <w:pPr>
              <w:pStyle w:val="Tabulka"/>
              <w:keepNext/>
              <w:keepLines/>
              <w:rPr>
                <w:rFonts w:cs="Calibri"/>
                <w:b/>
              </w:rPr>
            </w:pPr>
            <w:r w:rsidRPr="00DD47DF">
              <w:rPr>
                <w:rFonts w:cs="Calibri"/>
                <w:b/>
              </w:rPr>
              <w:t>Popřípadě vysvětlení relevantnosti ukazatele</w:t>
            </w:r>
          </w:p>
        </w:tc>
      </w:tr>
      <w:tr w:rsidR="000E6E04" w:rsidRPr="00DD47DF" w14:paraId="053118A9" w14:textId="77777777" w:rsidTr="00700B4C">
        <w:trPr>
          <w:trHeight w:val="670"/>
        </w:trPr>
        <w:tc>
          <w:tcPr>
            <w:tcW w:w="345" w:type="pct"/>
            <w:vAlign w:val="center"/>
          </w:tcPr>
          <w:p w14:paraId="12E13544" w14:textId="77777777" w:rsidR="000E6E04" w:rsidRPr="00DD47DF" w:rsidRDefault="000E6E04" w:rsidP="00700B4C">
            <w:pPr>
              <w:pStyle w:val="Tabulka"/>
              <w:rPr>
                <w:rFonts w:cs="Calibri"/>
              </w:rPr>
            </w:pPr>
            <w:r w:rsidRPr="00DD47DF">
              <w:rPr>
                <w:rFonts w:cs="Calibri"/>
              </w:rPr>
              <w:t>PO 2</w:t>
            </w:r>
          </w:p>
        </w:tc>
        <w:tc>
          <w:tcPr>
            <w:tcW w:w="620" w:type="pct"/>
            <w:vAlign w:val="center"/>
          </w:tcPr>
          <w:p w14:paraId="64C530CA" w14:textId="77777777" w:rsidR="000E6E04" w:rsidRPr="00DD47DF" w:rsidRDefault="000E6E04" w:rsidP="00700B4C">
            <w:pPr>
              <w:pStyle w:val="Tabulka"/>
              <w:rPr>
                <w:rFonts w:cs="Calibri"/>
              </w:rPr>
            </w:pPr>
            <w:r w:rsidRPr="00DD47DF">
              <w:rPr>
                <w:rFonts w:cs="Calibri"/>
              </w:rPr>
              <w:t>finanční</w:t>
            </w:r>
          </w:p>
        </w:tc>
        <w:tc>
          <w:tcPr>
            <w:tcW w:w="199" w:type="pct"/>
            <w:vAlign w:val="center"/>
          </w:tcPr>
          <w:p w14:paraId="7BEDB355" w14:textId="77777777" w:rsidR="000E6E04" w:rsidRPr="00DD47DF" w:rsidRDefault="000E6E04" w:rsidP="00700B4C">
            <w:pPr>
              <w:pStyle w:val="Tabulka"/>
              <w:rPr>
                <w:rFonts w:cs="Calibri"/>
              </w:rPr>
            </w:pPr>
            <w:r w:rsidRPr="00DD47DF">
              <w:rPr>
                <w:rFonts w:cs="Calibri"/>
              </w:rPr>
              <w:t>FINMT</w:t>
            </w:r>
          </w:p>
        </w:tc>
        <w:tc>
          <w:tcPr>
            <w:tcW w:w="547" w:type="pct"/>
            <w:shd w:val="clear" w:color="auto" w:fill="auto"/>
            <w:tcMar>
              <w:top w:w="0" w:type="dxa"/>
              <w:left w:w="108" w:type="dxa"/>
              <w:bottom w:w="0" w:type="dxa"/>
              <w:right w:w="108" w:type="dxa"/>
            </w:tcMar>
            <w:vAlign w:val="center"/>
          </w:tcPr>
          <w:p w14:paraId="6905D10B" w14:textId="77777777" w:rsidR="000E6E04" w:rsidRPr="00DD47DF" w:rsidRDefault="000E6E04" w:rsidP="00700B4C">
            <w:pPr>
              <w:pStyle w:val="Tabulka"/>
              <w:rPr>
                <w:rFonts w:cs="Calibri"/>
              </w:rPr>
            </w:pPr>
            <w:r w:rsidRPr="00DD47DF">
              <w:rPr>
                <w:rFonts w:cs="Calibri"/>
              </w:rPr>
              <w:t>Celkové způsobilé certifikované finanční prostředky</w:t>
            </w:r>
          </w:p>
        </w:tc>
        <w:tc>
          <w:tcPr>
            <w:tcW w:w="447" w:type="pct"/>
            <w:shd w:val="clear" w:color="auto" w:fill="auto"/>
            <w:tcMar>
              <w:top w:w="0" w:type="dxa"/>
              <w:left w:w="108" w:type="dxa"/>
              <w:bottom w:w="0" w:type="dxa"/>
              <w:right w:w="108" w:type="dxa"/>
            </w:tcMar>
            <w:vAlign w:val="center"/>
          </w:tcPr>
          <w:p w14:paraId="1F3174EE" w14:textId="77777777" w:rsidR="000E6E04" w:rsidRPr="00DD47DF" w:rsidRDefault="000E6E04" w:rsidP="00700B4C">
            <w:pPr>
              <w:pStyle w:val="Tabulka"/>
              <w:rPr>
                <w:rFonts w:cs="Calibri"/>
              </w:rPr>
            </w:pPr>
            <w:r w:rsidRPr="00DD47DF">
              <w:rPr>
                <w:rFonts w:cs="Calibri"/>
              </w:rPr>
              <w:t>EUR</w:t>
            </w:r>
          </w:p>
        </w:tc>
        <w:tc>
          <w:tcPr>
            <w:tcW w:w="269" w:type="pct"/>
            <w:shd w:val="clear" w:color="auto" w:fill="auto"/>
            <w:tcMar>
              <w:top w:w="0" w:type="dxa"/>
              <w:left w:w="108" w:type="dxa"/>
              <w:bottom w:w="0" w:type="dxa"/>
              <w:right w:w="108" w:type="dxa"/>
            </w:tcMar>
            <w:vAlign w:val="center"/>
          </w:tcPr>
          <w:p w14:paraId="475F9172" w14:textId="77777777" w:rsidR="000E6E04" w:rsidRPr="00DD47DF" w:rsidRDefault="000E6E04" w:rsidP="00700B4C">
            <w:pPr>
              <w:pStyle w:val="Tabulka"/>
              <w:rPr>
                <w:rFonts w:cs="Calibri"/>
              </w:rPr>
            </w:pPr>
            <w:r w:rsidRPr="00DD47DF">
              <w:rPr>
                <w:rFonts w:cs="Calibri"/>
              </w:rPr>
              <w:t>EFRR</w:t>
            </w:r>
          </w:p>
        </w:tc>
        <w:tc>
          <w:tcPr>
            <w:tcW w:w="402" w:type="pct"/>
            <w:shd w:val="clear" w:color="auto" w:fill="auto"/>
            <w:tcMar>
              <w:top w:w="0" w:type="dxa"/>
              <w:left w:w="108" w:type="dxa"/>
              <w:bottom w:w="0" w:type="dxa"/>
              <w:right w:w="108" w:type="dxa"/>
            </w:tcMar>
            <w:vAlign w:val="center"/>
          </w:tcPr>
          <w:p w14:paraId="385BAB17" w14:textId="77777777" w:rsidR="000E6E04" w:rsidRPr="00DD47DF" w:rsidRDefault="000E6E04" w:rsidP="00700B4C">
            <w:pPr>
              <w:pStyle w:val="Tabulka"/>
              <w:rPr>
                <w:rFonts w:cs="Calibri"/>
              </w:rPr>
            </w:pPr>
            <w:r w:rsidRPr="00DD47DF">
              <w:rPr>
                <w:rFonts w:cs="Calibri"/>
              </w:rPr>
              <w:t>Méně rozvinuté regiony</w:t>
            </w:r>
          </w:p>
        </w:tc>
        <w:tc>
          <w:tcPr>
            <w:tcW w:w="488" w:type="pct"/>
            <w:vAlign w:val="center"/>
          </w:tcPr>
          <w:p w14:paraId="2FBF61AE" w14:textId="77777777" w:rsidR="000E6E04" w:rsidRPr="00DD47DF" w:rsidRDefault="000E6E04" w:rsidP="00700B4C">
            <w:pPr>
              <w:pStyle w:val="Tabulka"/>
              <w:rPr>
                <w:rFonts w:cs="Calibri"/>
              </w:rPr>
            </w:pPr>
            <w:r w:rsidRPr="00DD47DF">
              <w:rPr>
                <w:rFonts w:cs="Calibri"/>
              </w:rPr>
              <w:t>26</w:t>
            </w:r>
            <w:r w:rsidR="00CC653D" w:rsidRPr="00DD47DF">
              <w:rPr>
                <w:rFonts w:cs="Calibri"/>
              </w:rPr>
              <w:t>8</w:t>
            </w:r>
            <w:r w:rsidRPr="00DD47DF">
              <w:rPr>
                <w:rFonts w:cs="Calibri"/>
              </w:rPr>
              <w:t> 400 000</w:t>
            </w:r>
          </w:p>
        </w:tc>
        <w:tc>
          <w:tcPr>
            <w:tcW w:w="481" w:type="pct"/>
            <w:shd w:val="clear" w:color="auto" w:fill="auto"/>
            <w:tcMar>
              <w:top w:w="0" w:type="dxa"/>
              <w:left w:w="108" w:type="dxa"/>
              <w:bottom w:w="0" w:type="dxa"/>
              <w:right w:w="108" w:type="dxa"/>
            </w:tcMar>
            <w:vAlign w:val="center"/>
          </w:tcPr>
          <w:p w14:paraId="5C131F42" w14:textId="719B5DC4" w:rsidR="000E6E04" w:rsidRPr="00DD47DF" w:rsidRDefault="000A787B" w:rsidP="00700B4C">
            <w:pPr>
              <w:pStyle w:val="Tabulka"/>
              <w:rPr>
                <w:rFonts w:cs="Calibri"/>
              </w:rPr>
            </w:pPr>
            <w:r w:rsidRPr="005905B9">
              <w:rPr>
                <w:rFonts w:cs="Calibri"/>
              </w:rPr>
              <w:t>2 007 243 770</w:t>
            </w:r>
          </w:p>
        </w:tc>
        <w:tc>
          <w:tcPr>
            <w:tcW w:w="249" w:type="pct"/>
            <w:vAlign w:val="center"/>
          </w:tcPr>
          <w:p w14:paraId="64A31904" w14:textId="77777777" w:rsidR="000E6E04" w:rsidRPr="00DD47DF" w:rsidRDefault="000E6E04" w:rsidP="00700B4C">
            <w:pPr>
              <w:pStyle w:val="Tabulka"/>
              <w:rPr>
                <w:rFonts w:cs="Calibri"/>
              </w:rPr>
            </w:pPr>
            <w:r w:rsidRPr="00DD47DF">
              <w:rPr>
                <w:rFonts w:cs="Calibri"/>
              </w:rPr>
              <w:t>ŘO</w:t>
            </w:r>
          </w:p>
        </w:tc>
        <w:tc>
          <w:tcPr>
            <w:tcW w:w="953" w:type="pct"/>
            <w:vAlign w:val="center"/>
          </w:tcPr>
          <w:p w14:paraId="600399D3" w14:textId="77777777" w:rsidR="000E6E04" w:rsidRPr="00DD47DF" w:rsidRDefault="000E6E04" w:rsidP="00700B4C">
            <w:pPr>
              <w:pStyle w:val="Tabulka"/>
              <w:rPr>
                <w:rFonts w:cs="Calibri"/>
              </w:rPr>
            </w:pPr>
            <w:r w:rsidRPr="00DD47DF">
              <w:rPr>
                <w:rFonts w:cs="Calibri"/>
              </w:rPr>
              <w:t>Objem celkových způsobilých výdajů zaslaných do účetního systému certifikačního orgánu a certifikovaných certifikačním orgánem.</w:t>
            </w:r>
          </w:p>
        </w:tc>
      </w:tr>
      <w:tr w:rsidR="000E6E04" w:rsidRPr="00DD47DF" w14:paraId="09FD685C" w14:textId="77777777" w:rsidTr="00700B4C">
        <w:tc>
          <w:tcPr>
            <w:tcW w:w="345" w:type="pct"/>
            <w:vAlign w:val="center"/>
          </w:tcPr>
          <w:p w14:paraId="478BB92D" w14:textId="77777777" w:rsidR="000E6E04" w:rsidRPr="00DD47DF" w:rsidRDefault="000E6E04" w:rsidP="00700B4C">
            <w:pPr>
              <w:pStyle w:val="Tabulka"/>
              <w:rPr>
                <w:rFonts w:cs="Calibri"/>
              </w:rPr>
            </w:pPr>
            <w:r w:rsidRPr="00DD47DF">
              <w:rPr>
                <w:rFonts w:cs="Calibri"/>
              </w:rPr>
              <w:t>PO 2</w:t>
            </w:r>
          </w:p>
        </w:tc>
        <w:tc>
          <w:tcPr>
            <w:tcW w:w="620" w:type="pct"/>
            <w:vAlign w:val="center"/>
          </w:tcPr>
          <w:p w14:paraId="564BCC83" w14:textId="77777777" w:rsidR="000E6E04" w:rsidRPr="00DD47DF" w:rsidRDefault="000E6E04" w:rsidP="00700B4C">
            <w:pPr>
              <w:pStyle w:val="Tabulka"/>
              <w:rPr>
                <w:rFonts w:cs="Calibri"/>
              </w:rPr>
            </w:pPr>
            <w:r w:rsidRPr="00DD47DF">
              <w:rPr>
                <w:rFonts w:cs="Calibri"/>
              </w:rPr>
              <w:t>výstupový</w:t>
            </w:r>
          </w:p>
        </w:tc>
        <w:tc>
          <w:tcPr>
            <w:tcW w:w="199" w:type="pct"/>
            <w:vAlign w:val="center"/>
          </w:tcPr>
          <w:p w14:paraId="34F19D46" w14:textId="1A7B1470" w:rsidR="000E6E04" w:rsidRPr="00DD47DF" w:rsidRDefault="000E6E04" w:rsidP="00700B4C">
            <w:pPr>
              <w:pStyle w:val="Tabulka"/>
              <w:rPr>
                <w:rFonts w:cs="Calibri"/>
              </w:rPr>
            </w:pPr>
            <w:r w:rsidRPr="00DD47DF">
              <w:rPr>
                <w:rFonts w:cs="Calibri"/>
              </w:rPr>
              <w:t>CO 01</w:t>
            </w:r>
          </w:p>
        </w:tc>
        <w:tc>
          <w:tcPr>
            <w:tcW w:w="547" w:type="pct"/>
            <w:shd w:val="clear" w:color="auto" w:fill="auto"/>
            <w:tcMar>
              <w:top w:w="0" w:type="dxa"/>
              <w:left w:w="108" w:type="dxa"/>
              <w:bottom w:w="0" w:type="dxa"/>
              <w:right w:w="108" w:type="dxa"/>
            </w:tcMar>
            <w:vAlign w:val="center"/>
          </w:tcPr>
          <w:p w14:paraId="342B5E8C" w14:textId="77777777" w:rsidR="000E6E04" w:rsidRPr="00DD47DF" w:rsidRDefault="000E6E04" w:rsidP="00700B4C">
            <w:pPr>
              <w:pStyle w:val="Tabulka"/>
              <w:rPr>
                <w:rFonts w:cs="Calibri"/>
              </w:rPr>
            </w:pPr>
            <w:r w:rsidRPr="00DD47DF">
              <w:rPr>
                <w:rFonts w:cs="Calibri"/>
              </w:rPr>
              <w:t>Počet podniků pobírajících podporu</w:t>
            </w:r>
          </w:p>
        </w:tc>
        <w:tc>
          <w:tcPr>
            <w:tcW w:w="447" w:type="pct"/>
            <w:shd w:val="clear" w:color="auto" w:fill="auto"/>
            <w:tcMar>
              <w:top w:w="0" w:type="dxa"/>
              <w:left w:w="108" w:type="dxa"/>
              <w:bottom w:w="0" w:type="dxa"/>
              <w:right w:w="108" w:type="dxa"/>
            </w:tcMar>
            <w:vAlign w:val="center"/>
          </w:tcPr>
          <w:p w14:paraId="7ED6EBB6" w14:textId="77777777" w:rsidR="000E6E04" w:rsidRPr="00DD47DF" w:rsidRDefault="000E6E04" w:rsidP="00700B4C">
            <w:pPr>
              <w:pStyle w:val="Tabulka"/>
              <w:rPr>
                <w:rFonts w:cs="Calibri"/>
              </w:rPr>
            </w:pPr>
            <w:r w:rsidRPr="00DD47DF">
              <w:rPr>
                <w:rFonts w:cs="Calibri"/>
              </w:rPr>
              <w:t>Podniky</w:t>
            </w:r>
          </w:p>
        </w:tc>
        <w:tc>
          <w:tcPr>
            <w:tcW w:w="269" w:type="pct"/>
            <w:shd w:val="clear" w:color="auto" w:fill="auto"/>
            <w:tcMar>
              <w:top w:w="0" w:type="dxa"/>
              <w:left w:w="108" w:type="dxa"/>
              <w:bottom w:w="0" w:type="dxa"/>
              <w:right w:w="108" w:type="dxa"/>
            </w:tcMar>
            <w:vAlign w:val="center"/>
          </w:tcPr>
          <w:p w14:paraId="161D9091" w14:textId="77777777" w:rsidR="000E6E04" w:rsidRPr="00DD47DF" w:rsidRDefault="000E6E04" w:rsidP="00700B4C">
            <w:pPr>
              <w:pStyle w:val="Tabulka"/>
              <w:rPr>
                <w:rFonts w:cs="Calibri"/>
              </w:rPr>
            </w:pPr>
            <w:r w:rsidRPr="00DD47DF">
              <w:rPr>
                <w:rFonts w:cs="Calibri"/>
              </w:rPr>
              <w:t>EFRR</w:t>
            </w:r>
          </w:p>
        </w:tc>
        <w:tc>
          <w:tcPr>
            <w:tcW w:w="402" w:type="pct"/>
            <w:shd w:val="clear" w:color="auto" w:fill="auto"/>
            <w:tcMar>
              <w:top w:w="0" w:type="dxa"/>
              <w:left w:w="108" w:type="dxa"/>
              <w:bottom w:w="0" w:type="dxa"/>
              <w:right w:w="108" w:type="dxa"/>
            </w:tcMar>
            <w:vAlign w:val="center"/>
          </w:tcPr>
          <w:p w14:paraId="073FD070" w14:textId="77777777" w:rsidR="000E6E04" w:rsidRPr="00DD47DF" w:rsidRDefault="000E6E04" w:rsidP="00700B4C">
            <w:pPr>
              <w:pStyle w:val="Tabulka"/>
              <w:rPr>
                <w:rFonts w:cs="Calibri"/>
              </w:rPr>
            </w:pPr>
            <w:r w:rsidRPr="00DD47DF">
              <w:rPr>
                <w:rFonts w:cs="Calibri"/>
              </w:rPr>
              <w:t>Méně rozvinuté regiony</w:t>
            </w:r>
          </w:p>
        </w:tc>
        <w:tc>
          <w:tcPr>
            <w:tcW w:w="488" w:type="pct"/>
            <w:vAlign w:val="center"/>
          </w:tcPr>
          <w:p w14:paraId="362C1049" w14:textId="77777777" w:rsidR="000E6E04" w:rsidRPr="00DD47DF" w:rsidRDefault="000E6E04" w:rsidP="00700B4C">
            <w:pPr>
              <w:pStyle w:val="Tabulka"/>
              <w:rPr>
                <w:rFonts w:cs="Calibri"/>
              </w:rPr>
            </w:pPr>
            <w:r w:rsidRPr="00DD47DF">
              <w:rPr>
                <w:rFonts w:cs="Calibri"/>
              </w:rPr>
              <w:t>1 350</w:t>
            </w:r>
          </w:p>
        </w:tc>
        <w:tc>
          <w:tcPr>
            <w:tcW w:w="481" w:type="pct"/>
            <w:shd w:val="clear" w:color="auto" w:fill="auto"/>
            <w:tcMar>
              <w:top w:w="0" w:type="dxa"/>
              <w:left w:w="108" w:type="dxa"/>
              <w:bottom w:w="0" w:type="dxa"/>
              <w:right w:w="108" w:type="dxa"/>
            </w:tcMar>
            <w:vAlign w:val="center"/>
          </w:tcPr>
          <w:p w14:paraId="537991D1" w14:textId="7CB6251B" w:rsidR="000E6E04" w:rsidRPr="00DD47DF" w:rsidRDefault="00B050B4" w:rsidP="000A0ABC">
            <w:pPr>
              <w:pStyle w:val="Tabulka"/>
              <w:rPr>
                <w:rFonts w:cs="Calibri"/>
              </w:rPr>
            </w:pPr>
            <w:r>
              <w:rPr>
                <w:rFonts w:cs="Calibri"/>
              </w:rPr>
              <w:t>7 934</w:t>
            </w:r>
          </w:p>
        </w:tc>
        <w:tc>
          <w:tcPr>
            <w:tcW w:w="249" w:type="pct"/>
            <w:vAlign w:val="center"/>
          </w:tcPr>
          <w:p w14:paraId="79DBDBD5" w14:textId="77777777" w:rsidR="000E6E04" w:rsidRPr="00DD47DF" w:rsidRDefault="00FC7054" w:rsidP="00700B4C">
            <w:pPr>
              <w:pStyle w:val="Tabulka"/>
              <w:rPr>
                <w:rFonts w:cs="Calibri"/>
              </w:rPr>
            </w:pPr>
            <w:r>
              <w:rPr>
                <w:rFonts w:cs="Calibri"/>
              </w:rPr>
              <w:t>MS2014+</w:t>
            </w:r>
          </w:p>
        </w:tc>
        <w:tc>
          <w:tcPr>
            <w:tcW w:w="953" w:type="pct"/>
            <w:vAlign w:val="center"/>
          </w:tcPr>
          <w:p w14:paraId="028D8394" w14:textId="5B8BD795" w:rsidR="000E6E04" w:rsidRPr="00DD47DF" w:rsidRDefault="000E6E04" w:rsidP="00700B4C">
            <w:pPr>
              <w:pStyle w:val="Tabulka"/>
              <w:rPr>
                <w:rFonts w:cs="Calibri"/>
              </w:rPr>
            </w:pPr>
            <w:r w:rsidRPr="00DD47DF">
              <w:rPr>
                <w:rFonts w:cs="Calibri"/>
              </w:rPr>
              <w:t xml:space="preserve">Indikátor sleduje počet podpořených firem a pokrývá finančně nejobjemnější část intervence v rámci prioritní osy 2. </w:t>
            </w:r>
            <w:r w:rsidR="00FE762D" w:rsidRPr="00FE762D">
              <w:rPr>
                <w:rFonts w:cs="Calibri"/>
              </w:rPr>
              <w:t>Vykazování skutečně dosažených hodnot se provádí v souladu s prováděcím nařízením (EU) č. 215/2014, v platném znění.</w:t>
            </w:r>
          </w:p>
        </w:tc>
      </w:tr>
    </w:tbl>
    <w:p w14:paraId="59994F9D" w14:textId="77777777" w:rsidR="000E6E04" w:rsidRPr="00DD47DF" w:rsidRDefault="000E6E04" w:rsidP="000E6E04">
      <w:pPr>
        <w:pStyle w:val="Titulek"/>
      </w:pPr>
      <w:r w:rsidRPr="00DD47DF">
        <w:t>Další kvalitativní informace o stanovení výkonnostního rámce</w:t>
      </w:r>
    </w:p>
    <w:p w14:paraId="699021B9" w14:textId="77777777" w:rsidR="000E6E04" w:rsidRPr="00DD47DF" w:rsidRDefault="000E6E04" w:rsidP="000E6E04">
      <w:pPr>
        <w:pStyle w:val="Standardntext"/>
      </w:pPr>
      <w:r w:rsidRPr="00DD47DF">
        <w:lastRenderedPageBreak/>
        <w:t>Pro OP PIK byly stanoveny hodnoty milníků pro rok 2018 a 2023 (finanční ukazatele a „certifikované finanční prostředky“, ukazatele výstupů).</w:t>
      </w:r>
    </w:p>
    <w:p w14:paraId="596AB61C" w14:textId="77777777" w:rsidR="000E6E04" w:rsidRPr="00DD47DF" w:rsidRDefault="000E6E04" w:rsidP="000E6E0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6DD92C55" w14:textId="77777777" w:rsidR="000E6E04" w:rsidRPr="00DD47DF" w:rsidRDefault="000E6E04" w:rsidP="00DA3512">
      <w:pPr>
        <w:pStyle w:val="Standardntext"/>
        <w:numPr>
          <w:ilvl w:val="0"/>
          <w:numId w:val="84"/>
        </w:numPr>
        <w:rPr>
          <w:strike/>
        </w:rPr>
      </w:pPr>
      <w:r w:rsidRPr="00DD47DF">
        <w:t>Zohledněn je aktuální finanční plán OP PIK;</w:t>
      </w:r>
    </w:p>
    <w:p w14:paraId="3F86A2C1" w14:textId="77777777" w:rsidR="000E6E04" w:rsidRPr="00DD47DF" w:rsidRDefault="000E6E04" w:rsidP="00DA3512">
      <w:pPr>
        <w:pStyle w:val="Standardntext"/>
        <w:numPr>
          <w:ilvl w:val="0"/>
          <w:numId w:val="84"/>
        </w:numPr>
      </w:pPr>
      <w:r w:rsidRPr="00DD47DF">
        <w:t>Při stanovení milníku bylo v maximální možné míře vycházeno ze zkušeností s OPPI;</w:t>
      </w:r>
    </w:p>
    <w:p w14:paraId="2B1E92EB" w14:textId="77777777" w:rsidR="000E6E04" w:rsidRPr="00DD47DF" w:rsidRDefault="000E6E04" w:rsidP="00DA3512">
      <w:pPr>
        <w:pStyle w:val="Standardntext"/>
        <w:numPr>
          <w:ilvl w:val="0"/>
          <w:numId w:val="84"/>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p>
    <w:p w14:paraId="4EF6FBD1" w14:textId="77777777" w:rsidR="000E6E04" w:rsidRPr="00DD47DF" w:rsidRDefault="000E6E04" w:rsidP="00DA3512">
      <w:pPr>
        <w:pStyle w:val="Standardntext"/>
        <w:numPr>
          <w:ilvl w:val="0"/>
          <w:numId w:val="84"/>
        </w:numPr>
      </w:pPr>
      <w:r w:rsidRPr="00DD47DF">
        <w:t xml:space="preserve">Při možném předpokladu, že projekty budou dvouleté, to znamená, že první z nich ukončí realizaci nejdříve koncem roku 2017 a finanční prostředky tak budou předkládány k certifikaci až v průběhu roku 2018 (u delších projektů však až počátkem roku 2019); </w:t>
      </w:r>
    </w:p>
    <w:p w14:paraId="74274E79" w14:textId="77777777" w:rsidR="000E6E04" w:rsidRPr="00DD47DF" w:rsidRDefault="000E6E04" w:rsidP="00DA3512">
      <w:pPr>
        <w:pStyle w:val="Standardntext"/>
        <w:numPr>
          <w:ilvl w:val="0"/>
          <w:numId w:val="84"/>
        </w:numPr>
      </w:pPr>
      <w:r w:rsidRPr="00DD47DF">
        <w:t>Ukazatelé výstupů stanovené ve výkonnostním rámci odpovídají více než 50 % finančního přídělu na prioritu (v souladu se čl. 5 Prováděcího nařízení komise (EU) č. 215/2014);</w:t>
      </w:r>
    </w:p>
    <w:p w14:paraId="22FA7816" w14:textId="77777777" w:rsidR="000E6E04" w:rsidRPr="00DD47DF" w:rsidRDefault="000E6E04" w:rsidP="00DA3512">
      <w:pPr>
        <w:pStyle w:val="Standardntext"/>
        <w:numPr>
          <w:ilvl w:val="0"/>
          <w:numId w:val="84"/>
        </w:numPr>
      </w:pPr>
      <w:r w:rsidRPr="00DD47DF">
        <w:t>Není započítána výkonnostní rezerva stanovená ŘO OP PIK na roky 2014 a 2015;</w:t>
      </w:r>
    </w:p>
    <w:p w14:paraId="7DDDAED8" w14:textId="77777777" w:rsidR="000E6E04" w:rsidRPr="00DD47DF" w:rsidRDefault="000E6E04" w:rsidP="00DA3512">
      <w:pPr>
        <w:pStyle w:val="Standardntext"/>
        <w:numPr>
          <w:ilvl w:val="0"/>
          <w:numId w:val="84"/>
        </w:numPr>
      </w:pPr>
      <w:r w:rsidRPr="00DD47DF">
        <w:t>Pravidlo n+3, na základě kterého je nutné vzít v úvahu, že na konci roku 2018 by měla být vyčerpána alokace let 2014, 2015;</w:t>
      </w:r>
    </w:p>
    <w:p w14:paraId="3C897FEB" w14:textId="77777777" w:rsidR="000E6E04" w:rsidRPr="00DD47DF" w:rsidRDefault="000E6E04" w:rsidP="00DA3512">
      <w:pPr>
        <w:pStyle w:val="Standardntext"/>
        <w:numPr>
          <w:ilvl w:val="0"/>
          <w:numId w:val="84"/>
        </w:numPr>
      </w:pPr>
      <w:r w:rsidRPr="00DD47DF">
        <w:t>Nové typy aktivit v této prioritní ose OP PIK,</w:t>
      </w:r>
    </w:p>
    <w:p w14:paraId="01FD2022" w14:textId="77777777" w:rsidR="000E6E04" w:rsidRPr="00DD47DF" w:rsidRDefault="000E6E04" w:rsidP="00DA3512">
      <w:pPr>
        <w:pStyle w:val="Standardntext"/>
        <w:numPr>
          <w:ilvl w:val="0"/>
          <w:numId w:val="84"/>
        </w:numPr>
      </w:pPr>
      <w:r w:rsidRPr="00DD47DF">
        <w:t>Využití finančních nástrojů v SC 2.1, rizikovým je v tomto případě např. časový rámec pro přípravu projektu, lze tak předpokládat pomalejší rozjezd aktivit.</w:t>
      </w:r>
    </w:p>
    <w:p w14:paraId="66C66FF2" w14:textId="77777777" w:rsidR="000E6E04" w:rsidRPr="00DD47DF" w:rsidRDefault="000E6E04" w:rsidP="00DA3512">
      <w:pPr>
        <w:pStyle w:val="Standardntext"/>
        <w:numPr>
          <w:ilvl w:val="0"/>
          <w:numId w:val="84"/>
        </w:numPr>
      </w:pPr>
      <w:r w:rsidRPr="00DD47DF">
        <w:t>Výše alokace na jednotlivé aktivity SC včetně předpokládané výše veřejné podpory.</w:t>
      </w:r>
    </w:p>
    <w:p w14:paraId="65C18E93" w14:textId="77777777" w:rsidR="000E6E04" w:rsidRPr="00DD47DF" w:rsidRDefault="000E6E04" w:rsidP="00DA3512">
      <w:pPr>
        <w:pStyle w:val="Standardntext"/>
        <w:numPr>
          <w:ilvl w:val="0"/>
          <w:numId w:val="84"/>
        </w:numPr>
      </w:pPr>
      <w:r w:rsidRPr="00DD47DF">
        <w:t>Předpokládaná realizace kratších typů projektů (cca 1 rok) v některých aktivitách.</w:t>
      </w:r>
    </w:p>
    <w:p w14:paraId="4D879151" w14:textId="77777777" w:rsidR="000E6E04" w:rsidRPr="00DD47DF" w:rsidRDefault="000E6E04" w:rsidP="00466CFC">
      <w:pPr>
        <w:pStyle w:val="Standardntext"/>
        <w:ind w:left="720"/>
      </w:pPr>
    </w:p>
    <w:p w14:paraId="64DEAA30" w14:textId="77777777" w:rsidR="000E6E04" w:rsidRPr="00DD47DF" w:rsidRDefault="000E6E04" w:rsidP="00DA3512">
      <w:pPr>
        <w:pStyle w:val="Standardntext"/>
        <w:numPr>
          <w:ilvl w:val="0"/>
          <w:numId w:val="84"/>
        </w:numPr>
      </w:pPr>
      <w:r w:rsidRPr="00DD47DF">
        <w:rPr>
          <w:i/>
        </w:rPr>
        <w:t>Milník</w:t>
      </w:r>
      <w:r w:rsidRPr="00DD47DF">
        <w:rPr>
          <w:i/>
          <w:vertAlign w:val="superscript"/>
        </w:rPr>
        <w:t>2018 P2</w:t>
      </w:r>
      <w:r w:rsidRPr="00DD47DF">
        <w:rPr>
          <w:i/>
        </w:rPr>
        <w:t>= (celkové způsobilé výdaje na PO 2 v roce 2014 + celkové způsobilé výdaje na PO 2 v roce 2015) – (10% finančních prostředků ERDF na PO 2 + podíl výkonnostní rezervy za roky 2014 a 2015 na PO 2)</w:t>
      </w:r>
    </w:p>
    <w:p w14:paraId="4D33E481" w14:textId="77777777" w:rsidR="000E6E04" w:rsidRPr="00DD47DF" w:rsidRDefault="000E6E04" w:rsidP="000E6E0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5AD2065F" w14:textId="77777777" w:rsidR="000E6E04" w:rsidRPr="00DD47DF" w:rsidRDefault="000E6E04" w:rsidP="00DA3512">
      <w:pPr>
        <w:pStyle w:val="Standardntext"/>
        <w:numPr>
          <w:ilvl w:val="0"/>
          <w:numId w:val="85"/>
        </w:numPr>
      </w:pPr>
      <w:r w:rsidRPr="00DD47DF">
        <w:lastRenderedPageBreak/>
        <w:t>Klíčovým předpokladem je naplnění stanovených cílů programu v jednotlivých prioritních osách (finanční i věcné plnění);</w:t>
      </w:r>
    </w:p>
    <w:p w14:paraId="464B5EBA" w14:textId="77777777" w:rsidR="000E6E04" w:rsidRPr="00DD47DF" w:rsidRDefault="000E6E04" w:rsidP="00DA3512">
      <w:pPr>
        <w:pStyle w:val="Standardntext"/>
        <w:numPr>
          <w:ilvl w:val="0"/>
          <w:numId w:val="85"/>
        </w:numPr>
      </w:pPr>
      <w:r w:rsidRPr="00DD47DF">
        <w:t xml:space="preserve">Započítána je již i výkonnostní rezerva. </w:t>
      </w:r>
    </w:p>
    <w:p w14:paraId="547DD4D8" w14:textId="77777777" w:rsidR="000E6E04" w:rsidRPr="00DD47DF" w:rsidRDefault="000E6E04" w:rsidP="000E6E04">
      <w:pPr>
        <w:jc w:val="both"/>
      </w:pPr>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 Nepovinné příloze č. 3.</w:t>
      </w:r>
    </w:p>
    <w:p w14:paraId="7A5B430C" w14:textId="77777777" w:rsidR="004126CC" w:rsidRPr="00DD47DF" w:rsidRDefault="004126CC" w:rsidP="000E6E04">
      <w:pPr>
        <w:pStyle w:val="kapitola2A0"/>
        <w:numPr>
          <w:ilvl w:val="0"/>
          <w:numId w:val="0"/>
        </w:numPr>
        <w:sectPr w:rsidR="004126CC" w:rsidRPr="00DD47DF" w:rsidSect="004126CC">
          <w:headerReference w:type="default" r:id="rId35"/>
          <w:footerReference w:type="default" r:id="rId36"/>
          <w:pgSz w:w="16838" w:h="11906" w:orient="landscape" w:code="9"/>
          <w:pgMar w:top="1418" w:right="1418" w:bottom="1276" w:left="1276" w:header="709" w:footer="709" w:gutter="0"/>
          <w:cols w:space="708"/>
          <w:docGrid w:linePitch="272"/>
        </w:sectPr>
      </w:pPr>
    </w:p>
    <w:p w14:paraId="1A2828BC" w14:textId="77777777" w:rsidR="000E3FBB" w:rsidRPr="00DD47DF" w:rsidRDefault="000E3FBB" w:rsidP="00441D67">
      <w:pPr>
        <w:pStyle w:val="kapitola2A0"/>
        <w:numPr>
          <w:ilvl w:val="2"/>
          <w:numId w:val="133"/>
        </w:numPr>
      </w:pPr>
      <w:bookmarkStart w:id="57" w:name="_Toc129005394"/>
      <w:r w:rsidRPr="00DD47DF">
        <w:lastRenderedPageBreak/>
        <w:t xml:space="preserve">Kategorie </w:t>
      </w:r>
      <w:r w:rsidR="00F2469F" w:rsidRPr="00DD47DF">
        <w:t>zásahů</w:t>
      </w:r>
      <w:bookmarkEnd w:id="57"/>
    </w:p>
    <w:p w14:paraId="11AF7410" w14:textId="77D6EBDF" w:rsidR="00505E76" w:rsidRPr="00DD47DF" w:rsidRDefault="00505E76" w:rsidP="00D45051">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CE361F">
        <w:t>10</w:t>
      </w:r>
      <w:r w:rsidRPr="00DD47DF">
        <w:t xml:space="preserve">: Kategorie </w:t>
      </w:r>
      <w:r w:rsidR="00F2469F" w:rsidRPr="00DD47DF">
        <w:t>zásahů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24C253B9" w14:textId="77777777">
        <w:tc>
          <w:tcPr>
            <w:tcW w:w="9326" w:type="dxa"/>
            <w:gridSpan w:val="8"/>
            <w:shd w:val="clear" w:color="auto" w:fill="B8CCE4"/>
            <w:vAlign w:val="center"/>
          </w:tcPr>
          <w:p w14:paraId="13045365"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28000B68"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6243AB52" w14:textId="77777777">
        <w:tc>
          <w:tcPr>
            <w:tcW w:w="2331" w:type="dxa"/>
            <w:gridSpan w:val="2"/>
            <w:shd w:val="clear" w:color="auto" w:fill="B8CCE4"/>
            <w:vAlign w:val="center"/>
          </w:tcPr>
          <w:p w14:paraId="4E12A9DC" w14:textId="77777777" w:rsidR="000B2315" w:rsidRPr="00DD47DF" w:rsidRDefault="000B2315" w:rsidP="00450475">
            <w:pPr>
              <w:pStyle w:val="Tabulka"/>
              <w:keepNext/>
              <w:keepLines/>
              <w:rPr>
                <w:rFonts w:cs="Calibri"/>
              </w:rPr>
            </w:pPr>
            <w:r w:rsidRPr="00DD47DF">
              <w:rPr>
                <w:rFonts w:cs="Calibri"/>
              </w:rPr>
              <w:t>Tabulka č. 7:</w:t>
            </w:r>
          </w:p>
          <w:p w14:paraId="3D0B4BF7" w14:textId="77777777" w:rsidR="000B2315" w:rsidRPr="00DD47DF" w:rsidRDefault="000B2315" w:rsidP="00450475">
            <w:pPr>
              <w:pStyle w:val="Tabulka"/>
              <w:keepNext/>
              <w:keepLines/>
              <w:rPr>
                <w:rFonts w:cs="Calibri"/>
              </w:rPr>
            </w:pPr>
            <w:r w:rsidRPr="00DD47DF">
              <w:rPr>
                <w:rFonts w:cs="Calibri"/>
              </w:rPr>
              <w:t>Dimenze 1</w:t>
            </w:r>
          </w:p>
          <w:p w14:paraId="756E23E9"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1D64920A" w14:textId="77777777" w:rsidR="000B2315" w:rsidRPr="00DD47DF" w:rsidRDefault="000B2315" w:rsidP="00450475">
            <w:pPr>
              <w:pStyle w:val="Tabulka"/>
              <w:keepNext/>
              <w:keepLines/>
              <w:rPr>
                <w:rFonts w:cs="Calibri"/>
              </w:rPr>
            </w:pPr>
            <w:r w:rsidRPr="00DD47DF">
              <w:rPr>
                <w:rFonts w:cs="Calibri"/>
              </w:rPr>
              <w:t>Tabulka č. 8:</w:t>
            </w:r>
          </w:p>
          <w:p w14:paraId="36434ECB" w14:textId="77777777" w:rsidR="000B2315" w:rsidRPr="00DD47DF" w:rsidRDefault="000B2315" w:rsidP="00450475">
            <w:pPr>
              <w:pStyle w:val="Tabulka"/>
              <w:keepNext/>
              <w:keepLines/>
              <w:rPr>
                <w:rFonts w:cs="Calibri"/>
              </w:rPr>
            </w:pPr>
            <w:r w:rsidRPr="00DD47DF">
              <w:rPr>
                <w:rFonts w:cs="Calibri"/>
              </w:rPr>
              <w:t>Dimenze 2</w:t>
            </w:r>
          </w:p>
          <w:p w14:paraId="4F328E52"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618AD20E" w14:textId="77777777" w:rsidR="000B2315" w:rsidRPr="00DD47DF" w:rsidRDefault="000B2315" w:rsidP="00450475">
            <w:pPr>
              <w:pStyle w:val="Tabulka"/>
              <w:keepNext/>
              <w:keepLines/>
              <w:rPr>
                <w:rFonts w:cs="Calibri"/>
              </w:rPr>
            </w:pPr>
            <w:r w:rsidRPr="00DD47DF">
              <w:rPr>
                <w:rFonts w:cs="Calibri"/>
              </w:rPr>
              <w:t>Tabulka č. 9:</w:t>
            </w:r>
          </w:p>
          <w:p w14:paraId="25A93D00" w14:textId="77777777" w:rsidR="000B2315" w:rsidRPr="00DD47DF" w:rsidRDefault="000B2315" w:rsidP="00450475">
            <w:pPr>
              <w:pStyle w:val="Tabulka"/>
              <w:keepNext/>
              <w:keepLines/>
              <w:rPr>
                <w:rFonts w:cs="Calibri"/>
              </w:rPr>
            </w:pPr>
            <w:r w:rsidRPr="00DD47DF">
              <w:rPr>
                <w:rFonts w:cs="Calibri"/>
              </w:rPr>
              <w:t>Dimenze 3</w:t>
            </w:r>
          </w:p>
          <w:p w14:paraId="689601A3"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5DC9C5D8" w14:textId="77777777" w:rsidR="000B2315" w:rsidRPr="00DD47DF" w:rsidRDefault="000B2315" w:rsidP="00450475">
            <w:pPr>
              <w:pStyle w:val="Tabulka"/>
              <w:keepNext/>
              <w:keepLines/>
              <w:rPr>
                <w:rFonts w:cs="Calibri"/>
              </w:rPr>
            </w:pPr>
            <w:r w:rsidRPr="00DD47DF">
              <w:rPr>
                <w:rFonts w:cs="Calibri"/>
              </w:rPr>
              <w:t>Tabulka č. 10:</w:t>
            </w:r>
          </w:p>
          <w:p w14:paraId="20B7E46F" w14:textId="77777777" w:rsidR="000B2315" w:rsidRPr="00DD47DF" w:rsidRDefault="000B2315" w:rsidP="00450475">
            <w:pPr>
              <w:pStyle w:val="Tabulka"/>
              <w:keepNext/>
              <w:keepLines/>
              <w:rPr>
                <w:rFonts w:cs="Calibri"/>
              </w:rPr>
            </w:pPr>
            <w:r w:rsidRPr="00DD47DF">
              <w:rPr>
                <w:rFonts w:cs="Calibri"/>
              </w:rPr>
              <w:t>Dimenze 4</w:t>
            </w:r>
          </w:p>
          <w:p w14:paraId="49C33E8E"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25A4559F" w14:textId="77777777">
        <w:tc>
          <w:tcPr>
            <w:tcW w:w="624" w:type="dxa"/>
            <w:shd w:val="clear" w:color="auto" w:fill="DBE5F1"/>
            <w:vAlign w:val="center"/>
          </w:tcPr>
          <w:p w14:paraId="59104B8B"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612EFCC5"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62A3F345"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46B898E0"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32CD980D"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144EF9ED"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34D6AC5A"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2A9EB577" w14:textId="77777777" w:rsidR="000B2315" w:rsidRPr="00DD47DF" w:rsidRDefault="00D16DE9" w:rsidP="00450475">
            <w:pPr>
              <w:pStyle w:val="Tabulka"/>
              <w:keepNext/>
              <w:keepLines/>
              <w:rPr>
                <w:rFonts w:cs="Calibri"/>
              </w:rPr>
            </w:pPr>
            <w:r w:rsidRPr="00DD47DF">
              <w:rPr>
                <w:rFonts w:cs="Calibri"/>
              </w:rPr>
              <w:t>Částka (v EUR)</w:t>
            </w:r>
          </w:p>
        </w:tc>
      </w:tr>
      <w:tr w:rsidR="007A1261" w:rsidRPr="00DD47DF" w14:paraId="2024C9A6" w14:textId="77777777">
        <w:tc>
          <w:tcPr>
            <w:tcW w:w="624" w:type="dxa"/>
            <w:shd w:val="clear" w:color="auto" w:fill="auto"/>
            <w:vAlign w:val="center"/>
          </w:tcPr>
          <w:p w14:paraId="2C7581DD" w14:textId="77777777" w:rsidR="007A1261" w:rsidRPr="00DD47DF" w:rsidRDefault="007A1261" w:rsidP="007A1261">
            <w:pPr>
              <w:pStyle w:val="Tabulka"/>
              <w:rPr>
                <w:rFonts w:cs="Calibri"/>
              </w:rPr>
            </w:pPr>
            <w:r w:rsidRPr="00DD47DF">
              <w:rPr>
                <w:rFonts w:cs="Calibri"/>
              </w:rPr>
              <w:t>050</w:t>
            </w:r>
          </w:p>
        </w:tc>
        <w:tc>
          <w:tcPr>
            <w:tcW w:w="1707" w:type="dxa"/>
            <w:shd w:val="clear" w:color="auto" w:fill="auto"/>
            <w:vAlign w:val="center"/>
          </w:tcPr>
          <w:p w14:paraId="3303D19B" w14:textId="0A4AD5B2" w:rsidR="007A1261" w:rsidRPr="00DD47DF" w:rsidRDefault="00E0634C" w:rsidP="007A1261">
            <w:pPr>
              <w:pStyle w:val="Tabulka"/>
              <w:jc w:val="right"/>
              <w:rPr>
                <w:rFonts w:cs="Calibri"/>
              </w:rPr>
            </w:pPr>
            <w:r w:rsidRPr="00E0634C">
              <w:rPr>
                <w:rFonts w:cs="Calibri"/>
              </w:rPr>
              <w:t>8 327 827</w:t>
            </w:r>
          </w:p>
        </w:tc>
        <w:tc>
          <w:tcPr>
            <w:tcW w:w="561" w:type="dxa"/>
            <w:shd w:val="clear" w:color="auto" w:fill="auto"/>
            <w:vAlign w:val="center"/>
          </w:tcPr>
          <w:p w14:paraId="348CE460" w14:textId="77777777" w:rsidR="007A1261" w:rsidRPr="00DD47DF" w:rsidRDefault="007A1261" w:rsidP="007A1261">
            <w:pPr>
              <w:pStyle w:val="Tabulka"/>
              <w:rPr>
                <w:rFonts w:cs="Calibri"/>
              </w:rPr>
            </w:pPr>
            <w:r w:rsidRPr="00DD47DF">
              <w:rPr>
                <w:rFonts w:cs="Calibri"/>
              </w:rPr>
              <w:t>01</w:t>
            </w:r>
          </w:p>
        </w:tc>
        <w:tc>
          <w:tcPr>
            <w:tcW w:w="1771" w:type="dxa"/>
            <w:shd w:val="clear" w:color="auto" w:fill="auto"/>
            <w:vAlign w:val="center"/>
          </w:tcPr>
          <w:p w14:paraId="1C221224" w14:textId="72BA6FAC" w:rsidR="007A1261" w:rsidRPr="00DD47DF" w:rsidRDefault="003944CB" w:rsidP="007A1261">
            <w:pPr>
              <w:pStyle w:val="Tabulka"/>
              <w:jc w:val="right"/>
              <w:rPr>
                <w:rFonts w:cs="Calibri"/>
              </w:rPr>
            </w:pPr>
            <w:r w:rsidRPr="00F97ABC">
              <w:rPr>
                <w:rFonts w:cs="Calibri"/>
              </w:rPr>
              <w:t>531 104 005</w:t>
            </w:r>
          </w:p>
        </w:tc>
        <w:tc>
          <w:tcPr>
            <w:tcW w:w="639" w:type="dxa"/>
            <w:shd w:val="clear" w:color="auto" w:fill="auto"/>
            <w:vAlign w:val="center"/>
          </w:tcPr>
          <w:p w14:paraId="621EABB2" w14:textId="77777777" w:rsidR="007A1261" w:rsidRPr="00DD47DF" w:rsidRDefault="007A1261" w:rsidP="007A1261">
            <w:pPr>
              <w:pStyle w:val="Tabulka"/>
              <w:rPr>
                <w:rFonts w:cs="Calibri"/>
              </w:rPr>
            </w:pPr>
            <w:r w:rsidRPr="00DD47DF">
              <w:rPr>
                <w:rFonts w:cs="Calibri"/>
              </w:rPr>
              <w:t>01</w:t>
            </w:r>
          </w:p>
        </w:tc>
        <w:tc>
          <w:tcPr>
            <w:tcW w:w="1692" w:type="dxa"/>
            <w:shd w:val="clear" w:color="auto" w:fill="auto"/>
            <w:vAlign w:val="center"/>
          </w:tcPr>
          <w:p w14:paraId="4DADA37B" w14:textId="755B04DB" w:rsidR="007A1261" w:rsidRPr="00DD47DF" w:rsidRDefault="003944CB" w:rsidP="007A1261">
            <w:pPr>
              <w:pStyle w:val="Tabulka"/>
              <w:jc w:val="right"/>
              <w:rPr>
                <w:rFonts w:cs="Calibri"/>
              </w:rPr>
            </w:pPr>
            <w:r w:rsidRPr="0047260C">
              <w:rPr>
                <w:rFonts w:cs="Calibri"/>
              </w:rPr>
              <w:t>211 564 822</w:t>
            </w:r>
          </w:p>
        </w:tc>
        <w:tc>
          <w:tcPr>
            <w:tcW w:w="576" w:type="dxa"/>
            <w:shd w:val="clear" w:color="auto" w:fill="auto"/>
            <w:vAlign w:val="center"/>
          </w:tcPr>
          <w:p w14:paraId="19657B08" w14:textId="77777777" w:rsidR="007A1261" w:rsidRPr="00DD47DF" w:rsidRDefault="007A1261" w:rsidP="007A1261">
            <w:pPr>
              <w:pStyle w:val="Tabulka"/>
              <w:keepNext/>
              <w:keepLines/>
              <w:rPr>
                <w:rFonts w:cs="Calibri"/>
              </w:rPr>
            </w:pPr>
            <w:r w:rsidRPr="00DD47DF">
              <w:rPr>
                <w:rFonts w:cs="Calibri"/>
              </w:rPr>
              <w:t>01</w:t>
            </w:r>
          </w:p>
        </w:tc>
        <w:tc>
          <w:tcPr>
            <w:tcW w:w="1756" w:type="dxa"/>
            <w:shd w:val="clear" w:color="auto" w:fill="auto"/>
            <w:vAlign w:val="center"/>
          </w:tcPr>
          <w:p w14:paraId="652D911C" w14:textId="5DA5FE29" w:rsidR="007A1261" w:rsidRPr="00DD47DF" w:rsidRDefault="00B320F1" w:rsidP="007A1261">
            <w:pPr>
              <w:pStyle w:val="Tabulka"/>
              <w:keepNext/>
              <w:keepLines/>
              <w:jc w:val="right"/>
              <w:rPr>
                <w:rFonts w:cs="Calibri"/>
              </w:rPr>
            </w:pPr>
            <w:r w:rsidRPr="00EE1F9E">
              <w:rPr>
                <w:rFonts w:cs="Calibri"/>
              </w:rPr>
              <w:t>36 887 691</w:t>
            </w:r>
          </w:p>
        </w:tc>
      </w:tr>
      <w:tr w:rsidR="007A1261" w:rsidRPr="00DD47DF" w14:paraId="26E2C4AF" w14:textId="77777777">
        <w:tc>
          <w:tcPr>
            <w:tcW w:w="624" w:type="dxa"/>
            <w:shd w:val="clear" w:color="auto" w:fill="auto"/>
            <w:vAlign w:val="center"/>
          </w:tcPr>
          <w:p w14:paraId="3E589D0D" w14:textId="77777777" w:rsidR="007A1261" w:rsidRPr="00DD47DF" w:rsidRDefault="007A1261" w:rsidP="007A1261">
            <w:pPr>
              <w:pStyle w:val="Tabulka"/>
              <w:rPr>
                <w:rFonts w:cs="Calibri"/>
              </w:rPr>
            </w:pPr>
            <w:r w:rsidRPr="00DD47DF">
              <w:rPr>
                <w:rFonts w:cs="Calibri"/>
              </w:rPr>
              <w:t>066</w:t>
            </w:r>
          </w:p>
        </w:tc>
        <w:tc>
          <w:tcPr>
            <w:tcW w:w="1707" w:type="dxa"/>
            <w:shd w:val="clear" w:color="auto" w:fill="auto"/>
            <w:vAlign w:val="center"/>
          </w:tcPr>
          <w:p w14:paraId="688DDAF4" w14:textId="44145272" w:rsidR="007A1261" w:rsidRPr="00DD47DF" w:rsidRDefault="00E0634C" w:rsidP="007A1261">
            <w:pPr>
              <w:pStyle w:val="Tabulka"/>
              <w:jc w:val="right"/>
              <w:rPr>
                <w:rFonts w:cs="Calibri"/>
              </w:rPr>
            </w:pPr>
            <w:r w:rsidRPr="00E0634C">
              <w:rPr>
                <w:rFonts w:cs="Calibri"/>
              </w:rPr>
              <w:t>52 740 420</w:t>
            </w:r>
          </w:p>
        </w:tc>
        <w:tc>
          <w:tcPr>
            <w:tcW w:w="561" w:type="dxa"/>
            <w:shd w:val="clear" w:color="auto" w:fill="auto"/>
            <w:vAlign w:val="center"/>
          </w:tcPr>
          <w:p w14:paraId="2515BDAD" w14:textId="77777777" w:rsidR="007A1261" w:rsidRPr="00DD47DF" w:rsidRDefault="007A1261" w:rsidP="007A1261">
            <w:pPr>
              <w:pStyle w:val="Tabulka"/>
              <w:rPr>
                <w:rFonts w:cs="Calibri"/>
              </w:rPr>
            </w:pPr>
            <w:r w:rsidRPr="00DD47DF">
              <w:rPr>
                <w:rFonts w:cs="Calibri"/>
              </w:rPr>
              <w:t>03</w:t>
            </w:r>
          </w:p>
        </w:tc>
        <w:tc>
          <w:tcPr>
            <w:tcW w:w="1771" w:type="dxa"/>
            <w:shd w:val="clear" w:color="auto" w:fill="auto"/>
            <w:vAlign w:val="bottom"/>
          </w:tcPr>
          <w:p w14:paraId="4E1A5310" w14:textId="14E3057C" w:rsidR="007A1261" w:rsidRPr="00DD47DF" w:rsidRDefault="006B56BD" w:rsidP="007A1261">
            <w:pPr>
              <w:pStyle w:val="Tabulka"/>
              <w:jc w:val="right"/>
              <w:rPr>
                <w:rFonts w:cs="Calibri"/>
              </w:rPr>
            </w:pPr>
            <w:r w:rsidRPr="00343373">
              <w:rPr>
                <w:rFonts w:cs="Calibri"/>
                <w:lang w:eastAsia="en-US"/>
              </w:rPr>
              <w:t>72 500 000</w:t>
            </w:r>
          </w:p>
        </w:tc>
        <w:tc>
          <w:tcPr>
            <w:tcW w:w="639" w:type="dxa"/>
            <w:shd w:val="clear" w:color="auto" w:fill="auto"/>
            <w:vAlign w:val="center"/>
          </w:tcPr>
          <w:p w14:paraId="62F17603" w14:textId="77777777" w:rsidR="007A1261" w:rsidRPr="00DD47DF" w:rsidRDefault="007A1261" w:rsidP="007A1261">
            <w:pPr>
              <w:pStyle w:val="Tabulka"/>
              <w:rPr>
                <w:rFonts w:cs="Calibri"/>
              </w:rPr>
            </w:pPr>
            <w:r w:rsidRPr="00DD47DF">
              <w:rPr>
                <w:rFonts w:cs="Calibri"/>
              </w:rPr>
              <w:t>02</w:t>
            </w:r>
          </w:p>
        </w:tc>
        <w:tc>
          <w:tcPr>
            <w:tcW w:w="1692" w:type="dxa"/>
            <w:shd w:val="clear" w:color="auto" w:fill="auto"/>
            <w:vAlign w:val="center"/>
          </w:tcPr>
          <w:p w14:paraId="64492BD3" w14:textId="3FD62AA3" w:rsidR="007A1261" w:rsidRPr="00DD47DF" w:rsidRDefault="003944CB" w:rsidP="007A1261">
            <w:pPr>
              <w:pStyle w:val="Tabulka"/>
              <w:jc w:val="right"/>
              <w:rPr>
                <w:rFonts w:cs="Calibri"/>
              </w:rPr>
            </w:pPr>
            <w:r w:rsidRPr="0047260C">
              <w:rPr>
                <w:rFonts w:cs="Calibri"/>
              </w:rPr>
              <w:t>552 530 933</w:t>
            </w:r>
          </w:p>
        </w:tc>
        <w:tc>
          <w:tcPr>
            <w:tcW w:w="576" w:type="dxa"/>
            <w:shd w:val="clear" w:color="auto" w:fill="auto"/>
            <w:vAlign w:val="center"/>
          </w:tcPr>
          <w:p w14:paraId="66233C94" w14:textId="77777777" w:rsidR="007A1261" w:rsidRPr="00DD47DF" w:rsidRDefault="007A1261" w:rsidP="007A1261">
            <w:pPr>
              <w:pStyle w:val="Tabulka"/>
              <w:rPr>
                <w:rFonts w:cs="Calibri"/>
              </w:rPr>
            </w:pPr>
            <w:r w:rsidRPr="00DD47DF">
              <w:rPr>
                <w:rFonts w:cs="Calibri"/>
              </w:rPr>
              <w:t>07</w:t>
            </w:r>
          </w:p>
        </w:tc>
        <w:tc>
          <w:tcPr>
            <w:tcW w:w="1756" w:type="dxa"/>
            <w:shd w:val="clear" w:color="auto" w:fill="auto"/>
            <w:vAlign w:val="center"/>
          </w:tcPr>
          <w:p w14:paraId="70D7EE6D" w14:textId="162E8A68" w:rsidR="007A1261" w:rsidRPr="00DD47DF" w:rsidRDefault="003944CB" w:rsidP="007A1261">
            <w:pPr>
              <w:pStyle w:val="Tabulka"/>
              <w:jc w:val="right"/>
              <w:rPr>
                <w:rFonts w:cs="Calibri"/>
              </w:rPr>
            </w:pPr>
            <w:r w:rsidRPr="0047260C">
              <w:rPr>
                <w:rFonts w:cs="Calibri"/>
              </w:rPr>
              <w:t>1 167 415 553</w:t>
            </w:r>
          </w:p>
        </w:tc>
      </w:tr>
      <w:tr w:rsidR="007A1261" w:rsidRPr="00DD47DF" w14:paraId="0E41F198" w14:textId="77777777">
        <w:tc>
          <w:tcPr>
            <w:tcW w:w="624" w:type="dxa"/>
            <w:shd w:val="clear" w:color="auto" w:fill="auto"/>
            <w:vAlign w:val="center"/>
          </w:tcPr>
          <w:p w14:paraId="64A0356E" w14:textId="77777777" w:rsidR="007A1261" w:rsidRPr="00DD47DF" w:rsidRDefault="007A1261" w:rsidP="007A1261">
            <w:pPr>
              <w:pStyle w:val="Tabulka"/>
              <w:rPr>
                <w:rFonts w:cs="Calibri"/>
              </w:rPr>
            </w:pPr>
            <w:r w:rsidRPr="00DD47DF">
              <w:rPr>
                <w:rFonts w:cs="Calibri"/>
              </w:rPr>
              <w:t>067</w:t>
            </w:r>
          </w:p>
        </w:tc>
        <w:tc>
          <w:tcPr>
            <w:tcW w:w="1707" w:type="dxa"/>
            <w:shd w:val="clear" w:color="auto" w:fill="auto"/>
            <w:vAlign w:val="center"/>
          </w:tcPr>
          <w:p w14:paraId="712E9E37" w14:textId="12806D6F" w:rsidR="007A1261" w:rsidRPr="00DD47DF" w:rsidRDefault="003944CB" w:rsidP="007A1261">
            <w:pPr>
              <w:pStyle w:val="Tabulka"/>
              <w:jc w:val="right"/>
              <w:rPr>
                <w:rFonts w:cs="Calibri"/>
              </w:rPr>
            </w:pPr>
            <w:r w:rsidRPr="00C94C6D">
              <w:rPr>
                <w:rFonts w:cs="Calibri"/>
              </w:rPr>
              <w:t>917 869 783</w:t>
            </w:r>
          </w:p>
        </w:tc>
        <w:tc>
          <w:tcPr>
            <w:tcW w:w="561" w:type="dxa"/>
            <w:shd w:val="clear" w:color="auto" w:fill="auto"/>
            <w:vAlign w:val="center"/>
          </w:tcPr>
          <w:p w14:paraId="24789B58" w14:textId="77777777" w:rsidR="007A1261" w:rsidRPr="00DD47DF" w:rsidRDefault="007A1261" w:rsidP="007A1261">
            <w:pPr>
              <w:pStyle w:val="Tabulka"/>
              <w:rPr>
                <w:rFonts w:cs="Calibri"/>
              </w:rPr>
            </w:pPr>
            <w:r w:rsidRPr="00DD47DF">
              <w:rPr>
                <w:rFonts w:cs="Calibri"/>
              </w:rPr>
              <w:t>04</w:t>
            </w:r>
          </w:p>
        </w:tc>
        <w:tc>
          <w:tcPr>
            <w:tcW w:w="1771" w:type="dxa"/>
            <w:shd w:val="clear" w:color="auto" w:fill="auto"/>
            <w:vAlign w:val="bottom"/>
          </w:tcPr>
          <w:p w14:paraId="41EC4015" w14:textId="63F2F0E5" w:rsidR="007A1261" w:rsidRPr="00DD47DF" w:rsidRDefault="006D4D88" w:rsidP="007A1261">
            <w:pPr>
              <w:pStyle w:val="Tabulka"/>
              <w:jc w:val="right"/>
              <w:rPr>
                <w:rFonts w:cs="Calibri"/>
              </w:rPr>
            </w:pPr>
            <w:r w:rsidRPr="006D4D88">
              <w:rPr>
                <w:rFonts w:cs="Calibri"/>
              </w:rPr>
              <w:t>291 890 103</w:t>
            </w:r>
          </w:p>
        </w:tc>
        <w:tc>
          <w:tcPr>
            <w:tcW w:w="639" w:type="dxa"/>
            <w:shd w:val="clear" w:color="auto" w:fill="auto"/>
            <w:vAlign w:val="center"/>
          </w:tcPr>
          <w:p w14:paraId="1F63398D" w14:textId="77777777" w:rsidR="007A1261" w:rsidRPr="00DD47DF" w:rsidRDefault="007A1261" w:rsidP="007A1261">
            <w:pPr>
              <w:pStyle w:val="Tabulka"/>
              <w:rPr>
                <w:rFonts w:cs="Calibri"/>
              </w:rPr>
            </w:pPr>
            <w:r w:rsidRPr="00DD47DF">
              <w:rPr>
                <w:rFonts w:cs="Calibri"/>
              </w:rPr>
              <w:t>03</w:t>
            </w:r>
          </w:p>
        </w:tc>
        <w:tc>
          <w:tcPr>
            <w:tcW w:w="1692" w:type="dxa"/>
            <w:shd w:val="clear" w:color="auto" w:fill="auto"/>
            <w:vAlign w:val="center"/>
          </w:tcPr>
          <w:p w14:paraId="3CA39A7C" w14:textId="7A107C85" w:rsidR="007A1261" w:rsidRPr="00DD47DF" w:rsidRDefault="003944CB" w:rsidP="007A1261">
            <w:pPr>
              <w:pStyle w:val="Tabulka"/>
              <w:jc w:val="right"/>
              <w:rPr>
                <w:rFonts w:cs="Calibri"/>
              </w:rPr>
            </w:pPr>
            <w:r w:rsidRPr="0047260C">
              <w:rPr>
                <w:rFonts w:cs="Calibri"/>
              </w:rPr>
              <w:t>440 207 489</w:t>
            </w:r>
          </w:p>
        </w:tc>
        <w:tc>
          <w:tcPr>
            <w:tcW w:w="576" w:type="dxa"/>
            <w:shd w:val="clear" w:color="auto" w:fill="auto"/>
            <w:vAlign w:val="center"/>
          </w:tcPr>
          <w:p w14:paraId="6B6A4CBA" w14:textId="77777777" w:rsidR="007A1261" w:rsidRPr="00DD47DF" w:rsidRDefault="007A1261" w:rsidP="007A1261">
            <w:pPr>
              <w:pStyle w:val="Tabulka"/>
              <w:rPr>
                <w:rFonts w:cs="Calibri"/>
              </w:rPr>
            </w:pPr>
          </w:p>
        </w:tc>
        <w:tc>
          <w:tcPr>
            <w:tcW w:w="1756" w:type="dxa"/>
            <w:shd w:val="clear" w:color="auto" w:fill="auto"/>
            <w:vAlign w:val="center"/>
          </w:tcPr>
          <w:p w14:paraId="680E78EC" w14:textId="77777777" w:rsidR="007A1261" w:rsidRPr="00DD47DF" w:rsidRDefault="007A1261" w:rsidP="007A1261">
            <w:pPr>
              <w:pStyle w:val="Tabulka"/>
              <w:jc w:val="right"/>
              <w:rPr>
                <w:rFonts w:cs="Calibri"/>
              </w:rPr>
            </w:pPr>
          </w:p>
        </w:tc>
      </w:tr>
      <w:tr w:rsidR="007A1261" w:rsidRPr="00DD47DF" w14:paraId="34AA1D1A" w14:textId="77777777">
        <w:tc>
          <w:tcPr>
            <w:tcW w:w="624" w:type="dxa"/>
            <w:shd w:val="clear" w:color="auto" w:fill="auto"/>
            <w:vAlign w:val="center"/>
          </w:tcPr>
          <w:p w14:paraId="12DE115D" w14:textId="77777777" w:rsidR="007A1261" w:rsidRPr="00DD47DF" w:rsidRDefault="007A1261" w:rsidP="007A1261">
            <w:pPr>
              <w:pStyle w:val="Tabulka"/>
              <w:rPr>
                <w:rFonts w:cs="Calibri"/>
              </w:rPr>
            </w:pPr>
            <w:r w:rsidRPr="00DD47DF">
              <w:rPr>
                <w:rFonts w:cs="Calibri"/>
              </w:rPr>
              <w:t>072</w:t>
            </w:r>
          </w:p>
        </w:tc>
        <w:tc>
          <w:tcPr>
            <w:tcW w:w="1707" w:type="dxa"/>
            <w:shd w:val="clear" w:color="auto" w:fill="auto"/>
            <w:vAlign w:val="center"/>
          </w:tcPr>
          <w:p w14:paraId="6C4CD8A7" w14:textId="4B27DADF" w:rsidR="007A1261" w:rsidRPr="00DD47DF" w:rsidRDefault="00E0634C" w:rsidP="007A1261">
            <w:pPr>
              <w:pStyle w:val="Tabulka"/>
              <w:jc w:val="right"/>
              <w:rPr>
                <w:rFonts w:cs="Calibri"/>
              </w:rPr>
            </w:pPr>
            <w:r w:rsidRPr="00E0634C">
              <w:rPr>
                <w:rFonts w:cs="Calibri"/>
              </w:rPr>
              <w:t>201 927 714</w:t>
            </w:r>
          </w:p>
        </w:tc>
        <w:tc>
          <w:tcPr>
            <w:tcW w:w="561" w:type="dxa"/>
            <w:shd w:val="clear" w:color="auto" w:fill="auto"/>
            <w:vAlign w:val="center"/>
          </w:tcPr>
          <w:p w14:paraId="5B205D87" w14:textId="77777777" w:rsidR="007A1261" w:rsidRPr="00DD47DF" w:rsidRDefault="007A1261" w:rsidP="007A1261">
            <w:pPr>
              <w:pStyle w:val="Tabulka"/>
              <w:rPr>
                <w:rFonts w:cs="Calibri"/>
              </w:rPr>
            </w:pPr>
            <w:r w:rsidRPr="00DD47DF">
              <w:rPr>
                <w:rFonts w:cs="Calibri"/>
              </w:rPr>
              <w:t>05</w:t>
            </w:r>
          </w:p>
        </w:tc>
        <w:tc>
          <w:tcPr>
            <w:tcW w:w="1771" w:type="dxa"/>
            <w:shd w:val="clear" w:color="auto" w:fill="auto"/>
            <w:vAlign w:val="bottom"/>
          </w:tcPr>
          <w:p w14:paraId="03B0DC63" w14:textId="2A6489AD" w:rsidR="007A1261" w:rsidRPr="00DD47DF" w:rsidRDefault="00B320F1" w:rsidP="007A1261">
            <w:pPr>
              <w:pStyle w:val="Tabulka"/>
              <w:jc w:val="right"/>
              <w:rPr>
                <w:rFonts w:cs="Calibri"/>
              </w:rPr>
            </w:pPr>
            <w:r w:rsidRPr="00103250">
              <w:rPr>
                <w:rFonts w:cs="Calibri"/>
              </w:rPr>
              <w:t>225 714 794</w:t>
            </w:r>
          </w:p>
        </w:tc>
        <w:tc>
          <w:tcPr>
            <w:tcW w:w="639" w:type="dxa"/>
            <w:shd w:val="clear" w:color="auto" w:fill="auto"/>
            <w:vAlign w:val="center"/>
          </w:tcPr>
          <w:p w14:paraId="33037B5C" w14:textId="77777777" w:rsidR="007A1261" w:rsidRPr="00DD47DF" w:rsidRDefault="007A1261" w:rsidP="007A1261">
            <w:pPr>
              <w:pStyle w:val="Tabulka"/>
              <w:rPr>
                <w:rFonts w:cs="Calibri"/>
              </w:rPr>
            </w:pPr>
          </w:p>
        </w:tc>
        <w:tc>
          <w:tcPr>
            <w:tcW w:w="1692" w:type="dxa"/>
            <w:shd w:val="clear" w:color="auto" w:fill="auto"/>
            <w:vAlign w:val="center"/>
          </w:tcPr>
          <w:p w14:paraId="27A05782" w14:textId="77777777" w:rsidR="007A1261" w:rsidRPr="00DD47DF" w:rsidRDefault="007A1261" w:rsidP="007A1261">
            <w:pPr>
              <w:pStyle w:val="Tabulka"/>
              <w:jc w:val="right"/>
              <w:rPr>
                <w:rFonts w:cs="Calibri"/>
              </w:rPr>
            </w:pPr>
          </w:p>
        </w:tc>
        <w:tc>
          <w:tcPr>
            <w:tcW w:w="576" w:type="dxa"/>
            <w:shd w:val="clear" w:color="auto" w:fill="auto"/>
            <w:vAlign w:val="center"/>
          </w:tcPr>
          <w:p w14:paraId="4D49DCF5" w14:textId="77777777" w:rsidR="007A1261" w:rsidRPr="00DD47DF" w:rsidRDefault="007A1261" w:rsidP="007A1261">
            <w:pPr>
              <w:pStyle w:val="Tabulka"/>
              <w:rPr>
                <w:rFonts w:cs="Calibri"/>
              </w:rPr>
            </w:pPr>
          </w:p>
        </w:tc>
        <w:tc>
          <w:tcPr>
            <w:tcW w:w="1756" w:type="dxa"/>
            <w:shd w:val="clear" w:color="auto" w:fill="auto"/>
            <w:vAlign w:val="center"/>
          </w:tcPr>
          <w:p w14:paraId="25AE8ED4" w14:textId="77777777" w:rsidR="007A1261" w:rsidRPr="00DD47DF" w:rsidRDefault="007A1261" w:rsidP="007A1261">
            <w:pPr>
              <w:pStyle w:val="Tabulka"/>
              <w:jc w:val="right"/>
              <w:rPr>
                <w:rFonts w:cs="Calibri"/>
              </w:rPr>
            </w:pPr>
          </w:p>
        </w:tc>
      </w:tr>
      <w:tr w:rsidR="00AC043C" w:rsidRPr="00DD47DF" w14:paraId="1B41A93B" w14:textId="77777777">
        <w:tc>
          <w:tcPr>
            <w:tcW w:w="624" w:type="dxa"/>
            <w:shd w:val="clear" w:color="auto" w:fill="auto"/>
            <w:vAlign w:val="center"/>
          </w:tcPr>
          <w:p w14:paraId="7D2B5039" w14:textId="3F13B88F" w:rsidR="00AC043C" w:rsidRPr="00DD47DF" w:rsidRDefault="00F20E1F" w:rsidP="00DD63AD">
            <w:pPr>
              <w:pStyle w:val="Tabulka"/>
              <w:rPr>
                <w:rFonts w:cs="Calibri"/>
              </w:rPr>
            </w:pPr>
            <w:r>
              <w:rPr>
                <w:rFonts w:cs="Calibri"/>
              </w:rPr>
              <w:t>074</w:t>
            </w:r>
          </w:p>
        </w:tc>
        <w:tc>
          <w:tcPr>
            <w:tcW w:w="1707" w:type="dxa"/>
            <w:shd w:val="clear" w:color="auto" w:fill="auto"/>
            <w:vAlign w:val="center"/>
          </w:tcPr>
          <w:p w14:paraId="01B19C7D" w14:textId="6AC57E21" w:rsidR="00AC043C" w:rsidRPr="00DD47DF" w:rsidRDefault="00F20E1F" w:rsidP="009F18F5">
            <w:pPr>
              <w:pStyle w:val="Tabulka"/>
              <w:jc w:val="right"/>
              <w:rPr>
                <w:rFonts w:cs="Calibri"/>
              </w:rPr>
            </w:pPr>
            <w:r w:rsidRPr="00700E39">
              <w:rPr>
                <w:rFonts w:cs="Calibri"/>
              </w:rPr>
              <w:t>23 437 500</w:t>
            </w:r>
          </w:p>
        </w:tc>
        <w:tc>
          <w:tcPr>
            <w:tcW w:w="561" w:type="dxa"/>
            <w:shd w:val="clear" w:color="auto" w:fill="auto"/>
            <w:vAlign w:val="center"/>
          </w:tcPr>
          <w:p w14:paraId="15CD0B9A" w14:textId="77777777" w:rsidR="00AC043C" w:rsidRPr="00DD47DF" w:rsidRDefault="00AC043C" w:rsidP="00DD63AD">
            <w:pPr>
              <w:pStyle w:val="Tabulka"/>
              <w:rPr>
                <w:rFonts w:cs="Calibri"/>
              </w:rPr>
            </w:pPr>
            <w:r w:rsidRPr="00DD47DF">
              <w:rPr>
                <w:rFonts w:cs="Calibri"/>
              </w:rPr>
              <w:t>06</w:t>
            </w:r>
          </w:p>
        </w:tc>
        <w:tc>
          <w:tcPr>
            <w:tcW w:w="1771" w:type="dxa"/>
            <w:shd w:val="clear" w:color="auto" w:fill="auto"/>
            <w:vAlign w:val="bottom"/>
          </w:tcPr>
          <w:p w14:paraId="7642E285" w14:textId="6585F9C4" w:rsidR="00AC043C" w:rsidRPr="00DD47DF" w:rsidRDefault="006D4D88" w:rsidP="0027176B">
            <w:pPr>
              <w:pStyle w:val="Tabulka"/>
              <w:jc w:val="right"/>
              <w:rPr>
                <w:rFonts w:cs="Calibri"/>
              </w:rPr>
            </w:pPr>
            <w:r w:rsidRPr="006D4D88">
              <w:rPr>
                <w:rFonts w:cs="Calibri"/>
              </w:rPr>
              <w:t>83 094 342</w:t>
            </w:r>
          </w:p>
        </w:tc>
        <w:tc>
          <w:tcPr>
            <w:tcW w:w="639" w:type="dxa"/>
            <w:shd w:val="clear" w:color="auto" w:fill="auto"/>
            <w:vAlign w:val="center"/>
          </w:tcPr>
          <w:p w14:paraId="7EF8F569" w14:textId="77777777" w:rsidR="00AC043C" w:rsidRPr="00DD47DF" w:rsidRDefault="00AC043C" w:rsidP="00DD63AD">
            <w:pPr>
              <w:pStyle w:val="Tabulka"/>
              <w:rPr>
                <w:rFonts w:cs="Calibri"/>
              </w:rPr>
            </w:pPr>
          </w:p>
        </w:tc>
        <w:tc>
          <w:tcPr>
            <w:tcW w:w="1692" w:type="dxa"/>
            <w:shd w:val="clear" w:color="auto" w:fill="auto"/>
            <w:vAlign w:val="center"/>
          </w:tcPr>
          <w:p w14:paraId="2FEBA8F8" w14:textId="77777777" w:rsidR="00AC043C" w:rsidRPr="00DD47DF" w:rsidRDefault="00AC043C" w:rsidP="009F18F5">
            <w:pPr>
              <w:pStyle w:val="Tabulka"/>
              <w:jc w:val="right"/>
              <w:rPr>
                <w:rFonts w:cs="Calibri"/>
              </w:rPr>
            </w:pPr>
          </w:p>
        </w:tc>
        <w:tc>
          <w:tcPr>
            <w:tcW w:w="576" w:type="dxa"/>
            <w:shd w:val="clear" w:color="auto" w:fill="auto"/>
            <w:vAlign w:val="center"/>
          </w:tcPr>
          <w:p w14:paraId="7EBDF440" w14:textId="77777777" w:rsidR="00AC043C" w:rsidRPr="00DD47DF" w:rsidRDefault="00AC043C" w:rsidP="00450475">
            <w:pPr>
              <w:pStyle w:val="Tabulka"/>
              <w:rPr>
                <w:rFonts w:cs="Calibri"/>
              </w:rPr>
            </w:pPr>
          </w:p>
        </w:tc>
        <w:tc>
          <w:tcPr>
            <w:tcW w:w="1756" w:type="dxa"/>
            <w:shd w:val="clear" w:color="auto" w:fill="auto"/>
            <w:vAlign w:val="center"/>
          </w:tcPr>
          <w:p w14:paraId="58504A5D" w14:textId="77777777" w:rsidR="00AC043C" w:rsidRPr="00DD47DF" w:rsidRDefault="00AC043C" w:rsidP="009F18F5">
            <w:pPr>
              <w:pStyle w:val="Tabulka"/>
              <w:jc w:val="right"/>
              <w:rPr>
                <w:rFonts w:cs="Calibri"/>
              </w:rPr>
            </w:pPr>
          </w:p>
        </w:tc>
      </w:tr>
    </w:tbl>
    <w:p w14:paraId="4105EEEF" w14:textId="77777777" w:rsidR="00527A16" w:rsidRPr="00DD47DF" w:rsidRDefault="00DF23DE" w:rsidP="00441D67">
      <w:pPr>
        <w:pStyle w:val="kapitola2A0"/>
        <w:numPr>
          <w:ilvl w:val="2"/>
          <w:numId w:val="133"/>
        </w:numPr>
      </w:pPr>
      <w:bookmarkStart w:id="58" w:name="_Toc351464386"/>
      <w:bookmarkStart w:id="59" w:name="_Toc129005395"/>
      <w:r w:rsidRPr="00DD47DF">
        <w:t>Přehled plánovaného využití technické pomoci, je-li to nutné, včetně opatření na posílení správní kapacity orgánů zapojených do řízení a kontroly programů a příjemců (použije-li se)</w:t>
      </w:r>
      <w:bookmarkEnd w:id="59"/>
      <w:r w:rsidR="00527A16" w:rsidRPr="00DD47DF">
        <w:t xml:space="preserve"> </w:t>
      </w:r>
      <w:bookmarkEnd w:id="58"/>
    </w:p>
    <w:p w14:paraId="1BAC3100" w14:textId="77777777" w:rsidR="000E634D" w:rsidRPr="00DD47DF" w:rsidRDefault="00B25D99" w:rsidP="000E3FBB">
      <w:pPr>
        <w:pStyle w:val="Standardntext"/>
      </w:pPr>
      <w:r w:rsidRPr="00DD47DF">
        <w:t>Není relevantní pro OP PIK.</w:t>
      </w:r>
    </w:p>
    <w:p w14:paraId="37E08F3D" w14:textId="77777777" w:rsidR="000E3FBB" w:rsidRPr="00DD47DF" w:rsidRDefault="000E3FBB" w:rsidP="000E3FBB">
      <w:pPr>
        <w:pStyle w:val="Standardntext"/>
      </w:pPr>
      <w:r w:rsidRPr="00DD47DF">
        <w:t xml:space="preserve"> </w:t>
      </w:r>
      <w:r w:rsidRPr="00DD47DF">
        <w:br w:type="page"/>
      </w:r>
    </w:p>
    <w:p w14:paraId="3CE3E084" w14:textId="77777777" w:rsidR="008C7D72" w:rsidRPr="00DD47DF" w:rsidRDefault="008C7D72" w:rsidP="005F43DF">
      <w:pPr>
        <w:pStyle w:val="kapitola2A0"/>
        <w:numPr>
          <w:ilvl w:val="2"/>
          <w:numId w:val="17"/>
        </w:numPr>
      </w:pPr>
      <w:bookmarkStart w:id="60" w:name="_Toc351464389"/>
      <w:bookmarkStart w:id="61" w:name="_Toc129005396"/>
      <w:r w:rsidRPr="00DD47DF">
        <w:lastRenderedPageBreak/>
        <w:t>PRIORITNÍ OSA 3: Účinné nakládání energií, rozvoj energetické infrastruktury a obnovitelných zdrojů energie, podpora zavádění nových technologií v oblasti nakládání energií a druhotných surovin</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7D72" w:rsidRPr="00DD47DF" w14:paraId="685403FD" w14:textId="77777777">
        <w:tc>
          <w:tcPr>
            <w:tcW w:w="4736" w:type="pct"/>
            <w:shd w:val="clear" w:color="auto" w:fill="auto"/>
            <w:vAlign w:val="center"/>
          </w:tcPr>
          <w:p w14:paraId="0D28FB21" w14:textId="77777777" w:rsidR="008C7D72" w:rsidRPr="00DD47DF" w:rsidRDefault="008C7D72" w:rsidP="008C7D72">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7836C5ED"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r w:rsidR="008C7D72" w:rsidRPr="00DD47DF" w14:paraId="41106F6A" w14:textId="77777777">
        <w:tc>
          <w:tcPr>
            <w:tcW w:w="4736" w:type="pct"/>
            <w:shd w:val="clear" w:color="auto" w:fill="auto"/>
            <w:vAlign w:val="center"/>
          </w:tcPr>
          <w:p w14:paraId="7A29FA84" w14:textId="77777777" w:rsidR="008C7D72" w:rsidRPr="00DD47DF" w:rsidRDefault="008C7D72" w:rsidP="008C7D72">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377C9297"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r w:rsidR="008C7D72" w:rsidRPr="00DD47DF" w14:paraId="1137E97F" w14:textId="77777777">
        <w:tc>
          <w:tcPr>
            <w:tcW w:w="4736" w:type="pct"/>
            <w:shd w:val="clear" w:color="auto" w:fill="auto"/>
            <w:vAlign w:val="center"/>
          </w:tcPr>
          <w:p w14:paraId="2E8F1711" w14:textId="77777777" w:rsidR="008C7D72" w:rsidRPr="00DD47DF" w:rsidRDefault="008C7D72" w:rsidP="008C7D72">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4274ADAF" w14:textId="77777777" w:rsidR="008C7D72" w:rsidRPr="00DD47DF" w:rsidRDefault="002756E7" w:rsidP="008C7D72">
            <w:pPr>
              <w:pStyle w:val="Tabulka"/>
              <w:rPr>
                <w:rFonts w:cs="Calibri"/>
              </w:rPr>
            </w:pPr>
            <w:r w:rsidRPr="00DD47DF">
              <w:rPr>
                <w:rFonts w:cs="Calibri"/>
              </w:rPr>
              <w:fldChar w:fldCharType="begin">
                <w:ffData>
                  <w:name w:val="Check1"/>
                  <w:enabled/>
                  <w:calcOnExit w:val="0"/>
                  <w:checkBox>
                    <w:sizeAuto/>
                    <w:default w:val="0"/>
                  </w:checkBox>
                </w:ffData>
              </w:fldChar>
            </w:r>
            <w:r w:rsidR="008C7D72"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bl>
    <w:p w14:paraId="2905553A" w14:textId="77777777" w:rsidR="008C7D72" w:rsidRPr="00DD47DF" w:rsidRDefault="008C7D72" w:rsidP="005F43DF">
      <w:pPr>
        <w:pStyle w:val="kapitola2A0"/>
        <w:numPr>
          <w:ilvl w:val="2"/>
          <w:numId w:val="17"/>
        </w:numPr>
      </w:pPr>
      <w:bookmarkStart w:id="62" w:name="_Toc129005397"/>
      <w:r w:rsidRPr="00DD47DF">
        <w:t>Odůvodnění pro vytvoření prioritní osy, která zahrnuje více než jednu kategorii regionů nebo více než jeden tematický cíl či fond</w:t>
      </w:r>
      <w:bookmarkEnd w:id="62"/>
      <w:r w:rsidRPr="00DD47DF">
        <w:t xml:space="preserve"> </w:t>
      </w:r>
    </w:p>
    <w:p w14:paraId="4CA34C5D" w14:textId="77777777" w:rsidR="000B16DC" w:rsidRPr="00DD47DF" w:rsidRDefault="000B16DC" w:rsidP="000B16DC">
      <w:pPr>
        <w:pStyle w:val="Standardntext"/>
      </w:pPr>
      <w:r w:rsidRPr="00DD47DF">
        <w:t xml:space="preserve">V souladu s čl. 96 odst. 1 písm. c) kombinuje tato prioritní osa investiční priority z různých tematických cílů. Za základní tematický cíl této prioritní </w:t>
      </w:r>
      <w:r w:rsidR="00127389" w:rsidRPr="00DD47DF">
        <w:t xml:space="preserve">osy </w:t>
      </w:r>
      <w:r w:rsidRPr="00DD47DF">
        <w:t>lze považovat TC 4, který je doplněn investiční prioritou „zvyšování energetické účinnosti a zabezpečení dodávek prostřednictvím rozvoje inteligentních systémů pro distribuci, skladování a přenos energie a prostřednictvím integrace distribuované výroby z obnovitelných zdrojů“ v rámci TC 7.</w:t>
      </w:r>
    </w:p>
    <w:p w14:paraId="2FB571C4" w14:textId="77777777" w:rsidR="004C3774" w:rsidRPr="00DD47DF" w:rsidRDefault="00DA19E2" w:rsidP="004C3774">
      <w:pPr>
        <w:pStyle w:val="Standardntext"/>
      </w:pPr>
      <w:r w:rsidRPr="00DD47DF">
        <w:t>Řídící orgán přistoupil ke kombinaci tematických cílů TC 4 a TC 7 z důvodu potřeby komplexních intervencí v celé elektrizační soustavě (přenosová soustava a distribuční soustavy). Tento komplexní přístup přinese kvalitativně vyšší přínosy pro posílení bezpečnosti, spolehlivosti</w:t>
      </w:r>
      <w:r w:rsidR="00BA4E72" w:rsidRPr="00DD47DF">
        <w:t xml:space="preserve"> </w:t>
      </w:r>
      <w:r w:rsidRPr="00DD47DF">
        <w:t>a kvality dodávky elektrické energie a zároveň umožní dobudovat vnitřní trh s elektřinou, umožní integrac</w:t>
      </w:r>
      <w:r w:rsidR="009D1769" w:rsidRPr="00DD47DF">
        <w:t>i</w:t>
      </w:r>
      <w:r w:rsidRPr="00DD47DF">
        <w:t xml:space="preserve"> decentrálních zdrojů včetně OZE do distribučních soustav a efektivnější nakládání energií. Toto </w:t>
      </w:r>
      <w:r w:rsidR="009D1769" w:rsidRPr="00DD47DF">
        <w:t>komplexní</w:t>
      </w:r>
      <w:r w:rsidRPr="00DD47DF">
        <w:t xml:space="preserve"> řešení přinese vyšší kvalitu přínosů, než kdyby byly intervence realizovány pouze v oblasti distribuce či přenosu</w:t>
      </w:r>
      <w:r w:rsidR="00A72338" w:rsidRPr="00DD47DF">
        <w:t xml:space="preserve"> samostatně</w:t>
      </w:r>
      <w:r w:rsidRPr="00DD47DF">
        <w:t xml:space="preserve"> anebo by byly obě oblasti separátně podporovány z různých operačních programů.</w:t>
      </w:r>
    </w:p>
    <w:p w14:paraId="5EDA27D8" w14:textId="77777777" w:rsidR="008C7D72" w:rsidRPr="00DD47DF" w:rsidRDefault="008C7D72" w:rsidP="005F43DF">
      <w:pPr>
        <w:pStyle w:val="kapitola2A0"/>
        <w:numPr>
          <w:ilvl w:val="2"/>
          <w:numId w:val="17"/>
        </w:numPr>
      </w:pPr>
      <w:bookmarkStart w:id="63" w:name="_Toc129005398"/>
      <w:r w:rsidRPr="00DD47DF">
        <w:t>Fond, kategorie regionů a základ pro výpočet podpory Unie</w:t>
      </w:r>
      <w:bookmarkEnd w:id="63"/>
    </w:p>
    <w:p w14:paraId="723779C9" w14:textId="77777777" w:rsidR="008C7D72" w:rsidRPr="00DD47DF" w:rsidRDefault="008C7D72" w:rsidP="008C7D72">
      <w:pPr>
        <w:pStyle w:val="Standardntext"/>
      </w:pPr>
      <w:r w:rsidRPr="00DD47DF">
        <w:t>Fond: Evropský fond pro regionální rozvoj</w:t>
      </w:r>
    </w:p>
    <w:p w14:paraId="5547F893" w14:textId="77777777" w:rsidR="008C7D72" w:rsidRPr="00DD47DF" w:rsidRDefault="008C7D72" w:rsidP="008C7D72">
      <w:pPr>
        <w:pStyle w:val="Standardntext"/>
      </w:pPr>
      <w:r w:rsidRPr="00DD47DF">
        <w:t>Kategorie regionů: Méně rozvinuté regiony</w:t>
      </w:r>
    </w:p>
    <w:p w14:paraId="4517F040" w14:textId="77777777" w:rsidR="008C7D72" w:rsidRPr="00DD47DF" w:rsidRDefault="008668C8" w:rsidP="008C7D72">
      <w:pPr>
        <w:pStyle w:val="Standardntext"/>
      </w:pPr>
      <w:r w:rsidRPr="00DD47DF">
        <w:t xml:space="preserve">Základ pro výpočet: </w:t>
      </w:r>
      <w:r w:rsidR="009B6147" w:rsidRPr="00DD47DF">
        <w:t>celkové způsobilé výdaje</w:t>
      </w:r>
    </w:p>
    <w:p w14:paraId="4268A0B7" w14:textId="77777777" w:rsidR="008C7D72" w:rsidRPr="00DD47DF" w:rsidRDefault="008C7D72" w:rsidP="005F43DF">
      <w:pPr>
        <w:pStyle w:val="kapitola2A0"/>
        <w:numPr>
          <w:ilvl w:val="2"/>
          <w:numId w:val="17"/>
        </w:numPr>
      </w:pPr>
      <w:bookmarkStart w:id="64" w:name="_Toc129005399"/>
      <w:r w:rsidRPr="00DD47DF">
        <w:t xml:space="preserve">INVESTIČNÍ PRIORITA 1 prioritní osy </w:t>
      </w:r>
      <w:r w:rsidR="00AA66A2" w:rsidRPr="00DD47DF">
        <w:t>3</w:t>
      </w:r>
      <w:r w:rsidRPr="00DD47DF">
        <w:t xml:space="preserve">: Podpora výroby a distribuce energie </w:t>
      </w:r>
      <w:r w:rsidR="00AA66A2" w:rsidRPr="00DD47DF">
        <w:t>pocházející</w:t>
      </w:r>
      <w:r w:rsidRPr="00DD47DF">
        <w:t xml:space="preserve"> z obnovitelných zdrojů</w:t>
      </w:r>
      <w:bookmarkEnd w:id="64"/>
    </w:p>
    <w:p w14:paraId="42EA61AD" w14:textId="77777777" w:rsidR="00FB38B2" w:rsidRPr="00DD47DF" w:rsidRDefault="008C7D72" w:rsidP="005F43DF">
      <w:pPr>
        <w:pStyle w:val="kapitola2A0"/>
        <w:numPr>
          <w:ilvl w:val="2"/>
          <w:numId w:val="17"/>
        </w:numPr>
      </w:pPr>
      <w:bookmarkStart w:id="65" w:name="_Toc129005400"/>
      <w:r w:rsidRPr="00DD47DF">
        <w:t>Specifické cíle odpovídající investiční prioritě a očekávané výsledky</w:t>
      </w:r>
      <w:bookmarkEnd w:id="65"/>
    </w:p>
    <w:p w14:paraId="34B1F17B" w14:textId="77777777" w:rsidR="00EC0F1D" w:rsidRPr="00DD47DF" w:rsidRDefault="00EC0F1D" w:rsidP="00396141">
      <w:pPr>
        <w:pStyle w:val="Modrnadpis"/>
      </w:pPr>
      <w:r w:rsidRPr="00DD47DF">
        <w:t xml:space="preserve">SPECIFICKÝ CÍL </w:t>
      </w:r>
      <w:r w:rsidR="00C71E6F" w:rsidRPr="00DD47DF">
        <w:t>3.</w:t>
      </w:r>
      <w:r w:rsidRPr="00DD47DF">
        <w:t xml:space="preserve">1: </w:t>
      </w:r>
      <w:r w:rsidR="00B75515" w:rsidRPr="00DD47DF">
        <w:t>Zvýšit podíl výroby energie z obnovitelných zdrojů na hrubé konečné spotřebě ČR</w:t>
      </w:r>
    </w:p>
    <w:bookmarkEnd w:id="60"/>
    <w:p w14:paraId="2989C80A" w14:textId="77777777" w:rsidR="00047389" w:rsidRPr="00DD47DF" w:rsidRDefault="004B5246" w:rsidP="00B73547">
      <w:pPr>
        <w:pStyle w:val="Standardntext"/>
      </w:pPr>
      <w:r w:rsidRPr="00DD47DF">
        <w:t>V energetickém mixu Č</w:t>
      </w:r>
      <w:r w:rsidR="00E97809" w:rsidRPr="00DD47DF">
        <w:t>R</w:t>
      </w:r>
      <w:r w:rsidRPr="00DD47DF">
        <w:t xml:space="preserve"> hrají dlouhodobě nejvýznamnější roli klasické zdroje energie na úkor zdrojů moderních, obnovitelných, šetrných k životnímu prostředí.</w:t>
      </w:r>
      <w:r w:rsidR="00B73547" w:rsidRPr="00DD47DF">
        <w:t xml:space="preserve"> </w:t>
      </w:r>
      <w:r w:rsidRPr="00DD47DF">
        <w:t xml:space="preserve">Širšímu zavedení výroby energie z OZE brání vyšší nákladovost prvotní investice, která je stále vyšší než náklady na </w:t>
      </w:r>
      <w:r w:rsidR="00320FE6" w:rsidRPr="00DD47DF">
        <w:t>konvenční</w:t>
      </w:r>
      <w:r w:rsidRPr="00DD47DF">
        <w:t xml:space="preserve"> zdroje. </w:t>
      </w:r>
      <w:r w:rsidR="00510368" w:rsidRPr="00DD47DF">
        <w:t xml:space="preserve">Hlavním cílem je podpora </w:t>
      </w:r>
      <w:r w:rsidRPr="00DD47DF">
        <w:t>udržitelnosti české ekonomiky</w:t>
      </w:r>
      <w:r w:rsidR="00510368" w:rsidRPr="00DD47DF">
        <w:t xml:space="preserve"> prostřednictvím využívání </w:t>
      </w:r>
      <w:r w:rsidR="00E97809" w:rsidRPr="00DD47DF">
        <w:t>OZE</w:t>
      </w:r>
      <w:r w:rsidR="0056661C" w:rsidRPr="00DD47DF">
        <w:t xml:space="preserve"> s největší efektivitou a bez negativního vlivu na elektrizační soustavu.</w:t>
      </w:r>
    </w:p>
    <w:p w14:paraId="25CBDEA2" w14:textId="77777777" w:rsidR="003F4488" w:rsidRPr="00DD47DF" w:rsidRDefault="003508A9" w:rsidP="0056661C">
      <w:pPr>
        <w:pStyle w:val="Modrnadpis"/>
      </w:pPr>
      <w:r w:rsidRPr="00DD47DF">
        <w:lastRenderedPageBreak/>
        <w:t>Výsledky, kterých chce ČR dosáhnout s podporou Unie</w:t>
      </w:r>
    </w:p>
    <w:p w14:paraId="1928ACC5" w14:textId="77777777" w:rsidR="00DF4F92" w:rsidRPr="00DD47DF" w:rsidRDefault="001F2A61" w:rsidP="00D927A2">
      <w:pPr>
        <w:pStyle w:val="Standardntext"/>
        <w:numPr>
          <w:ilvl w:val="0"/>
          <w:numId w:val="38"/>
        </w:numPr>
      </w:pPr>
      <w:r w:rsidRPr="00DD47DF">
        <w:t>Pří</w:t>
      </w:r>
      <w:r w:rsidR="00DF4F92" w:rsidRPr="00DD47DF">
        <w:t>sp</w:t>
      </w:r>
      <w:r w:rsidRPr="00DD47DF">
        <w:t>ěvek</w:t>
      </w:r>
      <w:r w:rsidR="00DF4F92" w:rsidRPr="00DD47DF">
        <w:t xml:space="preserve"> k naplnění cíle </w:t>
      </w:r>
      <w:r w:rsidR="003A5BAE" w:rsidRPr="00DD47DF">
        <w:t>dosáhnout podílu energie z OZE na hrubé koneč</w:t>
      </w:r>
      <w:r w:rsidR="00D95417" w:rsidRPr="00DD47DF">
        <w:t>né spotřebě energie ve výši 13</w:t>
      </w:r>
      <w:r w:rsidR="003A5BAE" w:rsidRPr="00DD47DF">
        <w:t xml:space="preserve"> % do r. 2020</w:t>
      </w:r>
      <w:r w:rsidR="00DF4F92" w:rsidRPr="00DD47DF">
        <w:t>.</w:t>
      </w:r>
      <w:r w:rsidR="004B5246" w:rsidRPr="00DD47DF">
        <w:t xml:space="preserve"> S tím souvisí snížení spotřeby primárních zdrojů.</w:t>
      </w:r>
    </w:p>
    <w:p w14:paraId="4878B2B8" w14:textId="77777777" w:rsidR="0056661C" w:rsidRPr="00DD47DF" w:rsidRDefault="0056661C" w:rsidP="00D927A2">
      <w:pPr>
        <w:pStyle w:val="Standardntext"/>
        <w:numPr>
          <w:ilvl w:val="0"/>
          <w:numId w:val="38"/>
        </w:numPr>
      </w:pPr>
      <w:r w:rsidRPr="00DD47DF">
        <w:t>Zvýšení efektivnosti využití všech typů energetických zdrojů OZE relevantních pro ČR.</w:t>
      </w:r>
    </w:p>
    <w:p w14:paraId="596D1CAD" w14:textId="77777777" w:rsidR="00510368" w:rsidRPr="00DD47DF" w:rsidRDefault="00510368" w:rsidP="00D927A2">
      <w:pPr>
        <w:pStyle w:val="Standardntext"/>
        <w:numPr>
          <w:ilvl w:val="0"/>
          <w:numId w:val="38"/>
        </w:numPr>
      </w:pPr>
      <w:r w:rsidRPr="00DD47DF">
        <w:t>Sníž</w:t>
      </w:r>
      <w:r w:rsidR="004B5246" w:rsidRPr="00DD47DF">
        <w:t>ení</w:t>
      </w:r>
      <w:r w:rsidRPr="00DD47DF">
        <w:t xml:space="preserve"> dovozní závislost</w:t>
      </w:r>
      <w:r w:rsidR="004B5246" w:rsidRPr="00DD47DF">
        <w:t>i</w:t>
      </w:r>
      <w:r w:rsidRPr="00DD47DF">
        <w:t xml:space="preserve"> na palivech z geopoliticky nestabilních regionů.</w:t>
      </w:r>
    </w:p>
    <w:p w14:paraId="49F1FEE6" w14:textId="77777777" w:rsidR="00510368" w:rsidRPr="00DD47DF" w:rsidRDefault="00510368" w:rsidP="00D927A2">
      <w:pPr>
        <w:pStyle w:val="Standardntext"/>
        <w:numPr>
          <w:ilvl w:val="0"/>
          <w:numId w:val="38"/>
        </w:numPr>
      </w:pPr>
      <w:r w:rsidRPr="00DD47DF">
        <w:t>Rozvoj podnikatelských aktivit v dodavatelském řetězci od vývoje, výroby, přes instalaci zdroje energie až po výrobu energie.</w:t>
      </w:r>
    </w:p>
    <w:p w14:paraId="63CCA687" w14:textId="77777777" w:rsidR="00320FE6" w:rsidRPr="00DD47DF" w:rsidRDefault="00320FE6" w:rsidP="00D927A2">
      <w:pPr>
        <w:pStyle w:val="Standardntext"/>
        <w:numPr>
          <w:ilvl w:val="0"/>
          <w:numId w:val="38"/>
        </w:numPr>
      </w:pPr>
      <w:r w:rsidRPr="00DD47DF">
        <w:t>Pozitivní dopad využívání OZE na životní prostředí a ochranu klimatu, např. v podobě snížení emisí skleníkových plynů.</w:t>
      </w:r>
    </w:p>
    <w:p w14:paraId="3D1D753D" w14:textId="77777777" w:rsidR="00002031" w:rsidRPr="00DD47DF" w:rsidRDefault="00002031" w:rsidP="00C71E6F">
      <w:pPr>
        <w:pStyle w:val="Titulek"/>
        <w:keepNext/>
        <w:keepLines/>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909"/>
        <w:gridCol w:w="1533"/>
        <w:gridCol w:w="1003"/>
        <w:gridCol w:w="1207"/>
        <w:gridCol w:w="885"/>
        <w:gridCol w:w="873"/>
        <w:gridCol w:w="1017"/>
        <w:gridCol w:w="901"/>
        <w:gridCol w:w="998"/>
      </w:tblGrid>
      <w:tr w:rsidR="00CF739D" w:rsidRPr="00DD47DF" w14:paraId="5A12D6BF" w14:textId="77777777" w:rsidTr="008F259C">
        <w:trPr>
          <w:trHeight w:hRule="exact" w:val="1297"/>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278A17" w14:textId="77777777" w:rsidR="00CF739D" w:rsidRPr="00DD47DF" w:rsidRDefault="00CF739D" w:rsidP="00CF739D">
            <w:pPr>
              <w:pStyle w:val="Tabulka"/>
              <w:keepNext/>
              <w:keepLines/>
              <w:rPr>
                <w:rFonts w:cs="Calibri"/>
                <w:b/>
                <w:bCs/>
              </w:rPr>
            </w:pPr>
            <w:r w:rsidRPr="00DD47DF">
              <w:rPr>
                <w:rFonts w:cs="Calibri"/>
                <w:b/>
                <w:bCs/>
              </w:rPr>
              <w:t>ID</w:t>
            </w:r>
          </w:p>
        </w:tc>
        <w:tc>
          <w:tcPr>
            <w:tcW w:w="82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DE96188" w14:textId="77777777" w:rsidR="00CF739D" w:rsidRPr="00DD47DF" w:rsidRDefault="00CF739D" w:rsidP="00CF739D">
            <w:pPr>
              <w:pStyle w:val="Tabulka"/>
              <w:keepNext/>
              <w:keepLines/>
              <w:rPr>
                <w:rFonts w:cs="Calibri"/>
                <w:b/>
                <w:bCs/>
              </w:rPr>
            </w:pPr>
            <w:r w:rsidRPr="00DD47DF">
              <w:rPr>
                <w:rFonts w:cs="Calibri"/>
                <w:b/>
                <w:bCs/>
              </w:rPr>
              <w:t>Ukazatel</w:t>
            </w:r>
          </w:p>
        </w:tc>
        <w:tc>
          <w:tcPr>
            <w:tcW w:w="53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D4F7BB1" w14:textId="77777777" w:rsidR="00CF739D" w:rsidRPr="00DD47DF" w:rsidRDefault="00CF739D" w:rsidP="00CF739D">
            <w:pPr>
              <w:pStyle w:val="Tabulka"/>
              <w:keepNext/>
              <w:keepLines/>
              <w:rPr>
                <w:rFonts w:cs="Calibri"/>
                <w:b/>
                <w:bCs/>
              </w:rPr>
            </w:pPr>
            <w:r w:rsidRPr="00DD47DF">
              <w:rPr>
                <w:rFonts w:cs="Calibri"/>
                <w:b/>
                <w:bCs/>
              </w:rPr>
              <w:t>Měrná</w:t>
            </w:r>
          </w:p>
          <w:p w14:paraId="2D49149C" w14:textId="77777777" w:rsidR="00CF739D" w:rsidRPr="00DD47DF" w:rsidRDefault="00CF739D" w:rsidP="00CF739D">
            <w:pPr>
              <w:pStyle w:val="Tabulka"/>
              <w:keepNext/>
              <w:keepLines/>
              <w:rPr>
                <w:rFonts w:cs="Calibri"/>
                <w:b/>
                <w:bCs/>
              </w:rPr>
            </w:pPr>
            <w:r w:rsidRPr="00DD47DF">
              <w:rPr>
                <w:rFonts w:cs="Calibri"/>
                <w:b/>
                <w:bCs/>
              </w:rPr>
              <w:t>jednotka</w:t>
            </w:r>
          </w:p>
        </w:tc>
        <w:tc>
          <w:tcPr>
            <w:tcW w:w="64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7A8804F" w14:textId="77777777" w:rsidR="00CF739D" w:rsidRPr="00DD47DF" w:rsidRDefault="00CF739D" w:rsidP="00CF739D">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64F3628" w14:textId="77777777" w:rsidR="00CF739D" w:rsidRPr="00DD47DF" w:rsidRDefault="004B0854" w:rsidP="00CF739D">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7DD861A"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54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86E9107" w14:textId="77777777" w:rsidR="00CF739D" w:rsidRPr="00DD47DF" w:rsidRDefault="00CF739D" w:rsidP="00CF739D">
            <w:pPr>
              <w:pStyle w:val="Tabulka"/>
              <w:keepNext/>
              <w:keepLines/>
              <w:rPr>
                <w:rFonts w:cs="Calibri"/>
                <w:b/>
                <w:bCs/>
              </w:rPr>
            </w:pPr>
            <w:r w:rsidRPr="00DD47DF">
              <w:rPr>
                <w:rFonts w:cs="Calibri"/>
                <w:b/>
                <w:bCs/>
              </w:rPr>
              <w:t>Cílová hodnota (2023)</w:t>
            </w:r>
          </w:p>
        </w:tc>
        <w:tc>
          <w:tcPr>
            <w:tcW w:w="48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4BE7D82" w14:textId="77777777" w:rsidR="00CF739D" w:rsidRPr="00DD47DF" w:rsidRDefault="00CF739D" w:rsidP="00CF739D">
            <w:pPr>
              <w:pStyle w:val="Tabulka"/>
              <w:keepNext/>
              <w:keepLines/>
              <w:rPr>
                <w:rFonts w:cs="Calibri"/>
                <w:b/>
                <w:bCs/>
              </w:rPr>
            </w:pPr>
            <w:r w:rsidRPr="00DD47DF">
              <w:rPr>
                <w:rFonts w:cs="Calibri"/>
                <w:b/>
                <w:bCs/>
              </w:rPr>
              <w:t>Zdroj údajů</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AE18E0A" w14:textId="77777777" w:rsidR="00CF739D" w:rsidRPr="00DD47DF" w:rsidRDefault="00CF739D" w:rsidP="00CF739D">
            <w:pPr>
              <w:pStyle w:val="Tabulka"/>
              <w:keepNext/>
              <w:keepLines/>
              <w:rPr>
                <w:rFonts w:cs="Calibri"/>
                <w:b/>
                <w:bCs/>
              </w:rPr>
            </w:pPr>
            <w:r w:rsidRPr="00DD47DF">
              <w:rPr>
                <w:rFonts w:cs="Calibri"/>
                <w:b/>
                <w:bCs/>
              </w:rPr>
              <w:t>Četnost podávání zpráv</w:t>
            </w:r>
          </w:p>
        </w:tc>
      </w:tr>
      <w:tr w:rsidR="00B75CCB" w:rsidRPr="00DD47DF" w14:paraId="648B029E" w14:textId="77777777" w:rsidTr="008F259C">
        <w:trPr>
          <w:trHeight w:hRule="exact" w:val="1751"/>
        </w:trPr>
        <w:tc>
          <w:tcPr>
            <w:tcW w:w="487" w:type="pct"/>
            <w:tcBorders>
              <w:top w:val="single" w:sz="4" w:space="0" w:color="000000"/>
              <w:left w:val="single" w:sz="4" w:space="0" w:color="000000"/>
              <w:bottom w:val="single" w:sz="4" w:space="0" w:color="000000"/>
              <w:right w:val="single" w:sz="4" w:space="0" w:color="000000"/>
            </w:tcBorders>
            <w:vAlign w:val="center"/>
          </w:tcPr>
          <w:p w14:paraId="1FC5314F" w14:textId="77777777" w:rsidR="00B75CCB" w:rsidRPr="00DD47DF" w:rsidRDefault="0061119C" w:rsidP="00C71E6F">
            <w:pPr>
              <w:pStyle w:val="Tabulka"/>
              <w:keepNext/>
              <w:keepLines/>
              <w:rPr>
                <w:rFonts w:cs="Calibri"/>
              </w:rPr>
            </w:pPr>
            <w:r w:rsidRPr="00DD47DF">
              <w:rPr>
                <w:rFonts w:cs="Calibri"/>
              </w:rPr>
              <w:t>33910</w:t>
            </w:r>
          </w:p>
        </w:tc>
        <w:tc>
          <w:tcPr>
            <w:tcW w:w="822" w:type="pct"/>
            <w:tcBorders>
              <w:top w:val="single" w:sz="4" w:space="0" w:color="000000"/>
              <w:left w:val="single" w:sz="4" w:space="0" w:color="000000"/>
              <w:bottom w:val="single" w:sz="4" w:space="0" w:color="000000"/>
              <w:right w:val="single" w:sz="4" w:space="0" w:color="000000"/>
            </w:tcBorders>
            <w:vAlign w:val="center"/>
          </w:tcPr>
          <w:p w14:paraId="6B0167F5" w14:textId="77777777" w:rsidR="00B75CCB" w:rsidRPr="00DD47DF" w:rsidRDefault="00B75CCB" w:rsidP="00C71E6F">
            <w:pPr>
              <w:pStyle w:val="Tabulka"/>
              <w:keepNext/>
              <w:keepLines/>
              <w:jc w:val="left"/>
              <w:rPr>
                <w:rFonts w:cs="Calibri"/>
              </w:rPr>
            </w:pPr>
            <w:r w:rsidRPr="00DD47DF">
              <w:rPr>
                <w:rFonts w:cs="Calibri"/>
              </w:rPr>
              <w:t>Celkový instalovaný výkon</w:t>
            </w:r>
            <w:r w:rsidR="009F214F" w:rsidRPr="00DD47DF">
              <w:rPr>
                <w:rFonts w:cs="Calibri"/>
              </w:rPr>
              <w:t xml:space="preserve"> z OZE</w:t>
            </w:r>
          </w:p>
        </w:tc>
        <w:tc>
          <w:tcPr>
            <w:tcW w:w="538" w:type="pct"/>
            <w:tcBorders>
              <w:top w:val="single" w:sz="4" w:space="0" w:color="000000"/>
              <w:left w:val="single" w:sz="4" w:space="0" w:color="000000"/>
              <w:bottom w:val="single" w:sz="4" w:space="0" w:color="000000"/>
              <w:right w:val="single" w:sz="4" w:space="0" w:color="000000"/>
            </w:tcBorders>
            <w:vAlign w:val="center"/>
          </w:tcPr>
          <w:p w14:paraId="2FFE0E0D" w14:textId="77777777" w:rsidR="00B75CCB" w:rsidRPr="00DD47DF" w:rsidRDefault="00B75CCB" w:rsidP="00C71E6F">
            <w:pPr>
              <w:pStyle w:val="Tabulka"/>
              <w:keepNext/>
              <w:keepLines/>
              <w:rPr>
                <w:rFonts w:cs="Calibri"/>
              </w:rPr>
            </w:pPr>
            <w:r w:rsidRPr="00DD47DF">
              <w:rPr>
                <w:rFonts w:cs="Calibri"/>
              </w:rPr>
              <w:t>MW</w:t>
            </w:r>
          </w:p>
        </w:tc>
        <w:tc>
          <w:tcPr>
            <w:tcW w:w="647" w:type="pct"/>
            <w:tcBorders>
              <w:top w:val="single" w:sz="4" w:space="0" w:color="000000"/>
              <w:left w:val="single" w:sz="4" w:space="0" w:color="000000"/>
              <w:bottom w:val="single" w:sz="4" w:space="0" w:color="000000"/>
              <w:right w:val="single" w:sz="4" w:space="0" w:color="000000"/>
            </w:tcBorders>
            <w:vAlign w:val="center"/>
          </w:tcPr>
          <w:p w14:paraId="406DDFDD" w14:textId="77777777" w:rsidR="00B75CCB" w:rsidRPr="00DD47DF" w:rsidRDefault="00B75CCB" w:rsidP="00C71E6F">
            <w:pPr>
              <w:pStyle w:val="Tabulka"/>
              <w:keepNext/>
              <w:keepLines/>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523204A4" w14:textId="77777777" w:rsidR="00B75CCB" w:rsidRPr="00DD47DF" w:rsidRDefault="00B75CCB" w:rsidP="00C71E6F">
            <w:pPr>
              <w:pStyle w:val="Tabulka"/>
              <w:keepNext/>
              <w:keepLines/>
              <w:rPr>
                <w:rFonts w:cs="Calibri"/>
              </w:rPr>
            </w:pPr>
            <w:r w:rsidRPr="00DD47DF">
              <w:rPr>
                <w:rFonts w:cs="Calibri"/>
              </w:rPr>
              <w:t>667,1</w:t>
            </w:r>
          </w:p>
        </w:tc>
        <w:tc>
          <w:tcPr>
            <w:tcW w:w="468" w:type="pct"/>
            <w:tcBorders>
              <w:top w:val="single" w:sz="4" w:space="0" w:color="000000"/>
              <w:left w:val="single" w:sz="4" w:space="0" w:color="000000"/>
              <w:bottom w:val="single" w:sz="4" w:space="0" w:color="000000"/>
              <w:right w:val="single" w:sz="4" w:space="0" w:color="000000"/>
            </w:tcBorders>
            <w:vAlign w:val="center"/>
          </w:tcPr>
          <w:p w14:paraId="63E8DBDF" w14:textId="77777777" w:rsidR="00B75CCB" w:rsidRPr="00DD47DF" w:rsidRDefault="005C7984" w:rsidP="00C71E6F">
            <w:pPr>
              <w:pStyle w:val="Tabulka"/>
              <w:keepNext/>
              <w:keepLines/>
              <w:rPr>
                <w:rFonts w:cs="Calibri"/>
              </w:rPr>
            </w:pPr>
            <w:r w:rsidRPr="00DD47DF">
              <w:rPr>
                <w:rFonts w:cs="Calibri"/>
              </w:rPr>
              <w:t>2013</w:t>
            </w:r>
          </w:p>
        </w:tc>
        <w:tc>
          <w:tcPr>
            <w:tcW w:w="545" w:type="pct"/>
            <w:tcBorders>
              <w:top w:val="single" w:sz="4" w:space="0" w:color="000000"/>
              <w:left w:val="single" w:sz="4" w:space="0" w:color="000000"/>
              <w:bottom w:val="single" w:sz="4" w:space="0" w:color="000000"/>
              <w:right w:val="single" w:sz="4" w:space="0" w:color="000000"/>
            </w:tcBorders>
            <w:vAlign w:val="center"/>
          </w:tcPr>
          <w:p w14:paraId="7747E11C" w14:textId="77777777" w:rsidR="00B75CCB" w:rsidRPr="00DD47DF" w:rsidRDefault="00D92892" w:rsidP="00C71E6F">
            <w:pPr>
              <w:pStyle w:val="Tabulka"/>
              <w:keepNext/>
              <w:keepLines/>
              <w:rPr>
                <w:rFonts w:cs="Calibri"/>
              </w:rPr>
            </w:pPr>
            <w:r w:rsidRPr="00DD47DF">
              <w:rPr>
                <w:rFonts w:cs="Calibri"/>
              </w:rPr>
              <w:t>720</w:t>
            </w:r>
          </w:p>
        </w:tc>
        <w:tc>
          <w:tcPr>
            <w:tcW w:w="483" w:type="pct"/>
            <w:tcBorders>
              <w:top w:val="single" w:sz="4" w:space="0" w:color="000000"/>
              <w:left w:val="single" w:sz="4" w:space="0" w:color="000000"/>
              <w:bottom w:val="single" w:sz="4" w:space="0" w:color="000000"/>
              <w:right w:val="single" w:sz="4" w:space="0" w:color="000000"/>
            </w:tcBorders>
            <w:vAlign w:val="center"/>
          </w:tcPr>
          <w:p w14:paraId="1B93ECFB" w14:textId="77777777" w:rsidR="00B75CCB" w:rsidRPr="00DD47DF" w:rsidRDefault="00B75CCB" w:rsidP="00AB615E">
            <w:pPr>
              <w:pStyle w:val="Tabulka"/>
              <w:keepNext/>
              <w:keepLines/>
              <w:rPr>
                <w:rFonts w:cs="Calibri"/>
              </w:rPr>
            </w:pPr>
            <w:r w:rsidRPr="00DD47DF">
              <w:rPr>
                <w:rFonts w:cs="Calibri"/>
              </w:rPr>
              <w:t>MPO</w:t>
            </w:r>
          </w:p>
        </w:tc>
        <w:tc>
          <w:tcPr>
            <w:tcW w:w="535" w:type="pct"/>
            <w:tcBorders>
              <w:top w:val="single" w:sz="4" w:space="0" w:color="000000"/>
              <w:left w:val="single" w:sz="4" w:space="0" w:color="000000"/>
              <w:bottom w:val="single" w:sz="4" w:space="0" w:color="000000"/>
              <w:right w:val="single" w:sz="4" w:space="0" w:color="000000"/>
            </w:tcBorders>
            <w:vAlign w:val="center"/>
          </w:tcPr>
          <w:p w14:paraId="14F70BC3" w14:textId="77777777" w:rsidR="00B75CCB" w:rsidRPr="00DD47DF" w:rsidRDefault="00B75CCB" w:rsidP="00C71E6F">
            <w:pPr>
              <w:pStyle w:val="Tabulka"/>
              <w:keepNext/>
              <w:keepLines/>
              <w:rPr>
                <w:rFonts w:cs="Calibri"/>
              </w:rPr>
            </w:pPr>
            <w:r w:rsidRPr="00DD47DF">
              <w:rPr>
                <w:rFonts w:cs="Calibri"/>
              </w:rPr>
              <w:t>ročně</w:t>
            </w:r>
          </w:p>
        </w:tc>
      </w:tr>
    </w:tbl>
    <w:p w14:paraId="43F04BE1" w14:textId="77777777" w:rsidR="00B5004C" w:rsidRPr="00DD47DF" w:rsidRDefault="001B2E5C" w:rsidP="005F43DF">
      <w:pPr>
        <w:pStyle w:val="kapitola2A0"/>
        <w:numPr>
          <w:ilvl w:val="2"/>
          <w:numId w:val="17"/>
        </w:numPr>
      </w:pPr>
      <w:bookmarkStart w:id="66" w:name="_Toc129005401"/>
      <w:r w:rsidRPr="00DD47DF">
        <w:t>Opatření, jež má být podpořeno v rámci investiční priority</w:t>
      </w:r>
      <w:bookmarkEnd w:id="66"/>
    </w:p>
    <w:p w14:paraId="749BC077" w14:textId="77777777" w:rsidR="00B5004C" w:rsidRPr="00DD47DF" w:rsidRDefault="00D479AF" w:rsidP="005F43DF">
      <w:pPr>
        <w:pStyle w:val="Nadpis5"/>
        <w:numPr>
          <w:ilvl w:val="4"/>
          <w:numId w:val="18"/>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16338B3F" w14:textId="77777777" w:rsidR="00B5004C" w:rsidRPr="00DD47DF" w:rsidRDefault="000A2EB4" w:rsidP="00DF4F92">
      <w:pPr>
        <w:pStyle w:val="Standardntext"/>
        <w:rPr>
          <w:b/>
        </w:rPr>
      </w:pPr>
      <w:r w:rsidRPr="00DD47DF">
        <w:rPr>
          <w:b/>
        </w:rPr>
        <w:t>Aktivity pro tento specifický cíl:</w:t>
      </w:r>
    </w:p>
    <w:p w14:paraId="5271A6A9" w14:textId="763EA3CC" w:rsidR="00B36879" w:rsidRPr="00DD47DF" w:rsidRDefault="003E3D99" w:rsidP="00D927A2">
      <w:pPr>
        <w:pStyle w:val="Standardntext"/>
        <w:numPr>
          <w:ilvl w:val="0"/>
          <w:numId w:val="43"/>
        </w:numPr>
      </w:pPr>
      <w:r w:rsidRPr="00DD47DF">
        <w:t xml:space="preserve">Výstavba nových a rekonstrukce </w:t>
      </w:r>
      <w:r w:rsidR="00305CD5" w:rsidRPr="00DD47DF">
        <w:t xml:space="preserve">/ </w:t>
      </w:r>
      <w:r w:rsidRPr="00DD47DF">
        <w:t>modernizace stávajících výroben elektřiny a tepla z OZE</w:t>
      </w:r>
      <w:r w:rsidR="00B36879" w:rsidRPr="00DD47DF">
        <w:t>; z</w:t>
      </w:r>
      <w:r w:rsidRPr="00DD47DF">
        <w:t>ejména se bude jednat o</w:t>
      </w:r>
      <w:r w:rsidR="00B36879" w:rsidRPr="00DD47DF">
        <w:t>:</w:t>
      </w:r>
    </w:p>
    <w:p w14:paraId="6D1372C4" w14:textId="77777777" w:rsidR="00B36879" w:rsidRPr="00DD47DF" w:rsidRDefault="00B36879" w:rsidP="00D927A2">
      <w:pPr>
        <w:pStyle w:val="Standardntext"/>
        <w:numPr>
          <w:ilvl w:val="1"/>
          <w:numId w:val="43"/>
        </w:numPr>
      </w:pPr>
      <w:r w:rsidRPr="00DD47DF">
        <w:t xml:space="preserve">podporu výstavby a rekonstrukce </w:t>
      </w:r>
      <w:r w:rsidR="00305CD5" w:rsidRPr="00DD47DF">
        <w:t>/ </w:t>
      </w:r>
      <w:r w:rsidRPr="00DD47DF">
        <w:t xml:space="preserve">modernizace </w:t>
      </w:r>
      <w:r w:rsidR="0036276B" w:rsidRPr="00DD47DF">
        <w:t xml:space="preserve">malých </w:t>
      </w:r>
      <w:r w:rsidRPr="00DD47DF">
        <w:t>vodních elektráren</w:t>
      </w:r>
      <w:r w:rsidR="00305CD5" w:rsidRPr="00DD47DF">
        <w:t xml:space="preserve"> (do 10 MWe instalovaného výkonu)</w:t>
      </w:r>
      <w:r w:rsidRPr="00DD47DF">
        <w:t>,</w:t>
      </w:r>
    </w:p>
    <w:p w14:paraId="1E26AD16" w14:textId="77777777" w:rsidR="00B36879" w:rsidRPr="00DD47DF" w:rsidRDefault="0036276B" w:rsidP="00D927A2">
      <w:pPr>
        <w:pStyle w:val="Standardntext"/>
        <w:numPr>
          <w:ilvl w:val="1"/>
          <w:numId w:val="43"/>
        </w:numPr>
      </w:pPr>
      <w:r w:rsidRPr="00DD47DF">
        <w:t>vyvedení tepla ze stávajících bioplynových stanic pomocí tepelných rozvodných zařízení do místa spotřeby, instalac</w:t>
      </w:r>
      <w:r w:rsidR="00B36879" w:rsidRPr="00DD47DF">
        <w:t>e</w:t>
      </w:r>
      <w:r w:rsidRPr="00DD47DF">
        <w:t xml:space="preserve"> vzdálené kogenerační jednotky využívající bioplyn ze stávající bioplynové stanice za účelem využití užitečného tepla v soustavě zásobování teplem či ji</w:t>
      </w:r>
      <w:r w:rsidR="00B36879" w:rsidRPr="00DD47DF">
        <w:t>ným vysoce efektivním způsobem,</w:t>
      </w:r>
    </w:p>
    <w:p w14:paraId="58A42811" w14:textId="77777777" w:rsidR="00553F65" w:rsidRDefault="0036276B" w:rsidP="00D927A2">
      <w:pPr>
        <w:pStyle w:val="Standardntext"/>
        <w:numPr>
          <w:ilvl w:val="1"/>
          <w:numId w:val="43"/>
        </w:numPr>
      </w:pPr>
      <w:r w:rsidRPr="00DD47DF">
        <w:t>výstavb</w:t>
      </w:r>
      <w:r w:rsidR="00B36879" w:rsidRPr="00DD47DF">
        <w:t>u</w:t>
      </w:r>
      <w:r w:rsidRPr="00DD47DF">
        <w:t xml:space="preserve"> a rekonstrukc</w:t>
      </w:r>
      <w:r w:rsidR="00B36879" w:rsidRPr="00DD47DF">
        <w:t>i</w:t>
      </w:r>
      <w:r w:rsidRPr="00DD47DF">
        <w:t xml:space="preserve"> zdrojů tepla a kombinované výroby elektřiny a tepla z</w:t>
      </w:r>
      <w:r w:rsidR="00A5734F" w:rsidRPr="00DD47DF">
        <w:t> </w:t>
      </w:r>
      <w:r w:rsidRPr="00DD47DF">
        <w:t>biomasy</w:t>
      </w:r>
      <w:r w:rsidR="00A5734F" w:rsidRPr="00DD47DF">
        <w:t xml:space="preserve"> a vyvedení tepla</w:t>
      </w:r>
      <w:r w:rsidR="00553F65">
        <w:t>,</w:t>
      </w:r>
    </w:p>
    <w:p w14:paraId="3DC31295" w14:textId="77777777" w:rsidR="00553F65" w:rsidRDefault="00553F65" w:rsidP="00553F65">
      <w:pPr>
        <w:pStyle w:val="Standardntext"/>
        <w:numPr>
          <w:ilvl w:val="1"/>
          <w:numId w:val="43"/>
        </w:numPr>
      </w:pPr>
      <w:r>
        <w:t>instalace solárních kolektorů a tepelných čerpadel,</w:t>
      </w:r>
    </w:p>
    <w:p w14:paraId="4CCADD6A" w14:textId="1EDA534F" w:rsidR="00B5004C" w:rsidRPr="00DD47DF" w:rsidRDefault="00553F65" w:rsidP="00553F65">
      <w:pPr>
        <w:pStyle w:val="Standardntext"/>
        <w:numPr>
          <w:ilvl w:val="1"/>
          <w:numId w:val="43"/>
        </w:numPr>
      </w:pPr>
      <w:r>
        <w:lastRenderedPageBreak/>
        <w:t>podpora výstavby větrných elektráren.</w:t>
      </w:r>
    </w:p>
    <w:p w14:paraId="1D9CFCBC" w14:textId="77777777" w:rsidR="001B4E71" w:rsidRPr="00DD47DF" w:rsidRDefault="00A72338" w:rsidP="00E00F77">
      <w:pPr>
        <w:pStyle w:val="Standardntext"/>
      </w:pPr>
      <w:r w:rsidRPr="00DD47DF">
        <w:t>V kontextu</w:t>
      </w:r>
      <w:r w:rsidR="009D1769" w:rsidRPr="00DD47DF">
        <w:t xml:space="preserve"> zkušeností získaných v programovacím období 2007 – 2013 v</w:t>
      </w:r>
      <w:r w:rsidRPr="00DD47DF">
        <w:t xml:space="preserve"> oblasti podpory obnovitelných zdrojů energie jsou podporované aktivity zaměřeny zejména na zdroje se stabilní dodávkou energie, maximálně efektivním poměrem nákladů k vyrobené energii, a to s ohledem na potenciál klimatických podmínek v ČR. Dále je kladen důraz na aplikaci vysokoúčinné kombinované výroby elektřiny a tepla s maximálně efektivním využitím tepelné energie. Půjde o menší až střední zařízení</w:t>
      </w:r>
      <w:r w:rsidR="001B4E71" w:rsidRPr="00DD47DF">
        <w:t xml:space="preserve"> s maximálním instalovaným výkonem do </w:t>
      </w:r>
      <w:r w:rsidR="00453052" w:rsidRPr="00DD47DF">
        <w:t>1</w:t>
      </w:r>
      <w:r w:rsidR="001B4E71" w:rsidRPr="00DD47DF">
        <w:t>0 MW</w:t>
      </w:r>
      <w:r w:rsidRPr="00DD47DF">
        <w:t>, kter</w:t>
      </w:r>
      <w:r w:rsidR="00435AB7" w:rsidRPr="00DD47DF">
        <w:t>á</w:t>
      </w:r>
      <w:r w:rsidRPr="00DD47DF">
        <w:t xml:space="preserve"> respektuj</w:t>
      </w:r>
      <w:r w:rsidR="00435AB7" w:rsidRPr="00DD47DF">
        <w:t>í</w:t>
      </w:r>
      <w:r w:rsidRPr="00DD47DF">
        <w:t xml:space="preserve"> potenciál biomasy v daném regionu</w:t>
      </w:r>
      <w:r w:rsidR="00435AB7" w:rsidRPr="00DD47DF">
        <w:t xml:space="preserve"> v souladu s udržitelností zdrojů a ochranou přírody a krajiny (např. malé městské či komunitní zdroje tepla)</w:t>
      </w:r>
      <w:r w:rsidRPr="00DD47DF">
        <w:t xml:space="preserve">. </w:t>
      </w:r>
      <w:r w:rsidR="001B4E71" w:rsidRPr="00DD47DF">
        <w:t>Nicméně v </w:t>
      </w:r>
      <w:r w:rsidR="00622C4A" w:rsidRPr="00DD47DF">
        <w:t>relevantních</w:t>
      </w:r>
      <w:r w:rsidR="001B4E71" w:rsidRPr="00DD47DF">
        <w:t xml:space="preserve"> případech budou podporovány i zdroje </w:t>
      </w:r>
      <w:r w:rsidR="0020357B" w:rsidRPr="00DD47DF">
        <w:t>na monovýrobu tepla bez kombinované výroby elektřiny a tepla.  (Malé instalace, kde nelze již technicky instalovat parní turbínu ani turbínu ORC. Současně také v lokalitě nemusí být zajištěn celoročně dostatečný odběr tepla, tudíž provoz v kombinované výrobě v letních měsících by byl neefektivní.)</w:t>
      </w:r>
      <w:r w:rsidR="001B4E71" w:rsidRPr="00DD47DF">
        <w:t>.</w:t>
      </w:r>
    </w:p>
    <w:p w14:paraId="2A9867E1" w14:textId="77777777" w:rsidR="00F41B56" w:rsidRPr="00DD47DF" w:rsidRDefault="00F41B56" w:rsidP="00E00F77">
      <w:pPr>
        <w:pStyle w:val="Standardntext"/>
      </w:pPr>
      <w:r w:rsidRPr="00DD47DF">
        <w:t xml:space="preserve">Typovým projektem v rámci tohoto specifického cíle bude např. výstavba malé vodní elektrárny, či </w:t>
      </w:r>
      <w:r w:rsidR="00A72338" w:rsidRPr="00DD47DF">
        <w:t>teplárny</w:t>
      </w:r>
      <w:r w:rsidRPr="00DD47DF">
        <w:t xml:space="preserve"> spalující biomasu a vyrábějící elektřinu a teplo</w:t>
      </w:r>
      <w:r w:rsidR="00E00F77" w:rsidRPr="00DD47DF">
        <w:t xml:space="preserve">. </w:t>
      </w:r>
      <w:r w:rsidR="00B36879" w:rsidRPr="00DD47DF">
        <w:t>Další a</w:t>
      </w:r>
      <w:r w:rsidR="00E00F77" w:rsidRPr="00DD47DF">
        <w:t xml:space="preserve">ktivitou </w:t>
      </w:r>
      <w:r w:rsidR="00B36879" w:rsidRPr="00DD47DF">
        <w:t>je vyšší využití tepla, které bude realizováno prostřednictvím</w:t>
      </w:r>
      <w:r w:rsidR="00E00F77" w:rsidRPr="00DD47DF">
        <w:t xml:space="preserve"> vzdálené kogenerační</w:t>
      </w:r>
      <w:r w:rsidRPr="00DD47DF">
        <w:t xml:space="preserve"> </w:t>
      </w:r>
      <w:r w:rsidR="00E00F77" w:rsidRPr="00DD47DF">
        <w:t>jednotky</w:t>
      </w:r>
      <w:r w:rsidR="00B36879" w:rsidRPr="00DD47DF">
        <w:t>, a to</w:t>
      </w:r>
      <w:r w:rsidR="00E00F77" w:rsidRPr="00DD47DF">
        <w:t xml:space="preserve"> </w:t>
      </w:r>
      <w:r w:rsidR="00335A15" w:rsidRPr="00DD47DF">
        <w:t xml:space="preserve">prostřednictvím </w:t>
      </w:r>
      <w:r w:rsidRPr="00DD47DF">
        <w:t>výstavb</w:t>
      </w:r>
      <w:r w:rsidR="00335A15" w:rsidRPr="00DD47DF">
        <w:t>y</w:t>
      </w:r>
      <w:r w:rsidRPr="00DD47DF">
        <w:t xml:space="preserve"> plynovodu </w:t>
      </w:r>
      <w:r w:rsidR="00335A15" w:rsidRPr="00DD47DF">
        <w:t xml:space="preserve">ze stávající bioplynové stanice </w:t>
      </w:r>
      <w:r w:rsidRPr="00DD47DF">
        <w:t xml:space="preserve">a přemístění kogenerační jednotky k místu spotřeby případně výstavba teplovodu k místu spotřeby. Způsobilé výdaje budou veškeré investiční náklady přímo spojené s výstavbou zařízení </w:t>
      </w:r>
      <w:r w:rsidR="00B36879" w:rsidRPr="00DD47DF">
        <w:t>a pořízení technologie, zpracování projektové dokumentace a energetického auditu</w:t>
      </w:r>
      <w:r w:rsidR="0020357B" w:rsidRPr="00DD47DF">
        <w:t xml:space="preserve"> atd</w:t>
      </w:r>
      <w:r w:rsidR="00B36879" w:rsidRPr="00DD47DF">
        <w:t>.</w:t>
      </w:r>
    </w:p>
    <w:p w14:paraId="33D5E354" w14:textId="77777777" w:rsidR="00F41B56" w:rsidRPr="00DD47DF" w:rsidRDefault="00FF7D38" w:rsidP="00E00F77">
      <w:pPr>
        <w:pStyle w:val="Standardntext"/>
      </w:pPr>
      <w:r w:rsidRPr="00DD47DF">
        <w:t>Výstupy výše uvedených aktivit přispějí k dosažení hlavního výsledku tohoto specifického cíle, kterým je</w:t>
      </w:r>
      <w:r w:rsidR="00F41B56" w:rsidRPr="00DD47DF">
        <w:t xml:space="preserve"> zvýšení podílu OZE na </w:t>
      </w:r>
      <w:r w:rsidRPr="00DD47DF">
        <w:t xml:space="preserve">hrubé </w:t>
      </w:r>
      <w:r w:rsidR="00F41B56" w:rsidRPr="00DD47DF">
        <w:t>konečné spotřebě energie, což přinese</w:t>
      </w:r>
      <w:r w:rsidR="00B36879" w:rsidRPr="00DD47DF">
        <w:t xml:space="preserve"> významný</w:t>
      </w:r>
      <w:r w:rsidR="00F41B56" w:rsidRPr="00DD47DF">
        <w:t xml:space="preserve"> příspěvek k naplňování </w:t>
      </w:r>
      <w:r w:rsidRPr="00DD47DF">
        <w:t>Národního akčního plánu ČR pro energii z obnovitelných zdrojů</w:t>
      </w:r>
      <w:r w:rsidR="00F41B56" w:rsidRPr="00DD47DF">
        <w:t>.</w:t>
      </w:r>
      <w:r w:rsidR="00947FAC" w:rsidRPr="00DD47DF">
        <w:t xml:space="preserve"> </w:t>
      </w:r>
      <w:r w:rsidR="00B95DC1" w:rsidRPr="00DD47DF">
        <w:t>V tomto specifickém cíli nebudou podpořeny zařízení na energetické využití odpadů nebo spaloven.</w:t>
      </w:r>
      <w:r w:rsidR="00947FAC" w:rsidRPr="00DD47DF">
        <w:t xml:space="preserve"> </w:t>
      </w:r>
    </w:p>
    <w:p w14:paraId="2F7ED706" w14:textId="77777777" w:rsidR="00B5004C" w:rsidRPr="00DD47DF" w:rsidRDefault="00B5004C" w:rsidP="001D35B1">
      <w:pPr>
        <w:pStyle w:val="Standardntext"/>
      </w:pPr>
      <w:r w:rsidRPr="00DD47DF">
        <w:rPr>
          <w:b/>
        </w:rPr>
        <w:t xml:space="preserve">Hlavní cílová skupina: </w:t>
      </w:r>
      <w:r w:rsidR="00127389" w:rsidRPr="00DD47DF">
        <w:t>P</w:t>
      </w:r>
      <w:r w:rsidR="0036276B" w:rsidRPr="00DD47DF">
        <w:t>odnikatelé z oblasti především MSP, kteří se hodlají soustředit/již soustředí na oblast výroby energie z OZE.</w:t>
      </w:r>
    </w:p>
    <w:p w14:paraId="300BBBED" w14:textId="77777777" w:rsidR="00B5004C" w:rsidRPr="00DD47DF" w:rsidRDefault="00B5004C" w:rsidP="001D35B1">
      <w:pPr>
        <w:pStyle w:val="Standardntext"/>
        <w:rPr>
          <w:color w:val="FF0000"/>
        </w:rPr>
      </w:pPr>
      <w:r w:rsidRPr="00DD47DF">
        <w:rPr>
          <w:b/>
        </w:rPr>
        <w:t xml:space="preserve">Cílové území: </w:t>
      </w:r>
      <w:r w:rsidR="009D1769" w:rsidRPr="00DD47DF">
        <w:t>V</w:t>
      </w:r>
      <w:r w:rsidR="0036276B" w:rsidRPr="00DD47DF">
        <w:t>šech</w:t>
      </w:r>
      <w:r w:rsidR="009D1769" w:rsidRPr="00DD47DF">
        <w:t>ny</w:t>
      </w:r>
      <w:r w:rsidR="0036276B" w:rsidRPr="00DD47DF">
        <w:t xml:space="preserve"> region</w:t>
      </w:r>
      <w:r w:rsidR="009D1769" w:rsidRPr="00DD47DF">
        <w:t>y</w:t>
      </w:r>
      <w:r w:rsidR="0036276B" w:rsidRPr="00DD47DF">
        <w:t xml:space="preserve"> v ČR kromě hl. m. Prahy.</w:t>
      </w:r>
      <w:r w:rsidR="00015039" w:rsidRPr="00DD47DF">
        <w:t xml:space="preserve"> </w:t>
      </w:r>
      <w:r w:rsidR="00A46CD6" w:rsidRPr="00DD47DF">
        <w:t>Předpokládá se plošné směrování intervencí bez vymezení územní dimenze.</w:t>
      </w:r>
      <w:r w:rsidR="00BA4E72" w:rsidRPr="00DD47DF">
        <w:t xml:space="preserve"> </w:t>
      </w:r>
      <w:r w:rsidR="00A46CD6" w:rsidRPr="00DD47DF">
        <w:t>Nicméně d</w:t>
      </w:r>
      <w:r w:rsidR="00BF1EEF" w:rsidRPr="00DD47DF">
        <w:t xml:space="preserve">ůležitým prvkem pro oblast OZE je krajinný charakter území (např. rurální, urbánní, nížinný, horský, podhorský) jako podmínka pro </w:t>
      </w:r>
      <w:r w:rsidR="00A46CD6" w:rsidRPr="00DD47DF">
        <w:t>realizaci</w:t>
      </w:r>
      <w:r w:rsidR="00BF1EEF" w:rsidRPr="00DD47DF">
        <w:t xml:space="preserve"> konkrétního projektu.</w:t>
      </w:r>
    </w:p>
    <w:p w14:paraId="4D353628" w14:textId="77777777" w:rsidR="00B5004C" w:rsidRPr="00DD47DF" w:rsidRDefault="00B5004C" w:rsidP="001D35B1">
      <w:pPr>
        <w:pStyle w:val="Standardntext"/>
      </w:pPr>
      <w:r w:rsidRPr="00DD47DF">
        <w:rPr>
          <w:b/>
        </w:rPr>
        <w:t xml:space="preserve">Typy příjemců: </w:t>
      </w:r>
      <w:r w:rsidRPr="00DD47DF">
        <w:t>Podnikatelské subjekty (malé, střední a případně velké podniky).</w:t>
      </w:r>
      <w:r w:rsidR="00B36879" w:rsidRPr="00DD47DF">
        <w:t xml:space="preserve"> </w:t>
      </w:r>
      <w:r w:rsidR="00B36879" w:rsidRPr="00DD47DF">
        <w:rPr>
          <w:szCs w:val="22"/>
        </w:rPr>
        <w:t xml:space="preserve">Zahrnutí podpory velkých firem </w:t>
      </w:r>
      <w:r w:rsidR="00B36879" w:rsidRPr="00DD47DF">
        <w:t xml:space="preserve">(dle čl. 3 odst. 1 písm. b) nařízení o EFRR) </w:t>
      </w:r>
      <w:r w:rsidR="00B36879" w:rsidRPr="00DD47DF">
        <w:rPr>
          <w:szCs w:val="22"/>
        </w:rPr>
        <w:t>v rámci tohoto specifického cíle je zdůvodněno maximální snahou o využití veškerého dostupného potenciálu nejefektivnějších obnovitelných zdrojů energie v ČR. Omezení bude nastaveno z technického hlediska projektu a nikoliv velikostí podniku, tak aby byly realizovaný menší a střední projekty s významným příspěvkem pro regionální rozvoj.</w:t>
      </w:r>
    </w:p>
    <w:p w14:paraId="0D6B8C2E" w14:textId="77777777" w:rsidR="00B5004C" w:rsidRPr="00DD47DF" w:rsidRDefault="00BA6461" w:rsidP="005F43DF">
      <w:pPr>
        <w:pStyle w:val="Nadpis5"/>
        <w:numPr>
          <w:ilvl w:val="4"/>
          <w:numId w:val="18"/>
        </w:numPr>
      </w:pPr>
      <w:r w:rsidRPr="00DD47DF">
        <w:t>Hlavní zásady pro výběr operací</w:t>
      </w:r>
    </w:p>
    <w:p w14:paraId="71ED668C"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3B83FEA6" w14:textId="77777777" w:rsidR="00BA0383" w:rsidRPr="00DD47DF" w:rsidRDefault="0036276B" w:rsidP="0036276B">
      <w:pPr>
        <w:pStyle w:val="Standardntext"/>
      </w:pPr>
      <w:r w:rsidRPr="00DD47DF">
        <w:t xml:space="preserve"> V rámci výběru a hodnocení projektů </w:t>
      </w:r>
      <w:r w:rsidR="00BA0383" w:rsidRPr="00DD47DF">
        <w:t xml:space="preserve">budou posuzována </w:t>
      </w:r>
      <w:r w:rsidR="00184371" w:rsidRPr="00DD47DF">
        <w:t xml:space="preserve">především </w:t>
      </w:r>
      <w:r w:rsidR="00BA0383" w:rsidRPr="00DD47DF">
        <w:t>následující kritéria</w:t>
      </w:r>
      <w:r w:rsidR="00A35694" w:rsidRPr="00DD47DF">
        <w:t>:</w:t>
      </w:r>
    </w:p>
    <w:p w14:paraId="51CCEE76" w14:textId="77777777" w:rsidR="00184371" w:rsidRPr="00DD47DF" w:rsidRDefault="00184371" w:rsidP="00D927A2">
      <w:pPr>
        <w:pStyle w:val="Standardntext"/>
        <w:numPr>
          <w:ilvl w:val="0"/>
          <w:numId w:val="43"/>
        </w:numPr>
      </w:pPr>
      <w:r w:rsidRPr="00DD47DF">
        <w:t xml:space="preserve">Kvalita a potřebnost </w:t>
      </w:r>
      <w:r w:rsidR="00BE7900" w:rsidRPr="00DD47DF">
        <w:t xml:space="preserve">projektu </w:t>
      </w:r>
      <w:r w:rsidRPr="00DD47DF">
        <w:t xml:space="preserve">s ohledem na </w:t>
      </w:r>
      <w:r w:rsidR="00BE7900" w:rsidRPr="00DD47DF">
        <w:t xml:space="preserve">jeho </w:t>
      </w:r>
      <w:r w:rsidRPr="00DD47DF">
        <w:t>ekologické přín</w:t>
      </w:r>
      <w:r w:rsidR="00DC4382" w:rsidRPr="00DD47DF">
        <w:t>osy a ekonomickou efektivnost; z</w:t>
      </w:r>
      <w:r w:rsidRPr="00DD47DF">
        <w:t xml:space="preserve">ejména bude kladen důraz na poměr investičních nákladů k instalovanému </w:t>
      </w:r>
      <w:r w:rsidRPr="00DD47DF">
        <w:lastRenderedPageBreak/>
        <w:t>výkonu a vyrobené energii, poměrnou dobu ročního využití instalovaného výkonu a celkových ekologických přínosů projektu.</w:t>
      </w:r>
    </w:p>
    <w:p w14:paraId="3DE4FBA2" w14:textId="77777777" w:rsidR="00BA0383" w:rsidRPr="00DD47DF" w:rsidRDefault="00BA0383" w:rsidP="00D927A2">
      <w:pPr>
        <w:pStyle w:val="Standardntext"/>
        <w:numPr>
          <w:ilvl w:val="0"/>
          <w:numId w:val="43"/>
        </w:numPr>
      </w:pPr>
      <w:r w:rsidRPr="00DD47DF">
        <w:t>S</w:t>
      </w:r>
      <w:r w:rsidR="0036276B" w:rsidRPr="00DD47DF">
        <w:t xml:space="preserve">oulad </w:t>
      </w:r>
      <w:r w:rsidR="00BE7900" w:rsidRPr="00DD47DF">
        <w:t xml:space="preserve">projektu </w:t>
      </w:r>
      <w:r w:rsidR="0036276B" w:rsidRPr="00DD47DF">
        <w:t>s 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14965CBB" w14:textId="77777777" w:rsidR="00184371" w:rsidRPr="00DD47DF" w:rsidRDefault="00BE7900" w:rsidP="00D927A2">
      <w:pPr>
        <w:pStyle w:val="Standardntext"/>
        <w:numPr>
          <w:ilvl w:val="0"/>
          <w:numId w:val="43"/>
        </w:numPr>
      </w:pPr>
      <w:r w:rsidRPr="00DD47DF">
        <w:t>Soulad projektu s</w:t>
      </w:r>
      <w:r w:rsidR="0036276B" w:rsidRPr="00DD47DF">
        <w:t xml:space="preserve"> horizontální</w:t>
      </w:r>
      <w:r w:rsidRPr="00DD47DF">
        <w:t>mi</w:t>
      </w:r>
      <w:r w:rsidR="0036276B" w:rsidRPr="00DD47DF">
        <w:t xml:space="preserve"> princip</w:t>
      </w:r>
      <w:r w:rsidRPr="00DD47DF">
        <w:t>y</w:t>
      </w:r>
      <w:r w:rsidR="0036276B" w:rsidRPr="00DD47DF">
        <w:t xml:space="preserve">. Projekt, který bude v rozporu s těmito principy, nebude v rámci OP </w:t>
      </w:r>
      <w:r w:rsidR="00FB0590" w:rsidRPr="00DD47DF">
        <w:t xml:space="preserve">PIK podpořen (blíže viz </w:t>
      </w:r>
      <w:r w:rsidR="00BA0383" w:rsidRPr="00DD47DF">
        <w:t xml:space="preserve">oddíl </w:t>
      </w:r>
      <w:r w:rsidR="00FB0590" w:rsidRPr="00DD47DF">
        <w:t>11).</w:t>
      </w:r>
    </w:p>
    <w:p w14:paraId="67703478" w14:textId="65E70701" w:rsidR="00A61EA1" w:rsidRPr="00DD47DF" w:rsidRDefault="00A61EA1" w:rsidP="00716821">
      <w:pPr>
        <w:pStyle w:val="Standardntext"/>
        <w:numPr>
          <w:ilvl w:val="0"/>
          <w:numId w:val="43"/>
        </w:numPr>
      </w:pPr>
      <w:r w:rsidRPr="00DD47DF">
        <w:t>Vliv projektu na oblast klimatu bude na projektové úrovni sledován prostřednictvím indikátoru „Odhadované roční snížení emisí skleníkových plynů“</w:t>
      </w:r>
      <w:r w:rsidR="00C306CB" w:rsidRPr="00DD47DF">
        <w:t xml:space="preserve"> (3 60 10)</w:t>
      </w:r>
      <w:r w:rsidRPr="00DD47DF">
        <w:t>. Nad rámec toho bud</w:t>
      </w:r>
      <w:r w:rsidR="00D5203D" w:rsidRPr="00DD47DF">
        <w:t>e</w:t>
      </w:r>
      <w:r w:rsidRPr="00DD47DF">
        <w:t xml:space="preserve"> na projektové úrovni interně monitorován vliv daného projektu na oblast </w:t>
      </w:r>
      <w:r w:rsidR="00D5203D" w:rsidRPr="00DD47DF">
        <w:t xml:space="preserve">ovzduší </w:t>
      </w:r>
      <w:r w:rsidRPr="00DD47DF">
        <w:t xml:space="preserve">prostřednictvím </w:t>
      </w:r>
      <w:r w:rsidR="00D5203D" w:rsidRPr="00DD47DF">
        <w:t xml:space="preserve">indikátoru </w:t>
      </w:r>
      <w:r w:rsidRPr="00DD47DF">
        <w:t>„</w:t>
      </w:r>
      <w:r w:rsidR="00DC0681" w:rsidRPr="00DC0681">
        <w:t>Množství emisí primárních částic a prekurzorů sekundárních částic</w:t>
      </w:r>
      <w:r w:rsidRPr="00DD47DF">
        <w:t xml:space="preserve">“ </w:t>
      </w:r>
      <w:r w:rsidR="00C306CB" w:rsidRPr="00DD47DF">
        <w:t>(3 61 11)</w:t>
      </w:r>
      <w:r w:rsidR="00E624A1" w:rsidRPr="00DD47DF">
        <w:rPr>
          <w:rStyle w:val="Znakapoznpodarou"/>
        </w:rPr>
        <w:footnoteReference w:id="55"/>
      </w:r>
      <w:r w:rsidR="00C306CB" w:rsidRPr="00DD47DF">
        <w:t xml:space="preserve"> </w:t>
      </w:r>
      <w:r w:rsidRPr="00DD47DF">
        <w:t xml:space="preserve">a dále </w:t>
      </w:r>
      <w:r w:rsidR="00D5203D" w:rsidRPr="00DD47DF">
        <w:t xml:space="preserve">vliv na oblast </w:t>
      </w:r>
      <w:r w:rsidR="0020357B" w:rsidRPr="00DD47DF">
        <w:t xml:space="preserve">výroby </w:t>
      </w:r>
      <w:r w:rsidR="00D5203D" w:rsidRPr="00DD47DF">
        <w:t xml:space="preserve">energie z OZE prostřednictvím </w:t>
      </w:r>
      <w:r w:rsidRPr="00DD47DF">
        <w:t>indikátor</w:t>
      </w:r>
      <w:r w:rsidR="00D5203D" w:rsidRPr="00DD47DF">
        <w:t>ů</w:t>
      </w:r>
      <w:r w:rsidRPr="00DD47DF">
        <w:t xml:space="preserve"> „</w:t>
      </w:r>
      <w:r w:rsidR="00444BED" w:rsidRPr="00444BED">
        <w:t>Výroba tepla z obnovitelných zdrojů</w:t>
      </w:r>
      <w:r w:rsidRPr="00DD47DF">
        <w:t>“</w:t>
      </w:r>
      <w:r w:rsidR="00C306CB" w:rsidRPr="00DD47DF">
        <w:t xml:space="preserve"> (3 48 00)</w:t>
      </w:r>
      <w:r w:rsidRPr="00DD47DF">
        <w:t xml:space="preserve"> a „</w:t>
      </w:r>
      <w:r w:rsidR="00716821" w:rsidRPr="00716821">
        <w:t>Výroba elektrické energie z obnovitelných zdrojů celkem</w:t>
      </w:r>
      <w:r w:rsidRPr="00DD47DF">
        <w:t>“</w:t>
      </w:r>
      <w:r w:rsidR="00C306CB" w:rsidRPr="00DD47DF">
        <w:t xml:space="preserve"> (3 46 </w:t>
      </w:r>
      <w:r w:rsidR="007F0646">
        <w:t>10</w:t>
      </w:r>
      <w:r w:rsidR="00C306CB" w:rsidRPr="00DD47DF">
        <w:t>)</w:t>
      </w:r>
      <w:r w:rsidRPr="00DD47DF">
        <w:t xml:space="preserve">. Tyto environmentální indikátory budou </w:t>
      </w:r>
      <w:r w:rsidR="00C61714" w:rsidRPr="00DD47DF">
        <w:t xml:space="preserve">reportovány EK na projektové úrovní a </w:t>
      </w:r>
      <w:r w:rsidRPr="00DD47DF">
        <w:t>dále agregovány pro potřeby Dohody o partnerství</w:t>
      </w:r>
      <w:r w:rsidR="00677C81" w:rsidRPr="00DD47DF">
        <w:t xml:space="preserve"> a Výročních zpráv OP PIK</w:t>
      </w:r>
      <w:r w:rsidRPr="00DD47DF">
        <w:t>.</w:t>
      </w:r>
    </w:p>
    <w:p w14:paraId="5699C4D2"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56"/>
      </w:r>
      <w:r w:rsidRPr="00DD47DF">
        <w:t>.</w:t>
      </w:r>
    </w:p>
    <w:p w14:paraId="64209556" w14:textId="77777777" w:rsidR="0020357B" w:rsidRPr="00DD47DF" w:rsidRDefault="0020357B" w:rsidP="00335A15">
      <w:pPr>
        <w:pStyle w:val="Standardntext"/>
        <w:numPr>
          <w:ilvl w:val="0"/>
          <w:numId w:val="43"/>
        </w:numPr>
        <w:ind w:left="714" w:hanging="357"/>
      </w:pPr>
      <w:r w:rsidRPr="00DD47DF">
        <w:t>Podporovány budou projekty s vysokou mírou účinnosti.</w:t>
      </w:r>
    </w:p>
    <w:p w14:paraId="510DF768" w14:textId="77777777" w:rsidR="00335A15" w:rsidRPr="00DD47DF" w:rsidRDefault="00335A15" w:rsidP="00441D67">
      <w:pPr>
        <w:pStyle w:val="Odstavecseseznamem"/>
        <w:numPr>
          <w:ilvl w:val="0"/>
          <w:numId w:val="43"/>
        </w:numPr>
        <w:spacing w:after="120"/>
        <w:ind w:left="714" w:hanging="357"/>
        <w:contextualSpacing w:val="0"/>
        <w:jc w:val="both"/>
      </w:pPr>
      <w:r w:rsidRPr="00DD47DF">
        <w:rPr>
          <w:sz w:val="24"/>
          <w:szCs w:val="24"/>
        </w:rPr>
        <w:t xml:space="preserve">Projekty kombinované výroby elektřiny a tepla budou podporovány jenom v případě, pokud splní kritéria vysokoúčinné výroby elektřiny a tepla. </w:t>
      </w:r>
    </w:p>
    <w:p w14:paraId="1FD93197" w14:textId="77777777" w:rsidR="0020357B" w:rsidRPr="00DD47DF" w:rsidRDefault="0020357B" w:rsidP="00D927A2">
      <w:pPr>
        <w:pStyle w:val="Standardntext"/>
        <w:numPr>
          <w:ilvl w:val="0"/>
          <w:numId w:val="43"/>
        </w:numPr>
        <w:rPr>
          <w:bCs/>
        </w:rPr>
      </w:pPr>
      <w:r w:rsidRPr="00DD47DF">
        <w:rPr>
          <w:bCs/>
        </w:rPr>
        <w:t>V případě přechodu z uhelného zdroje na biomasu musí být projekt v souladu se Zprávou EK z července 2014 „o současném stavu udržitelnosti pevné a plynné biomasy používání pro výrobu elektrické energie, vytápění a chlazení v EU“</w:t>
      </w:r>
      <w:r w:rsidR="001E5658" w:rsidRPr="00DD47DF">
        <w:rPr>
          <w:bCs/>
        </w:rPr>
        <w:t>.</w:t>
      </w:r>
    </w:p>
    <w:p w14:paraId="6A503B67" w14:textId="77777777" w:rsidR="00771A39" w:rsidRPr="00DD47DF" w:rsidRDefault="00771A39" w:rsidP="00D927A2">
      <w:pPr>
        <w:pStyle w:val="Standardntext"/>
        <w:numPr>
          <w:ilvl w:val="0"/>
          <w:numId w:val="43"/>
        </w:numPr>
        <w:rPr>
          <w:bCs/>
        </w:rPr>
      </w:pPr>
      <w:r w:rsidRPr="00DD47DF">
        <w:rPr>
          <w:bCs/>
        </w:rPr>
        <w:t>Podpořeny nebudou projekty rekonstrukce či výstavby zdroje nad 10 MW.</w:t>
      </w:r>
    </w:p>
    <w:p w14:paraId="2303DE8C" w14:textId="77777777" w:rsidR="00C61714" w:rsidRPr="00DD47DF" w:rsidRDefault="00C61714" w:rsidP="00D927A2">
      <w:pPr>
        <w:pStyle w:val="Standardntext"/>
        <w:numPr>
          <w:ilvl w:val="0"/>
          <w:numId w:val="43"/>
        </w:numPr>
        <w:rPr>
          <w:bCs/>
        </w:rPr>
      </w:pPr>
      <w:r w:rsidRPr="00DD47DF">
        <w:rPr>
          <w:bCs/>
        </w:rPr>
        <w:t>Projekty budou v souladu s udržitelným využívání dřevní biomasy a stanovení rozsahu bude probíhat na regionální úrovni s cílem zajistit, aby využívání této dřevní biomasy nepřekročilo meze funkce obnovy přírodních ekosystémů.</w:t>
      </w:r>
    </w:p>
    <w:p w14:paraId="667D6B90" w14:textId="77777777" w:rsidR="00771A39" w:rsidRPr="00DD47DF" w:rsidRDefault="00D01FDB" w:rsidP="00C56A67">
      <w:pPr>
        <w:pStyle w:val="Standardntext"/>
        <w:numPr>
          <w:ilvl w:val="0"/>
          <w:numId w:val="43"/>
        </w:numPr>
        <w:rPr>
          <w:bCs/>
        </w:rPr>
      </w:pPr>
      <w:r w:rsidRPr="00DD47DF">
        <w:rPr>
          <w:bCs/>
        </w:rPr>
        <w:t>Podpora nebude poskytnuta na spolufinancování zařízení, na něž se vztahuje směrnice o průmyslových emisích, která je použitelná na zařízení pro výrobu elektřiny a dálkové vytápění nad 50 MW</w:t>
      </w:r>
      <w:r w:rsidR="00C56A67" w:rsidRPr="00DD47DF">
        <w:rPr>
          <w:bCs/>
        </w:rPr>
        <w:t>.</w:t>
      </w:r>
    </w:p>
    <w:p w14:paraId="749450D2" w14:textId="77777777" w:rsidR="00335A15" w:rsidRPr="00DD47DF" w:rsidRDefault="002C72B3" w:rsidP="00441D67">
      <w:pPr>
        <w:pStyle w:val="Odstavecseseznamem"/>
        <w:numPr>
          <w:ilvl w:val="0"/>
          <w:numId w:val="43"/>
        </w:numPr>
        <w:spacing w:after="120"/>
        <w:ind w:left="714" w:hanging="357"/>
        <w:contextualSpacing w:val="0"/>
        <w:jc w:val="both"/>
        <w:rPr>
          <w:bCs/>
        </w:rPr>
      </w:pPr>
      <w:r w:rsidRPr="00DD47DF">
        <w:rPr>
          <w:bCs/>
          <w:sz w:val="24"/>
          <w:szCs w:val="24"/>
        </w:rPr>
        <w:t xml:space="preserve">Životnost investic v tomto odvětví se počítá na desítky let, a měly by proto odpovídat příslušným ustanovením právních předpisů a politikám EU. Systémy vytápění finančně </w:t>
      </w:r>
      <w:r w:rsidRPr="00DD47DF">
        <w:rPr>
          <w:bCs/>
          <w:sz w:val="24"/>
          <w:szCs w:val="24"/>
        </w:rPr>
        <w:lastRenderedPageBreak/>
        <w:t>podporované z OP musí již od počátku programového období splňovat minimální požadavky na energetickou účinnost a na emise platné ke konci roku 2020, jak to stanoví prováděcí opatření směrnice o ekodesignu 2009/125/ES.</w:t>
      </w:r>
    </w:p>
    <w:p w14:paraId="78ED7C80" w14:textId="06027F49" w:rsidR="00335A15" w:rsidRPr="00DD47DF" w:rsidRDefault="00967F0C" w:rsidP="00967F0C">
      <w:pPr>
        <w:pStyle w:val="Standardntext"/>
        <w:numPr>
          <w:ilvl w:val="0"/>
          <w:numId w:val="43"/>
        </w:numPr>
        <w:rPr>
          <w:bCs/>
        </w:rPr>
      </w:pPr>
      <w:r w:rsidRPr="00967F0C">
        <w:rPr>
          <w:bCs/>
        </w:rPr>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p>
    <w:p w14:paraId="49CE3036" w14:textId="77777777" w:rsidR="00771A39" w:rsidRPr="00DD47DF" w:rsidRDefault="00771A39" w:rsidP="00D927A2">
      <w:pPr>
        <w:pStyle w:val="Standardntext"/>
        <w:numPr>
          <w:ilvl w:val="0"/>
          <w:numId w:val="43"/>
        </w:numPr>
        <w:rPr>
          <w:bCs/>
        </w:rPr>
      </w:pPr>
      <w:r w:rsidRPr="00DD47DF">
        <w:rPr>
          <w:bCs/>
        </w:rPr>
        <w:t>V případech, kde bude uplatněna pouze monovýroba tepla, tak musí být analýzou prokázáno, že se jedná o energeticky efektivnější aplikaci než-li kombinovaná výroba elektřiny a tepla</w:t>
      </w:r>
      <w:r w:rsidR="00535C97" w:rsidRPr="00DD47DF">
        <w:rPr>
          <w:bCs/>
        </w:rPr>
        <w:t>,</w:t>
      </w:r>
      <w:r w:rsidRPr="00DD47DF">
        <w:rPr>
          <w:bCs/>
        </w:rPr>
        <w:t xml:space="preserve"> anebo pokud není technicky možné, musí být zajištěno výrazné zlepšení energetické účinnosti dálkového vytápění (soustav zásobování teplem).</w:t>
      </w:r>
    </w:p>
    <w:p w14:paraId="061C6F3F" w14:textId="77777777" w:rsidR="0020357B" w:rsidRPr="00DD47DF" w:rsidRDefault="0020357B" w:rsidP="00535C97">
      <w:pPr>
        <w:pStyle w:val="Standardntext"/>
        <w:numPr>
          <w:ilvl w:val="0"/>
          <w:numId w:val="43"/>
        </w:numPr>
      </w:pPr>
      <w:r w:rsidRPr="00DD47DF">
        <w:t xml:space="preserve">Soulad projektu z hlediska energetické účinnosti a </w:t>
      </w:r>
      <w:r w:rsidR="00535C97" w:rsidRPr="00DD47DF">
        <w:t>využití energie z OZE</w:t>
      </w:r>
      <w:r w:rsidRPr="00DD47DF">
        <w:t>.</w:t>
      </w:r>
    </w:p>
    <w:p w14:paraId="0BE47F62" w14:textId="77777777" w:rsidR="0020357B" w:rsidRPr="00DD47DF" w:rsidRDefault="00360BED" w:rsidP="00D927A2">
      <w:pPr>
        <w:pStyle w:val="Standardntext"/>
        <w:numPr>
          <w:ilvl w:val="0"/>
          <w:numId w:val="43"/>
        </w:numPr>
      </w:pPr>
      <w:r w:rsidRPr="00DD47DF">
        <w:t xml:space="preserve">Součástí </w:t>
      </w:r>
      <w:r w:rsidR="00B12F31" w:rsidRPr="00DD47DF">
        <w:t>projektu</w:t>
      </w:r>
      <w:r w:rsidRPr="00DD47DF">
        <w:t xml:space="preserve"> </w:t>
      </w:r>
      <w:r w:rsidR="00184371" w:rsidRPr="00DD47DF">
        <w:t>musí být</w:t>
      </w:r>
      <w:r w:rsidRPr="00DD47DF">
        <w:t xml:space="preserve"> energetický audit</w:t>
      </w:r>
      <w:r w:rsidR="0020357B" w:rsidRPr="00DD47DF">
        <w:t xml:space="preserve"> či energetický posudek</w:t>
      </w:r>
      <w:r w:rsidR="00C61714" w:rsidRPr="00DD47DF">
        <w:t xml:space="preserve"> doporučující nejvhodnější opatření, která budou realizována</w:t>
      </w:r>
      <w:r w:rsidR="0020357B" w:rsidRPr="00DD47DF">
        <w:t>.</w:t>
      </w:r>
    </w:p>
    <w:p w14:paraId="57F78E9E" w14:textId="28D9CDF7" w:rsidR="00BA0383" w:rsidRPr="00DD47DF" w:rsidRDefault="007B0072" w:rsidP="007B0072">
      <w:pPr>
        <w:pStyle w:val="Standardntext"/>
        <w:numPr>
          <w:ilvl w:val="0"/>
          <w:numId w:val="43"/>
        </w:numPr>
      </w:pPr>
      <w:r w:rsidRPr="007B0072">
        <w:t>V případě investiční podpory v rámci OP bude odpovídajícím způsobem snížena vnitrostátní provozní podpora podle oznámení EK.</w:t>
      </w:r>
    </w:p>
    <w:p w14:paraId="4F273032" w14:textId="77777777" w:rsidR="0020357B" w:rsidRPr="00DD47DF" w:rsidRDefault="00771A39" w:rsidP="00D927A2">
      <w:pPr>
        <w:pStyle w:val="Standardntext"/>
        <w:numPr>
          <w:ilvl w:val="0"/>
          <w:numId w:val="43"/>
        </w:numPr>
      </w:pPr>
      <w:r w:rsidRPr="00DD47DF">
        <w:t>Podpora výstavby MVE bude možná pouze v případě souladu s rámcovou směrnicí o vodě, a to zejména s článkem 4, odstavce 7, 8 a 9 rámcové směrnice o vodě, což si   vyžádá řádné strategické hodnocení všech opatření a provádění článku 4 (7) rámcové směrnice o vodě (zejména opatření ke zmírnění dopadů) a článku 6 směrnice o stanovištích (a směrnice o posuzování vlivů na životní prostředí - EIA na úrovni projektu). Uplatněním čl</w:t>
      </w:r>
      <w:r w:rsidR="00535C97" w:rsidRPr="00DD47DF">
        <w:t>.</w:t>
      </w:r>
      <w:r w:rsidRPr="00DD47DF">
        <w:t xml:space="preserve"> 6 směrnice o stanovištích, by mělo být zajištěno, aby nedocházelo ke kolizím s lokalitami Natura 2000.</w:t>
      </w:r>
      <w:r w:rsidR="00C61714" w:rsidRPr="00DD47DF">
        <w:t xml:space="preserve"> Dokud nebude vše toto zajištěno, projekt nebude podpořen.</w:t>
      </w:r>
    </w:p>
    <w:p w14:paraId="2D70BE1D" w14:textId="77777777" w:rsidR="00516E97" w:rsidRPr="00DD47DF" w:rsidRDefault="00516E97"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93A311B" w14:textId="77777777" w:rsidR="00B5004C" w:rsidRPr="00DD47DF" w:rsidRDefault="00BA6461" w:rsidP="005F43DF">
      <w:pPr>
        <w:pStyle w:val="Nadpis5"/>
        <w:numPr>
          <w:ilvl w:val="4"/>
          <w:numId w:val="18"/>
        </w:numPr>
        <w:rPr>
          <w:rFonts w:cs="Calibri"/>
        </w:rPr>
      </w:pPr>
      <w:r w:rsidRPr="00DD47DF">
        <w:t xml:space="preserve">Plánované využití finančních nástrojů </w:t>
      </w:r>
    </w:p>
    <w:p w14:paraId="287AB918" w14:textId="77777777" w:rsidR="00B5004C" w:rsidRPr="00DD47DF" w:rsidRDefault="00397070" w:rsidP="002A4D1D">
      <w:pPr>
        <w:pStyle w:val="Standardntext"/>
        <w:rPr>
          <w:color w:val="FF0000"/>
        </w:rPr>
      </w:pPr>
      <w:r w:rsidRPr="00DD47DF">
        <w:t>Řídící orgán zvažuje využití finančních nástrojů v této investiční prioritě. O jejich využití bude rozhodnuto na základě výsledků předběžného posouzení finančních nástrojů OP PIK dle čl. 37 odst. 2 obecného nařízení, které provede ŘO OP PIK, případně jeho revize podle čl. 37 odst. 2 písm. g) obecného nařízení.</w:t>
      </w:r>
    </w:p>
    <w:p w14:paraId="071B90DC" w14:textId="77777777" w:rsidR="00B5004C" w:rsidRPr="00DD47DF" w:rsidRDefault="00BA6461" w:rsidP="005F43DF">
      <w:pPr>
        <w:pStyle w:val="Nadpis5"/>
        <w:numPr>
          <w:ilvl w:val="4"/>
          <w:numId w:val="18"/>
        </w:numPr>
      </w:pPr>
      <w:r w:rsidRPr="00DD47DF">
        <w:t>Plánované využití velkých projektů (použije-li se)</w:t>
      </w:r>
    </w:p>
    <w:p w14:paraId="4790F1CF" w14:textId="77777777" w:rsidR="002A4D1D" w:rsidRPr="00DD47DF" w:rsidRDefault="002A4D1D" w:rsidP="002A4D1D">
      <w:pPr>
        <w:pStyle w:val="Standardntext"/>
      </w:pPr>
      <w:r w:rsidRPr="00DD47DF">
        <w:t xml:space="preserve">Velké projekty ve smyslu čl. </w:t>
      </w:r>
      <w:r w:rsidR="00C17C7C" w:rsidRPr="00DD47DF">
        <w:t>10</w:t>
      </w:r>
      <w:r w:rsidRPr="00DD47DF">
        <w:t>0 obecného nařízení nejsou plánovány.</w:t>
      </w:r>
    </w:p>
    <w:p w14:paraId="1E995A48" w14:textId="77777777" w:rsidR="00B5004C" w:rsidRPr="00DD47DF" w:rsidRDefault="00BA6461" w:rsidP="001D58DB">
      <w:pPr>
        <w:pStyle w:val="Nadpis5"/>
        <w:numPr>
          <w:ilvl w:val="4"/>
          <w:numId w:val="18"/>
        </w:numPr>
      </w:pPr>
      <w:r w:rsidRPr="00DD47DF">
        <w:lastRenderedPageBreak/>
        <w:t>Ukazatele výstupů podle investiční priority a případně podle kategorie regionů</w:t>
      </w:r>
    </w:p>
    <w:p w14:paraId="7C294BF4" w14:textId="77777777" w:rsidR="00B5004C" w:rsidRPr="00DD47DF" w:rsidRDefault="00B5004C" w:rsidP="001D58DB">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8"/>
        <w:gridCol w:w="2158"/>
        <w:gridCol w:w="1330"/>
        <w:gridCol w:w="665"/>
        <w:gridCol w:w="1209"/>
        <w:gridCol w:w="1124"/>
        <w:gridCol w:w="997"/>
        <w:gridCol w:w="1175"/>
      </w:tblGrid>
      <w:tr w:rsidR="001B2E5C" w:rsidRPr="00DD47DF" w14:paraId="7ACB1C5F" w14:textId="77777777" w:rsidTr="0096415B">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753BAA3" w14:textId="77777777" w:rsidR="001B2E5C" w:rsidRPr="00DD47DF" w:rsidRDefault="001B2E5C" w:rsidP="001D58DB">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22BE7BD" w14:textId="77777777" w:rsidR="001B2E5C" w:rsidRPr="00DD47DF" w:rsidRDefault="001B2E5C" w:rsidP="001D58DB">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9662669" w14:textId="77777777" w:rsidR="001B2E5C" w:rsidRPr="00DD47DF" w:rsidRDefault="001B2E5C" w:rsidP="001D58DB">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EDC616F" w14:textId="77777777" w:rsidR="001B2E5C" w:rsidRPr="00DD47DF" w:rsidRDefault="001B2E5C" w:rsidP="001D58DB">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92D09D" w14:textId="77777777" w:rsidR="001B2E5C" w:rsidRPr="00DD47DF" w:rsidRDefault="001B2E5C" w:rsidP="001D58DB">
            <w:pPr>
              <w:pStyle w:val="Tabulka"/>
              <w:keepNext/>
              <w:keepLines/>
              <w:rPr>
                <w:rFonts w:cs="Calibri"/>
                <w:b/>
              </w:rPr>
            </w:pPr>
            <w:r w:rsidRPr="00DD47DF">
              <w:rPr>
                <w:rFonts w:cs="Calibri"/>
                <w:b/>
              </w:rPr>
              <w:t>Kategorie regionu</w:t>
            </w:r>
          </w:p>
        </w:tc>
        <w:tc>
          <w:tcPr>
            <w:tcW w:w="112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65A0973" w14:textId="77777777" w:rsidR="001B2E5C" w:rsidRPr="00DD47DF" w:rsidRDefault="001B2E5C" w:rsidP="001D58DB">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99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72968B4" w14:textId="77777777" w:rsidR="001B2E5C" w:rsidRPr="00DD47DF" w:rsidRDefault="001B2E5C" w:rsidP="001D58DB">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AA298C1" w14:textId="77777777" w:rsidR="001B2E5C" w:rsidRPr="00DD47DF" w:rsidRDefault="001B2E5C" w:rsidP="001D58DB">
            <w:pPr>
              <w:pStyle w:val="Tabulka"/>
              <w:keepNext/>
              <w:keepLines/>
              <w:rPr>
                <w:rFonts w:cs="Calibri"/>
                <w:b/>
              </w:rPr>
            </w:pPr>
            <w:r w:rsidRPr="00DD47DF">
              <w:rPr>
                <w:rFonts w:cs="Calibri"/>
                <w:b/>
              </w:rPr>
              <w:t>Četnost podávání zpráv</w:t>
            </w:r>
          </w:p>
        </w:tc>
      </w:tr>
      <w:tr w:rsidR="00826B6B" w:rsidRPr="00DD47DF" w14:paraId="2B5DE7BA"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0C56CE" w14:textId="7ECBCEC5" w:rsidR="00826B6B" w:rsidRPr="00DD47DF" w:rsidRDefault="00C75691" w:rsidP="007D5585">
            <w:pPr>
              <w:pStyle w:val="Tabulka"/>
              <w:rPr>
                <w:rFonts w:cs="Calibri"/>
              </w:rPr>
            </w:pPr>
            <w:r w:rsidRPr="00DD47DF">
              <w:rPr>
                <w:rFonts w:cs="Calibri"/>
              </w:rPr>
              <w:t xml:space="preserve">CO </w:t>
            </w:r>
            <w:r w:rsidR="00CC4F9D" w:rsidRPr="00DD47DF">
              <w:rPr>
                <w:rFonts w:cs="Calibri"/>
              </w:rPr>
              <w:t>0</w:t>
            </w:r>
            <w:r w:rsidR="00826B6B"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3D6B0510" w14:textId="77777777" w:rsidR="00826B6B" w:rsidRPr="00DD47DF" w:rsidRDefault="007D6298" w:rsidP="007D5585">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4DAE03B0" w14:textId="77777777" w:rsidR="00826B6B" w:rsidRPr="00DD47DF" w:rsidRDefault="00826B6B" w:rsidP="007D558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7D05EB7" w14:textId="77777777" w:rsidR="00826B6B" w:rsidRPr="00DD47DF" w:rsidRDefault="002B3F69"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FCE5BE8" w14:textId="77777777" w:rsidR="00826B6B" w:rsidRPr="00DD47DF" w:rsidRDefault="00826B6B"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2AA8D3C9" w14:textId="4548AA3C" w:rsidR="00826B6B" w:rsidRPr="00DD47DF" w:rsidRDefault="00EC6E73" w:rsidP="007D5585">
            <w:pPr>
              <w:pStyle w:val="Tabulka"/>
              <w:rPr>
                <w:rFonts w:cs="Calibri"/>
              </w:rPr>
            </w:pPr>
            <w:r>
              <w:rPr>
                <w:rFonts w:cs="Calibri"/>
              </w:rPr>
              <w:t>70</w:t>
            </w:r>
          </w:p>
        </w:tc>
        <w:tc>
          <w:tcPr>
            <w:tcW w:w="997" w:type="dxa"/>
            <w:tcBorders>
              <w:top w:val="single" w:sz="4" w:space="0" w:color="000000"/>
              <w:left w:val="single" w:sz="4" w:space="0" w:color="000000"/>
              <w:bottom w:val="single" w:sz="4" w:space="0" w:color="000000"/>
              <w:right w:val="single" w:sz="4" w:space="0" w:color="000000"/>
            </w:tcBorders>
            <w:vAlign w:val="center"/>
          </w:tcPr>
          <w:p w14:paraId="29D18D47" w14:textId="77777777" w:rsidR="00826B6B" w:rsidRPr="00DD47DF" w:rsidRDefault="00FC7054"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725ACAA" w14:textId="77777777" w:rsidR="00826B6B" w:rsidRPr="00DD47DF" w:rsidRDefault="00FC7054" w:rsidP="007D5585">
            <w:pPr>
              <w:pStyle w:val="Tabulka"/>
              <w:rPr>
                <w:rFonts w:cs="Calibri"/>
              </w:rPr>
            </w:pPr>
            <w:r>
              <w:rPr>
                <w:rFonts w:cs="Calibri"/>
              </w:rPr>
              <w:t>průběžně</w:t>
            </w:r>
          </w:p>
        </w:tc>
      </w:tr>
      <w:tr w:rsidR="00DD2D31" w:rsidRPr="00DD47DF" w14:paraId="4640255B"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C8F889C" w14:textId="6BC863B5" w:rsidR="00DD2D31" w:rsidRPr="00DD47DF" w:rsidRDefault="00DD2D31" w:rsidP="007D5585">
            <w:pPr>
              <w:pStyle w:val="Tabulka"/>
              <w:rPr>
                <w:rFonts w:cs="Calibri"/>
              </w:rPr>
            </w:pPr>
            <w:r w:rsidRPr="00DD47DF">
              <w:rPr>
                <w:rFonts w:cs="Calibri"/>
              </w:rPr>
              <w:t>CO 02</w:t>
            </w:r>
          </w:p>
        </w:tc>
        <w:tc>
          <w:tcPr>
            <w:tcW w:w="0" w:type="auto"/>
            <w:tcBorders>
              <w:top w:val="single" w:sz="4" w:space="0" w:color="000000"/>
              <w:left w:val="single" w:sz="4" w:space="0" w:color="000000"/>
              <w:bottom w:val="single" w:sz="4" w:space="0" w:color="000000"/>
              <w:right w:val="single" w:sz="4" w:space="0" w:color="000000"/>
            </w:tcBorders>
            <w:vAlign w:val="center"/>
          </w:tcPr>
          <w:p w14:paraId="3978B1CC" w14:textId="77777777" w:rsidR="00DD2D31" w:rsidRPr="00DD47DF" w:rsidRDefault="00DD2D31" w:rsidP="007D5585">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6649B2E1" w14:textId="77777777" w:rsidR="00DD2D31" w:rsidRPr="00DD47DF" w:rsidRDefault="00DD2D31" w:rsidP="007D558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4603E6D"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47A985"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373F4FEC" w14:textId="0FB7912C" w:rsidR="00DD2D31" w:rsidRPr="00DD47DF" w:rsidRDefault="00EC6E73" w:rsidP="007D5585">
            <w:pPr>
              <w:pStyle w:val="Tabulka"/>
              <w:rPr>
                <w:rFonts w:cs="Calibri"/>
              </w:rPr>
            </w:pPr>
            <w:r>
              <w:rPr>
                <w:rFonts w:cs="Calibri"/>
              </w:rPr>
              <w:t>70</w:t>
            </w:r>
          </w:p>
        </w:tc>
        <w:tc>
          <w:tcPr>
            <w:tcW w:w="997" w:type="dxa"/>
            <w:tcBorders>
              <w:top w:val="single" w:sz="4" w:space="0" w:color="000000"/>
              <w:left w:val="single" w:sz="4" w:space="0" w:color="000000"/>
              <w:bottom w:val="single" w:sz="4" w:space="0" w:color="000000"/>
              <w:right w:val="single" w:sz="4" w:space="0" w:color="000000"/>
            </w:tcBorders>
            <w:vAlign w:val="center"/>
          </w:tcPr>
          <w:p w14:paraId="12E9ED46" w14:textId="77777777" w:rsidR="00DD2D31" w:rsidRPr="00DD47DF" w:rsidRDefault="00FC7054"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3340566B" w14:textId="77777777" w:rsidR="00DD2D31" w:rsidRPr="00DD47DF" w:rsidRDefault="00FC7054" w:rsidP="007D5585">
            <w:pPr>
              <w:pStyle w:val="Tabulka"/>
              <w:rPr>
                <w:rFonts w:cs="Calibri"/>
              </w:rPr>
            </w:pPr>
            <w:r>
              <w:rPr>
                <w:rFonts w:cs="Calibri"/>
              </w:rPr>
              <w:t>průběžně</w:t>
            </w:r>
          </w:p>
        </w:tc>
      </w:tr>
      <w:tr w:rsidR="00DD2D31" w:rsidRPr="00DD47DF" w14:paraId="48C291B6"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5E5EFC6" w14:textId="01A6189C" w:rsidR="00DD2D31" w:rsidRPr="00DD47DF" w:rsidRDefault="00DD2D31" w:rsidP="007D5585">
            <w:pPr>
              <w:pStyle w:val="Tabulka"/>
              <w:rPr>
                <w:rFonts w:cs="Calibri"/>
              </w:rPr>
            </w:pPr>
            <w:r w:rsidRPr="00DD47DF">
              <w:rPr>
                <w:rFonts w:cs="Calibri"/>
              </w:rPr>
              <w:t>CO 06</w:t>
            </w:r>
          </w:p>
        </w:tc>
        <w:tc>
          <w:tcPr>
            <w:tcW w:w="0" w:type="auto"/>
            <w:tcBorders>
              <w:top w:val="single" w:sz="4" w:space="0" w:color="000000"/>
              <w:left w:val="single" w:sz="4" w:space="0" w:color="000000"/>
              <w:bottom w:val="single" w:sz="4" w:space="0" w:color="000000"/>
              <w:right w:val="single" w:sz="4" w:space="0" w:color="000000"/>
            </w:tcBorders>
            <w:vAlign w:val="center"/>
          </w:tcPr>
          <w:p w14:paraId="012C3EFF" w14:textId="77777777" w:rsidR="00DD2D31" w:rsidRPr="00DD47DF" w:rsidRDefault="00892451" w:rsidP="007D5585">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9797BBB" w14:textId="77777777" w:rsidR="00DD2D31" w:rsidRPr="00DD47DF" w:rsidRDefault="00DD2D31" w:rsidP="007D558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648C6629"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9382532"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79F7DFB4" w14:textId="10490281" w:rsidR="00DD2D31" w:rsidRPr="00DD47DF" w:rsidRDefault="00EC6E73" w:rsidP="007D5585">
            <w:pPr>
              <w:pStyle w:val="Tabulka"/>
              <w:rPr>
                <w:rFonts w:cs="Calibri"/>
              </w:rPr>
            </w:pPr>
            <w:r>
              <w:rPr>
                <w:rFonts w:cs="Calibri"/>
              </w:rPr>
              <w:t>22</w:t>
            </w:r>
            <w:r w:rsidRPr="00DD47DF">
              <w:rPr>
                <w:rFonts w:cs="Calibri"/>
              </w:rPr>
              <w:t> </w:t>
            </w:r>
            <w:r w:rsidR="00DD2D31" w:rsidRPr="00DD47DF">
              <w:rPr>
                <w:rFonts w:cs="Calibri"/>
              </w:rPr>
              <w:t>000 000</w:t>
            </w:r>
          </w:p>
        </w:tc>
        <w:tc>
          <w:tcPr>
            <w:tcW w:w="997" w:type="dxa"/>
            <w:tcBorders>
              <w:top w:val="single" w:sz="4" w:space="0" w:color="000000"/>
              <w:left w:val="single" w:sz="4" w:space="0" w:color="000000"/>
              <w:bottom w:val="single" w:sz="4" w:space="0" w:color="000000"/>
              <w:right w:val="single" w:sz="4" w:space="0" w:color="000000"/>
            </w:tcBorders>
            <w:vAlign w:val="center"/>
          </w:tcPr>
          <w:p w14:paraId="354DF600" w14:textId="77777777" w:rsidR="00DD2D31" w:rsidRPr="00DD47DF" w:rsidRDefault="00800418" w:rsidP="007D558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AE3305A" w14:textId="77777777" w:rsidR="00DD2D31" w:rsidRPr="00DD47DF" w:rsidRDefault="00934A97" w:rsidP="007D5585">
            <w:pPr>
              <w:pStyle w:val="Tabulka"/>
              <w:rPr>
                <w:rFonts w:cs="Calibri"/>
              </w:rPr>
            </w:pPr>
            <w:r>
              <w:rPr>
                <w:rFonts w:cs="Calibri"/>
              </w:rPr>
              <w:t>průběžně</w:t>
            </w:r>
          </w:p>
        </w:tc>
      </w:tr>
      <w:tr w:rsidR="00DD2D31" w:rsidRPr="00DD47DF" w14:paraId="0A6F828F"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B5CC29D" w14:textId="5C0AC3E7" w:rsidR="00DD2D31" w:rsidRPr="00DD47DF" w:rsidRDefault="00DD2D31" w:rsidP="008F41A1">
            <w:pPr>
              <w:pStyle w:val="Tabulka"/>
              <w:keepNext/>
              <w:keepLines/>
              <w:rPr>
                <w:rFonts w:cs="Calibri"/>
              </w:rPr>
            </w:pPr>
            <w:r w:rsidRPr="00DD47DF">
              <w:rPr>
                <w:rFonts w:cs="Calibri"/>
              </w:rPr>
              <w:t>CO 30</w:t>
            </w:r>
          </w:p>
        </w:tc>
        <w:tc>
          <w:tcPr>
            <w:tcW w:w="0" w:type="auto"/>
            <w:tcBorders>
              <w:top w:val="single" w:sz="4" w:space="0" w:color="000000"/>
              <w:left w:val="single" w:sz="4" w:space="0" w:color="000000"/>
              <w:bottom w:val="single" w:sz="4" w:space="0" w:color="000000"/>
              <w:right w:val="single" w:sz="4" w:space="0" w:color="000000"/>
            </w:tcBorders>
            <w:vAlign w:val="center"/>
          </w:tcPr>
          <w:p w14:paraId="60A2F685" w14:textId="77777777" w:rsidR="00DD2D31" w:rsidRPr="00DD47DF" w:rsidRDefault="00DD2D31" w:rsidP="008F41A1">
            <w:pPr>
              <w:pStyle w:val="Tabulka"/>
              <w:keepNext/>
              <w:keepLines/>
              <w:jc w:val="left"/>
              <w:rPr>
                <w:rFonts w:cs="Calibri"/>
              </w:rPr>
            </w:pPr>
            <w:r w:rsidRPr="00DD47DF">
              <w:rPr>
                <w:rFonts w:cs="Calibri"/>
              </w:rPr>
              <w:t>Nová kapacita zařízení pro výrobu energie z obnovitelných zdrojů</w:t>
            </w:r>
          </w:p>
        </w:tc>
        <w:tc>
          <w:tcPr>
            <w:tcW w:w="0" w:type="auto"/>
            <w:tcBorders>
              <w:top w:val="single" w:sz="4" w:space="0" w:color="000000"/>
              <w:left w:val="single" w:sz="4" w:space="0" w:color="000000"/>
              <w:bottom w:val="single" w:sz="4" w:space="0" w:color="000000"/>
              <w:right w:val="single" w:sz="4" w:space="0" w:color="000000"/>
            </w:tcBorders>
            <w:vAlign w:val="center"/>
          </w:tcPr>
          <w:p w14:paraId="66D84553" w14:textId="77777777" w:rsidR="00DD2D31" w:rsidRPr="00DD47DF" w:rsidRDefault="00DD2D31" w:rsidP="008F41A1">
            <w:pPr>
              <w:pStyle w:val="Tabulka"/>
              <w:keepNext/>
              <w:keepLines/>
              <w:rPr>
                <w:rFonts w:cs="Calibri"/>
              </w:rPr>
            </w:pPr>
            <w:r w:rsidRPr="00DD47DF">
              <w:rPr>
                <w:rFonts w:cs="Calibri"/>
              </w:rPr>
              <w:t>MW</w:t>
            </w:r>
          </w:p>
        </w:tc>
        <w:tc>
          <w:tcPr>
            <w:tcW w:w="0" w:type="auto"/>
            <w:tcBorders>
              <w:top w:val="single" w:sz="4" w:space="0" w:color="000000"/>
              <w:left w:val="single" w:sz="4" w:space="0" w:color="000000"/>
              <w:bottom w:val="single" w:sz="4" w:space="0" w:color="000000"/>
              <w:right w:val="single" w:sz="4" w:space="0" w:color="000000"/>
            </w:tcBorders>
            <w:vAlign w:val="center"/>
          </w:tcPr>
          <w:p w14:paraId="11E86868"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BFA1CCC"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652F8EBB" w14:textId="5BF1C735" w:rsidR="00DD2D31" w:rsidRPr="00DD47DF" w:rsidRDefault="00EC6E73" w:rsidP="007D5585">
            <w:pPr>
              <w:pStyle w:val="Tabulka"/>
              <w:rPr>
                <w:rFonts w:cs="Calibri"/>
              </w:rPr>
            </w:pPr>
            <w:r>
              <w:rPr>
                <w:rFonts w:cs="Calibri"/>
              </w:rPr>
              <w:t>60</w:t>
            </w:r>
          </w:p>
        </w:tc>
        <w:tc>
          <w:tcPr>
            <w:tcW w:w="997" w:type="dxa"/>
            <w:tcBorders>
              <w:top w:val="single" w:sz="4" w:space="0" w:color="000000"/>
              <w:left w:val="single" w:sz="4" w:space="0" w:color="000000"/>
              <w:bottom w:val="single" w:sz="4" w:space="0" w:color="000000"/>
              <w:right w:val="single" w:sz="4" w:space="0" w:color="000000"/>
            </w:tcBorders>
            <w:vAlign w:val="center"/>
          </w:tcPr>
          <w:p w14:paraId="6C8386DB"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CD9611E" w14:textId="77777777" w:rsidR="00DD2D31" w:rsidRPr="00DD47DF" w:rsidRDefault="00914951" w:rsidP="008F41A1">
            <w:pPr>
              <w:pStyle w:val="Tabulka"/>
              <w:keepNext/>
              <w:keepLines/>
              <w:rPr>
                <w:rFonts w:cs="Calibri"/>
              </w:rPr>
            </w:pPr>
            <w:r>
              <w:rPr>
                <w:rFonts w:cs="Calibri"/>
              </w:rPr>
              <w:t>průběžně</w:t>
            </w:r>
          </w:p>
        </w:tc>
      </w:tr>
      <w:tr w:rsidR="00DD2D31" w:rsidRPr="00DD47DF" w14:paraId="78A9F068"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2F06670" w14:textId="240A6DB5" w:rsidR="00DD2D31" w:rsidRPr="00DD47DF" w:rsidDel="00C75691" w:rsidRDefault="00DD2D31" w:rsidP="008F41A1">
            <w:pPr>
              <w:pStyle w:val="Tabulka"/>
              <w:keepNext/>
              <w:keepLines/>
              <w:rPr>
                <w:rFonts w:cs="Calibri"/>
              </w:rPr>
            </w:pPr>
            <w:r w:rsidRPr="00DD47DF">
              <w:rPr>
                <w:rFonts w:cs="Calibri"/>
              </w:rPr>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0B96C343" w14:textId="77777777" w:rsidR="00DD2D31" w:rsidRPr="00DD47DF" w:rsidRDefault="00DD2D31" w:rsidP="008F41A1">
            <w:pPr>
              <w:pStyle w:val="Tabulka"/>
              <w:keepNext/>
              <w:keepLines/>
              <w:jc w:val="left"/>
              <w:rPr>
                <w:rFonts w:cs="Calibri"/>
              </w:rPr>
            </w:pPr>
            <w:r w:rsidRPr="00DD47DF">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31CD9C76" w14:textId="77777777" w:rsidR="00DD2D31" w:rsidRPr="00DD47DF" w:rsidRDefault="00DD2D31" w:rsidP="008F41A1">
            <w:pPr>
              <w:pStyle w:val="Tabulka"/>
              <w:keepNext/>
              <w:keepLines/>
              <w:rPr>
                <w:rFonts w:cs="Calibri"/>
              </w:rPr>
            </w:pPr>
            <w:r w:rsidRPr="00DD47DF">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37F81A68"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419E2D2"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301F605E" w14:textId="65742CDF" w:rsidR="00DD2D31" w:rsidRPr="00DD47DF" w:rsidRDefault="00EC6E73" w:rsidP="007D5585">
            <w:pPr>
              <w:pStyle w:val="Tabulka"/>
              <w:rPr>
                <w:rFonts w:cs="Calibri"/>
              </w:rPr>
            </w:pPr>
            <w:r>
              <w:rPr>
                <w:rFonts w:cs="Calibri"/>
              </w:rPr>
              <w:t>192</w:t>
            </w:r>
            <w:r w:rsidRPr="00DD47DF">
              <w:rPr>
                <w:rFonts w:cs="Calibri"/>
              </w:rPr>
              <w:t xml:space="preserve"> </w:t>
            </w:r>
            <w:r w:rsidR="00DD2D31" w:rsidRPr="00DD47DF">
              <w:rPr>
                <w:rFonts w:cs="Calibri"/>
              </w:rPr>
              <w:t>000</w:t>
            </w:r>
          </w:p>
        </w:tc>
        <w:tc>
          <w:tcPr>
            <w:tcW w:w="997" w:type="dxa"/>
            <w:tcBorders>
              <w:top w:val="single" w:sz="4" w:space="0" w:color="000000"/>
              <w:left w:val="single" w:sz="4" w:space="0" w:color="000000"/>
              <w:bottom w:val="single" w:sz="4" w:space="0" w:color="000000"/>
              <w:right w:val="single" w:sz="4" w:space="0" w:color="000000"/>
            </w:tcBorders>
            <w:vAlign w:val="center"/>
          </w:tcPr>
          <w:p w14:paraId="3EC0B3F7"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1C4DEF4" w14:textId="77777777" w:rsidR="00DD2D31" w:rsidRPr="00DD47DF" w:rsidRDefault="00CE0DF7" w:rsidP="008F41A1">
            <w:pPr>
              <w:pStyle w:val="Tabulka"/>
              <w:keepNext/>
              <w:keepLines/>
              <w:rPr>
                <w:rFonts w:cs="Calibri"/>
              </w:rPr>
            </w:pPr>
            <w:r>
              <w:rPr>
                <w:rFonts w:cs="Calibri"/>
              </w:rPr>
              <w:t>průběžně</w:t>
            </w:r>
          </w:p>
        </w:tc>
      </w:tr>
      <w:tr w:rsidR="00DD2D31" w:rsidRPr="00DD47DF" w14:paraId="697539FA"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A78C7B6" w14:textId="77777777" w:rsidR="00DD2D31" w:rsidRPr="00DD47DF" w:rsidDel="00C75691" w:rsidRDefault="00DD2D31" w:rsidP="008F41A1">
            <w:pPr>
              <w:pStyle w:val="Tabulka"/>
              <w:keepNext/>
              <w:keepLines/>
              <w:rPr>
                <w:rFonts w:cs="Calibri"/>
              </w:rPr>
            </w:pPr>
            <w:r w:rsidRPr="00DD47DF">
              <w:rPr>
                <w:rFonts w:cs="Calibri"/>
              </w:rPr>
              <w:t>34601</w:t>
            </w:r>
          </w:p>
        </w:tc>
        <w:tc>
          <w:tcPr>
            <w:tcW w:w="0" w:type="auto"/>
            <w:tcBorders>
              <w:top w:val="single" w:sz="4" w:space="0" w:color="000000"/>
              <w:left w:val="single" w:sz="4" w:space="0" w:color="000000"/>
              <w:bottom w:val="single" w:sz="4" w:space="0" w:color="000000"/>
              <w:right w:val="single" w:sz="4" w:space="0" w:color="000000"/>
            </w:tcBorders>
            <w:vAlign w:val="center"/>
          </w:tcPr>
          <w:p w14:paraId="76925A52" w14:textId="77777777" w:rsidR="00DD2D31" w:rsidRPr="00DD47DF" w:rsidRDefault="00DD2D31" w:rsidP="008F41A1">
            <w:pPr>
              <w:pStyle w:val="Tabulka"/>
              <w:keepNext/>
              <w:keepLines/>
              <w:jc w:val="left"/>
              <w:rPr>
                <w:rFonts w:cs="Calibri"/>
              </w:rPr>
            </w:pPr>
            <w:r w:rsidRPr="00DD47DF">
              <w:rPr>
                <w:rFonts w:cs="Calibri"/>
              </w:rPr>
              <w:t>Soustrojí MVE</w:t>
            </w:r>
          </w:p>
        </w:tc>
        <w:tc>
          <w:tcPr>
            <w:tcW w:w="0" w:type="auto"/>
            <w:tcBorders>
              <w:top w:val="single" w:sz="4" w:space="0" w:color="000000"/>
              <w:left w:val="single" w:sz="4" w:space="0" w:color="000000"/>
              <w:bottom w:val="single" w:sz="4" w:space="0" w:color="000000"/>
              <w:right w:val="single" w:sz="4" w:space="0" w:color="000000"/>
            </w:tcBorders>
            <w:vAlign w:val="center"/>
          </w:tcPr>
          <w:p w14:paraId="679FE762" w14:textId="77777777" w:rsidR="00DD2D31" w:rsidRPr="00DD47DF" w:rsidRDefault="00DD2D31" w:rsidP="008F41A1">
            <w:pPr>
              <w:pStyle w:val="Tabulka"/>
              <w:keepNext/>
              <w:keepLines/>
              <w:rPr>
                <w:rFonts w:cs="Calibri"/>
              </w:rPr>
            </w:pPr>
            <w:r w:rsidRPr="00DD47DF">
              <w:rPr>
                <w:rFonts w:cs="Calibri"/>
              </w:rPr>
              <w:t>soustrojí</w:t>
            </w:r>
          </w:p>
        </w:tc>
        <w:tc>
          <w:tcPr>
            <w:tcW w:w="0" w:type="auto"/>
            <w:tcBorders>
              <w:top w:val="single" w:sz="4" w:space="0" w:color="000000"/>
              <w:left w:val="single" w:sz="4" w:space="0" w:color="000000"/>
              <w:bottom w:val="single" w:sz="4" w:space="0" w:color="000000"/>
              <w:right w:val="single" w:sz="4" w:space="0" w:color="000000"/>
            </w:tcBorders>
            <w:vAlign w:val="center"/>
          </w:tcPr>
          <w:p w14:paraId="7C7C9482"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25A2D5F"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688B6FF3" w14:textId="34EA4114" w:rsidR="00DD2D31" w:rsidRPr="00DD47DF" w:rsidRDefault="00EC6E73" w:rsidP="007D5585">
            <w:pPr>
              <w:pStyle w:val="Tabulka"/>
              <w:rPr>
                <w:rFonts w:cs="Calibri"/>
              </w:rPr>
            </w:pPr>
            <w:r>
              <w:rPr>
                <w:rFonts w:cs="Calibri"/>
              </w:rPr>
              <w:t>5</w:t>
            </w:r>
          </w:p>
        </w:tc>
        <w:tc>
          <w:tcPr>
            <w:tcW w:w="997" w:type="dxa"/>
            <w:tcBorders>
              <w:top w:val="single" w:sz="4" w:space="0" w:color="000000"/>
              <w:left w:val="single" w:sz="4" w:space="0" w:color="000000"/>
              <w:bottom w:val="single" w:sz="4" w:space="0" w:color="000000"/>
              <w:right w:val="single" w:sz="4" w:space="0" w:color="000000"/>
            </w:tcBorders>
            <w:vAlign w:val="center"/>
          </w:tcPr>
          <w:p w14:paraId="4852A055"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4DDBBAA" w14:textId="77777777" w:rsidR="00DD2D31" w:rsidRPr="00DD47DF" w:rsidRDefault="00573C9E" w:rsidP="008F41A1">
            <w:pPr>
              <w:pStyle w:val="Tabulka"/>
              <w:keepNext/>
              <w:keepLines/>
              <w:rPr>
                <w:rFonts w:cs="Calibri"/>
              </w:rPr>
            </w:pPr>
            <w:r>
              <w:rPr>
                <w:rFonts w:cs="Calibri"/>
              </w:rPr>
              <w:t>průběžně</w:t>
            </w:r>
          </w:p>
        </w:tc>
      </w:tr>
      <w:tr w:rsidR="00DD2D31" w:rsidRPr="00DD47DF" w14:paraId="1083B696"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13E2820" w14:textId="77777777" w:rsidR="00DD2D31" w:rsidRPr="00DD47DF" w:rsidDel="00C75691" w:rsidRDefault="00DD2D31" w:rsidP="008F41A1">
            <w:pPr>
              <w:pStyle w:val="Tabulka"/>
              <w:keepNext/>
              <w:keepLines/>
              <w:rPr>
                <w:rFonts w:cs="Calibri"/>
              </w:rPr>
            </w:pPr>
            <w:r w:rsidRPr="00DD47DF">
              <w:rPr>
                <w:rFonts w:cs="Calibri"/>
              </w:rPr>
              <w:t>33905</w:t>
            </w:r>
          </w:p>
        </w:tc>
        <w:tc>
          <w:tcPr>
            <w:tcW w:w="0" w:type="auto"/>
            <w:tcBorders>
              <w:top w:val="single" w:sz="4" w:space="0" w:color="000000"/>
              <w:left w:val="single" w:sz="4" w:space="0" w:color="000000"/>
              <w:bottom w:val="single" w:sz="4" w:space="0" w:color="000000"/>
              <w:right w:val="single" w:sz="4" w:space="0" w:color="000000"/>
            </w:tcBorders>
            <w:vAlign w:val="center"/>
          </w:tcPr>
          <w:p w14:paraId="58963A93" w14:textId="77777777" w:rsidR="00DD2D31" w:rsidRPr="00DD47DF" w:rsidRDefault="00DD2D31" w:rsidP="008F41A1">
            <w:pPr>
              <w:pStyle w:val="Tabulka"/>
              <w:keepNext/>
              <w:keepLines/>
              <w:jc w:val="left"/>
              <w:rPr>
                <w:rFonts w:cs="Calibri"/>
              </w:rPr>
            </w:pPr>
            <w:r w:rsidRPr="00DD47DF">
              <w:rPr>
                <w:rFonts w:cs="Calibri"/>
              </w:rPr>
              <w:t>Soustavy vyvedení tepla z bioplynových stanic</w:t>
            </w:r>
          </w:p>
        </w:tc>
        <w:tc>
          <w:tcPr>
            <w:tcW w:w="0" w:type="auto"/>
            <w:tcBorders>
              <w:top w:val="single" w:sz="4" w:space="0" w:color="000000"/>
              <w:left w:val="single" w:sz="4" w:space="0" w:color="000000"/>
              <w:bottom w:val="single" w:sz="4" w:space="0" w:color="000000"/>
              <w:right w:val="single" w:sz="4" w:space="0" w:color="000000"/>
            </w:tcBorders>
            <w:vAlign w:val="center"/>
          </w:tcPr>
          <w:p w14:paraId="16520946" w14:textId="77777777" w:rsidR="00DD2D31" w:rsidRPr="00DD47DF" w:rsidRDefault="00DD2D31" w:rsidP="008F41A1">
            <w:pPr>
              <w:pStyle w:val="Tabulka"/>
              <w:keepNext/>
              <w:keepLines/>
              <w:rPr>
                <w:rFonts w:cs="Calibri"/>
              </w:rPr>
            </w:pPr>
            <w:r w:rsidRPr="00DD47DF">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643A7D2C"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2E0EA69"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798D876C" w14:textId="19CF5C7B" w:rsidR="00DD2D31" w:rsidRPr="00DD47DF" w:rsidRDefault="00EC6E73" w:rsidP="007D5585">
            <w:pPr>
              <w:pStyle w:val="Tabulka"/>
              <w:rPr>
                <w:rFonts w:cs="Calibri"/>
              </w:rPr>
            </w:pPr>
            <w:r>
              <w:rPr>
                <w:rFonts w:cs="Calibri"/>
              </w:rPr>
              <w:t>20</w:t>
            </w:r>
          </w:p>
        </w:tc>
        <w:tc>
          <w:tcPr>
            <w:tcW w:w="997" w:type="dxa"/>
            <w:tcBorders>
              <w:top w:val="single" w:sz="4" w:space="0" w:color="000000"/>
              <w:left w:val="single" w:sz="4" w:space="0" w:color="000000"/>
              <w:bottom w:val="single" w:sz="4" w:space="0" w:color="000000"/>
              <w:right w:val="single" w:sz="4" w:space="0" w:color="000000"/>
            </w:tcBorders>
            <w:vAlign w:val="center"/>
          </w:tcPr>
          <w:p w14:paraId="45912CCD"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6D7083F8" w14:textId="77777777" w:rsidR="00DD2D31" w:rsidRPr="00DD47DF" w:rsidRDefault="005355DA" w:rsidP="008F41A1">
            <w:pPr>
              <w:pStyle w:val="Tabulka"/>
              <w:keepNext/>
              <w:keepLines/>
              <w:rPr>
                <w:rFonts w:cs="Calibri"/>
              </w:rPr>
            </w:pPr>
            <w:r>
              <w:rPr>
                <w:rFonts w:cs="Calibri"/>
              </w:rPr>
              <w:t>průběžně</w:t>
            </w:r>
          </w:p>
        </w:tc>
      </w:tr>
      <w:tr w:rsidR="00DD2D31" w:rsidRPr="00DD47DF" w14:paraId="24B59ECE"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80044C7" w14:textId="77777777" w:rsidR="00DD2D31" w:rsidRPr="00DD47DF" w:rsidDel="00C75691" w:rsidRDefault="00DD2D31" w:rsidP="008F41A1">
            <w:pPr>
              <w:pStyle w:val="Tabulka"/>
              <w:keepNext/>
              <w:keepLines/>
              <w:rPr>
                <w:rFonts w:cs="Calibri"/>
              </w:rPr>
            </w:pPr>
            <w:r w:rsidRPr="00DD47DF">
              <w:rPr>
                <w:rFonts w:cs="Calibri"/>
              </w:rPr>
              <w:t>34701</w:t>
            </w:r>
          </w:p>
        </w:tc>
        <w:tc>
          <w:tcPr>
            <w:tcW w:w="0" w:type="auto"/>
            <w:tcBorders>
              <w:top w:val="single" w:sz="4" w:space="0" w:color="000000"/>
              <w:left w:val="single" w:sz="4" w:space="0" w:color="000000"/>
              <w:bottom w:val="single" w:sz="4" w:space="0" w:color="000000"/>
              <w:right w:val="single" w:sz="4" w:space="0" w:color="000000"/>
            </w:tcBorders>
            <w:vAlign w:val="center"/>
          </w:tcPr>
          <w:p w14:paraId="2D5B472F" w14:textId="77777777" w:rsidR="00DD2D31" w:rsidRPr="00DD47DF" w:rsidRDefault="00DD2D31" w:rsidP="008600A4">
            <w:pPr>
              <w:pStyle w:val="Tabulka"/>
              <w:keepNext/>
              <w:keepLines/>
              <w:jc w:val="left"/>
              <w:rPr>
                <w:rFonts w:cs="Calibri"/>
              </w:rPr>
            </w:pPr>
            <w:r w:rsidRPr="00DD47DF">
              <w:rPr>
                <w:rFonts w:cs="Calibri"/>
              </w:rPr>
              <w:t>Nové nebo rekonstruované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21C69517" w14:textId="77777777" w:rsidR="00DD2D31" w:rsidRPr="00DD47DF" w:rsidRDefault="00DD2D31" w:rsidP="008F41A1">
            <w:pPr>
              <w:pStyle w:val="Tabulka"/>
              <w:keepNext/>
              <w:keepLines/>
              <w:rPr>
                <w:rFonts w:cs="Calibri"/>
              </w:rPr>
            </w:pPr>
            <w:r w:rsidRPr="00DD47DF">
              <w:rPr>
                <w:rFonts w:cs="Calibri"/>
              </w:rPr>
              <w:t>soustava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5A5263FA" w14:textId="77777777" w:rsidR="00DD2D31" w:rsidRPr="00DD47DF" w:rsidRDefault="00DD2D31" w:rsidP="007D558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5D258BF" w14:textId="77777777" w:rsidR="00DD2D31" w:rsidRPr="00DD47DF" w:rsidRDefault="00DD2D31" w:rsidP="007D5585">
            <w:pPr>
              <w:pStyle w:val="Tabulka"/>
              <w:rPr>
                <w:rFonts w:cs="Calibri"/>
              </w:rPr>
            </w:pPr>
            <w:r w:rsidRPr="00DD47DF">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11A35295" w14:textId="431BA7B6" w:rsidR="00DD2D31" w:rsidRPr="00DD47DF" w:rsidRDefault="00EC6E73" w:rsidP="007D5585">
            <w:pPr>
              <w:pStyle w:val="Tabulka"/>
              <w:rPr>
                <w:rFonts w:cs="Calibri"/>
              </w:rPr>
            </w:pPr>
            <w:r>
              <w:rPr>
                <w:rFonts w:cs="Calibri"/>
              </w:rPr>
              <w:t>3</w:t>
            </w:r>
          </w:p>
        </w:tc>
        <w:tc>
          <w:tcPr>
            <w:tcW w:w="997" w:type="dxa"/>
            <w:tcBorders>
              <w:top w:val="single" w:sz="4" w:space="0" w:color="000000"/>
              <w:left w:val="single" w:sz="4" w:space="0" w:color="000000"/>
              <w:bottom w:val="single" w:sz="4" w:space="0" w:color="000000"/>
              <w:right w:val="single" w:sz="4" w:space="0" w:color="000000"/>
            </w:tcBorders>
            <w:vAlign w:val="center"/>
          </w:tcPr>
          <w:p w14:paraId="41A3E4A3" w14:textId="77777777" w:rsidR="00DD2D31" w:rsidRPr="00DD47DF" w:rsidRDefault="00DD2D31" w:rsidP="008F41A1">
            <w:pPr>
              <w:pStyle w:val="Tabulka"/>
              <w:keepNext/>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47871822" w14:textId="77777777" w:rsidR="00DD2D31" w:rsidRPr="00DD47DF" w:rsidRDefault="00516928" w:rsidP="008F41A1">
            <w:pPr>
              <w:pStyle w:val="Tabulka"/>
              <w:keepNext/>
              <w:keepLines/>
              <w:rPr>
                <w:rFonts w:cs="Calibri"/>
              </w:rPr>
            </w:pPr>
            <w:r>
              <w:rPr>
                <w:rFonts w:cs="Calibri"/>
              </w:rPr>
              <w:t>průběžně</w:t>
            </w:r>
          </w:p>
        </w:tc>
      </w:tr>
      <w:tr w:rsidR="0096415B" w:rsidRPr="00DD47DF" w14:paraId="7571809E"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55A9A38" w14:textId="2B429415" w:rsidR="0096415B" w:rsidRPr="00DD47DF" w:rsidRDefault="0096415B" w:rsidP="0096415B">
            <w:pPr>
              <w:pStyle w:val="Tabulka"/>
              <w:keepNext/>
              <w:keepLines/>
              <w:rPr>
                <w:rFonts w:cs="Calibri"/>
              </w:rPr>
            </w:pPr>
            <w:r w:rsidRPr="00230AA4">
              <w:rPr>
                <w:rFonts w:cs="Calibri"/>
              </w:rPr>
              <w:t>33907</w:t>
            </w:r>
          </w:p>
        </w:tc>
        <w:tc>
          <w:tcPr>
            <w:tcW w:w="0" w:type="auto"/>
            <w:tcBorders>
              <w:top w:val="single" w:sz="4" w:space="0" w:color="000000"/>
              <w:left w:val="single" w:sz="4" w:space="0" w:color="000000"/>
              <w:bottom w:val="single" w:sz="4" w:space="0" w:color="000000"/>
              <w:right w:val="single" w:sz="4" w:space="0" w:color="000000"/>
            </w:tcBorders>
            <w:vAlign w:val="center"/>
          </w:tcPr>
          <w:p w14:paraId="5FDB34E7" w14:textId="3437A56C" w:rsidR="0096415B" w:rsidRPr="00DD47DF" w:rsidRDefault="0096415B" w:rsidP="0096415B">
            <w:pPr>
              <w:pStyle w:val="Tabulka"/>
              <w:keepNext/>
              <w:keepLines/>
              <w:jc w:val="left"/>
              <w:rPr>
                <w:rFonts w:cs="Calibri"/>
              </w:rPr>
            </w:pPr>
            <w:r>
              <w:rPr>
                <w:rFonts w:cs="Calibri"/>
              </w:rPr>
              <w:t>Soustavy tepelných čerpadel</w:t>
            </w:r>
          </w:p>
        </w:tc>
        <w:tc>
          <w:tcPr>
            <w:tcW w:w="0" w:type="auto"/>
            <w:tcBorders>
              <w:top w:val="single" w:sz="4" w:space="0" w:color="000000"/>
              <w:left w:val="single" w:sz="4" w:space="0" w:color="000000"/>
              <w:bottom w:val="single" w:sz="4" w:space="0" w:color="000000"/>
              <w:right w:val="single" w:sz="4" w:space="0" w:color="000000"/>
            </w:tcBorders>
            <w:vAlign w:val="center"/>
          </w:tcPr>
          <w:p w14:paraId="77896498" w14:textId="55D1F820" w:rsidR="0096415B" w:rsidRPr="00DD47DF" w:rsidRDefault="0096415B" w:rsidP="0096415B">
            <w:pPr>
              <w:pStyle w:val="Tabulka"/>
              <w:keepNext/>
              <w:keepLines/>
              <w:rPr>
                <w:rFonts w:cs="Calibri"/>
              </w:rPr>
            </w:pPr>
            <w:r>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6CE523E3" w14:textId="7328BFEF" w:rsidR="0096415B" w:rsidRPr="00DD47DF" w:rsidRDefault="0096415B" w:rsidP="0096415B">
            <w:pPr>
              <w:pStyle w:val="Tabulka"/>
              <w:rPr>
                <w:rFonts w:cs="Calibri"/>
              </w:rPr>
            </w:pPr>
            <w:r w:rsidRPr="0026779D">
              <w:rPr>
                <w:rFonts w:cs="Calibri"/>
              </w:rPr>
              <w:t>EFRR</w:t>
            </w:r>
          </w:p>
        </w:tc>
        <w:tc>
          <w:tcPr>
            <w:tcW w:w="0" w:type="auto"/>
            <w:tcBorders>
              <w:top w:val="single" w:sz="4" w:space="0" w:color="000000"/>
              <w:left w:val="single" w:sz="4" w:space="0" w:color="000000"/>
              <w:bottom w:val="single" w:sz="4" w:space="0" w:color="000000"/>
              <w:right w:val="single" w:sz="4" w:space="0" w:color="000000"/>
            </w:tcBorders>
          </w:tcPr>
          <w:p w14:paraId="2D9EA14B" w14:textId="7D582BA2" w:rsidR="0096415B" w:rsidRPr="00DD47DF" w:rsidRDefault="0096415B" w:rsidP="0096415B">
            <w:pPr>
              <w:pStyle w:val="Tabulka"/>
              <w:rPr>
                <w:rFonts w:cs="Calibri"/>
              </w:rPr>
            </w:pPr>
            <w:r w:rsidRPr="0026779D">
              <w:t>Méně rozvinuté regiony</w:t>
            </w:r>
          </w:p>
        </w:tc>
        <w:tc>
          <w:tcPr>
            <w:tcW w:w="1124" w:type="dxa"/>
            <w:tcBorders>
              <w:top w:val="single" w:sz="4" w:space="0" w:color="000000"/>
              <w:left w:val="single" w:sz="4" w:space="0" w:color="000000"/>
              <w:bottom w:val="single" w:sz="4" w:space="0" w:color="000000"/>
              <w:right w:val="single" w:sz="4" w:space="0" w:color="000000"/>
            </w:tcBorders>
          </w:tcPr>
          <w:p w14:paraId="399E8E64" w14:textId="16FDC078" w:rsidR="0096415B" w:rsidRPr="00DD47DF" w:rsidDel="0096415B" w:rsidRDefault="00EC6E73" w:rsidP="0096415B">
            <w:pPr>
              <w:pStyle w:val="Tabulka"/>
              <w:rPr>
                <w:rFonts w:cs="Calibri"/>
              </w:rPr>
            </w:pPr>
            <w:r>
              <w:t>3</w:t>
            </w:r>
          </w:p>
        </w:tc>
        <w:tc>
          <w:tcPr>
            <w:tcW w:w="997" w:type="dxa"/>
            <w:tcBorders>
              <w:top w:val="single" w:sz="4" w:space="0" w:color="000000"/>
              <w:left w:val="single" w:sz="4" w:space="0" w:color="000000"/>
              <w:bottom w:val="single" w:sz="4" w:space="0" w:color="000000"/>
              <w:right w:val="single" w:sz="4" w:space="0" w:color="000000"/>
            </w:tcBorders>
          </w:tcPr>
          <w:p w14:paraId="12C96B7F" w14:textId="13EC1D90" w:rsidR="0096415B" w:rsidRPr="00DD47DF" w:rsidRDefault="0096415B" w:rsidP="0096415B">
            <w:pPr>
              <w:pStyle w:val="Tabulka"/>
              <w:keepNext/>
              <w:keepLines/>
              <w:rPr>
                <w:rFonts w:cs="Calibri"/>
              </w:rPr>
            </w:pPr>
            <w:r w:rsidRPr="0026779D">
              <w:t>Ž/P</w:t>
            </w:r>
          </w:p>
        </w:tc>
        <w:tc>
          <w:tcPr>
            <w:tcW w:w="0" w:type="auto"/>
            <w:tcBorders>
              <w:top w:val="single" w:sz="4" w:space="0" w:color="000000"/>
              <w:left w:val="single" w:sz="4" w:space="0" w:color="000000"/>
              <w:bottom w:val="single" w:sz="4" w:space="0" w:color="000000"/>
              <w:right w:val="single" w:sz="4" w:space="0" w:color="000000"/>
            </w:tcBorders>
          </w:tcPr>
          <w:p w14:paraId="542DA075" w14:textId="6436EAC9" w:rsidR="0096415B" w:rsidRDefault="0096415B" w:rsidP="0096415B">
            <w:pPr>
              <w:pStyle w:val="Tabulka"/>
              <w:keepNext/>
              <w:keepLines/>
              <w:rPr>
                <w:rFonts w:cs="Calibri"/>
              </w:rPr>
            </w:pPr>
            <w:r w:rsidRPr="0026779D">
              <w:t>průběžně</w:t>
            </w:r>
          </w:p>
        </w:tc>
      </w:tr>
      <w:tr w:rsidR="0096415B" w:rsidRPr="00DD47DF" w14:paraId="747D21F3"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20787A1" w14:textId="29DA1A2E" w:rsidR="0096415B" w:rsidRPr="00DD47DF" w:rsidRDefault="0096415B" w:rsidP="0096415B">
            <w:pPr>
              <w:pStyle w:val="Tabulka"/>
              <w:keepNext/>
              <w:keepLines/>
              <w:rPr>
                <w:rFonts w:cs="Calibri"/>
              </w:rPr>
            </w:pPr>
            <w:r w:rsidRPr="00230AA4">
              <w:rPr>
                <w:rFonts w:cs="Calibri"/>
              </w:rPr>
              <w:t>33908</w:t>
            </w:r>
          </w:p>
        </w:tc>
        <w:tc>
          <w:tcPr>
            <w:tcW w:w="0" w:type="auto"/>
            <w:tcBorders>
              <w:top w:val="single" w:sz="4" w:space="0" w:color="000000"/>
              <w:left w:val="single" w:sz="4" w:space="0" w:color="000000"/>
              <w:bottom w:val="single" w:sz="4" w:space="0" w:color="000000"/>
              <w:right w:val="single" w:sz="4" w:space="0" w:color="000000"/>
            </w:tcBorders>
            <w:vAlign w:val="center"/>
          </w:tcPr>
          <w:p w14:paraId="25EB2F97" w14:textId="2F2B2589" w:rsidR="0096415B" w:rsidRPr="00DD47DF" w:rsidRDefault="0096415B" w:rsidP="0096415B">
            <w:pPr>
              <w:pStyle w:val="Tabulka"/>
              <w:keepNext/>
              <w:keepLines/>
              <w:jc w:val="left"/>
              <w:rPr>
                <w:rFonts w:cs="Calibri"/>
              </w:rPr>
            </w:pPr>
            <w:r>
              <w:rPr>
                <w:rFonts w:cs="Calibri"/>
              </w:rPr>
              <w:t>Soustavy solárních kolektorů</w:t>
            </w:r>
          </w:p>
        </w:tc>
        <w:tc>
          <w:tcPr>
            <w:tcW w:w="0" w:type="auto"/>
            <w:tcBorders>
              <w:top w:val="single" w:sz="4" w:space="0" w:color="000000"/>
              <w:left w:val="single" w:sz="4" w:space="0" w:color="000000"/>
              <w:bottom w:val="single" w:sz="4" w:space="0" w:color="000000"/>
              <w:right w:val="single" w:sz="4" w:space="0" w:color="000000"/>
            </w:tcBorders>
            <w:vAlign w:val="center"/>
          </w:tcPr>
          <w:p w14:paraId="4A8D7053" w14:textId="254BD5E8" w:rsidR="0096415B" w:rsidRPr="00DD47DF" w:rsidRDefault="0096415B" w:rsidP="0096415B">
            <w:pPr>
              <w:pStyle w:val="Tabulka"/>
              <w:keepNext/>
              <w:keepLines/>
              <w:rPr>
                <w:rFonts w:cs="Calibri"/>
              </w:rPr>
            </w:pPr>
            <w:r>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2F1AEA08" w14:textId="6959F6A7" w:rsidR="0096415B" w:rsidRPr="00DD47DF" w:rsidRDefault="0096415B" w:rsidP="0096415B">
            <w:pPr>
              <w:pStyle w:val="Tabulka"/>
              <w:rPr>
                <w:rFonts w:cs="Calibri"/>
              </w:rPr>
            </w:pPr>
            <w:r w:rsidRPr="0026779D">
              <w:rPr>
                <w:rFonts w:cs="Calibri"/>
              </w:rPr>
              <w:t>EFRR</w:t>
            </w:r>
          </w:p>
        </w:tc>
        <w:tc>
          <w:tcPr>
            <w:tcW w:w="0" w:type="auto"/>
            <w:tcBorders>
              <w:top w:val="single" w:sz="4" w:space="0" w:color="000000"/>
              <w:left w:val="single" w:sz="4" w:space="0" w:color="000000"/>
              <w:bottom w:val="single" w:sz="4" w:space="0" w:color="000000"/>
              <w:right w:val="single" w:sz="4" w:space="0" w:color="000000"/>
            </w:tcBorders>
          </w:tcPr>
          <w:p w14:paraId="3691127E" w14:textId="3B58488C" w:rsidR="0096415B" w:rsidRPr="00DD47DF" w:rsidRDefault="0096415B" w:rsidP="0096415B">
            <w:pPr>
              <w:pStyle w:val="Tabulka"/>
              <w:rPr>
                <w:rFonts w:cs="Calibri"/>
              </w:rPr>
            </w:pPr>
            <w:r w:rsidRPr="0026779D">
              <w:t>Méně rozvinuté regiony</w:t>
            </w:r>
          </w:p>
        </w:tc>
        <w:tc>
          <w:tcPr>
            <w:tcW w:w="1124" w:type="dxa"/>
            <w:tcBorders>
              <w:top w:val="single" w:sz="4" w:space="0" w:color="000000"/>
              <w:left w:val="single" w:sz="4" w:space="0" w:color="000000"/>
              <w:bottom w:val="single" w:sz="4" w:space="0" w:color="000000"/>
              <w:right w:val="single" w:sz="4" w:space="0" w:color="000000"/>
            </w:tcBorders>
          </w:tcPr>
          <w:p w14:paraId="767F4097" w14:textId="1FCD7CC9" w:rsidR="0096415B" w:rsidRPr="00DD47DF" w:rsidDel="0096415B" w:rsidRDefault="00EC6E73" w:rsidP="0096415B">
            <w:pPr>
              <w:pStyle w:val="Tabulka"/>
              <w:rPr>
                <w:rFonts w:cs="Calibri"/>
              </w:rPr>
            </w:pPr>
            <w:r>
              <w:t>3</w:t>
            </w:r>
          </w:p>
        </w:tc>
        <w:tc>
          <w:tcPr>
            <w:tcW w:w="997" w:type="dxa"/>
            <w:tcBorders>
              <w:top w:val="single" w:sz="4" w:space="0" w:color="000000"/>
              <w:left w:val="single" w:sz="4" w:space="0" w:color="000000"/>
              <w:bottom w:val="single" w:sz="4" w:space="0" w:color="000000"/>
              <w:right w:val="single" w:sz="4" w:space="0" w:color="000000"/>
            </w:tcBorders>
          </w:tcPr>
          <w:p w14:paraId="0ADDD260" w14:textId="7A1D084A" w:rsidR="0096415B" w:rsidRPr="00DD47DF" w:rsidRDefault="0096415B" w:rsidP="0096415B">
            <w:pPr>
              <w:pStyle w:val="Tabulka"/>
              <w:keepNext/>
              <w:keepLines/>
              <w:rPr>
                <w:rFonts w:cs="Calibri"/>
              </w:rPr>
            </w:pPr>
            <w:r w:rsidRPr="0026779D">
              <w:t>Ž/P</w:t>
            </w:r>
          </w:p>
        </w:tc>
        <w:tc>
          <w:tcPr>
            <w:tcW w:w="0" w:type="auto"/>
            <w:tcBorders>
              <w:top w:val="single" w:sz="4" w:space="0" w:color="000000"/>
              <w:left w:val="single" w:sz="4" w:space="0" w:color="000000"/>
              <w:bottom w:val="single" w:sz="4" w:space="0" w:color="000000"/>
              <w:right w:val="single" w:sz="4" w:space="0" w:color="000000"/>
            </w:tcBorders>
          </w:tcPr>
          <w:p w14:paraId="7ADC678A" w14:textId="46D3FF4F" w:rsidR="0096415B" w:rsidRDefault="0096415B" w:rsidP="0096415B">
            <w:pPr>
              <w:pStyle w:val="Tabulka"/>
              <w:keepNext/>
              <w:keepLines/>
              <w:rPr>
                <w:rFonts w:cs="Calibri"/>
              </w:rPr>
            </w:pPr>
            <w:r w:rsidRPr="0026779D">
              <w:t>průběžně</w:t>
            </w:r>
          </w:p>
        </w:tc>
      </w:tr>
      <w:tr w:rsidR="0096415B" w:rsidRPr="00DD47DF" w14:paraId="456E0D50" w14:textId="77777777" w:rsidTr="0096415B">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60BD72A" w14:textId="4DF6606D" w:rsidR="0096415B" w:rsidRPr="00DD47DF" w:rsidRDefault="0096415B" w:rsidP="0096415B">
            <w:pPr>
              <w:pStyle w:val="Tabulka"/>
              <w:keepNext/>
              <w:keepLines/>
              <w:rPr>
                <w:rFonts w:cs="Calibri"/>
              </w:rPr>
            </w:pPr>
            <w:r w:rsidRPr="00230AA4">
              <w:rPr>
                <w:rFonts w:cs="Calibri"/>
              </w:rPr>
              <w:t>33909</w:t>
            </w:r>
          </w:p>
        </w:tc>
        <w:tc>
          <w:tcPr>
            <w:tcW w:w="0" w:type="auto"/>
            <w:tcBorders>
              <w:top w:val="single" w:sz="4" w:space="0" w:color="000000"/>
              <w:left w:val="single" w:sz="4" w:space="0" w:color="000000"/>
              <w:bottom w:val="single" w:sz="4" w:space="0" w:color="000000"/>
              <w:right w:val="single" w:sz="4" w:space="0" w:color="000000"/>
            </w:tcBorders>
            <w:vAlign w:val="center"/>
          </w:tcPr>
          <w:p w14:paraId="2F4A383B" w14:textId="7FDE108F" w:rsidR="0096415B" w:rsidRPr="00DD47DF" w:rsidRDefault="0096415B" w:rsidP="0096415B">
            <w:pPr>
              <w:pStyle w:val="Tabulka"/>
              <w:keepNext/>
              <w:keepLines/>
              <w:jc w:val="left"/>
              <w:rPr>
                <w:rFonts w:cs="Calibri"/>
              </w:rPr>
            </w:pPr>
            <w:r w:rsidRPr="0026779D">
              <w:rPr>
                <w:rFonts w:cs="Calibri"/>
              </w:rPr>
              <w:t>Větrný park</w:t>
            </w:r>
          </w:p>
        </w:tc>
        <w:tc>
          <w:tcPr>
            <w:tcW w:w="0" w:type="auto"/>
            <w:tcBorders>
              <w:top w:val="single" w:sz="4" w:space="0" w:color="000000"/>
              <w:left w:val="single" w:sz="4" w:space="0" w:color="000000"/>
              <w:bottom w:val="single" w:sz="4" w:space="0" w:color="000000"/>
              <w:right w:val="single" w:sz="4" w:space="0" w:color="000000"/>
            </w:tcBorders>
            <w:vAlign w:val="center"/>
          </w:tcPr>
          <w:p w14:paraId="4D5BFE55" w14:textId="052E2B6C" w:rsidR="0096415B" w:rsidRPr="00DD47DF" w:rsidRDefault="0096415B" w:rsidP="0096415B">
            <w:pPr>
              <w:pStyle w:val="Tabulka"/>
              <w:keepNext/>
              <w:keepLines/>
              <w:rPr>
                <w:rFonts w:cs="Calibri"/>
              </w:rPr>
            </w:pPr>
            <w:r w:rsidRPr="0026779D">
              <w:rPr>
                <w:rFonts w:cs="Calibri"/>
              </w:rPr>
              <w:t>park</w:t>
            </w:r>
          </w:p>
        </w:tc>
        <w:tc>
          <w:tcPr>
            <w:tcW w:w="0" w:type="auto"/>
            <w:tcBorders>
              <w:top w:val="single" w:sz="4" w:space="0" w:color="000000"/>
              <w:left w:val="single" w:sz="4" w:space="0" w:color="000000"/>
              <w:bottom w:val="single" w:sz="4" w:space="0" w:color="000000"/>
              <w:right w:val="single" w:sz="4" w:space="0" w:color="000000"/>
            </w:tcBorders>
            <w:vAlign w:val="center"/>
          </w:tcPr>
          <w:p w14:paraId="5D38E6FB" w14:textId="5744903F" w:rsidR="0096415B" w:rsidRPr="00DD47DF" w:rsidRDefault="0096415B" w:rsidP="0096415B">
            <w:pPr>
              <w:pStyle w:val="Tabulka"/>
              <w:rPr>
                <w:rFonts w:cs="Calibri"/>
              </w:rPr>
            </w:pPr>
            <w:r w:rsidRPr="0026779D">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021ECC" w14:textId="7C5E9BB2" w:rsidR="0096415B" w:rsidRPr="00DD47DF" w:rsidRDefault="0096415B" w:rsidP="0096415B">
            <w:pPr>
              <w:pStyle w:val="Tabulka"/>
              <w:rPr>
                <w:rFonts w:cs="Calibri"/>
              </w:rPr>
            </w:pPr>
            <w:r w:rsidRPr="0026779D">
              <w:rPr>
                <w:rFonts w:cs="Calibri"/>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14:paraId="4B645C5D" w14:textId="2938DF8C" w:rsidR="0096415B" w:rsidRPr="00DD47DF" w:rsidDel="0096415B" w:rsidRDefault="00EC6E73" w:rsidP="0096415B">
            <w:pPr>
              <w:pStyle w:val="Tabulka"/>
              <w:rPr>
                <w:rFonts w:cs="Calibri"/>
              </w:rPr>
            </w:pPr>
            <w:r>
              <w:rPr>
                <w:rFonts w:cs="Calibri"/>
              </w:rPr>
              <w:t>6</w:t>
            </w:r>
          </w:p>
        </w:tc>
        <w:tc>
          <w:tcPr>
            <w:tcW w:w="997" w:type="dxa"/>
            <w:tcBorders>
              <w:top w:val="single" w:sz="4" w:space="0" w:color="000000"/>
              <w:left w:val="single" w:sz="4" w:space="0" w:color="000000"/>
              <w:bottom w:val="single" w:sz="4" w:space="0" w:color="000000"/>
              <w:right w:val="single" w:sz="4" w:space="0" w:color="000000"/>
            </w:tcBorders>
          </w:tcPr>
          <w:p w14:paraId="6438371F" w14:textId="00B0BB92" w:rsidR="0096415B" w:rsidRPr="00DD47DF" w:rsidRDefault="0096415B" w:rsidP="0096415B">
            <w:pPr>
              <w:pStyle w:val="Tabulka"/>
              <w:keepNext/>
              <w:keepLines/>
              <w:rPr>
                <w:rFonts w:cs="Calibri"/>
              </w:rPr>
            </w:pPr>
            <w:r w:rsidRPr="0026779D">
              <w:t>Ž/P</w:t>
            </w:r>
          </w:p>
        </w:tc>
        <w:tc>
          <w:tcPr>
            <w:tcW w:w="0" w:type="auto"/>
            <w:tcBorders>
              <w:top w:val="single" w:sz="4" w:space="0" w:color="000000"/>
              <w:left w:val="single" w:sz="4" w:space="0" w:color="000000"/>
              <w:bottom w:val="single" w:sz="4" w:space="0" w:color="000000"/>
              <w:right w:val="single" w:sz="4" w:space="0" w:color="000000"/>
            </w:tcBorders>
          </w:tcPr>
          <w:p w14:paraId="5BA78A35" w14:textId="171883BE" w:rsidR="0096415B" w:rsidRDefault="0096415B" w:rsidP="0096415B">
            <w:pPr>
              <w:pStyle w:val="Tabulka"/>
              <w:keepNext/>
              <w:keepLines/>
              <w:rPr>
                <w:rFonts w:cs="Calibri"/>
              </w:rPr>
            </w:pPr>
            <w:r w:rsidRPr="0026779D">
              <w:t>průběžně</w:t>
            </w:r>
          </w:p>
        </w:tc>
      </w:tr>
    </w:tbl>
    <w:p w14:paraId="6699FF21" w14:textId="77777777" w:rsidR="00AA66A2" w:rsidRPr="00DD47DF" w:rsidRDefault="00AA66A2" w:rsidP="00DA3512">
      <w:pPr>
        <w:pStyle w:val="kapitola2A0"/>
        <w:numPr>
          <w:ilvl w:val="2"/>
          <w:numId w:val="65"/>
        </w:numPr>
      </w:pPr>
      <w:bookmarkStart w:id="67" w:name="_Toc129005402"/>
      <w:r w:rsidRPr="00DD47DF">
        <w:t>INVESTIČNÍ PRIORITA 2 prioritní osy 3: Podpora energetické účinnosti a využívání energie z obnovitelných zdrojů v podnicích</w:t>
      </w:r>
      <w:bookmarkEnd w:id="67"/>
    </w:p>
    <w:p w14:paraId="3CDD7AF7" w14:textId="77777777" w:rsidR="003B05CA" w:rsidRPr="00DD47DF" w:rsidRDefault="008C7D72" w:rsidP="00DA3512">
      <w:pPr>
        <w:pStyle w:val="kapitola2A0"/>
        <w:numPr>
          <w:ilvl w:val="2"/>
          <w:numId w:val="65"/>
        </w:numPr>
      </w:pPr>
      <w:bookmarkStart w:id="68" w:name="_Toc129005403"/>
      <w:r w:rsidRPr="00DD47DF">
        <w:lastRenderedPageBreak/>
        <w:t>Specifické cíle odpovídající investiční prioritě a očekávané výsledky</w:t>
      </w:r>
      <w:bookmarkEnd w:id="68"/>
    </w:p>
    <w:p w14:paraId="17C337BD" w14:textId="6C6FB253" w:rsidR="00EC0F1D" w:rsidRPr="00DD47DF" w:rsidRDefault="00EC0F1D" w:rsidP="00396141">
      <w:pPr>
        <w:pStyle w:val="Modrnadpis"/>
      </w:pPr>
      <w:r w:rsidRPr="00DD47DF">
        <w:t xml:space="preserve">SPECIFICKÝ CÍL </w:t>
      </w:r>
      <w:r w:rsidR="00C71E6F" w:rsidRPr="00DD47DF">
        <w:t>3.</w:t>
      </w:r>
      <w:r w:rsidRPr="00DD47DF">
        <w:t xml:space="preserve">2: </w:t>
      </w:r>
      <w:r w:rsidR="009E5C82">
        <w:t>Zvýšení energetické účinnosti a využívání energie z obnovitelných zdrojů v podnikatelském sektoru</w:t>
      </w:r>
    </w:p>
    <w:p w14:paraId="373E179E" w14:textId="6466E1D5" w:rsidR="00982AE9" w:rsidRPr="00DD47DF" w:rsidRDefault="00A22765" w:rsidP="00FB0590">
      <w:pPr>
        <w:pStyle w:val="Standardntext"/>
      </w:pPr>
      <w:r w:rsidRPr="00DD47DF">
        <w:t xml:space="preserve">Energetická účinnost </w:t>
      </w:r>
      <w:r w:rsidR="00315376" w:rsidRPr="00315376">
        <w:t>a využívání energie z obnovitelných zdrojů</w:t>
      </w:r>
      <w:r w:rsidR="00315376">
        <w:t xml:space="preserve"> </w:t>
      </w:r>
      <w:r w:rsidRPr="00DD47DF">
        <w:t xml:space="preserve">je jedním z faktorů ovlivňujících konkurenceschopnost podniků, resp. celé ekonomiky. </w:t>
      </w:r>
      <w:r w:rsidR="00727C15" w:rsidRPr="00DD47DF">
        <w:t xml:space="preserve">V oblasti snižování energetické náročnosti průmyslových procesů učinila Česká republika za dobu své existence zásadní pokrok. </w:t>
      </w:r>
      <w:r w:rsidR="00315376" w:rsidRPr="00315376">
        <w:t>Objem využití obnovitelných zdrojů pro vlastní spotřebu podniků se v ČR také postupně zvyšuje.</w:t>
      </w:r>
      <w:r w:rsidR="00315376">
        <w:t xml:space="preserve"> </w:t>
      </w:r>
      <w:r w:rsidR="00727C15" w:rsidRPr="00DD47DF">
        <w:t>Přesto je v ČR stále nevyčerpán ekonomický potenciál úspor energie v tomto sektoru</w:t>
      </w:r>
      <w:r w:rsidR="00315376">
        <w:t xml:space="preserve"> </w:t>
      </w:r>
      <w:r w:rsidR="00315376" w:rsidRPr="00315376">
        <w:t>a pro vlastní spotřebu energie z obnovitelných zdrojů energie zvláště</w:t>
      </w:r>
      <w:r w:rsidR="00727C15" w:rsidRPr="00DD47DF">
        <w:t>.</w:t>
      </w:r>
      <w:r w:rsidRPr="00DD47DF">
        <w:t xml:space="preserve"> </w:t>
      </w:r>
      <w:r w:rsidR="008A674D" w:rsidRPr="00DD47DF">
        <w:t>Hlavním cílem je podpora konkurenceschopnosti podnikatelských subjektů</w:t>
      </w:r>
      <w:r w:rsidR="00727C15" w:rsidRPr="00DD47DF">
        <w:t xml:space="preserve"> a udržitelnosti české ekonomiky</w:t>
      </w:r>
      <w:r w:rsidR="008A674D" w:rsidRPr="00DD47DF">
        <w:t xml:space="preserve"> prostřednictvím </w:t>
      </w:r>
      <w:r w:rsidR="00727C15" w:rsidRPr="00DD47DF">
        <w:t>snížení energetické náročnosti podnikatelského sektoru</w:t>
      </w:r>
      <w:r w:rsidR="00315376">
        <w:t xml:space="preserve"> </w:t>
      </w:r>
      <w:r w:rsidR="00315376" w:rsidRPr="00315376">
        <w:t>a vyššího využití obnovitelných zdrojů energie</w:t>
      </w:r>
      <w:r w:rsidR="00727C15" w:rsidRPr="00DD47DF">
        <w:t>.</w:t>
      </w:r>
    </w:p>
    <w:p w14:paraId="641CC696" w14:textId="77777777" w:rsidR="0056661C" w:rsidRPr="00DD47DF" w:rsidRDefault="003508A9" w:rsidP="0056661C">
      <w:pPr>
        <w:pStyle w:val="Modrnadpis"/>
      </w:pPr>
      <w:r w:rsidRPr="00DD47DF">
        <w:t>Výsledky, kterých chce ČR dosáhnout s podporou Unie</w:t>
      </w:r>
    </w:p>
    <w:p w14:paraId="3EFB5F8E" w14:textId="5DE511D4" w:rsidR="003F4488" w:rsidRDefault="00315376" w:rsidP="00315376">
      <w:pPr>
        <w:pStyle w:val="Standardntext"/>
        <w:numPr>
          <w:ilvl w:val="0"/>
          <w:numId w:val="43"/>
        </w:numPr>
      </w:pPr>
      <w:r>
        <w:t>Přispívá</w:t>
      </w:r>
      <w:r w:rsidRPr="00DD47DF">
        <w:t xml:space="preserve"> </w:t>
      </w:r>
      <w:r w:rsidR="00982AE9" w:rsidRPr="00DD47DF">
        <w:t>k naplněn</w:t>
      </w:r>
      <w:r w:rsidR="001F2A61" w:rsidRPr="00DD47DF">
        <w:t>í</w:t>
      </w:r>
      <w:r w:rsidR="00982AE9" w:rsidRPr="00DD47DF">
        <w:t xml:space="preserve"> Směrnice Evropského parlamentu a Rady 2012/27/EU o energetické účinnosti, která stanovuje zavedení orientačních vnitrostátních cílů energetické účinnosti do roku 2020. Vnitrostátní orientační cíl ČR je na základě současných analýz stanoven ve výši </w:t>
      </w:r>
      <w:r w:rsidRPr="00315376">
        <w:t>51,10 PJ (14,19 TWh)</w:t>
      </w:r>
      <w:r w:rsidR="00982AE9" w:rsidRPr="00DD47DF">
        <w:t xml:space="preserve"> úspor v konečné spotřebě energie.</w:t>
      </w:r>
    </w:p>
    <w:p w14:paraId="2413E8FD" w14:textId="07DD004E" w:rsidR="00315376" w:rsidRPr="00DD47DF" w:rsidRDefault="00315376" w:rsidP="00315376">
      <w:pPr>
        <w:pStyle w:val="Standardntext"/>
        <w:numPr>
          <w:ilvl w:val="0"/>
          <w:numId w:val="43"/>
        </w:numPr>
      </w:pPr>
      <w:r w:rsidRPr="00315376">
        <w:t>Přispívá k naplnění Směrnice Evropského parlamentu a Rady 2009/28/ES o podpoře využívání energie z obnovitelných zdrojů.</w:t>
      </w:r>
    </w:p>
    <w:p w14:paraId="4C8D961D" w14:textId="77777777" w:rsidR="00C61714" w:rsidRPr="00DD47DF" w:rsidRDefault="00C61714" w:rsidP="00D927A2">
      <w:pPr>
        <w:pStyle w:val="Standardntext"/>
        <w:numPr>
          <w:ilvl w:val="0"/>
          <w:numId w:val="43"/>
        </w:numPr>
      </w:pPr>
      <w:r w:rsidRPr="00DD47DF">
        <w:t>Přispívá k naplnění Směrnice 2008/50/EU a Plánů kvality ovzduší a směrnice o národních stropech.</w:t>
      </w:r>
    </w:p>
    <w:p w14:paraId="6EC4B3F8" w14:textId="77777777" w:rsidR="00557339" w:rsidRPr="00DD47DF" w:rsidRDefault="00727C15" w:rsidP="00D927A2">
      <w:pPr>
        <w:pStyle w:val="Standardntext"/>
        <w:numPr>
          <w:ilvl w:val="0"/>
          <w:numId w:val="43"/>
        </w:numPr>
      </w:pPr>
      <w:r w:rsidRPr="00DD47DF">
        <w:t xml:space="preserve">Zvýšení možnosti podniků rozvíjet svou činnost, investovat do výzkumu, vývoje a inovací </w:t>
      </w:r>
      <w:r w:rsidR="00557339" w:rsidRPr="00DD47DF">
        <w:t xml:space="preserve">tím, že podniky nebudou muset vynakládat takové množství prostředků na energie při výrobních procesech. </w:t>
      </w:r>
      <w:r w:rsidR="009B3FCE" w:rsidRPr="00DD47DF">
        <w:t>S tím souvisí s</w:t>
      </w:r>
      <w:r w:rsidR="00557339" w:rsidRPr="00DD47DF">
        <w:t xml:space="preserve">nížení citlivosti podnikatelských subjektů na změny vstupních nákladů, jejichž zvyšování, nebo udržování na současných hodnotách, by mohlo v důsledku ohrozit celkový výkon výroby ve prospěch levné zahraniční konkurence. </w:t>
      </w:r>
      <w:r w:rsidR="009B3FCE" w:rsidRPr="00DD47DF">
        <w:t>Výsledkem specifického cíle tak bude</w:t>
      </w:r>
      <w:r w:rsidR="00557339" w:rsidRPr="00DD47DF">
        <w:t xml:space="preserve"> posílení konkurenceschopnosti podnikatelských subjektů, resp. ekonomiky jako celku.</w:t>
      </w:r>
    </w:p>
    <w:p w14:paraId="0B391E58" w14:textId="77777777" w:rsidR="00557339" w:rsidRPr="00DD47DF" w:rsidRDefault="00557339" w:rsidP="00D927A2">
      <w:pPr>
        <w:pStyle w:val="Standardntext"/>
        <w:numPr>
          <w:ilvl w:val="0"/>
          <w:numId w:val="43"/>
        </w:numPr>
      </w:pPr>
      <w:r w:rsidRPr="00DD47DF">
        <w:t>Přiblížení se v úrovni energetické náročnosti průmyslové výroby k ostatním členským zemím EU, neboť česká ekonomika dosud vykazovala vyšší míru nákladovosti</w:t>
      </w:r>
      <w:r w:rsidR="001900F1" w:rsidRPr="00DD47DF">
        <w:t>,</w:t>
      </w:r>
      <w:r w:rsidRPr="00DD47DF">
        <w:t xml:space="preserve"> než činil průměr EU.</w:t>
      </w:r>
    </w:p>
    <w:p w14:paraId="294DC327" w14:textId="77777777" w:rsidR="004C2EE3" w:rsidRPr="00DD47DF" w:rsidRDefault="008A674D" w:rsidP="00D927A2">
      <w:pPr>
        <w:pStyle w:val="Standardntext"/>
        <w:numPr>
          <w:ilvl w:val="0"/>
          <w:numId w:val="43"/>
        </w:numPr>
      </w:pPr>
      <w:r w:rsidRPr="00DD47DF">
        <w:t>Rozvoj</w:t>
      </w:r>
      <w:r w:rsidR="004C2EE3" w:rsidRPr="00DD47DF">
        <w:t xml:space="preserve"> energetických služeb, které jsou důležitým nástrojem přispívajícím k nákladově efektivnímu způsobu zvyšování energetické účinnosti.</w:t>
      </w:r>
      <w:r w:rsidRPr="00DD47DF">
        <w:rPr>
          <w:rStyle w:val="Znakapoznpodarou"/>
        </w:rPr>
        <w:footnoteReference w:id="57"/>
      </w:r>
    </w:p>
    <w:p w14:paraId="274476F3" w14:textId="77777777" w:rsidR="00002031" w:rsidRPr="00DD47DF" w:rsidRDefault="00002031" w:rsidP="001D58DB">
      <w:pPr>
        <w:pStyle w:val="Titulek"/>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48"/>
        <w:gridCol w:w="1373"/>
        <w:gridCol w:w="946"/>
        <w:gridCol w:w="1141"/>
        <w:gridCol w:w="885"/>
        <w:gridCol w:w="872"/>
        <w:gridCol w:w="1065"/>
        <w:gridCol w:w="954"/>
        <w:gridCol w:w="1042"/>
      </w:tblGrid>
      <w:tr w:rsidR="00CF739D" w:rsidRPr="00DD47DF" w14:paraId="1CCBD92E" w14:textId="77777777">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8942292" w14:textId="77777777" w:rsidR="00CF739D" w:rsidRPr="00DD47DF" w:rsidRDefault="00CF739D" w:rsidP="001D58DB">
            <w:pPr>
              <w:pStyle w:val="Tabulka"/>
              <w:rPr>
                <w:rFonts w:cs="Calibri"/>
                <w:b/>
                <w:bCs/>
              </w:rPr>
            </w:pPr>
            <w:r w:rsidRPr="00DD47DF">
              <w:rPr>
                <w:rFonts w:cs="Calibri"/>
                <w:b/>
                <w:bCs/>
              </w:rPr>
              <w:lastRenderedPageBreak/>
              <w:t>ID</w:t>
            </w:r>
          </w:p>
        </w:tc>
        <w:tc>
          <w:tcPr>
            <w:tcW w:w="66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5FEE9CC" w14:textId="77777777" w:rsidR="00CF739D" w:rsidRPr="00DD47DF" w:rsidRDefault="00CF739D" w:rsidP="001D58DB">
            <w:pPr>
              <w:pStyle w:val="Tabulka"/>
              <w:rPr>
                <w:rFonts w:cs="Calibri"/>
                <w:b/>
                <w:bCs/>
              </w:rPr>
            </w:pPr>
            <w:r w:rsidRPr="00DD47DF">
              <w:rPr>
                <w:rFonts w:cs="Calibri"/>
                <w:b/>
                <w:bCs/>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F5BF7C7" w14:textId="77777777" w:rsidR="00CF739D" w:rsidRPr="00DD47DF" w:rsidRDefault="00CF739D" w:rsidP="001D58DB">
            <w:pPr>
              <w:pStyle w:val="Tabulka"/>
              <w:rPr>
                <w:rFonts w:cs="Calibri"/>
                <w:b/>
                <w:bCs/>
              </w:rPr>
            </w:pPr>
            <w:r w:rsidRPr="00DD47DF">
              <w:rPr>
                <w:rFonts w:cs="Calibri"/>
                <w:b/>
                <w:bCs/>
              </w:rPr>
              <w:t>Měrná</w:t>
            </w:r>
          </w:p>
          <w:p w14:paraId="563D3767" w14:textId="77777777" w:rsidR="00CF739D" w:rsidRPr="00DD47DF" w:rsidRDefault="00CF739D" w:rsidP="001D58DB">
            <w:pPr>
              <w:pStyle w:val="Tabulka"/>
              <w:rPr>
                <w:rFonts w:cs="Calibri"/>
                <w:b/>
                <w:bCs/>
              </w:rPr>
            </w:pPr>
            <w:r w:rsidRPr="00DD47DF">
              <w:rPr>
                <w:rFonts w:cs="Calibri"/>
                <w:b/>
                <w:bCs/>
              </w:rPr>
              <w:t>jednotka</w:t>
            </w:r>
          </w:p>
        </w:tc>
        <w:tc>
          <w:tcPr>
            <w:tcW w:w="61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5834768" w14:textId="77777777" w:rsidR="00CF739D" w:rsidRPr="00DD47DF" w:rsidRDefault="00CF739D" w:rsidP="001D58DB">
            <w:pPr>
              <w:pStyle w:val="Tabulka"/>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8572438" w14:textId="77777777" w:rsidR="00CF739D" w:rsidRPr="00DD47DF" w:rsidRDefault="004B0854" w:rsidP="001D58DB">
            <w:pPr>
              <w:pStyle w:val="Tabulka"/>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2153E1A" w14:textId="77777777" w:rsidR="00CF739D" w:rsidRPr="00DD47DF" w:rsidRDefault="004B0854" w:rsidP="001D58DB">
            <w:pPr>
              <w:pStyle w:val="Tabulka"/>
              <w:rPr>
                <w:rFonts w:cs="Calibri"/>
                <w:b/>
                <w:bCs/>
              </w:rPr>
            </w:pPr>
            <w:r w:rsidRPr="00DD47DF">
              <w:rPr>
                <w:rFonts w:cs="Calibri"/>
                <w:b/>
                <w:bCs/>
              </w:rPr>
              <w:t xml:space="preserve">Výchozí </w:t>
            </w:r>
            <w:r w:rsidR="00CF739D" w:rsidRPr="00DD47DF">
              <w:rPr>
                <w:rFonts w:cs="Calibri"/>
                <w:b/>
                <w:bCs/>
              </w:rPr>
              <w:t>rok</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3FC4967" w14:textId="77777777" w:rsidR="00CF739D" w:rsidRPr="00DD47DF" w:rsidRDefault="00CF739D" w:rsidP="001D58DB">
            <w:pPr>
              <w:pStyle w:val="Tabulka"/>
              <w:rPr>
                <w:rFonts w:cs="Calibri"/>
                <w:b/>
                <w:bCs/>
              </w:rPr>
            </w:pPr>
            <w:r w:rsidRPr="00DD47DF">
              <w:rPr>
                <w:rFonts w:cs="Calibri"/>
                <w:b/>
                <w:bCs/>
              </w:rPr>
              <w:t>Cílová hodnota (2023)</w:t>
            </w:r>
          </w:p>
        </w:tc>
        <w:tc>
          <w:tcPr>
            <w:tcW w:w="52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098EC14" w14:textId="77777777" w:rsidR="00CF739D" w:rsidRPr="00DD47DF" w:rsidRDefault="00CF739D" w:rsidP="001D58DB">
            <w:pPr>
              <w:pStyle w:val="Tabulka"/>
              <w:rPr>
                <w:rFonts w:cs="Calibri"/>
                <w:b/>
                <w:bCs/>
              </w:rPr>
            </w:pPr>
            <w:r w:rsidRPr="00DD47DF">
              <w:rPr>
                <w:rFonts w:cs="Calibri"/>
                <w:b/>
                <w:bCs/>
              </w:rPr>
              <w:t>Zdroj údajů</w:t>
            </w:r>
          </w:p>
        </w:tc>
        <w:tc>
          <w:tcPr>
            <w:tcW w:w="57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5A5982D" w14:textId="77777777" w:rsidR="00CF739D" w:rsidRPr="00DD47DF" w:rsidRDefault="00CF739D" w:rsidP="001D58DB">
            <w:pPr>
              <w:pStyle w:val="Tabulka"/>
              <w:rPr>
                <w:rFonts w:cs="Calibri"/>
                <w:b/>
                <w:bCs/>
              </w:rPr>
            </w:pPr>
            <w:r w:rsidRPr="00DD47DF">
              <w:rPr>
                <w:rFonts w:cs="Calibri"/>
                <w:b/>
                <w:bCs/>
              </w:rPr>
              <w:t>Četnost podávání zpráv</w:t>
            </w:r>
          </w:p>
        </w:tc>
      </w:tr>
      <w:tr w:rsidR="00EC0F1D" w:rsidRPr="00DD47DF" w14:paraId="6F6AF742" w14:textId="77777777" w:rsidTr="00997228">
        <w:trPr>
          <w:trHeight w:hRule="exact" w:val="1453"/>
        </w:trPr>
        <w:tc>
          <w:tcPr>
            <w:tcW w:w="573" w:type="pct"/>
            <w:tcBorders>
              <w:top w:val="single" w:sz="4" w:space="0" w:color="000000"/>
              <w:left w:val="single" w:sz="4" w:space="0" w:color="000000"/>
              <w:bottom w:val="single" w:sz="4" w:space="0" w:color="000000"/>
              <w:right w:val="single" w:sz="4" w:space="0" w:color="000000"/>
            </w:tcBorders>
            <w:vAlign w:val="center"/>
          </w:tcPr>
          <w:p w14:paraId="53578397" w14:textId="77777777" w:rsidR="00EC0F1D" w:rsidRPr="00DD47DF" w:rsidRDefault="007E40DB" w:rsidP="001D58DB">
            <w:pPr>
              <w:pStyle w:val="Tabulka"/>
              <w:rPr>
                <w:rFonts w:cs="Calibri"/>
              </w:rPr>
            </w:pPr>
            <w:r w:rsidRPr="00DD47DF">
              <w:rPr>
                <w:rFonts w:cs="Calibri"/>
              </w:rPr>
              <w:t>322</w:t>
            </w:r>
            <w:r w:rsidR="008600A4" w:rsidRPr="00DD47DF">
              <w:rPr>
                <w:rFonts w:cs="Calibri"/>
              </w:rPr>
              <w:t>1</w:t>
            </w:r>
            <w:r w:rsidRPr="00DD47DF">
              <w:rPr>
                <w:rFonts w:cs="Calibri"/>
              </w:rPr>
              <w:t>0</w:t>
            </w:r>
          </w:p>
        </w:tc>
        <w:tc>
          <w:tcPr>
            <w:tcW w:w="669" w:type="pct"/>
            <w:tcBorders>
              <w:top w:val="single" w:sz="4" w:space="0" w:color="000000"/>
              <w:left w:val="single" w:sz="4" w:space="0" w:color="000000"/>
              <w:bottom w:val="single" w:sz="4" w:space="0" w:color="000000"/>
              <w:right w:val="single" w:sz="4" w:space="0" w:color="000000"/>
            </w:tcBorders>
            <w:vAlign w:val="center"/>
          </w:tcPr>
          <w:p w14:paraId="5F601570" w14:textId="77777777" w:rsidR="00EC0F1D" w:rsidRPr="00DD47DF" w:rsidRDefault="000C37B9" w:rsidP="001D58DB">
            <w:pPr>
              <w:pStyle w:val="Tabulka"/>
              <w:jc w:val="left"/>
              <w:rPr>
                <w:rFonts w:cs="Calibri"/>
              </w:rPr>
            </w:pPr>
            <w:r w:rsidRPr="00DD47DF">
              <w:rPr>
                <w:rFonts w:cs="Calibri"/>
              </w:rPr>
              <w:t>Čistá konečná spotřeba energie</w:t>
            </w:r>
            <w:r w:rsidR="00B1446E" w:rsidRPr="00DD47DF">
              <w:rPr>
                <w:rFonts w:cs="Calibri"/>
              </w:rPr>
              <w:t xml:space="preserve"> v průmyslu</w:t>
            </w:r>
          </w:p>
        </w:tc>
        <w:tc>
          <w:tcPr>
            <w:tcW w:w="507" w:type="pct"/>
            <w:tcBorders>
              <w:top w:val="single" w:sz="4" w:space="0" w:color="000000"/>
              <w:left w:val="single" w:sz="4" w:space="0" w:color="000000"/>
              <w:bottom w:val="single" w:sz="4" w:space="0" w:color="000000"/>
              <w:right w:val="single" w:sz="4" w:space="0" w:color="000000"/>
            </w:tcBorders>
            <w:vAlign w:val="center"/>
          </w:tcPr>
          <w:p w14:paraId="042364E0" w14:textId="77777777" w:rsidR="00EC0F1D" w:rsidRPr="00DD47DF" w:rsidRDefault="000C37B9" w:rsidP="001D58DB">
            <w:pPr>
              <w:pStyle w:val="Tabulka"/>
              <w:rPr>
                <w:rFonts w:cs="Calibri"/>
              </w:rPr>
            </w:pPr>
            <w:r w:rsidRPr="00DD47DF">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5CE18A2A" w14:textId="77777777" w:rsidR="00EC0F1D" w:rsidRPr="00DD47DF" w:rsidRDefault="006C17A1" w:rsidP="001D58DB">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537E4E37" w14:textId="2D2A3A23" w:rsidR="00EC0F1D" w:rsidRPr="00DD47DF" w:rsidRDefault="00B67A9F" w:rsidP="001D58DB">
            <w:pPr>
              <w:pStyle w:val="Tabulka"/>
              <w:rPr>
                <w:rFonts w:cs="Calibri"/>
              </w:rPr>
            </w:pPr>
            <w:r w:rsidRPr="00B67A9F">
              <w:rPr>
                <w:rFonts w:cs="Calibri"/>
              </w:rPr>
              <w:t>282 180</w:t>
            </w:r>
          </w:p>
        </w:tc>
        <w:tc>
          <w:tcPr>
            <w:tcW w:w="468" w:type="pct"/>
            <w:tcBorders>
              <w:top w:val="single" w:sz="4" w:space="0" w:color="000000"/>
              <w:left w:val="single" w:sz="4" w:space="0" w:color="000000"/>
              <w:bottom w:val="single" w:sz="4" w:space="0" w:color="000000"/>
              <w:right w:val="single" w:sz="4" w:space="0" w:color="000000"/>
            </w:tcBorders>
            <w:vAlign w:val="center"/>
          </w:tcPr>
          <w:p w14:paraId="2F8B6F78" w14:textId="77777777" w:rsidR="00EC0F1D" w:rsidRPr="00DD47DF" w:rsidRDefault="000C37B9" w:rsidP="001D58DB">
            <w:pPr>
              <w:pStyle w:val="Tabulka"/>
              <w:rPr>
                <w:rFonts w:cs="Calibri"/>
              </w:rPr>
            </w:pPr>
            <w:r w:rsidRPr="00DD47DF">
              <w:rPr>
                <w:rFonts w:cs="Calibri"/>
              </w:rPr>
              <w:t>201</w:t>
            </w:r>
            <w:r w:rsidR="00D502CC" w:rsidRPr="00DD47DF">
              <w:rPr>
                <w:rFonts w:cs="Calibri"/>
              </w:rPr>
              <w:t>2</w:t>
            </w:r>
          </w:p>
        </w:tc>
        <w:tc>
          <w:tcPr>
            <w:tcW w:w="599" w:type="pct"/>
            <w:tcBorders>
              <w:top w:val="single" w:sz="4" w:space="0" w:color="000000"/>
              <w:left w:val="single" w:sz="4" w:space="0" w:color="000000"/>
              <w:bottom w:val="single" w:sz="4" w:space="0" w:color="000000"/>
              <w:right w:val="single" w:sz="4" w:space="0" w:color="000000"/>
            </w:tcBorders>
            <w:vAlign w:val="center"/>
          </w:tcPr>
          <w:p w14:paraId="1340201E" w14:textId="28CA71A5" w:rsidR="00EC0F1D" w:rsidRPr="00DD47DF" w:rsidRDefault="00B67A9F" w:rsidP="001D58DB">
            <w:pPr>
              <w:pStyle w:val="Tabulka"/>
              <w:rPr>
                <w:rFonts w:cs="Calibri"/>
              </w:rPr>
            </w:pPr>
            <w:r w:rsidRPr="00B67A9F">
              <w:rPr>
                <w:rFonts w:cs="Calibri"/>
              </w:rPr>
              <w:t>291 017</w:t>
            </w:r>
            <w:r w:rsidR="00C61714" w:rsidRPr="00DD47DF">
              <w:rPr>
                <w:rStyle w:val="Znakapoznpodarou"/>
                <w:rFonts w:cs="Calibri"/>
              </w:rPr>
              <w:footnoteReference w:id="58"/>
            </w:r>
          </w:p>
        </w:tc>
        <w:tc>
          <w:tcPr>
            <w:tcW w:w="523" w:type="pct"/>
            <w:tcBorders>
              <w:top w:val="single" w:sz="4" w:space="0" w:color="000000"/>
              <w:left w:val="single" w:sz="4" w:space="0" w:color="000000"/>
              <w:bottom w:val="single" w:sz="4" w:space="0" w:color="000000"/>
              <w:right w:val="single" w:sz="4" w:space="0" w:color="000000"/>
            </w:tcBorders>
            <w:vAlign w:val="center"/>
          </w:tcPr>
          <w:p w14:paraId="1E1CEA5B" w14:textId="77777777" w:rsidR="00EC0F1D" w:rsidRPr="00DD47DF" w:rsidRDefault="00AC072C" w:rsidP="001D58DB">
            <w:pPr>
              <w:pStyle w:val="Tabulka"/>
              <w:rPr>
                <w:rFonts w:cs="Calibri"/>
              </w:rPr>
            </w:pPr>
            <w:r w:rsidRPr="00DD47DF">
              <w:rPr>
                <w:rFonts w:cs="Calibri"/>
              </w:rPr>
              <w:t>ČSÚ</w:t>
            </w:r>
          </w:p>
        </w:tc>
        <w:tc>
          <w:tcPr>
            <w:tcW w:w="570" w:type="pct"/>
            <w:tcBorders>
              <w:top w:val="single" w:sz="4" w:space="0" w:color="000000"/>
              <w:left w:val="single" w:sz="4" w:space="0" w:color="000000"/>
              <w:bottom w:val="single" w:sz="4" w:space="0" w:color="000000"/>
              <w:right w:val="single" w:sz="4" w:space="0" w:color="000000"/>
            </w:tcBorders>
            <w:vAlign w:val="center"/>
          </w:tcPr>
          <w:p w14:paraId="56575529" w14:textId="77777777" w:rsidR="00EC0F1D" w:rsidRPr="00DD47DF" w:rsidRDefault="000C37B9" w:rsidP="001D58DB">
            <w:pPr>
              <w:pStyle w:val="Tabulka"/>
              <w:rPr>
                <w:rFonts w:cs="Calibri"/>
              </w:rPr>
            </w:pPr>
            <w:r w:rsidRPr="00DD47DF">
              <w:rPr>
                <w:rFonts w:cs="Calibri"/>
              </w:rPr>
              <w:t>ročně</w:t>
            </w:r>
          </w:p>
        </w:tc>
      </w:tr>
      <w:tr w:rsidR="00B1446E" w:rsidRPr="00DD47DF" w14:paraId="1D835BCD" w14:textId="77777777" w:rsidTr="00997228">
        <w:trPr>
          <w:trHeight w:hRule="exact" w:val="1417"/>
        </w:trPr>
        <w:tc>
          <w:tcPr>
            <w:tcW w:w="573" w:type="pct"/>
            <w:tcBorders>
              <w:top w:val="single" w:sz="4" w:space="0" w:color="000000"/>
              <w:left w:val="single" w:sz="4" w:space="0" w:color="000000"/>
              <w:bottom w:val="single" w:sz="4" w:space="0" w:color="000000"/>
              <w:right w:val="single" w:sz="4" w:space="0" w:color="000000"/>
            </w:tcBorders>
            <w:vAlign w:val="center"/>
          </w:tcPr>
          <w:p w14:paraId="759C985C" w14:textId="77777777" w:rsidR="00B1446E" w:rsidRPr="00DD47DF" w:rsidRDefault="008600A4" w:rsidP="001D58DB">
            <w:pPr>
              <w:pStyle w:val="Tabulka"/>
              <w:rPr>
                <w:rFonts w:cs="Calibri"/>
              </w:rPr>
            </w:pPr>
            <w:r w:rsidRPr="00DD47DF">
              <w:rPr>
                <w:rFonts w:cs="Calibri"/>
              </w:rPr>
              <w:t>32220</w:t>
            </w:r>
          </w:p>
        </w:tc>
        <w:tc>
          <w:tcPr>
            <w:tcW w:w="669" w:type="pct"/>
            <w:tcBorders>
              <w:top w:val="single" w:sz="4" w:space="0" w:color="000000"/>
              <w:left w:val="single" w:sz="4" w:space="0" w:color="000000"/>
              <w:bottom w:val="single" w:sz="4" w:space="0" w:color="000000"/>
              <w:right w:val="single" w:sz="4" w:space="0" w:color="000000"/>
            </w:tcBorders>
            <w:vAlign w:val="center"/>
          </w:tcPr>
          <w:p w14:paraId="138DE528" w14:textId="77777777" w:rsidR="00B1446E" w:rsidRPr="00DD47DF" w:rsidRDefault="00B1446E" w:rsidP="001D58DB">
            <w:pPr>
              <w:pStyle w:val="Tabulka"/>
              <w:jc w:val="left"/>
              <w:rPr>
                <w:rFonts w:cs="Calibri"/>
              </w:rPr>
            </w:pPr>
            <w:r w:rsidRPr="00DD47DF">
              <w:rPr>
                <w:rFonts w:cs="Calibri"/>
              </w:rPr>
              <w:t>Čistá konečná spotřeba energie ve službách</w:t>
            </w:r>
          </w:p>
        </w:tc>
        <w:tc>
          <w:tcPr>
            <w:tcW w:w="507" w:type="pct"/>
            <w:tcBorders>
              <w:top w:val="single" w:sz="4" w:space="0" w:color="000000"/>
              <w:left w:val="single" w:sz="4" w:space="0" w:color="000000"/>
              <w:bottom w:val="single" w:sz="4" w:space="0" w:color="000000"/>
              <w:right w:val="single" w:sz="4" w:space="0" w:color="000000"/>
            </w:tcBorders>
            <w:vAlign w:val="center"/>
          </w:tcPr>
          <w:p w14:paraId="459CDA04" w14:textId="77777777" w:rsidR="00B1446E" w:rsidRPr="00DD47DF" w:rsidRDefault="00B1446E" w:rsidP="001D58DB">
            <w:pPr>
              <w:pStyle w:val="Tabulka"/>
              <w:rPr>
                <w:rFonts w:cs="Calibri"/>
              </w:rPr>
            </w:pPr>
            <w:r w:rsidRPr="00DD47DF">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2D64A4EB" w14:textId="77777777" w:rsidR="00B1446E" w:rsidRPr="00DD47DF" w:rsidRDefault="00B1446E" w:rsidP="001D58DB">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0917A091" w14:textId="195DB2F3" w:rsidR="00B1446E" w:rsidRPr="00DD47DF" w:rsidRDefault="005820D7" w:rsidP="001D58DB">
            <w:pPr>
              <w:pStyle w:val="Tabulka"/>
              <w:rPr>
                <w:rFonts w:cs="Calibri"/>
              </w:rPr>
            </w:pPr>
            <w:r w:rsidRPr="00116EF6">
              <w:rPr>
                <w:rFonts w:cs="Calibri"/>
              </w:rPr>
              <w:t>122 935</w:t>
            </w:r>
          </w:p>
        </w:tc>
        <w:tc>
          <w:tcPr>
            <w:tcW w:w="468" w:type="pct"/>
            <w:tcBorders>
              <w:top w:val="single" w:sz="4" w:space="0" w:color="000000"/>
              <w:left w:val="single" w:sz="4" w:space="0" w:color="000000"/>
              <w:bottom w:val="single" w:sz="4" w:space="0" w:color="000000"/>
              <w:right w:val="single" w:sz="4" w:space="0" w:color="000000"/>
            </w:tcBorders>
            <w:vAlign w:val="center"/>
          </w:tcPr>
          <w:p w14:paraId="6A77A24E" w14:textId="77777777" w:rsidR="00B1446E" w:rsidRPr="00DD47DF" w:rsidRDefault="00B1446E" w:rsidP="001D58DB">
            <w:pPr>
              <w:pStyle w:val="Tabulka"/>
              <w:rPr>
                <w:rFonts w:cs="Calibri"/>
              </w:rPr>
            </w:pPr>
            <w:r w:rsidRPr="00DD47DF">
              <w:rPr>
                <w:rFonts w:cs="Calibri"/>
              </w:rPr>
              <w:t>2012</w:t>
            </w:r>
          </w:p>
        </w:tc>
        <w:tc>
          <w:tcPr>
            <w:tcW w:w="599" w:type="pct"/>
            <w:tcBorders>
              <w:top w:val="single" w:sz="4" w:space="0" w:color="000000"/>
              <w:left w:val="single" w:sz="4" w:space="0" w:color="000000"/>
              <w:bottom w:val="single" w:sz="4" w:space="0" w:color="000000"/>
              <w:right w:val="single" w:sz="4" w:space="0" w:color="000000"/>
            </w:tcBorders>
            <w:vAlign w:val="center"/>
          </w:tcPr>
          <w:p w14:paraId="0A9A7D0E" w14:textId="3AA6C728" w:rsidR="00B1446E" w:rsidRPr="00DD47DF" w:rsidRDefault="005820D7" w:rsidP="001D58DB">
            <w:pPr>
              <w:pStyle w:val="Tabulka"/>
              <w:rPr>
                <w:rFonts w:cs="Calibri"/>
              </w:rPr>
            </w:pPr>
            <w:r w:rsidRPr="00116EF6">
              <w:rPr>
                <w:rFonts w:cs="Calibri"/>
              </w:rPr>
              <w:t>145</w:t>
            </w:r>
            <w:r>
              <w:rPr>
                <w:rFonts w:cs="Calibri"/>
              </w:rPr>
              <w:t xml:space="preserve"> </w:t>
            </w:r>
            <w:r w:rsidRPr="00116EF6">
              <w:rPr>
                <w:rFonts w:cs="Calibri"/>
              </w:rPr>
              <w:t>87</w:t>
            </w:r>
            <w:r>
              <w:rPr>
                <w:rFonts w:cs="Calibri"/>
              </w:rPr>
              <w:t>2</w:t>
            </w:r>
            <w:r w:rsidR="00C61714" w:rsidRPr="00DD47DF">
              <w:rPr>
                <w:rStyle w:val="Znakapoznpodarou"/>
                <w:rFonts w:cs="Calibri"/>
              </w:rPr>
              <w:footnoteReference w:id="59"/>
            </w:r>
          </w:p>
        </w:tc>
        <w:tc>
          <w:tcPr>
            <w:tcW w:w="523" w:type="pct"/>
            <w:tcBorders>
              <w:top w:val="single" w:sz="4" w:space="0" w:color="000000"/>
              <w:left w:val="single" w:sz="4" w:space="0" w:color="000000"/>
              <w:bottom w:val="single" w:sz="4" w:space="0" w:color="000000"/>
              <w:right w:val="single" w:sz="4" w:space="0" w:color="000000"/>
            </w:tcBorders>
            <w:vAlign w:val="center"/>
          </w:tcPr>
          <w:p w14:paraId="63BC3915" w14:textId="77777777" w:rsidR="00B1446E" w:rsidRPr="00DD47DF" w:rsidRDefault="00B1446E" w:rsidP="001D58DB">
            <w:pPr>
              <w:pStyle w:val="Tabulka"/>
              <w:rPr>
                <w:rFonts w:cs="Calibri"/>
              </w:rPr>
            </w:pPr>
            <w:r w:rsidRPr="00DD47DF">
              <w:rPr>
                <w:rFonts w:cs="Calibri"/>
              </w:rPr>
              <w:t>ČSÚ</w:t>
            </w:r>
          </w:p>
        </w:tc>
        <w:tc>
          <w:tcPr>
            <w:tcW w:w="570" w:type="pct"/>
            <w:tcBorders>
              <w:top w:val="single" w:sz="4" w:space="0" w:color="000000"/>
              <w:left w:val="single" w:sz="4" w:space="0" w:color="000000"/>
              <w:bottom w:val="single" w:sz="4" w:space="0" w:color="000000"/>
              <w:right w:val="single" w:sz="4" w:space="0" w:color="000000"/>
            </w:tcBorders>
            <w:vAlign w:val="center"/>
          </w:tcPr>
          <w:p w14:paraId="46E6C0E8" w14:textId="77777777" w:rsidR="00B1446E" w:rsidRPr="00DD47DF" w:rsidRDefault="00B1446E" w:rsidP="001D58DB">
            <w:pPr>
              <w:pStyle w:val="Tabulka"/>
              <w:rPr>
                <w:rFonts w:cs="Calibri"/>
              </w:rPr>
            </w:pPr>
            <w:r w:rsidRPr="00DD47DF">
              <w:rPr>
                <w:rFonts w:cs="Calibri"/>
              </w:rPr>
              <w:t>ročně</w:t>
            </w:r>
          </w:p>
        </w:tc>
      </w:tr>
      <w:tr w:rsidR="00C71DCD" w:rsidRPr="00DD47DF" w14:paraId="12EEFE4D" w14:textId="77777777" w:rsidTr="00997228">
        <w:trPr>
          <w:trHeight w:hRule="exact" w:val="1417"/>
        </w:trPr>
        <w:tc>
          <w:tcPr>
            <w:tcW w:w="573" w:type="pct"/>
            <w:tcBorders>
              <w:top w:val="single" w:sz="4" w:space="0" w:color="000000"/>
              <w:left w:val="single" w:sz="4" w:space="0" w:color="000000"/>
              <w:bottom w:val="single" w:sz="4" w:space="0" w:color="000000"/>
              <w:right w:val="single" w:sz="4" w:space="0" w:color="000000"/>
            </w:tcBorders>
            <w:vAlign w:val="center"/>
          </w:tcPr>
          <w:p w14:paraId="606ACBF9" w14:textId="11E08674" w:rsidR="00C71DCD" w:rsidRPr="00C71DCD" w:rsidRDefault="00C71DCD" w:rsidP="00C71DCD">
            <w:pPr>
              <w:pStyle w:val="Tabulka"/>
              <w:rPr>
                <w:rFonts w:cs="Calibri"/>
              </w:rPr>
            </w:pPr>
            <w:r w:rsidRPr="00C71DCD">
              <w:rPr>
                <w:rFonts w:cs="Calibri"/>
              </w:rPr>
              <w:t>34502</w:t>
            </w:r>
          </w:p>
        </w:tc>
        <w:tc>
          <w:tcPr>
            <w:tcW w:w="669" w:type="pct"/>
            <w:tcBorders>
              <w:top w:val="single" w:sz="4" w:space="0" w:color="000000"/>
              <w:left w:val="single" w:sz="4" w:space="0" w:color="000000"/>
              <w:bottom w:val="single" w:sz="4" w:space="0" w:color="000000"/>
              <w:right w:val="single" w:sz="4" w:space="0" w:color="000000"/>
            </w:tcBorders>
            <w:vAlign w:val="center"/>
          </w:tcPr>
          <w:p w14:paraId="7C1FFBE0" w14:textId="6D92DD04" w:rsidR="00C71DCD" w:rsidRPr="00C71DCD" w:rsidRDefault="00C71DCD" w:rsidP="00C71DCD">
            <w:pPr>
              <w:pStyle w:val="Tabulka"/>
              <w:jc w:val="left"/>
              <w:rPr>
                <w:rFonts w:cs="Calibri"/>
              </w:rPr>
            </w:pPr>
            <w:r w:rsidRPr="00C71DCD">
              <w:rPr>
                <w:rFonts w:cs="Calibri"/>
              </w:rPr>
              <w:t>Podíl obnovitelných zdrojů na konečné spotřebě</w:t>
            </w:r>
          </w:p>
        </w:tc>
        <w:tc>
          <w:tcPr>
            <w:tcW w:w="507" w:type="pct"/>
            <w:tcBorders>
              <w:top w:val="single" w:sz="4" w:space="0" w:color="000000"/>
              <w:left w:val="single" w:sz="4" w:space="0" w:color="000000"/>
              <w:bottom w:val="single" w:sz="4" w:space="0" w:color="000000"/>
              <w:right w:val="single" w:sz="4" w:space="0" w:color="000000"/>
            </w:tcBorders>
            <w:vAlign w:val="center"/>
          </w:tcPr>
          <w:p w14:paraId="720EBA35" w14:textId="3635CA3B" w:rsidR="00C71DCD" w:rsidRPr="00C71DCD" w:rsidRDefault="00C71DCD" w:rsidP="00C71DCD">
            <w:pPr>
              <w:pStyle w:val="Tabulka"/>
              <w:rPr>
                <w:rFonts w:cs="Calibri"/>
              </w:rPr>
            </w:pPr>
            <w:r w:rsidRPr="00C71DCD">
              <w:rPr>
                <w:rFonts w:cs="Calibri"/>
              </w:rPr>
              <w:t>TJ</w:t>
            </w:r>
          </w:p>
        </w:tc>
        <w:tc>
          <w:tcPr>
            <w:tcW w:w="617" w:type="pct"/>
            <w:tcBorders>
              <w:top w:val="single" w:sz="4" w:space="0" w:color="000000"/>
              <w:left w:val="single" w:sz="4" w:space="0" w:color="000000"/>
              <w:bottom w:val="single" w:sz="4" w:space="0" w:color="000000"/>
              <w:right w:val="single" w:sz="4" w:space="0" w:color="000000"/>
            </w:tcBorders>
            <w:vAlign w:val="center"/>
          </w:tcPr>
          <w:p w14:paraId="3A0A6A95" w14:textId="489C02F0" w:rsidR="00C71DCD" w:rsidRPr="00C71DCD" w:rsidRDefault="00C71DCD" w:rsidP="00C71DCD">
            <w:pPr>
              <w:pStyle w:val="Tabulka"/>
              <w:rPr>
                <w:rFonts w:cs="Calibri"/>
              </w:rPr>
            </w:pPr>
            <w:r w:rsidRPr="00C71DCD">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3CA79C30" w14:textId="2429924C" w:rsidR="00C71DCD" w:rsidRPr="00C71DCD" w:rsidRDefault="00C71DCD" w:rsidP="00C71DCD">
            <w:pPr>
              <w:pStyle w:val="Tabulka"/>
              <w:rPr>
                <w:rFonts w:cs="Calibri"/>
              </w:rPr>
            </w:pPr>
            <w:r w:rsidRPr="00C71DCD">
              <w:rPr>
                <w:rFonts w:cs="Calibri"/>
              </w:rPr>
              <w:t>164 666</w:t>
            </w:r>
          </w:p>
        </w:tc>
        <w:tc>
          <w:tcPr>
            <w:tcW w:w="468" w:type="pct"/>
            <w:tcBorders>
              <w:top w:val="single" w:sz="4" w:space="0" w:color="000000"/>
              <w:left w:val="single" w:sz="4" w:space="0" w:color="000000"/>
              <w:bottom w:val="single" w:sz="4" w:space="0" w:color="000000"/>
              <w:right w:val="single" w:sz="4" w:space="0" w:color="000000"/>
            </w:tcBorders>
            <w:vAlign w:val="center"/>
          </w:tcPr>
          <w:p w14:paraId="051FB0E9" w14:textId="69DE30AB" w:rsidR="00C71DCD" w:rsidRPr="00C71DCD" w:rsidRDefault="00C71DCD" w:rsidP="00C71DCD">
            <w:pPr>
              <w:pStyle w:val="Tabulka"/>
              <w:rPr>
                <w:rFonts w:cs="Calibri"/>
              </w:rPr>
            </w:pPr>
            <w:r w:rsidRPr="00C71DCD">
              <w:rPr>
                <w:rFonts w:cs="Calibri"/>
              </w:rPr>
              <w:t>2016</w:t>
            </w:r>
          </w:p>
        </w:tc>
        <w:tc>
          <w:tcPr>
            <w:tcW w:w="599" w:type="pct"/>
            <w:tcBorders>
              <w:top w:val="single" w:sz="4" w:space="0" w:color="000000"/>
              <w:left w:val="single" w:sz="4" w:space="0" w:color="000000"/>
              <w:bottom w:val="single" w:sz="4" w:space="0" w:color="000000"/>
              <w:right w:val="single" w:sz="4" w:space="0" w:color="000000"/>
            </w:tcBorders>
            <w:vAlign w:val="center"/>
          </w:tcPr>
          <w:p w14:paraId="2BD29B76" w14:textId="0C70DBE5" w:rsidR="00C71DCD" w:rsidRPr="00C71DCD" w:rsidRDefault="00C71DCD" w:rsidP="00C71DCD">
            <w:pPr>
              <w:pStyle w:val="Tabulka"/>
              <w:rPr>
                <w:rFonts w:cs="Calibri"/>
              </w:rPr>
            </w:pPr>
            <w:r w:rsidRPr="00C71DCD">
              <w:rPr>
                <w:rFonts w:cs="Calibri"/>
              </w:rPr>
              <w:t>185 300</w:t>
            </w:r>
            <w:r w:rsidRPr="00C71DCD">
              <w:rPr>
                <w:rStyle w:val="Znakapoznpodarou"/>
                <w:rFonts w:cs="Calibri"/>
              </w:rPr>
              <w:footnoteReference w:id="60"/>
            </w:r>
          </w:p>
        </w:tc>
        <w:tc>
          <w:tcPr>
            <w:tcW w:w="523" w:type="pct"/>
            <w:tcBorders>
              <w:top w:val="single" w:sz="4" w:space="0" w:color="000000"/>
              <w:left w:val="single" w:sz="4" w:space="0" w:color="000000"/>
              <w:bottom w:val="single" w:sz="4" w:space="0" w:color="000000"/>
              <w:right w:val="single" w:sz="4" w:space="0" w:color="000000"/>
            </w:tcBorders>
            <w:vAlign w:val="center"/>
          </w:tcPr>
          <w:p w14:paraId="49A2B5EA" w14:textId="73234183" w:rsidR="00C71DCD" w:rsidRPr="00C71DCD" w:rsidRDefault="00C71DCD" w:rsidP="00C71DCD">
            <w:pPr>
              <w:pStyle w:val="Tabulka"/>
              <w:rPr>
                <w:rFonts w:cs="Calibri"/>
              </w:rPr>
            </w:pPr>
            <w:r w:rsidRPr="00C71DCD">
              <w:rPr>
                <w:rFonts w:cs="Calibri"/>
              </w:rPr>
              <w:t>MPO</w:t>
            </w:r>
          </w:p>
        </w:tc>
        <w:tc>
          <w:tcPr>
            <w:tcW w:w="570" w:type="pct"/>
            <w:tcBorders>
              <w:top w:val="single" w:sz="4" w:space="0" w:color="000000"/>
              <w:left w:val="single" w:sz="4" w:space="0" w:color="000000"/>
              <w:bottom w:val="single" w:sz="4" w:space="0" w:color="000000"/>
              <w:right w:val="single" w:sz="4" w:space="0" w:color="000000"/>
            </w:tcBorders>
            <w:vAlign w:val="center"/>
          </w:tcPr>
          <w:p w14:paraId="0229A6C1" w14:textId="2A953175" w:rsidR="00C71DCD" w:rsidRPr="00C71DCD" w:rsidRDefault="00C71DCD" w:rsidP="00C71DCD">
            <w:pPr>
              <w:pStyle w:val="Tabulka"/>
              <w:rPr>
                <w:rFonts w:cs="Calibri"/>
              </w:rPr>
            </w:pPr>
            <w:r w:rsidRPr="00C71DCD">
              <w:rPr>
                <w:rFonts w:cs="Calibri"/>
              </w:rPr>
              <w:t>ročně</w:t>
            </w:r>
          </w:p>
        </w:tc>
      </w:tr>
    </w:tbl>
    <w:p w14:paraId="536580F1" w14:textId="77777777" w:rsidR="00AA66A2" w:rsidRPr="00DD47DF" w:rsidRDefault="00AA66A2" w:rsidP="00DA3512">
      <w:pPr>
        <w:pStyle w:val="kapitola2A0"/>
        <w:keepNext w:val="0"/>
        <w:keepLines w:val="0"/>
        <w:numPr>
          <w:ilvl w:val="2"/>
          <w:numId w:val="65"/>
        </w:numPr>
      </w:pPr>
      <w:bookmarkStart w:id="69" w:name="_Toc129005404"/>
      <w:r w:rsidRPr="00DD47DF">
        <w:t>Opatření, jež má být podpořeno v rámci investiční priority</w:t>
      </w:r>
      <w:bookmarkEnd w:id="69"/>
    </w:p>
    <w:p w14:paraId="7810839A" w14:textId="77777777" w:rsidR="0058402E" w:rsidRPr="00DD47DF" w:rsidRDefault="00D479AF" w:rsidP="001D58DB">
      <w:pPr>
        <w:pStyle w:val="Nadpis5"/>
        <w:keepNext w:val="0"/>
        <w:keepLines w:val="0"/>
        <w:numPr>
          <w:ilvl w:val="4"/>
          <w:numId w:val="2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C9593EC" w14:textId="77777777" w:rsidR="0058402E" w:rsidRPr="00DD47DF" w:rsidRDefault="000A2EB4" w:rsidP="0056661C">
      <w:pPr>
        <w:pStyle w:val="Standardntext"/>
        <w:rPr>
          <w:b/>
        </w:rPr>
      </w:pPr>
      <w:r w:rsidRPr="00DD47DF">
        <w:rPr>
          <w:b/>
        </w:rPr>
        <w:t>Aktivity pro tento specifický cíl:</w:t>
      </w:r>
      <w:r w:rsidR="0058402E" w:rsidRPr="00DD47DF">
        <w:rPr>
          <w:b/>
        </w:rPr>
        <w:t xml:space="preserve"> </w:t>
      </w:r>
    </w:p>
    <w:p w14:paraId="01588AA6" w14:textId="77777777" w:rsidR="00334BD2" w:rsidRPr="00DD47DF" w:rsidRDefault="00622C4A" w:rsidP="00334BD2">
      <w:pPr>
        <w:pStyle w:val="Standardntext"/>
        <w:numPr>
          <w:ilvl w:val="0"/>
          <w:numId w:val="8"/>
        </w:numPr>
      </w:pPr>
      <w:r w:rsidRPr="00DD47DF">
        <w:t>Modernizace</w:t>
      </w:r>
      <w:r w:rsidR="00334BD2" w:rsidRPr="00DD47DF">
        <w:t xml:space="preserve"> a rekonstrukce rozvodů elektřiny, plynu a tepla v budovách a v energetických hospodářstvích výrobních závodů za účelem zvýšení účinnosti</w:t>
      </w:r>
    </w:p>
    <w:p w14:paraId="3CCBA17A" w14:textId="77777777" w:rsidR="0058402E" w:rsidRPr="00DD47DF" w:rsidRDefault="0058402E" w:rsidP="005F43DF">
      <w:pPr>
        <w:pStyle w:val="Standardntext"/>
        <w:numPr>
          <w:ilvl w:val="0"/>
          <w:numId w:val="8"/>
        </w:numPr>
      </w:pPr>
      <w:r w:rsidRPr="00DD47DF">
        <w:t>zavádění a modernizace systémů měření a regulace,</w:t>
      </w:r>
    </w:p>
    <w:p w14:paraId="6AFE8E60" w14:textId="77777777" w:rsidR="0058402E" w:rsidRPr="00DD47DF" w:rsidRDefault="0058402E" w:rsidP="005F43DF">
      <w:pPr>
        <w:pStyle w:val="Standardntext"/>
        <w:numPr>
          <w:ilvl w:val="0"/>
          <w:numId w:val="8"/>
        </w:numPr>
      </w:pPr>
      <w:r w:rsidRPr="00DD47DF">
        <w:t>modernizace, rekonstrukce</w:t>
      </w:r>
      <w:r w:rsidR="0020357B" w:rsidRPr="00DD47DF">
        <w:t xml:space="preserve"> stávajících zařízení na výrobu energie pro vlastní spotřebu vedoucí ke zvýšení její účinnosti,</w:t>
      </w:r>
    </w:p>
    <w:p w14:paraId="42A8E200" w14:textId="77777777" w:rsidR="0020357B" w:rsidRPr="00DD47DF" w:rsidRDefault="00771A39" w:rsidP="005F43DF">
      <w:pPr>
        <w:pStyle w:val="Standardntext"/>
        <w:numPr>
          <w:ilvl w:val="0"/>
          <w:numId w:val="8"/>
        </w:numPr>
      </w:pPr>
      <w:r w:rsidRPr="00DD47DF">
        <w:t>modernizace soustav osvětlení budov a průmyslových areálů (pouze v případě náhrady zastaralých technologií za nové vysoce efektivní osvětlovací systémy, např. světelných diod (LED)</w:t>
      </w:r>
      <w:r w:rsidR="0020357B" w:rsidRPr="00DD47DF">
        <w:t>,</w:t>
      </w:r>
    </w:p>
    <w:p w14:paraId="63F2EDD8" w14:textId="5C9200F7" w:rsidR="0058402E" w:rsidRPr="00DD47DF" w:rsidRDefault="00322C22" w:rsidP="00AD1E7B">
      <w:pPr>
        <w:pStyle w:val="Standardntext"/>
        <w:numPr>
          <w:ilvl w:val="0"/>
          <w:numId w:val="8"/>
        </w:numPr>
      </w:pPr>
      <w:r w:rsidRPr="00DD47DF">
        <w:t xml:space="preserve">realizace opatření ke snižování </w:t>
      </w:r>
      <w:r w:rsidR="00A22765" w:rsidRPr="00DD47DF">
        <w:t>energetické náročnosti budov v podnikatelském sektoru (zateplení obvodového pláště, výměna a renovace otvorových výplní, další stavební opatření mající prokazatelně vliv na energetickou náročnost budovy</w:t>
      </w:r>
      <w:r w:rsidR="00AD1E7B">
        <w:t xml:space="preserve"> </w:t>
      </w:r>
      <w:r w:rsidR="00AD1E7B" w:rsidRPr="00AD1E7B">
        <w:t xml:space="preserve">(v případě podpory prostřednictvím finančních nástrojů i další stavební opatření spojená s nižší budoucí </w:t>
      </w:r>
      <w:r w:rsidR="00AD1E7B" w:rsidRPr="00AD1E7B">
        <w:lastRenderedPageBreak/>
        <w:t>energetickou náročností budovy v režimu de minimis)</w:t>
      </w:r>
      <w:r w:rsidR="00A22765" w:rsidRPr="00DD47DF">
        <w:t>, instalace vzduchotechniky</w:t>
      </w:r>
      <w:r w:rsidR="0056661C" w:rsidRPr="00DD47DF">
        <w:t xml:space="preserve"> s rekuperací odpadního tepla</w:t>
      </w:r>
      <w:r w:rsidR="00A22765" w:rsidRPr="00DD47DF">
        <w:t>)</w:t>
      </w:r>
      <w:r w:rsidR="0058402E" w:rsidRPr="00DD47DF">
        <w:t>,</w:t>
      </w:r>
    </w:p>
    <w:p w14:paraId="799B5B1F" w14:textId="77777777" w:rsidR="0058402E" w:rsidRPr="00DD47DF" w:rsidRDefault="0058402E" w:rsidP="005F43DF">
      <w:pPr>
        <w:pStyle w:val="Standardntext"/>
        <w:numPr>
          <w:ilvl w:val="0"/>
          <w:numId w:val="8"/>
        </w:numPr>
      </w:pPr>
      <w:r w:rsidRPr="00DD47DF">
        <w:t>využití odpadní energie</w:t>
      </w:r>
      <w:r w:rsidR="00526991" w:rsidRPr="00DD47DF">
        <w:t xml:space="preserve"> </w:t>
      </w:r>
      <w:r w:rsidRPr="00DD47DF">
        <w:t>ve výrobních procesech,</w:t>
      </w:r>
    </w:p>
    <w:p w14:paraId="5803A46E" w14:textId="77777777" w:rsidR="0058402E" w:rsidRPr="00DD47DF" w:rsidRDefault="0058402E" w:rsidP="005F43DF">
      <w:pPr>
        <w:pStyle w:val="Standardntext"/>
        <w:numPr>
          <w:ilvl w:val="0"/>
          <w:numId w:val="8"/>
        </w:numPr>
      </w:pPr>
      <w:r w:rsidRPr="00DD47DF">
        <w:t>snižování energetické náročnosti/zvyšování energetické účinnosti výrobních a technologických procesů</w:t>
      </w:r>
      <w:r w:rsidR="0056661C" w:rsidRPr="00DD47DF">
        <w:t>,</w:t>
      </w:r>
    </w:p>
    <w:p w14:paraId="1EC7E6A8" w14:textId="77777777" w:rsidR="0056661C" w:rsidRPr="00DD47DF" w:rsidRDefault="0056661C" w:rsidP="005F43DF">
      <w:pPr>
        <w:pStyle w:val="Standardntext"/>
        <w:numPr>
          <w:ilvl w:val="0"/>
          <w:numId w:val="8"/>
        </w:numPr>
      </w:pPr>
      <w:r w:rsidRPr="00DD47DF">
        <w:t>instalace OZE pro vlastní spotřebu podniku,</w:t>
      </w:r>
    </w:p>
    <w:p w14:paraId="71CD186C" w14:textId="14634C8D" w:rsidR="00C5217B" w:rsidRDefault="0056661C" w:rsidP="00C5217B">
      <w:pPr>
        <w:pStyle w:val="Standardntext"/>
        <w:numPr>
          <w:ilvl w:val="0"/>
          <w:numId w:val="8"/>
        </w:numPr>
      </w:pPr>
      <w:r w:rsidRPr="00DD47DF">
        <w:t>instalace kogenerační jednotky s maximálním využití</w:t>
      </w:r>
      <w:r w:rsidR="001900F1" w:rsidRPr="00DD47DF">
        <w:t>m</w:t>
      </w:r>
      <w:r w:rsidRPr="00DD47DF">
        <w:t xml:space="preserve"> elektrické a tepelné energ</w:t>
      </w:r>
      <w:r w:rsidR="00B36879" w:rsidRPr="00DD47DF">
        <w:t>ie pro vlastní spotřebu podniku,</w:t>
      </w:r>
    </w:p>
    <w:p w14:paraId="7A276D71" w14:textId="559E9284" w:rsidR="00933C64" w:rsidRPr="00DD47DF" w:rsidRDefault="00933C64" w:rsidP="00C5217B">
      <w:pPr>
        <w:pStyle w:val="Standardntext"/>
        <w:numPr>
          <w:ilvl w:val="0"/>
          <w:numId w:val="8"/>
        </w:numPr>
      </w:pPr>
      <w:r>
        <w:t>akumulace elektrické energie,</w:t>
      </w:r>
    </w:p>
    <w:p w14:paraId="642ECC29" w14:textId="0D8E0041" w:rsidR="00C56A67" w:rsidRDefault="0083236C" w:rsidP="0083236C">
      <w:pPr>
        <w:pStyle w:val="Standardntext"/>
        <w:numPr>
          <w:ilvl w:val="0"/>
          <w:numId w:val="8"/>
        </w:numPr>
      </w:pPr>
      <w:r>
        <w:t>b</w:t>
      </w:r>
      <w:r w:rsidRPr="0083236C">
        <w:t>ude podporována výstavba budov s téměř nulovou spotřebou energie (viz doporučení Komise (EU) 2016/1318) a s nižší energetickou náročností, než jsou platné vnitrostátní minimální požadavky pro budovy s téměř nulovou spotřebou energie. Částečně budou podporovány dodatečné náklady na dosažení nižší energetické náročnosti, než jsou platné požadavky týkající se budov s téměř nulovou spotřebou energie. Tato oblast podpory je určena na podporu provádění článku 9 směrnice 2010/31/EU o energetické náročnosti budov (a § 7 prováděcího zákona č. 406/2000 Sb., o hospodaření energií</w:t>
      </w:r>
      <w:r w:rsidR="0062777F" w:rsidRPr="00DD47DF">
        <w:t>.</w:t>
      </w:r>
    </w:p>
    <w:p w14:paraId="5439292A" w14:textId="59F47F4E" w:rsidR="008C3535" w:rsidRPr="00DD47DF" w:rsidRDefault="004C6A3D" w:rsidP="004C6A3D">
      <w:pPr>
        <w:pStyle w:val="Standardntext"/>
        <w:numPr>
          <w:ilvl w:val="0"/>
          <w:numId w:val="8"/>
        </w:numPr>
      </w:pPr>
      <w:r w:rsidRPr="004C6A3D">
        <w:t>Pouze v případě finančního nástroje: aktivity firem energetických služeb (Energy Services Companies, ESCO) pro projekty financované skrze Energy Performance Contracting (EPC) určené podnikům i veřejnému sektoru (vyjma projektů podpořených z Operačního programu Životní prostředí).</w:t>
      </w:r>
    </w:p>
    <w:p w14:paraId="725B3482" w14:textId="77777777" w:rsidR="00FF7D38" w:rsidRPr="00DD47DF" w:rsidRDefault="00526991" w:rsidP="00EB6615">
      <w:pPr>
        <w:pStyle w:val="Standardntext"/>
      </w:pPr>
      <w:r w:rsidRPr="00DD47DF">
        <w:t xml:space="preserve">V rámci </w:t>
      </w:r>
      <w:r w:rsidR="009D1769" w:rsidRPr="00DD47DF">
        <w:t>tohoto specifického cíle budou v maximální míře aplikovány zkušenosti</w:t>
      </w:r>
      <w:r w:rsidR="003D3A17" w:rsidRPr="00DD47DF">
        <w:t xml:space="preserve"> (</w:t>
      </w:r>
      <w:r w:rsidR="009D1769" w:rsidRPr="00DD47DF">
        <w:t>„good practices“</w:t>
      </w:r>
      <w:r w:rsidR="003D3A17" w:rsidRPr="00DD47DF">
        <w:t>)</w:t>
      </w:r>
      <w:r w:rsidR="009D1769" w:rsidRPr="00DD47DF">
        <w:t xml:space="preserve"> z programovacího období 2007 - 2013, konkrétně z prioritní osy 3 OPPI, oblasti podpory </w:t>
      </w:r>
      <w:r w:rsidR="009D1769" w:rsidRPr="00DD47DF">
        <w:rPr>
          <w:i/>
        </w:rPr>
        <w:t>Efektivní energie</w:t>
      </w:r>
      <w:r w:rsidR="009D1769" w:rsidRPr="00DD47DF">
        <w:t xml:space="preserve">. </w:t>
      </w:r>
      <w:r w:rsidR="00627F71" w:rsidRPr="00DD47DF">
        <w:t xml:space="preserve">Vzhledem k dlouhodobé poptávce ze strany podnikatelských subjektů z předchozího programovacího období budou realizována zejména níže uvedená úsporná </w:t>
      </w:r>
      <w:r w:rsidR="00FF7D38" w:rsidRPr="00DD47DF">
        <w:t xml:space="preserve">opatření. Jedná se např. o zateplování vnitřních a vnějších obálek budov, výměna starých kotlů na uhlí, nebo mazuty za nové kotle na biomasu či instalace tepelných čerpadel, také instalace solárních kolektorů na ohřev vody, výměna oken, </w:t>
      </w:r>
      <w:r w:rsidR="00B95DC1" w:rsidRPr="00DD47DF">
        <w:t>dveří</w:t>
      </w:r>
      <w:r w:rsidR="00FF7D38" w:rsidRPr="00DD47DF">
        <w:t>, využití odpadního tepla v průmyslových procesech, rekonstrukce tepelných</w:t>
      </w:r>
      <w:r w:rsidR="00334BD2" w:rsidRPr="00DD47DF">
        <w:t xml:space="preserve">, plynových </w:t>
      </w:r>
      <w:r w:rsidR="00FF7D38" w:rsidRPr="00DD47DF">
        <w:t>i elekt</w:t>
      </w:r>
      <w:r w:rsidR="00C776B7" w:rsidRPr="00DD47DF">
        <w:t>rických rozvodů v rámci podniku</w:t>
      </w:r>
      <w:r w:rsidR="00FF7D38" w:rsidRPr="00DD47DF">
        <w:t xml:space="preserve"> atd.</w:t>
      </w:r>
    </w:p>
    <w:p w14:paraId="2FFA437B" w14:textId="77777777" w:rsidR="002C72B3" w:rsidRPr="00DD47DF" w:rsidRDefault="002C72B3" w:rsidP="002C72B3">
      <w:pPr>
        <w:pStyle w:val="Standardntext"/>
      </w:pPr>
      <w:r w:rsidRPr="00DD47DF">
        <w:t>Podpora je poskytována na investice do vysoce účinných zařízení na kombinovanou výrobu tepla a elektřiny, jejichž cílem je dosažení co nejnižších emisí CO</w:t>
      </w:r>
      <w:r w:rsidRPr="00DD47DF">
        <w:rPr>
          <w:vertAlign w:val="subscript"/>
        </w:rPr>
        <w:t>2</w:t>
      </w:r>
      <w:r w:rsidRPr="00DD47DF">
        <w:t xml:space="preserve"> a maximální snížení znečištění ovzduší a zajištění ekonomické udržitelnosti. Kromě těchto podmínek by veškeré investice do modernizace stávajících zařízení na vysoce účinná zařízení na kombinovanou výrobu tepla a elektřiny měly vést ke snížení emisí CO</w:t>
      </w:r>
      <w:r w:rsidRPr="00DD47DF">
        <w:rPr>
          <w:vertAlign w:val="subscript"/>
        </w:rPr>
        <w:t>2</w:t>
      </w:r>
      <w:r w:rsidRPr="00DD47DF">
        <w:t xml:space="preserve"> nejméně o 30 % ve srovnání se stávajícími zařízeními. Tento požadavek na snížení emisí CO</w:t>
      </w:r>
      <w:r w:rsidRPr="00DD47DF">
        <w:rPr>
          <w:vertAlign w:val="subscript"/>
        </w:rPr>
        <w:t>2</w:t>
      </w:r>
      <w:r w:rsidRPr="00DD47DF">
        <w:t xml:space="preserve"> bude vztažen pouze k výrobě tepla odpovídající výrobě navrhované kogenerace, tj. pouze části z celkové výroby tepla daného zdroje, přičemž předmětem hodnocení by mělo být porovnání globálních emisí odpovídajících oddělené výrobě elektřiny a tepla a navrhované výrobě kogenerační.</w:t>
      </w:r>
    </w:p>
    <w:p w14:paraId="2EFBA106" w14:textId="77777777" w:rsidR="002C72B3" w:rsidRPr="00DD47DF" w:rsidRDefault="002C72B3" w:rsidP="002C72B3">
      <w:pPr>
        <w:pStyle w:val="Standardntext"/>
      </w:pPr>
      <w:r w:rsidRPr="00DD47DF">
        <w:t>V případě nových zařízení by mělo být dosaženo alespoň 10% nárůstu energetické účinnosti ve srovnání s oddělenou výrobou elektřiny a tepla při využití nejlepších dostupných technologií. Investiční podporu pro vysoce účinnou kombinovanou výrobu tepla a elektřiny na bázi zemního plynu lze poskytnout, pokud to nebude mít za následek vytlačení nízkouhlíkových řešení a pokud by alternativní řešení bylo méně účinné a s vyšším obsahem uhlíku.</w:t>
      </w:r>
    </w:p>
    <w:p w14:paraId="065D26C5" w14:textId="77777777" w:rsidR="00526991" w:rsidRPr="00DD47DF" w:rsidRDefault="002C72B3" w:rsidP="002C72B3">
      <w:pPr>
        <w:pStyle w:val="Standardntext"/>
      </w:pPr>
      <w:r w:rsidRPr="00DD47DF">
        <w:lastRenderedPageBreak/>
        <w:t>V řádně odůvodněných případech mohou být investice určeny i pro kotle na biomasu nebo plynná paliva, pokud je v těchto případech dosažené zvýšení energetické účinnosti významné a jejich potřeba je zvláště naléhavá. Investice by měly přispět ke snížení emisí CO</w:t>
      </w:r>
      <w:r w:rsidRPr="00DD47DF">
        <w:rPr>
          <w:vertAlign w:val="subscript"/>
        </w:rPr>
        <w:t>2</w:t>
      </w:r>
      <w:r w:rsidRPr="00DD47DF">
        <w:t xml:space="preserve"> a ke značným úsporám energie. Mohou být podporovány pouze v případě, kdy není rozšíření centrálního zásobování teplem ekonomicky proveditelné. Podpora by měla být přednostně prováděna prostřednictvím finančních nástrojů na základě výsledků předběžných posouzení.</w:t>
      </w:r>
    </w:p>
    <w:p w14:paraId="3EA500E6" w14:textId="25FA2A1B" w:rsidR="008614C4" w:rsidRPr="00DD47DF" w:rsidRDefault="00627F71" w:rsidP="00627F71">
      <w:pPr>
        <w:pStyle w:val="Standardntext"/>
      </w:pPr>
      <w:r w:rsidRPr="00DD47DF">
        <w:t xml:space="preserve">Výše uvedená opatření budou realizována jako souhrn několika opatření (komplexní projekty) dle doporučení vyplývající z energetického auditu. </w:t>
      </w:r>
      <w:r w:rsidR="008614C4" w:rsidRPr="00DD47DF">
        <w:t>Prioritně budou podporovány projekty komplexních opatřeních, doporučených v energetickém auditu či energetickém posudku, za účelem maximalizace úspor energie</w:t>
      </w:r>
      <w:r w:rsidR="00080C36">
        <w:t xml:space="preserve"> </w:t>
      </w:r>
      <w:r w:rsidR="00080C36" w:rsidRPr="00080C36">
        <w:t>a využití obnovitelných zdrojů energie pro vlastní spotřebu</w:t>
      </w:r>
      <w:r w:rsidR="008614C4" w:rsidRPr="00DD47DF">
        <w:t>.</w:t>
      </w:r>
    </w:p>
    <w:p w14:paraId="5B204D45" w14:textId="36126545" w:rsidR="008614C4" w:rsidRDefault="00627F71" w:rsidP="008614C4">
      <w:pPr>
        <w:pStyle w:val="Standardntext"/>
      </w:pPr>
      <w:r w:rsidRPr="00DD47DF">
        <w:t>Způsobilé výdaje budou veškeré investiční náklady mající vliv na úsporu energie</w:t>
      </w:r>
      <w:r w:rsidR="00080C36">
        <w:t xml:space="preserve"> </w:t>
      </w:r>
      <w:r w:rsidR="00080C36" w:rsidRPr="00080C36">
        <w:t>a využití obnovitelných zdrojů energie pro vlastní spotřebu</w:t>
      </w:r>
      <w:r w:rsidRPr="00DD47DF">
        <w:t>, stavební náklady, pořízení technologie, zpracování projektové dokumentace a energetického auditu</w:t>
      </w:r>
      <w:r w:rsidR="0020357B" w:rsidRPr="00DD47DF">
        <w:t>, energetického posudku</w:t>
      </w:r>
      <w:r w:rsidRPr="00DD47DF">
        <w:t xml:space="preserve"> atd.</w:t>
      </w:r>
      <w:r w:rsidR="008614C4" w:rsidRPr="00DD47DF">
        <w:t xml:space="preserve"> Podpora se nesmí poskytnout velkým podnikům na energetické audity prováděné podle čl. 8 odst. 4 směrnice 2012/27/EU.</w:t>
      </w:r>
    </w:p>
    <w:p w14:paraId="00E0F435" w14:textId="77777777" w:rsidR="00933C64" w:rsidRDefault="00933C64" w:rsidP="00933C64">
      <w:pPr>
        <w:jc w:val="both"/>
        <w:rPr>
          <w:sz w:val="24"/>
          <w:szCs w:val="24"/>
        </w:rPr>
      </w:pPr>
      <w:r w:rsidRPr="00933C64">
        <w:rPr>
          <w:sz w:val="24"/>
          <w:szCs w:val="24"/>
        </w:rPr>
        <w:t>V případě projektu, který bude obsahovat podporu instalace akumulace elektrické energie, musí být akumulátor provozován v energetickém hospodářství, které má vlastní zdroj elektrické energie z obnovitelných zdrojů (např. FVE), nebo z kombinované výroby elektřiny a tepla (mimo uhlí, LTO, TTO). Současně musí být splněna komplexnost projektu. Tzn., že nebude podpořena samostatná instalace akumulátoru elektřiny, resp. projekt musí obsahovat více opatření. Smyslem podpory baterií je zvýšení využití elektřiny z obnovitelných zdrojů (intermitentní zdroj) na úkor spotřeby elektřiny z distribučních nebo přenosové soustavy, kdy podíl elektřiny z fosilních zdrojů v ČR stále v rámci energetického mixu výroby elektřiny představuje kolem 50 %. Současně spotřebou elektřiny vyrobené v místě spotřeby dochází ke snižování ztrát při distribuci a přenosu elektřiny od výrobce k spotřebiteli. Dochází tedy ke zvýšení účinnosti celého řetězce transformace energií až po konečnou spotřebu.</w:t>
      </w:r>
    </w:p>
    <w:p w14:paraId="5298E18C" w14:textId="77777777" w:rsidR="00933C64" w:rsidRPr="00933C64" w:rsidRDefault="00933C64" w:rsidP="00933C64">
      <w:pPr>
        <w:jc w:val="both"/>
        <w:rPr>
          <w:sz w:val="24"/>
          <w:szCs w:val="24"/>
        </w:rPr>
      </w:pPr>
    </w:p>
    <w:p w14:paraId="3F67C591" w14:textId="5105479B" w:rsidR="00933C64" w:rsidRPr="00DD47DF" w:rsidRDefault="00933C64" w:rsidP="00933C64">
      <w:pPr>
        <w:pStyle w:val="Standardntext"/>
      </w:pPr>
      <w:r w:rsidRPr="00933C64">
        <w:t>Z pohledu provozního režimu využití se předpokládá pravidelné cyklické zatěžování akumulátorů v rámci aplikací vykrývání energetických špiček pro lepší stanovení příkonových hodnot z distribuční soustavy a efektivnějšího využití zdroje, využívání sluneční energie získané z FVE například v noci (osvětlení) nebo v nočním provozu, pro překlenutí pravidelného času v době energetické špičky či energetické nedostatečnosti atd. V těchto aplikacích se pravidelně akumulátory dobíjejí volnými (plánovanými) přebytky z výroby a pravidelně a plánovaně se také z těchto akumulátorů dodává v příkladném shora uvedených případech energie ke spotřebě.</w:t>
      </w:r>
    </w:p>
    <w:p w14:paraId="0141487B" w14:textId="780EB814" w:rsidR="00D01FDB" w:rsidRPr="00DD47DF" w:rsidRDefault="00BC7187" w:rsidP="00D01FDB">
      <w:pPr>
        <w:pStyle w:val="Standardntext"/>
      </w:pPr>
      <w:r w:rsidRPr="004617EF">
        <w:t>Podpora na výstavbu budov s téměř nulovou spotřebou</w:t>
      </w:r>
      <w:r w:rsidR="00D01FDB" w:rsidRPr="00DD47DF">
        <w:t xml:space="preserve"> bude poskytnuta v takovém objemu, aby investoři nebyli motivováni k výstavbě nových budov, nýbrž pouze ke zlepšení energetické účinnosti těch, které by beztak byly postaveny. V některých případech lze novostavbu na opuštěném průmyslovém pozemku podle českého stavebního zákona považovat za rozsáhlou rekonstrukci, i pokud je původní nefunkční budova stržena. Takovéto případy budou posuzovány jednotlivě. Je-li budova používána a spotřebovává energii, bude způsobilá k podpoře na energeticky účinnou renovaci podle téhož specifického cíle.</w:t>
      </w:r>
    </w:p>
    <w:p w14:paraId="40864630" w14:textId="77777777" w:rsidR="00D01FDB" w:rsidRPr="00DD47DF" w:rsidRDefault="00D01FDB" w:rsidP="00D01FDB">
      <w:pPr>
        <w:pStyle w:val="Standardntext"/>
      </w:pPr>
      <w:r w:rsidRPr="00DD47DF">
        <w:t xml:space="preserve">Úroveň podpory bude vypočtena na základě modelových případů a stanovena jako fixní částka na metr čtvereční podlahové plochy (relevantní z energetického hlediska). Tento přístup by měl </w:t>
      </w:r>
      <w:r w:rsidRPr="00DD47DF">
        <w:lastRenderedPageBreak/>
        <w:t>pomoci zabránit a) tomu, že budou podporovány předražené investice, b) zvýšené administrativní zátěži.</w:t>
      </w:r>
    </w:p>
    <w:p w14:paraId="7A3F7F6B" w14:textId="77777777" w:rsidR="00526991" w:rsidRPr="00DD47DF" w:rsidRDefault="00D01FDB" w:rsidP="00526991">
      <w:pPr>
        <w:pStyle w:val="Standardntext"/>
      </w:pPr>
      <w:r w:rsidRPr="00DD47DF">
        <w:t>Toto opatření je třeba vnímat jako propagaci výstavby budov s téměř nulovou spotřebou energie v souladu s článkem 9 směrnice o energetické účinnosti budov (2010/31/EU)</w:t>
      </w:r>
      <w:r w:rsidR="00DD4877" w:rsidRPr="00DD47DF">
        <w:t>.</w:t>
      </w:r>
    </w:p>
    <w:p w14:paraId="71082B52" w14:textId="77777777" w:rsidR="00627F71" w:rsidRPr="00DD47DF" w:rsidRDefault="00526991" w:rsidP="008614C4">
      <w:pPr>
        <w:pStyle w:val="Standardntext"/>
      </w:pPr>
      <w:r w:rsidRPr="00DD47DF">
        <w:t xml:space="preserve">Způsobilé výdaje budou definovány </w:t>
      </w:r>
      <w:r w:rsidR="008614C4" w:rsidRPr="00DD47DF">
        <w:t>v souladu s Nařízením Komise (EU) č. 651/2014 ze dne 17. června 2014,  oddílem  7 – Podpora na ochranu životního prostředí.</w:t>
      </w:r>
    </w:p>
    <w:p w14:paraId="6172E7F1" w14:textId="3C8DA4C0" w:rsidR="00FF7D38" w:rsidRPr="00DD47DF" w:rsidRDefault="00C776B7" w:rsidP="00FF7D38">
      <w:pPr>
        <w:pStyle w:val="Standardntext"/>
      </w:pPr>
      <w:r w:rsidRPr="00DD47DF">
        <w:t xml:space="preserve">Výstupy </w:t>
      </w:r>
      <w:r w:rsidR="00FF7D38" w:rsidRPr="00DD47DF">
        <w:t xml:space="preserve">všech těchto opatření </w:t>
      </w:r>
      <w:r w:rsidR="00E37DD9" w:rsidRPr="00DD47DF">
        <w:t xml:space="preserve">představují </w:t>
      </w:r>
      <w:r w:rsidRPr="00DD47DF">
        <w:t>zásadní příspěvek k naplnění směrnice 2012/27/EU o energetické účinnosti</w:t>
      </w:r>
      <w:r w:rsidR="00080C36">
        <w:t xml:space="preserve"> </w:t>
      </w:r>
      <w:r w:rsidR="00080C36" w:rsidRPr="00080C36">
        <w:t>a Směrnice Evropského parlamentu a Rady 2009/28/ES o podpoře využívání energie z obnovitelných zdrojů</w:t>
      </w:r>
      <w:r w:rsidRPr="00DD47DF">
        <w:t xml:space="preserve">, což je </w:t>
      </w:r>
      <w:r w:rsidR="00E37DD9" w:rsidRPr="00DD47DF">
        <w:t>i výsledkem</w:t>
      </w:r>
      <w:r w:rsidRPr="00DD47DF">
        <w:t xml:space="preserve"> tohoto specifického cíle.</w:t>
      </w:r>
    </w:p>
    <w:p w14:paraId="1038EBD6" w14:textId="7427A579" w:rsidR="0058402E" w:rsidRPr="00DD47DF" w:rsidRDefault="0058402E" w:rsidP="001D35B1">
      <w:pPr>
        <w:pStyle w:val="Standardntext"/>
      </w:pPr>
      <w:r w:rsidRPr="00DD47DF">
        <w:rPr>
          <w:b/>
        </w:rPr>
        <w:t xml:space="preserve">Hlavní cílová skupina: </w:t>
      </w:r>
      <w:r w:rsidR="00127389" w:rsidRPr="00DD47DF">
        <w:t>P</w:t>
      </w:r>
      <w:r w:rsidRPr="00DD47DF">
        <w:t>odnikatelé z oblasti především MSP,</w:t>
      </w:r>
      <w:r w:rsidR="00A22765" w:rsidRPr="00DD47DF">
        <w:t xml:space="preserve"> ale i možných velkých podniků.</w:t>
      </w:r>
      <w:r w:rsidR="00014522">
        <w:t xml:space="preserve"> </w:t>
      </w:r>
      <w:r w:rsidR="000317E0" w:rsidRPr="000317E0">
        <w:t>Pro intervence v případě finančního nástroje, který zahrne financování metodou Energy Performance Contracting (EPC), lze podpořit aktivity firem energetických služeb (Energy Services Companies) pro projekty podniků i veřejného sektoru (vyjma projektů podpořených z Operačního programu Životní prostředí)</w:t>
      </w:r>
    </w:p>
    <w:p w14:paraId="72BC17B4" w14:textId="2910D424" w:rsidR="0058402E" w:rsidRPr="00DD47DF" w:rsidRDefault="0058402E" w:rsidP="001D35B1">
      <w:pPr>
        <w:pStyle w:val="Standardntext"/>
        <w:rPr>
          <w:color w:val="FF0000"/>
        </w:rPr>
      </w:pPr>
      <w:r w:rsidRPr="00DD47DF">
        <w:rPr>
          <w:b/>
        </w:rPr>
        <w:t xml:space="preserve">Cílové území: </w:t>
      </w:r>
      <w:r w:rsidR="001E0AA2" w:rsidRPr="00DD47DF">
        <w:t xml:space="preserve">Území České republiky, </w:t>
      </w:r>
      <w:r w:rsidR="008771A5" w:rsidRPr="00DD47DF">
        <w:t xml:space="preserve">mimo </w:t>
      </w:r>
      <w:r w:rsidR="000D70DC" w:rsidRPr="00DD47DF">
        <w:t xml:space="preserve">hl. m. Prahy. </w:t>
      </w:r>
      <w:r w:rsidR="00015039" w:rsidRPr="00DD47DF">
        <w:t>Předpokládá se plošné směrování intervencí bez vymezení územní dimenze (bude vymezeno sektory průmyslové činnosti).</w:t>
      </w:r>
      <w:r w:rsidR="00F56185">
        <w:t xml:space="preserve"> </w:t>
      </w:r>
      <w:r w:rsidR="00F56185" w:rsidRPr="00F56185">
        <w:t>Řídící orgán dále předpokládá vyhlášení omezených specifických výzev s vazbou na RE:START, tj. na proces naplňování Strategie hospodářské restrukturalizace Ústeckého, Moravskoslezského a Karlovarského kraje a Vládou ČR schválených Souhrnných akčních plánů strategie restrukturalizace Moravskoslezského, Ústeckého a Karlovarského kraje.</w:t>
      </w:r>
    </w:p>
    <w:p w14:paraId="34E63F9D" w14:textId="77777777" w:rsidR="00545498" w:rsidRPr="00DD47DF" w:rsidRDefault="00545498" w:rsidP="00627F71">
      <w:pPr>
        <w:pStyle w:val="Standardntext"/>
      </w:pPr>
      <w:r w:rsidRPr="00DD47DF">
        <w:rPr>
          <w:b/>
        </w:rPr>
        <w:t xml:space="preserve">Typy příjemců: </w:t>
      </w:r>
      <w:r w:rsidRPr="00DD47DF">
        <w:t>Podnikatelské subjekty (malé, střední a případně velké podniky); pro intervence v oblasti úspor energie (zateplování výrobních a podnikatelských objektů</w:t>
      </w:r>
      <w:r w:rsidR="00112C3A" w:rsidRPr="00DD47DF">
        <w:t>, komplexní řešení úspor energie</w:t>
      </w:r>
      <w:r w:rsidRPr="00DD47DF">
        <w:t>) rovněž zemědělští podnikatelé, podnikatelé v potravinářství, a maloobchodní organizace</w:t>
      </w:r>
      <w:r w:rsidR="00E24193" w:rsidRPr="00DD47DF">
        <w:t>, podnikatelé v oblasti akvakultury</w:t>
      </w:r>
      <w:r w:rsidRPr="00DD47DF">
        <w:t>.</w:t>
      </w:r>
    </w:p>
    <w:p w14:paraId="0023412E" w14:textId="4DB41B33" w:rsidR="00627F71" w:rsidRPr="00DD47DF" w:rsidRDefault="00627F71" w:rsidP="00627F71">
      <w:pPr>
        <w:pStyle w:val="Standardntext"/>
      </w:pPr>
      <w:r w:rsidRPr="00DD47DF">
        <w:t xml:space="preserve">K začlenění velkých podniků mezi podporované typy příjemců (dle čl. 3 odst. 1 písm. b) nařízení o EFRR) je nutné upozornit na specifickou situaci České republiky, tj. vysoký podíl velkých firem vzhledem ke struktuře ekonomiky a nadprůměrný podíl průmyslu a jeho dlouhodobý význam a tradice. Vzhledem k tomuto vysokému podílu velkých podniků a zejména jejich značnému potenciálu úspory energie </w:t>
      </w:r>
      <w:r w:rsidR="00846BF2" w:rsidRPr="00846BF2">
        <w:t>a využití obnovitelných zdrojů energie pro vlastní spotřebu</w:t>
      </w:r>
      <w:r w:rsidR="00846BF2">
        <w:t xml:space="preserve"> </w:t>
      </w:r>
      <w:r w:rsidRPr="00DD47DF">
        <w:t>je nezbytné jejich začlenění mezi podporované subjekty. Vyloučení či omezení podpory velkých podniků může ohrozit splnění směrnice o energetické účinnosti</w:t>
      </w:r>
      <w:r w:rsidR="00846BF2">
        <w:t xml:space="preserve"> </w:t>
      </w:r>
      <w:r w:rsidR="00846BF2" w:rsidRPr="00846BF2">
        <w:t>a směrnice o podpoře využívání energie z obnovitelných zdrojů v ČR</w:t>
      </w:r>
      <w:r w:rsidRPr="00DD47DF">
        <w:t xml:space="preserve"> a tím pádem i plnění společných cílů EU v oblasti </w:t>
      </w:r>
      <w:r w:rsidR="00846BF2" w:rsidRPr="00846BF2">
        <w:t>klimaticko - energetické politiky</w:t>
      </w:r>
      <w:r w:rsidRPr="00DD47DF">
        <w:t>.</w:t>
      </w:r>
    </w:p>
    <w:p w14:paraId="63883EB3" w14:textId="77777777" w:rsidR="0058402E" w:rsidRPr="00DD47DF" w:rsidRDefault="00627F71" w:rsidP="00627F71">
      <w:pPr>
        <w:pStyle w:val="Standardntext"/>
      </w:pPr>
      <w:r w:rsidRPr="00DD47DF">
        <w:t xml:space="preserve">V souvislosti s podporou velkých podniků je také důležité zmínit, že při realizaci projektů (např. při zpracování projektové dokumentace, samotných stavebních pracích či různých dodávkách zařízení) se vytváří prostor pro dodávky či subdodávky ze strany MSP, a tudíž podpora velkých podniků </w:t>
      </w:r>
      <w:r w:rsidR="009D1769" w:rsidRPr="00DD47DF">
        <w:t>má pozitivní efekty i pro sektor MSP</w:t>
      </w:r>
      <w:r w:rsidRPr="00DD47DF">
        <w:t>.</w:t>
      </w:r>
    </w:p>
    <w:p w14:paraId="7CDA53AF" w14:textId="77777777" w:rsidR="0058402E" w:rsidRPr="00DD47DF" w:rsidRDefault="00BA6461" w:rsidP="005F43DF">
      <w:pPr>
        <w:pStyle w:val="Nadpis5"/>
        <w:numPr>
          <w:ilvl w:val="4"/>
          <w:numId w:val="21"/>
        </w:numPr>
      </w:pPr>
      <w:r w:rsidRPr="00DD47DF">
        <w:t>Hlavní zásady pro výběr operací</w:t>
      </w:r>
    </w:p>
    <w:p w14:paraId="5EC9560F"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6CF77675" w14:textId="77777777" w:rsidR="00B12F31" w:rsidRPr="00DD47DF" w:rsidRDefault="00B12F31" w:rsidP="00B12F31">
      <w:pPr>
        <w:pStyle w:val="Standardntext"/>
      </w:pPr>
      <w:r w:rsidRPr="00DD47DF">
        <w:t>V rámci výběru a hodnocení projektů budou posuzována především následující kritéria:</w:t>
      </w:r>
    </w:p>
    <w:p w14:paraId="6C884DC1" w14:textId="0B41630E" w:rsidR="00B12F31" w:rsidRPr="00DD47DF" w:rsidRDefault="00B12F31" w:rsidP="00E17A60">
      <w:pPr>
        <w:pStyle w:val="Standardntext"/>
        <w:numPr>
          <w:ilvl w:val="0"/>
          <w:numId w:val="43"/>
        </w:numPr>
      </w:pPr>
      <w:r w:rsidRPr="00DD47DF">
        <w:lastRenderedPageBreak/>
        <w:t xml:space="preserve">Kvalita a potřebnost </w:t>
      </w:r>
      <w:r w:rsidR="00C0640C" w:rsidRPr="00DD47DF">
        <w:t xml:space="preserve">projektu </w:t>
      </w:r>
      <w:r w:rsidRPr="00DD47DF">
        <w:t xml:space="preserve">s ohledem na </w:t>
      </w:r>
      <w:r w:rsidR="00DC4382" w:rsidRPr="00DD47DF">
        <w:t>jeho</w:t>
      </w:r>
      <w:r w:rsidRPr="00DD47DF">
        <w:t xml:space="preserve"> ekologické příno</w:t>
      </w:r>
      <w:r w:rsidR="00DC4382" w:rsidRPr="00DD47DF">
        <w:t>sy a nově zavedené technologie; z</w:t>
      </w:r>
      <w:r w:rsidRPr="00DD47DF">
        <w:t>ejména bude kladen důraz na poměr investičních nákladů k úspoře energii</w:t>
      </w:r>
      <w:r w:rsidR="00E17A60">
        <w:t xml:space="preserve">, </w:t>
      </w:r>
      <w:r w:rsidR="00E17A60" w:rsidRPr="00E17A60">
        <w:t>poměr investičních nákladů na instalovaný výkon obnovitelného zdroje energie</w:t>
      </w:r>
      <w:r w:rsidRPr="00DD47DF">
        <w:t xml:space="preserve"> a redukci emisí znečišťujících látek.</w:t>
      </w:r>
    </w:p>
    <w:p w14:paraId="441BCAA4" w14:textId="77777777" w:rsidR="00B12F31" w:rsidRPr="00DD47DF" w:rsidRDefault="00B12F31" w:rsidP="00D927A2">
      <w:pPr>
        <w:pStyle w:val="Standardntext"/>
        <w:numPr>
          <w:ilvl w:val="0"/>
          <w:numId w:val="43"/>
        </w:numPr>
        <w:ind w:left="714" w:hanging="357"/>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939D436" w14:textId="47CB73E0" w:rsidR="00B12F31" w:rsidRPr="00DD47DF" w:rsidRDefault="00B12F31" w:rsidP="00DC0681">
      <w:pPr>
        <w:pStyle w:val="Standardntext"/>
        <w:numPr>
          <w:ilvl w:val="0"/>
          <w:numId w:val="43"/>
        </w:numPr>
      </w:pPr>
      <w:r w:rsidRPr="00DD47DF">
        <w:t>Vliv projektu na oblast klimatu a ovzduší. Nad rámec výše uvedených indikátorů specifického cíle bude na projektové úrovni interně monitorován</w:t>
      </w:r>
      <w:r w:rsidR="001E054A" w:rsidRPr="00DD47DF">
        <w:t xml:space="preserve"> a vykazován EK</w:t>
      </w:r>
      <w:r w:rsidRPr="00DD47DF">
        <w:t xml:space="preserve"> vliv daného projektu na oblast klimatu prostřednictvím indikátoru „Snížení emisí CO2“</w:t>
      </w:r>
      <w:r w:rsidR="00C306CB" w:rsidRPr="00DD47DF">
        <w:t xml:space="preserve"> (3 61 13)</w:t>
      </w:r>
      <w:r w:rsidRPr="00DD47DF">
        <w:t xml:space="preserve"> a dále na vliv na oblast ovzduší prostřednictvím indikátoru „</w:t>
      </w:r>
      <w:r w:rsidR="00DC0681" w:rsidRPr="00DC0681">
        <w:t>Množství emisí primárních částic a prekurzorů sekundárních částic</w:t>
      </w:r>
      <w:r w:rsidRPr="00DD47DF">
        <w:t>“</w:t>
      </w:r>
      <w:r w:rsidR="00C306CB" w:rsidRPr="00DD47DF">
        <w:t xml:space="preserve"> (3 61 11)</w:t>
      </w:r>
      <w:r w:rsidR="00E624A1" w:rsidRPr="00DD47DF">
        <w:rPr>
          <w:rStyle w:val="Znakapoznpodarou"/>
        </w:rPr>
        <w:footnoteReference w:id="61"/>
      </w:r>
      <w:r w:rsidRPr="00DD47DF">
        <w:t xml:space="preserve">. Tyto </w:t>
      </w:r>
      <w:r w:rsidR="00032047" w:rsidRPr="00DD47DF">
        <w:t xml:space="preserve">environmentální </w:t>
      </w:r>
      <w:r w:rsidRPr="00DD47DF">
        <w:t>indikátory budou dále agregovány pro potřeby Dohody o partnerství</w:t>
      </w:r>
      <w:r w:rsidR="00E624A1" w:rsidRPr="00DD47DF">
        <w:t xml:space="preserve"> a Výročních zpráv OP PIK</w:t>
      </w:r>
      <w:r w:rsidRPr="00DD47DF">
        <w:t>.</w:t>
      </w:r>
    </w:p>
    <w:p w14:paraId="3A8F0544"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62"/>
      </w:r>
      <w:r w:rsidRPr="00DD47DF">
        <w:t>.</w:t>
      </w:r>
    </w:p>
    <w:p w14:paraId="1BC9E00A" w14:textId="77777777" w:rsidR="001B4E71" w:rsidRPr="00DD47DF" w:rsidRDefault="001B4E71" w:rsidP="00D927A2">
      <w:pPr>
        <w:pStyle w:val="Standardntext"/>
        <w:numPr>
          <w:ilvl w:val="0"/>
          <w:numId w:val="43"/>
        </w:numPr>
      </w:pPr>
      <w:r w:rsidRPr="00DD47DF">
        <w:t>Projekt musí splnit nákladově optimální úroveň, která bude stanovena v prováděcí dokumentaci.</w:t>
      </w:r>
    </w:p>
    <w:p w14:paraId="2AA4AD69" w14:textId="77777777" w:rsidR="00D3112E" w:rsidRPr="00DD47DF" w:rsidRDefault="00D3112E" w:rsidP="00441D67">
      <w:pPr>
        <w:pStyle w:val="Odstavecseseznamem"/>
        <w:numPr>
          <w:ilvl w:val="0"/>
          <w:numId w:val="43"/>
        </w:numPr>
        <w:spacing w:after="120"/>
        <w:ind w:left="714" w:hanging="357"/>
        <w:contextualSpacing w:val="0"/>
        <w:jc w:val="both"/>
      </w:pPr>
      <w:r w:rsidRPr="00DD47DF">
        <w:rPr>
          <w:sz w:val="24"/>
          <w:szCs w:val="24"/>
        </w:rPr>
        <w:t>Projekty obsahující kombinovanou výrobu elektřiny a tepla budou podporovány jenom v případě, pokud splní kritéria vysokoúčinné výroby elektřiny a tepla.</w:t>
      </w:r>
    </w:p>
    <w:p w14:paraId="0A9D5D74" w14:textId="01CB569C" w:rsidR="000B12B7" w:rsidRPr="00DD47DF" w:rsidRDefault="000B12B7" w:rsidP="000C6CA8">
      <w:pPr>
        <w:pStyle w:val="Standardntext"/>
        <w:numPr>
          <w:ilvl w:val="0"/>
          <w:numId w:val="43"/>
        </w:numPr>
      </w:pPr>
      <w:r w:rsidRPr="00DD47DF">
        <w:t xml:space="preserve">Energetický audit, energetický posudek a průkaz energetické náročnosti budovy bude sloužit k určení předpokládané výše úspor </w:t>
      </w:r>
      <w:r w:rsidR="00E17A60" w:rsidRPr="00E17A60">
        <w:t>a objemu využití obnovitelných zdrojů energie pro vlastní spotřebu</w:t>
      </w:r>
      <w:r w:rsidR="00E17A60">
        <w:t xml:space="preserve"> </w:t>
      </w:r>
      <w:r w:rsidRPr="00DD47DF">
        <w:t>dle opatření a následně po realizaci také k jeho monitoringu a verifikaci.</w:t>
      </w:r>
      <w:r w:rsidR="000C6CA8">
        <w:t xml:space="preserve"> </w:t>
      </w:r>
      <w:r w:rsidR="000C6CA8" w:rsidRPr="000C6CA8">
        <w:t>V případě využití finančních nástrojů bude u projektů do výše 3 mil. Kč celkových způsobilých výdajů k určení výše úspor energií aplikován výpočtový modul z důvodu snížení administrativní zátěže žadatelů.</w:t>
      </w:r>
    </w:p>
    <w:p w14:paraId="5216E97B" w14:textId="4B77CD2F" w:rsidR="00D3112E" w:rsidRPr="00DD47DF" w:rsidRDefault="00AC1814" w:rsidP="00AC1814">
      <w:pPr>
        <w:pStyle w:val="Odstavecseseznamem"/>
        <w:numPr>
          <w:ilvl w:val="0"/>
          <w:numId w:val="43"/>
        </w:numPr>
        <w:spacing w:after="120"/>
        <w:contextualSpacing w:val="0"/>
        <w:jc w:val="both"/>
      </w:pPr>
      <w:r w:rsidRPr="00AC1814">
        <w:rPr>
          <w:sz w:val="24"/>
          <w:szCs w:val="24"/>
        </w:rPr>
        <w:t>Modernizace soustav osvětlení budov a průmyslových areálů bude podpořena dotací pouze v případě, že bude součástí komplexního projektu. Jako samostatné opatření lze podpořit formou finančního nástroje.</w:t>
      </w:r>
    </w:p>
    <w:p w14:paraId="5407F251" w14:textId="77777777" w:rsidR="000B12B7" w:rsidRPr="00DD47DF" w:rsidRDefault="000B12B7" w:rsidP="00D01FDB">
      <w:pPr>
        <w:pStyle w:val="Standardntext"/>
        <w:numPr>
          <w:ilvl w:val="0"/>
          <w:numId w:val="43"/>
        </w:numPr>
      </w:pPr>
      <w:r w:rsidRPr="00DD47DF">
        <w:t xml:space="preserve">Podpořen nebude projekt </w:t>
      </w:r>
      <w:r w:rsidR="00DE7B56" w:rsidRPr="00DD47DF">
        <w:t xml:space="preserve">instalace a </w:t>
      </w:r>
      <w:r w:rsidRPr="00DD47DF">
        <w:t>rekonstrukce zařízení (zdroje) nad 20MW tepelného příkon (po rekonstrukci)</w:t>
      </w:r>
      <w:r w:rsidR="00DE7B56" w:rsidRPr="00DD47DF">
        <w:t xml:space="preserve">, </w:t>
      </w:r>
      <w:r w:rsidR="00D01FDB" w:rsidRPr="00DD47DF">
        <w:t>s výjimkou zařízení využívajících výhradně biomasu</w:t>
      </w:r>
      <w:r w:rsidRPr="00DD47DF">
        <w:t>.</w:t>
      </w:r>
    </w:p>
    <w:p w14:paraId="4FE7F713" w14:textId="77777777" w:rsidR="008614C4" w:rsidRPr="00DD47DF" w:rsidRDefault="00D01FDB" w:rsidP="00DE7B56">
      <w:pPr>
        <w:pStyle w:val="Standardntext"/>
        <w:numPr>
          <w:ilvl w:val="0"/>
          <w:numId w:val="43"/>
        </w:numPr>
      </w:pPr>
      <w:r w:rsidRPr="00DD47DF">
        <w:lastRenderedPageBreak/>
        <w:t>Žádná podpora nebude poskytnuta na spolufinancování zařízení, na něž se vztahuje směrnice o průmyslových emisích, která je použitelná na zařízení pro výrobu energie a dálkové vytápění nad 50 MW.</w:t>
      </w:r>
    </w:p>
    <w:p w14:paraId="10FE7217" w14:textId="77777777" w:rsidR="00D3112E" w:rsidRPr="00DD47DF" w:rsidRDefault="002C72B3" w:rsidP="00441D67">
      <w:pPr>
        <w:pStyle w:val="Odstavecseseznamem"/>
        <w:numPr>
          <w:ilvl w:val="0"/>
          <w:numId w:val="43"/>
        </w:numPr>
        <w:spacing w:after="120"/>
        <w:ind w:left="714" w:hanging="357"/>
        <w:contextualSpacing w:val="0"/>
        <w:jc w:val="both"/>
      </w:pPr>
      <w:r w:rsidRPr="00DD47DF">
        <w:rPr>
          <w:sz w:val="24"/>
        </w:rPr>
        <w:t>Životnost investic v tomto odvětví se počítá na desítky let, a měly by proto odpovídat příslušným ustanovením a politikám právních předpisů EU. Systémy vytápění finančně podporované z OP musí již od počátku programového období splňovat minimální požadavky na energetickou účinnost a na emise platné ke konci roku 2020, jak to stanoví prováděcí opatření směrnice o ekodesignu 2009/125/ES.</w:t>
      </w:r>
    </w:p>
    <w:p w14:paraId="0C6B9C33" w14:textId="56B8F46B" w:rsidR="00D3112E" w:rsidRPr="00DD47DF" w:rsidRDefault="00E37A33" w:rsidP="00E37A33">
      <w:pPr>
        <w:pStyle w:val="Odstavecseseznamem"/>
        <w:numPr>
          <w:ilvl w:val="0"/>
          <w:numId w:val="43"/>
        </w:numPr>
        <w:spacing w:after="120"/>
        <w:contextualSpacing w:val="0"/>
        <w:jc w:val="both"/>
      </w:pPr>
      <w:r w:rsidRPr="00E37A33">
        <w:rPr>
          <w:sz w:val="24"/>
          <w:szCs w:val="24"/>
        </w:rPr>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p>
    <w:p w14:paraId="1753FAB7" w14:textId="77777777" w:rsidR="000B12B7" w:rsidRPr="00DD47DF" w:rsidRDefault="000B12B7" w:rsidP="00D3112E">
      <w:pPr>
        <w:pStyle w:val="Standardntext"/>
        <w:numPr>
          <w:ilvl w:val="0"/>
          <w:numId w:val="43"/>
        </w:numPr>
      </w:pPr>
      <w:r w:rsidRPr="00DD47DF">
        <w:t xml:space="preserve">Podpořeny nebudou projekty zaměřené na rekonstrukci/výstavbu zdroje kombinované výroby elektřiny a tepla a monovýroby tepla, která využívá jako palivo uhlí včetně  spoluspalování uhlí a biomasy. </w:t>
      </w:r>
    </w:p>
    <w:p w14:paraId="0BC5FC13" w14:textId="77777777" w:rsidR="008614C4" w:rsidRPr="00DD47DF" w:rsidRDefault="000B12B7" w:rsidP="00D927A2">
      <w:pPr>
        <w:pStyle w:val="Standardntext"/>
        <w:numPr>
          <w:ilvl w:val="0"/>
          <w:numId w:val="43"/>
        </w:numPr>
      </w:pPr>
      <w:r w:rsidRPr="00DD47DF">
        <w:t>Projekt nesmí být financován provozní podporou obnovitelných zdrojů energie.</w:t>
      </w:r>
    </w:p>
    <w:p w14:paraId="45642437" w14:textId="77777777" w:rsidR="000B12B7" w:rsidRPr="00DD47DF" w:rsidRDefault="000B12B7" w:rsidP="00D927A2">
      <w:pPr>
        <w:pStyle w:val="Standardntext"/>
        <w:numPr>
          <w:ilvl w:val="0"/>
          <w:numId w:val="43"/>
        </w:numPr>
      </w:pPr>
      <w:r w:rsidRPr="00DD47DF">
        <w:t>V případě přechodu z uhelného zdroje na biomasu musí být projekt v souladu se Zprávou EK z července 2014 „o současném stavu udržitelnosti pevné a plynné biomasy používání pro výrobu elektrické energie, vytápění a chlazení v EU“.</w:t>
      </w:r>
    </w:p>
    <w:p w14:paraId="2DCE3E7A" w14:textId="77777777" w:rsidR="00351AB8" w:rsidRPr="00DD47DF" w:rsidRDefault="00D01FDB" w:rsidP="00351AB8">
      <w:pPr>
        <w:pStyle w:val="Standardntext"/>
        <w:numPr>
          <w:ilvl w:val="0"/>
          <w:numId w:val="43"/>
        </w:numPr>
      </w:pPr>
      <w:r w:rsidRPr="00DD47DF">
        <w:t>Projekty musí být v souladu s udržitelným využíváním dřevní biomasy a působnost bude stanovena na regionální úrovni, aby se zajistilo, že využívání dřevní biomasy nepřekročí funkční mez umožňující obnovu přirozených ekosystémů</w:t>
      </w:r>
      <w:r w:rsidR="00351AB8" w:rsidRPr="00DD47DF">
        <w:t>.</w:t>
      </w:r>
    </w:p>
    <w:p w14:paraId="5C3FA8C2" w14:textId="77777777" w:rsidR="007C6B14" w:rsidRPr="00DD47DF" w:rsidRDefault="007C6B14" w:rsidP="007C6B14">
      <w:pPr>
        <w:pStyle w:val="Standardntext"/>
        <w:numPr>
          <w:ilvl w:val="0"/>
          <w:numId w:val="43"/>
        </w:numPr>
      </w:pPr>
      <w:r w:rsidRPr="00DD47DF">
        <w:t>Pro podporovaná tepelná čerpadla a solární kolektory budou respektovány požadavky na energetickou účinnost stanovené prováděcím opatřením směrnice 2009/125/ES o ekodesignu pro rok 2020.</w:t>
      </w:r>
    </w:p>
    <w:p w14:paraId="1139FD89" w14:textId="77777777" w:rsidR="002C72B3" w:rsidRPr="00DD47DF" w:rsidRDefault="002C72B3" w:rsidP="002C72B3">
      <w:pPr>
        <w:pStyle w:val="Standardntext"/>
        <w:numPr>
          <w:ilvl w:val="0"/>
          <w:numId w:val="43"/>
        </w:numPr>
      </w:pPr>
      <w:r w:rsidRPr="00DD47DF">
        <w:t>Hlavní zásady týkající se investic do vysoce účinné kombinované výroby tepla a elektřiny:</w:t>
      </w:r>
    </w:p>
    <w:p w14:paraId="78C02930" w14:textId="77777777" w:rsidR="002C72B3" w:rsidRPr="00DD47DF" w:rsidRDefault="002C72B3" w:rsidP="00F44C65">
      <w:pPr>
        <w:pStyle w:val="Standardntext"/>
        <w:numPr>
          <w:ilvl w:val="1"/>
          <w:numId w:val="43"/>
        </w:numPr>
      </w:pPr>
      <w:r w:rsidRPr="00DD47DF">
        <w:t>Měly by být vybírány projekty, které zajišťují nejnižší emise CO</w:t>
      </w:r>
      <w:r w:rsidRPr="00DD47DF">
        <w:rPr>
          <w:vertAlign w:val="subscript"/>
        </w:rPr>
        <w:t>2</w:t>
      </w:r>
      <w:r w:rsidRPr="00DD47DF">
        <w:t xml:space="preserve"> a nejmenší znečištění ovzduší – zejména PM10.</w:t>
      </w:r>
    </w:p>
    <w:p w14:paraId="7EF90E05" w14:textId="77777777" w:rsidR="002C72B3" w:rsidRPr="00DD47DF" w:rsidRDefault="002C72B3" w:rsidP="00F44C65">
      <w:pPr>
        <w:pStyle w:val="Standardntext"/>
        <w:numPr>
          <w:ilvl w:val="1"/>
          <w:numId w:val="43"/>
        </w:numPr>
      </w:pPr>
      <w:r w:rsidRPr="00DD47DF">
        <w:t xml:space="preserve">Projekty by měly prokázat ekonomickou udržitelnost </w:t>
      </w:r>
    </w:p>
    <w:p w14:paraId="339BD220" w14:textId="77777777" w:rsidR="002C72B3" w:rsidRPr="00DD47DF" w:rsidRDefault="002C72B3" w:rsidP="00F44C65">
      <w:pPr>
        <w:pStyle w:val="Standardntext"/>
        <w:numPr>
          <w:ilvl w:val="1"/>
          <w:numId w:val="43"/>
        </w:numPr>
      </w:pPr>
      <w:r w:rsidRPr="00DD47DF">
        <w:t xml:space="preserve">Přednost by měly dostat projekty využívající energii z obnovitelných zdrojů. </w:t>
      </w:r>
    </w:p>
    <w:p w14:paraId="7BD8D649" w14:textId="77777777" w:rsidR="002C72B3" w:rsidRPr="00DD47DF" w:rsidRDefault="002C72B3" w:rsidP="00F44C65">
      <w:pPr>
        <w:pStyle w:val="Standardntext"/>
        <w:numPr>
          <w:ilvl w:val="1"/>
          <w:numId w:val="43"/>
        </w:numPr>
      </w:pPr>
      <w:r w:rsidRPr="00DD47DF">
        <w:t xml:space="preserve">Projekty by měly prokázat, že byly realizovány investice do zvýšení energetické účinnosti a snížení energetické náročnosti budov, jimž tato zařízení slouží, a tím bylo zajištěno, že investice se zakládají na poptávce po užitečném teple. </w:t>
      </w:r>
    </w:p>
    <w:p w14:paraId="48A1A55B" w14:textId="77777777" w:rsidR="002C72B3" w:rsidRPr="00DD47DF" w:rsidRDefault="002C72B3" w:rsidP="00F44C65">
      <w:pPr>
        <w:pStyle w:val="Standardntext"/>
        <w:numPr>
          <w:ilvl w:val="1"/>
          <w:numId w:val="43"/>
        </w:numPr>
      </w:pPr>
      <w:r w:rsidRPr="00DD47DF">
        <w:t>Všechny investice musí být v souladu s normami a právními předpisy EU v oblasti životního prostředí.</w:t>
      </w:r>
    </w:p>
    <w:p w14:paraId="7C517131" w14:textId="77777777" w:rsidR="002C72B3" w:rsidRPr="00DD47DF" w:rsidRDefault="002C72B3" w:rsidP="00F44C65">
      <w:pPr>
        <w:pStyle w:val="Standardntext"/>
        <w:numPr>
          <w:ilvl w:val="1"/>
          <w:numId w:val="43"/>
        </w:numPr>
      </w:pPr>
      <w:r w:rsidRPr="00DD47DF">
        <w:t>Mělo by být podporováno využívání poskytovatelů energetických služeb a finančních nástrojů.</w:t>
      </w:r>
    </w:p>
    <w:p w14:paraId="5B705C89" w14:textId="77777777" w:rsidR="002C72B3" w:rsidRPr="00DD47DF" w:rsidRDefault="002C72B3" w:rsidP="002C72B3">
      <w:pPr>
        <w:pStyle w:val="Standardntext"/>
        <w:numPr>
          <w:ilvl w:val="0"/>
          <w:numId w:val="43"/>
        </w:numPr>
      </w:pPr>
      <w:r w:rsidRPr="00DD47DF">
        <w:t>Hlavní zásady týkající se investic do individuálních kotlů a mikrokogeneračních jednotek:</w:t>
      </w:r>
    </w:p>
    <w:p w14:paraId="009AD7CE" w14:textId="77777777" w:rsidR="00D3112E" w:rsidRPr="00DD47DF" w:rsidRDefault="002C72B3" w:rsidP="00F44C65">
      <w:pPr>
        <w:pStyle w:val="Standardntext"/>
        <w:numPr>
          <w:ilvl w:val="1"/>
          <w:numId w:val="43"/>
        </w:numPr>
      </w:pPr>
      <w:r w:rsidRPr="00DD47DF">
        <w:lastRenderedPageBreak/>
        <w:t>Investice by měly vést k významnému snížení emisí CO</w:t>
      </w:r>
      <w:r w:rsidRPr="00DD47DF">
        <w:rPr>
          <w:vertAlign w:val="subscript"/>
        </w:rPr>
        <w:t>2</w:t>
      </w:r>
      <w:r w:rsidRPr="00DD47DF">
        <w:t xml:space="preserve"> v porovnání se stávajícími zařízeními (v případě přechodu na jiná paliva minimálně o 30 %).</w:t>
      </w:r>
      <w:r w:rsidR="00D3112E" w:rsidRPr="00DD47DF">
        <w:t xml:space="preserve"> Tento požadavek na snížení emisí CO2 bude vztažen pouze k výrobě tepla odpovídající výrobě navrhované mikrokogenerace, tj. pouze části z celkové výroby tepla daného zdroje, přičemž předmětem hodnocení by mělo být porovnání globálních emisí odpovídajících oddělené výrobě elektřiny a tepla a navrhované výrobě kogenerační.</w:t>
      </w:r>
    </w:p>
    <w:p w14:paraId="4F5599C1" w14:textId="77777777" w:rsidR="002C72B3" w:rsidRPr="00DD47DF" w:rsidRDefault="002C72B3" w:rsidP="00D01FDB">
      <w:pPr>
        <w:pStyle w:val="Standardntext"/>
        <w:numPr>
          <w:ilvl w:val="1"/>
          <w:numId w:val="43"/>
        </w:numPr>
      </w:pPr>
      <w:r w:rsidRPr="00DD47DF">
        <w:t>Investice by měly vést k významnému snížení emisí CO</w:t>
      </w:r>
      <w:r w:rsidRPr="00DD47DF">
        <w:rPr>
          <w:vertAlign w:val="subscript"/>
        </w:rPr>
        <w:t>2</w:t>
      </w:r>
      <w:r w:rsidRPr="00DD47DF">
        <w:t xml:space="preserve"> v porovnání se stávajícími zařízeními (v případě přechodu na </w:t>
      </w:r>
      <w:r w:rsidR="00F44C65" w:rsidRPr="00DD47DF">
        <w:t xml:space="preserve">jiná paliva minimálně o 30 %). </w:t>
      </w:r>
      <w:r w:rsidRPr="00DD47DF">
        <w:t>U individuálních kotlů, pouze v případě přechodu na jiné palivo (například z tuhých fosilních paliv na zemní plyn), neměla by se však vztahovat na výměnu stávajících plynových kotlů s novými jednotkami (vysoce účinné kondenzační kotle).</w:t>
      </w:r>
      <w:r w:rsidR="00351AB8" w:rsidRPr="00DD47DF">
        <w:t xml:space="preserve"> </w:t>
      </w:r>
      <w:r w:rsidR="00D01FDB" w:rsidRPr="00DD47DF">
        <w:t>Investice mohou zahrnovat kotle na biomasu, nebo v řádně odůvodněných případech na plynná paliva, pokud tak dojde k významnému navýšení energetické účinnosti a potřeba je obzvláště naléhavá</w:t>
      </w:r>
      <w:r w:rsidR="00351AB8" w:rsidRPr="00DD47DF">
        <w:t>.</w:t>
      </w:r>
    </w:p>
    <w:p w14:paraId="21F8697E" w14:textId="77777777" w:rsidR="002C72B3" w:rsidRPr="00DD47DF" w:rsidRDefault="002C72B3" w:rsidP="00F44C65">
      <w:pPr>
        <w:pStyle w:val="Standardntext"/>
        <w:numPr>
          <w:ilvl w:val="1"/>
          <w:numId w:val="43"/>
        </w:numPr>
      </w:pPr>
      <w:r w:rsidRPr="00DD47DF">
        <w:t xml:space="preserve">Investice by měly být sociálně i ekonomicky udržitelné. </w:t>
      </w:r>
    </w:p>
    <w:p w14:paraId="51F3C6B0" w14:textId="77777777" w:rsidR="002C72B3" w:rsidRPr="00DD47DF" w:rsidRDefault="002C72B3" w:rsidP="00F44C65">
      <w:pPr>
        <w:pStyle w:val="Standardntext"/>
        <w:numPr>
          <w:ilvl w:val="1"/>
          <w:numId w:val="43"/>
        </w:numPr>
      </w:pPr>
      <w:r w:rsidRPr="00DD47DF">
        <w:t>Přednost by měly dostat projekty využívající energii z obnovitelných zdrojů.</w:t>
      </w:r>
    </w:p>
    <w:p w14:paraId="101A2575" w14:textId="77777777" w:rsidR="002C72B3" w:rsidRPr="00DD47DF" w:rsidRDefault="002C72B3" w:rsidP="00F44C65">
      <w:pPr>
        <w:pStyle w:val="Standardntext"/>
        <w:numPr>
          <w:ilvl w:val="1"/>
          <w:numId w:val="43"/>
        </w:numPr>
      </w:pPr>
      <w:r w:rsidRPr="00DD47DF">
        <w:t>Investice by měly být podmíněny zlepšením energetické účinnosti a snížením energetické náročnosti budov, pro které jsou tato zařízení určena.</w:t>
      </w:r>
    </w:p>
    <w:p w14:paraId="561BB2F9" w14:textId="77777777" w:rsidR="002C72B3" w:rsidRPr="00DD47DF" w:rsidRDefault="002C72B3" w:rsidP="00F44C65">
      <w:pPr>
        <w:pStyle w:val="Standardntext"/>
        <w:numPr>
          <w:ilvl w:val="1"/>
          <w:numId w:val="43"/>
        </w:numPr>
      </w:pPr>
      <w:r w:rsidRPr="00DD47DF">
        <w:t>Všechny investice musí být v souladu s normami a právními předpisy EU v oblasti životního prostředí.</w:t>
      </w:r>
    </w:p>
    <w:p w14:paraId="7FADE081" w14:textId="77777777" w:rsidR="00D3112E" w:rsidRPr="00DD47DF" w:rsidRDefault="002C72B3" w:rsidP="00F44C65">
      <w:pPr>
        <w:pStyle w:val="Standardntext"/>
        <w:numPr>
          <w:ilvl w:val="1"/>
          <w:numId w:val="43"/>
        </w:numPr>
      </w:pPr>
      <w:r w:rsidRPr="00DD47DF">
        <w:t>Mělo být podporováno využívání poskytovatelů energetických služeb a finančních nástrojů.</w:t>
      </w:r>
    </w:p>
    <w:p w14:paraId="4C8AC433" w14:textId="70E09F82" w:rsidR="00832CB9" w:rsidRPr="00DD47DF" w:rsidRDefault="002B6D7C" w:rsidP="002B6D7C">
      <w:pPr>
        <w:pStyle w:val="Standardntext"/>
        <w:numPr>
          <w:ilvl w:val="0"/>
          <w:numId w:val="43"/>
        </w:numPr>
      </w:pPr>
      <w:r w:rsidRPr="002B6D7C">
        <w:rPr>
          <w:lang w:eastAsia="x-none"/>
        </w:rPr>
        <w:t>V případě podpory formou finančních nástrojů bude výběr operací a příjemců proveden ŘO podle výběrových kritérií schválených MV OP PIK, v souladu s výsledky předběžného posouzení FN. Výběr konečných příjemců bude provádět správce finančního nástroje.</w:t>
      </w:r>
    </w:p>
    <w:p w14:paraId="0295C4CE" w14:textId="77777777" w:rsidR="00516E97" w:rsidRPr="00DD47DF" w:rsidRDefault="00516E97"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46ABB202" w14:textId="77777777" w:rsidR="0058402E" w:rsidRPr="00DD47DF" w:rsidRDefault="00BA6461" w:rsidP="005F43DF">
      <w:pPr>
        <w:pStyle w:val="Nadpis5"/>
        <w:numPr>
          <w:ilvl w:val="4"/>
          <w:numId w:val="21"/>
        </w:numPr>
        <w:rPr>
          <w:rFonts w:cs="Calibri"/>
        </w:rPr>
      </w:pPr>
      <w:r w:rsidRPr="00DD47DF">
        <w:t xml:space="preserve">Plánované využití finančních nástrojů </w:t>
      </w:r>
    </w:p>
    <w:p w14:paraId="43D8BFC9" w14:textId="71FFAD00" w:rsidR="0058402E" w:rsidRPr="00DD47DF" w:rsidRDefault="001049C5" w:rsidP="002A4D1D">
      <w:pPr>
        <w:pStyle w:val="Standardntext"/>
      </w:pPr>
      <w:r w:rsidRPr="00DD47DF">
        <w:t>Při provádění této investiční priority budou koneční příjemci podpořeni finančními nástroji. Detaily stanoví Řídící orgán OP PIK na základě předběžného posouzení finančních nástrojů OP PIK dle čl. 37 odst. 2 obecného nařízení, případně jeho revize podle čl. 37 odst. 2 písm. g) obecného nařízení. Předběžné posouzení finančních nástrojů musí být dokončeno dříve, než řídicí orgán rozhodne, že finanční nástroj obdrží příspěvek z programu.</w:t>
      </w:r>
      <w:r w:rsidR="00E41317">
        <w:t xml:space="preserve"> </w:t>
      </w:r>
      <w:r w:rsidR="00E41317" w:rsidRPr="00E41317">
        <w:t xml:space="preserve">Příjemce v oblasti finančních nástrojů je povinen postupovat v souladu se schválenou investiční strategií finančního nástroje nebo fondu fondů připravené na základě předběžného posouzení finančních nástrojů, přičemž typy, příklady opatření a aktivity uvedené v části 2.A.6.1 mohou být v investiční strategii upraveny v souladu s běžnou tržní praxí a tedy přizpůsobeny specifickým </w:t>
      </w:r>
      <w:r w:rsidR="00E41317" w:rsidRPr="00E41317">
        <w:lastRenderedPageBreak/>
        <w:t>podmínkám finančních nástrojů. Oddíl 2.A.6.2 Hlavní zásady pro výběr operací se vztahuje pouze k podpoře ve formě dotací, nikoliv pro FN. V případě finančních nástrojů kritéria pro výběr operací schvaluje Monitorovací výbor OP PIK.</w:t>
      </w:r>
      <w:r w:rsidR="004246D0">
        <w:t xml:space="preserve"> </w:t>
      </w:r>
      <w:r w:rsidR="004246D0" w:rsidRPr="004246D0">
        <w:rPr>
          <w:lang w:eastAsia="x-none"/>
        </w:rPr>
        <w:t>V případě finančního nástroje, který zahrne financování Energy Performance Contracting (EPC), lze zpřístupnit financování na projekty firem energetických služeb (Energy Service Companies, ESCO) pro podniky a veřejný sektor</w:t>
      </w:r>
      <w:r w:rsidR="00E4315E">
        <w:rPr>
          <w:lang w:eastAsia="x-none"/>
        </w:rPr>
        <w:t xml:space="preserve"> </w:t>
      </w:r>
      <w:r w:rsidR="00E4315E" w:rsidRPr="00E4315E">
        <w:rPr>
          <w:lang w:eastAsia="x-none"/>
        </w:rPr>
        <w:t>(vyjma projektů podpořených z Operačního programu Životní prostředí)</w:t>
      </w:r>
      <w:r w:rsidR="004246D0" w:rsidRPr="004246D0">
        <w:rPr>
          <w:lang w:eastAsia="x-none"/>
        </w:rPr>
        <w:t>.</w:t>
      </w:r>
    </w:p>
    <w:p w14:paraId="6D425051" w14:textId="77777777" w:rsidR="0058402E" w:rsidRPr="00DD47DF" w:rsidRDefault="00BA6461" w:rsidP="005F43DF">
      <w:pPr>
        <w:pStyle w:val="Nadpis5"/>
        <w:numPr>
          <w:ilvl w:val="4"/>
          <w:numId w:val="21"/>
        </w:numPr>
      </w:pPr>
      <w:r w:rsidRPr="00DD47DF">
        <w:t>Plánované využití velkých projektů (použije-li se)</w:t>
      </w:r>
    </w:p>
    <w:p w14:paraId="24102C83"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1B886573" w14:textId="77777777" w:rsidR="0058402E" w:rsidRPr="00DD47DF" w:rsidRDefault="00BA6461" w:rsidP="005F43DF">
      <w:pPr>
        <w:pStyle w:val="Nadpis5"/>
        <w:numPr>
          <w:ilvl w:val="4"/>
          <w:numId w:val="21"/>
        </w:numPr>
      </w:pPr>
      <w:r w:rsidRPr="00DD47DF">
        <w:t>Ukazatele výstupů podle investiční priority a případně podle kategorie regionů</w:t>
      </w:r>
    </w:p>
    <w:p w14:paraId="5AA8A7AB" w14:textId="77777777" w:rsidR="0058402E" w:rsidRPr="00DD47DF" w:rsidRDefault="0058402E" w:rsidP="00AA66A2">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60"/>
        <w:gridCol w:w="2276"/>
        <w:gridCol w:w="1333"/>
        <w:gridCol w:w="665"/>
        <w:gridCol w:w="1212"/>
        <w:gridCol w:w="1165"/>
        <w:gridCol w:w="1036"/>
        <w:gridCol w:w="1179"/>
      </w:tblGrid>
      <w:tr w:rsidR="001B2E5C" w:rsidRPr="00DD47DF" w14:paraId="448C8263" w14:textId="77777777" w:rsidTr="00081C97">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335427C" w14:textId="77777777" w:rsidR="001B2E5C" w:rsidRPr="00DD47DF" w:rsidRDefault="001B2E5C" w:rsidP="00AA66A2">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D445015" w14:textId="77777777" w:rsidR="001B2E5C" w:rsidRPr="00DD47DF" w:rsidRDefault="001B2E5C" w:rsidP="00AA66A2">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0C128F2" w14:textId="77777777" w:rsidR="001B2E5C" w:rsidRPr="00DD47DF" w:rsidRDefault="001B2E5C" w:rsidP="00AA66A2">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D4C945F" w14:textId="77777777" w:rsidR="001B2E5C" w:rsidRPr="00DD47DF" w:rsidRDefault="001B2E5C" w:rsidP="00AA66A2">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DE4CCCB" w14:textId="77777777" w:rsidR="001B2E5C" w:rsidRPr="00DD47DF" w:rsidRDefault="001B2E5C" w:rsidP="00AA66A2">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D9137C7" w14:textId="77777777" w:rsidR="001B2E5C" w:rsidRPr="00DD47DF" w:rsidRDefault="001B2E5C" w:rsidP="009F18F5">
            <w:pPr>
              <w:pStyle w:val="Tabulka"/>
              <w:keepNext/>
              <w:keepLines/>
              <w:rPr>
                <w:rFonts w:cs="Calibri"/>
                <w:b/>
              </w:rPr>
            </w:pPr>
            <w:r w:rsidRPr="00DD47DF">
              <w:rPr>
                <w:rFonts w:cs="Calibri"/>
                <w:b/>
              </w:rPr>
              <w:t>Cílová hodnota</w:t>
            </w:r>
            <w:r w:rsidR="009F18F5"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7159153" w14:textId="77777777" w:rsidR="001B2E5C" w:rsidRPr="00DD47DF" w:rsidRDefault="001B2E5C" w:rsidP="00AA66A2">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1751AA8" w14:textId="77777777" w:rsidR="001B2E5C" w:rsidRPr="00DD47DF" w:rsidRDefault="001B2E5C" w:rsidP="00AA66A2">
            <w:pPr>
              <w:pStyle w:val="Tabulka"/>
              <w:keepNext/>
              <w:keepLines/>
              <w:rPr>
                <w:rFonts w:cs="Calibri"/>
                <w:b/>
              </w:rPr>
            </w:pPr>
            <w:r w:rsidRPr="00DD47DF">
              <w:rPr>
                <w:rFonts w:cs="Calibri"/>
                <w:b/>
              </w:rPr>
              <w:t>Četnost podávání zpráv</w:t>
            </w:r>
          </w:p>
        </w:tc>
      </w:tr>
      <w:tr w:rsidR="00826B6B" w:rsidRPr="00DD47DF" w14:paraId="585931F0"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72E442" w14:textId="59B3FE6C" w:rsidR="00826B6B" w:rsidRPr="00DD47DF" w:rsidRDefault="00C75691" w:rsidP="00AA66A2">
            <w:pPr>
              <w:pStyle w:val="Tabulka"/>
              <w:keepNext/>
              <w:keepLines/>
              <w:rPr>
                <w:rFonts w:cs="Calibri"/>
              </w:rPr>
            </w:pPr>
            <w:r w:rsidRPr="00DD47DF">
              <w:rPr>
                <w:rFonts w:cs="Calibri"/>
              </w:rPr>
              <w:t xml:space="preserve">CO </w:t>
            </w:r>
            <w:r w:rsidR="00081C97" w:rsidRPr="00DD47DF">
              <w:rPr>
                <w:rFonts w:cs="Calibri"/>
              </w:rPr>
              <w:t>0</w:t>
            </w:r>
            <w:r w:rsidR="00826B6B"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1BAB9F15" w14:textId="77777777" w:rsidR="00826B6B" w:rsidRPr="00DD47DF" w:rsidRDefault="007D6298" w:rsidP="00AA66A2">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220299B6" w14:textId="77777777" w:rsidR="00826B6B" w:rsidRPr="00DD47DF" w:rsidRDefault="00826B6B" w:rsidP="00AA66A2">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8CF8D9E" w14:textId="77777777" w:rsidR="00826B6B" w:rsidRPr="00DD47DF" w:rsidRDefault="002B3F69" w:rsidP="00AA66A2">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D78D093" w14:textId="77777777" w:rsidR="00826B6B" w:rsidRPr="00DD47DF" w:rsidRDefault="00826B6B" w:rsidP="00AA66A2">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EE659A4" w14:textId="3F869025" w:rsidR="00826B6B" w:rsidRPr="00DD47DF" w:rsidRDefault="0008116F" w:rsidP="00642438">
            <w:pPr>
              <w:pStyle w:val="Tabulka"/>
              <w:keepNext/>
              <w:keepLines/>
              <w:rPr>
                <w:rFonts w:cs="Calibri"/>
              </w:rPr>
            </w:pPr>
            <w:r w:rsidRPr="00343373">
              <w:rPr>
                <w:rFonts w:cs="Calibri"/>
              </w:rPr>
              <w:t xml:space="preserve">2 </w:t>
            </w:r>
            <w:r w:rsidR="00642438">
              <w:rPr>
                <w:rFonts w:cs="Calibri"/>
              </w:rPr>
              <w:t>343</w:t>
            </w:r>
          </w:p>
        </w:tc>
        <w:tc>
          <w:tcPr>
            <w:tcW w:w="0" w:type="auto"/>
            <w:tcBorders>
              <w:top w:val="single" w:sz="4" w:space="0" w:color="000000"/>
              <w:left w:val="single" w:sz="4" w:space="0" w:color="000000"/>
              <w:bottom w:val="single" w:sz="4" w:space="0" w:color="000000"/>
              <w:right w:val="single" w:sz="4" w:space="0" w:color="000000"/>
            </w:tcBorders>
            <w:vAlign w:val="center"/>
          </w:tcPr>
          <w:p w14:paraId="3609B1EF" w14:textId="77777777" w:rsidR="00826B6B" w:rsidRPr="00DD47DF" w:rsidRDefault="00FC7054" w:rsidP="00AA66A2">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2CFBF0FF" w14:textId="77777777" w:rsidR="00826B6B" w:rsidRPr="00DD47DF" w:rsidRDefault="00FC7054" w:rsidP="00AA66A2">
            <w:pPr>
              <w:pStyle w:val="Tabulka"/>
              <w:keepNext/>
              <w:keepLines/>
              <w:rPr>
                <w:rFonts w:cs="Calibri"/>
              </w:rPr>
            </w:pPr>
            <w:r>
              <w:rPr>
                <w:rFonts w:cs="Calibri"/>
              </w:rPr>
              <w:t>průběžně</w:t>
            </w:r>
          </w:p>
        </w:tc>
      </w:tr>
      <w:tr w:rsidR="00826B6B" w:rsidRPr="00DD47DF" w14:paraId="693D0C2B"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0DDB314" w14:textId="693455AA"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042BFFE1" w14:textId="77777777" w:rsidR="00826B6B" w:rsidRPr="00DD47DF" w:rsidRDefault="00826B6B" w:rsidP="00E2570C">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70406B9" w14:textId="77777777" w:rsidR="00826B6B" w:rsidRPr="00DD47DF" w:rsidRDefault="00826B6B" w:rsidP="00E2570C">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082B295"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109F3FF"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5E22666" w14:textId="5FCBD35B" w:rsidR="00826B6B" w:rsidRPr="00DD47DF" w:rsidRDefault="00C34737" w:rsidP="002F2D15">
            <w:pPr>
              <w:pStyle w:val="Tabulka"/>
              <w:rPr>
                <w:rFonts w:cs="Calibri"/>
              </w:rPr>
            </w:pPr>
            <w:r w:rsidRPr="000B4558">
              <w:rPr>
                <w:rFonts w:cs="Calibri"/>
              </w:rPr>
              <w:t>2 279</w:t>
            </w:r>
          </w:p>
        </w:tc>
        <w:tc>
          <w:tcPr>
            <w:tcW w:w="0" w:type="auto"/>
            <w:tcBorders>
              <w:top w:val="single" w:sz="4" w:space="0" w:color="000000"/>
              <w:left w:val="single" w:sz="4" w:space="0" w:color="000000"/>
              <w:bottom w:val="single" w:sz="4" w:space="0" w:color="000000"/>
              <w:right w:val="single" w:sz="4" w:space="0" w:color="000000"/>
            </w:tcBorders>
            <w:vAlign w:val="center"/>
          </w:tcPr>
          <w:p w14:paraId="0FE7E9B4" w14:textId="77777777" w:rsidR="00826B6B" w:rsidRPr="00DD47DF" w:rsidRDefault="00FC7054" w:rsidP="00826B6B">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EFD5F47" w14:textId="77777777" w:rsidR="00826B6B" w:rsidRPr="00DD47DF" w:rsidRDefault="00FC7054" w:rsidP="00826B6B">
            <w:pPr>
              <w:pStyle w:val="Tabulka"/>
              <w:rPr>
                <w:rFonts w:cs="Calibri"/>
              </w:rPr>
            </w:pPr>
            <w:r>
              <w:rPr>
                <w:rFonts w:cs="Calibri"/>
              </w:rPr>
              <w:t>průběžně</w:t>
            </w:r>
          </w:p>
        </w:tc>
      </w:tr>
      <w:tr w:rsidR="00826B6B" w:rsidRPr="00DD47DF" w14:paraId="7EC35ACD"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608C49B" w14:textId="17C75232"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3</w:t>
            </w:r>
          </w:p>
        </w:tc>
        <w:tc>
          <w:tcPr>
            <w:tcW w:w="0" w:type="auto"/>
            <w:tcBorders>
              <w:top w:val="single" w:sz="4" w:space="0" w:color="000000"/>
              <w:left w:val="single" w:sz="4" w:space="0" w:color="000000"/>
              <w:bottom w:val="single" w:sz="4" w:space="0" w:color="000000"/>
              <w:right w:val="single" w:sz="4" w:space="0" w:color="000000"/>
            </w:tcBorders>
            <w:vAlign w:val="center"/>
          </w:tcPr>
          <w:p w14:paraId="796B593A" w14:textId="77777777" w:rsidR="00826B6B" w:rsidRPr="00DD47DF" w:rsidRDefault="00EA2DBD" w:rsidP="00E2570C">
            <w:pPr>
              <w:pStyle w:val="Tabulka"/>
              <w:jc w:val="left"/>
              <w:rPr>
                <w:rFonts w:cs="Calibri"/>
              </w:rPr>
            </w:pPr>
            <w:r w:rsidRPr="00DD47DF">
              <w:rPr>
                <w:rFonts w:cs="Calibri"/>
              </w:rPr>
              <w:t>Počet podniků p</w:t>
            </w:r>
            <w:r w:rsidR="00E15FFB">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64B0DFE" w14:textId="77777777" w:rsidR="00826B6B" w:rsidRPr="00DD47DF" w:rsidRDefault="00826B6B" w:rsidP="00E2570C">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8648FEF"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4F28251"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67E23A2" w14:textId="29782D44" w:rsidR="00826B6B" w:rsidRPr="00DD47DF" w:rsidRDefault="00C34737" w:rsidP="007963A4">
            <w:pPr>
              <w:pStyle w:val="Tabulka"/>
              <w:rPr>
                <w:rFonts w:cs="Calibri"/>
              </w:rPr>
            </w:pPr>
            <w:r>
              <w:rPr>
                <w:rFonts w:cs="Calibri"/>
              </w:rPr>
              <w:t>64</w:t>
            </w:r>
          </w:p>
        </w:tc>
        <w:tc>
          <w:tcPr>
            <w:tcW w:w="0" w:type="auto"/>
            <w:tcBorders>
              <w:top w:val="single" w:sz="4" w:space="0" w:color="000000"/>
              <w:left w:val="single" w:sz="4" w:space="0" w:color="000000"/>
              <w:bottom w:val="single" w:sz="4" w:space="0" w:color="000000"/>
              <w:right w:val="single" w:sz="4" w:space="0" w:color="000000"/>
            </w:tcBorders>
            <w:vAlign w:val="center"/>
          </w:tcPr>
          <w:p w14:paraId="4029DF42" w14:textId="77777777" w:rsidR="00826B6B" w:rsidRPr="00DD47DF" w:rsidRDefault="00392BCA" w:rsidP="00826B6B">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166C5EA" w14:textId="77777777" w:rsidR="00826B6B" w:rsidRPr="00DD47DF" w:rsidRDefault="00392BCA" w:rsidP="00826B6B">
            <w:pPr>
              <w:pStyle w:val="Tabulka"/>
              <w:rPr>
                <w:rFonts w:cs="Calibri"/>
              </w:rPr>
            </w:pPr>
            <w:r>
              <w:rPr>
                <w:rFonts w:cs="Calibri"/>
              </w:rPr>
              <w:t>průběžně</w:t>
            </w:r>
          </w:p>
        </w:tc>
      </w:tr>
      <w:tr w:rsidR="00826B6B" w:rsidRPr="00DD47DF" w14:paraId="309A14E7"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77F5E8A" w14:textId="54A9102B"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5C5A958B" w14:textId="77777777" w:rsidR="00826B6B" w:rsidRPr="00DD47DF" w:rsidRDefault="00892451" w:rsidP="00E2570C">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A27E54B" w14:textId="77777777" w:rsidR="00826B6B" w:rsidRPr="00DD47DF" w:rsidRDefault="00826B6B" w:rsidP="00E2570C">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07942206"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8EA075C"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252943B1" w14:textId="026D5011" w:rsidR="00826B6B" w:rsidRPr="00DD47DF" w:rsidRDefault="00C34737" w:rsidP="002F2D15">
            <w:pPr>
              <w:pStyle w:val="Tabulka"/>
              <w:rPr>
                <w:rFonts w:cs="Calibri"/>
              </w:rPr>
            </w:pPr>
            <w:r w:rsidRPr="00A066B1">
              <w:rPr>
                <w:rFonts w:cs="Calibri"/>
              </w:rPr>
              <w:t>1 184 000 000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3B16AD06" w14:textId="77777777" w:rsidR="00826B6B" w:rsidRPr="00DD47DF" w:rsidRDefault="00800418" w:rsidP="00826B6B">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FF8A335" w14:textId="77777777" w:rsidR="00826B6B" w:rsidRPr="00DD47DF" w:rsidRDefault="00934A97" w:rsidP="00826B6B">
            <w:pPr>
              <w:pStyle w:val="Tabulka"/>
              <w:rPr>
                <w:rFonts w:cs="Calibri"/>
              </w:rPr>
            </w:pPr>
            <w:r>
              <w:rPr>
                <w:rFonts w:cs="Calibri"/>
              </w:rPr>
              <w:t>průběžně</w:t>
            </w:r>
          </w:p>
        </w:tc>
      </w:tr>
      <w:tr w:rsidR="00826B6B" w:rsidRPr="00DD47DF" w14:paraId="38452025"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20A415" w14:textId="74DE30D0" w:rsidR="00826B6B" w:rsidRPr="00DD47DF" w:rsidRDefault="00C75691" w:rsidP="00E2570C">
            <w:pPr>
              <w:pStyle w:val="Tabulka"/>
              <w:rPr>
                <w:rFonts w:cs="Calibri"/>
              </w:rPr>
            </w:pPr>
            <w:r w:rsidRPr="00DD47DF">
              <w:rPr>
                <w:rFonts w:cs="Calibri"/>
              </w:rPr>
              <w:t xml:space="preserve">CO </w:t>
            </w:r>
            <w:r w:rsidR="00081C97" w:rsidRPr="00DD47DF">
              <w:rPr>
                <w:rFonts w:cs="Calibri"/>
              </w:rPr>
              <w:t>0</w:t>
            </w:r>
            <w:r w:rsidR="00826B6B" w:rsidRPr="00DD47DF">
              <w:rPr>
                <w:rFonts w:cs="Calibri"/>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59437C04" w14:textId="77777777" w:rsidR="00826B6B" w:rsidRPr="00DD47DF" w:rsidRDefault="006D0B6D" w:rsidP="00E2570C">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CF97CBF" w14:textId="77777777" w:rsidR="00826B6B" w:rsidRPr="00DD47DF" w:rsidRDefault="00826B6B" w:rsidP="00E2570C">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5A337650" w14:textId="77777777" w:rsidR="00826B6B" w:rsidRPr="00DD47DF" w:rsidRDefault="002B3F69" w:rsidP="00E2570C">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34ECD7B" w14:textId="77777777" w:rsidR="00826B6B" w:rsidRPr="00DD47DF" w:rsidRDefault="00826B6B" w:rsidP="00E2570C">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12DA92D" w14:textId="36A53ECB" w:rsidR="00826B6B" w:rsidRPr="00DD47DF" w:rsidRDefault="00C34737" w:rsidP="007963A4">
            <w:pPr>
              <w:pStyle w:val="Tabulka"/>
              <w:rPr>
                <w:rFonts w:cs="Calibri"/>
              </w:rPr>
            </w:pPr>
            <w:r w:rsidRPr="007D3FE2">
              <w:rPr>
                <w:rFonts w:cs="Calibri"/>
              </w:rPr>
              <w:t>18 000 000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4FBFCD62" w14:textId="77777777" w:rsidR="00826B6B" w:rsidRPr="00DD47DF" w:rsidRDefault="00392BCA" w:rsidP="00826B6B">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C37159F" w14:textId="77777777" w:rsidR="00826B6B" w:rsidRPr="00DD47DF" w:rsidRDefault="00392BCA" w:rsidP="00826B6B">
            <w:pPr>
              <w:pStyle w:val="Tabulka"/>
              <w:rPr>
                <w:rFonts w:cs="Calibri"/>
              </w:rPr>
            </w:pPr>
            <w:r>
              <w:rPr>
                <w:rFonts w:cs="Calibri"/>
              </w:rPr>
              <w:t>průběžně</w:t>
            </w:r>
          </w:p>
        </w:tc>
      </w:tr>
      <w:tr w:rsidR="00C75F8E" w:rsidRPr="00DD47DF" w14:paraId="167EF897"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0E4B2FC" w14:textId="0FB7E740" w:rsidR="00C75F8E" w:rsidRPr="00C75F8E" w:rsidRDefault="00C75F8E" w:rsidP="00C75F8E">
            <w:pPr>
              <w:pStyle w:val="Tabulka"/>
              <w:rPr>
                <w:rFonts w:cs="Calibri"/>
              </w:rPr>
            </w:pPr>
            <w:r w:rsidRPr="00C75F8E">
              <w:rPr>
                <w:rFonts w:cs="Calibri"/>
              </w:rPr>
              <w:t>CO 30</w:t>
            </w:r>
          </w:p>
        </w:tc>
        <w:tc>
          <w:tcPr>
            <w:tcW w:w="0" w:type="auto"/>
            <w:tcBorders>
              <w:top w:val="single" w:sz="4" w:space="0" w:color="000000"/>
              <w:left w:val="single" w:sz="4" w:space="0" w:color="000000"/>
              <w:bottom w:val="single" w:sz="4" w:space="0" w:color="000000"/>
              <w:right w:val="single" w:sz="4" w:space="0" w:color="000000"/>
            </w:tcBorders>
            <w:vAlign w:val="center"/>
          </w:tcPr>
          <w:p w14:paraId="30B31A81" w14:textId="1D2F38A7" w:rsidR="00C75F8E" w:rsidRPr="00C75F8E" w:rsidRDefault="00C75F8E" w:rsidP="00C75F8E">
            <w:pPr>
              <w:pStyle w:val="Tabulka"/>
              <w:jc w:val="left"/>
              <w:rPr>
                <w:rFonts w:cs="Calibri"/>
              </w:rPr>
            </w:pPr>
            <w:r w:rsidRPr="00C75F8E">
              <w:rPr>
                <w:rFonts w:cs="Calibri"/>
              </w:rPr>
              <w:t>Nová kapacita zařízení pro výrobu energie z obnovitelných zdrojů</w:t>
            </w:r>
          </w:p>
        </w:tc>
        <w:tc>
          <w:tcPr>
            <w:tcW w:w="0" w:type="auto"/>
            <w:tcBorders>
              <w:top w:val="single" w:sz="4" w:space="0" w:color="000000"/>
              <w:left w:val="single" w:sz="4" w:space="0" w:color="000000"/>
              <w:bottom w:val="single" w:sz="4" w:space="0" w:color="000000"/>
              <w:right w:val="single" w:sz="4" w:space="0" w:color="000000"/>
            </w:tcBorders>
            <w:vAlign w:val="center"/>
          </w:tcPr>
          <w:p w14:paraId="620CA01A" w14:textId="379D0D33" w:rsidR="00C75F8E" w:rsidRPr="00C75F8E" w:rsidRDefault="00C75F8E" w:rsidP="00C75F8E">
            <w:pPr>
              <w:pStyle w:val="Tabulka"/>
              <w:rPr>
                <w:rFonts w:cs="Calibri"/>
              </w:rPr>
            </w:pPr>
            <w:r w:rsidRPr="00C75F8E">
              <w:rPr>
                <w:rFonts w:cs="Calibri"/>
              </w:rPr>
              <w:t>MW</w:t>
            </w:r>
          </w:p>
        </w:tc>
        <w:tc>
          <w:tcPr>
            <w:tcW w:w="0" w:type="auto"/>
            <w:tcBorders>
              <w:top w:val="single" w:sz="4" w:space="0" w:color="000000"/>
              <w:left w:val="single" w:sz="4" w:space="0" w:color="000000"/>
              <w:bottom w:val="single" w:sz="4" w:space="0" w:color="000000"/>
              <w:right w:val="single" w:sz="4" w:space="0" w:color="000000"/>
            </w:tcBorders>
            <w:vAlign w:val="center"/>
          </w:tcPr>
          <w:p w14:paraId="1966EC1A" w14:textId="1F102FA7" w:rsidR="00C75F8E" w:rsidRPr="00C75F8E" w:rsidRDefault="00C75F8E" w:rsidP="00C75F8E">
            <w:pPr>
              <w:pStyle w:val="Tabulka"/>
              <w:rPr>
                <w:rFonts w:cs="Calibri"/>
              </w:rPr>
            </w:pPr>
            <w:r w:rsidRPr="00C75F8E">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C7C4F14" w14:textId="4B00D024" w:rsidR="00C75F8E" w:rsidRPr="00C75F8E" w:rsidRDefault="00C75F8E" w:rsidP="00C75F8E">
            <w:pPr>
              <w:pStyle w:val="Tabulka"/>
              <w:rPr>
                <w:rFonts w:cs="Calibri"/>
              </w:rPr>
            </w:pPr>
            <w:r w:rsidRPr="00C75F8E">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7F27D7E" w14:textId="799F13BE" w:rsidR="00C75F8E" w:rsidRPr="00C75F8E" w:rsidRDefault="00EC6E73" w:rsidP="00C75F8E">
            <w:pPr>
              <w:pStyle w:val="Tabulka"/>
              <w:rPr>
                <w:rFonts w:cs="Calibri"/>
              </w:rPr>
            </w:pPr>
            <w:r>
              <w:rPr>
                <w:rFonts w:cs="Calibri"/>
              </w:rPr>
              <w:t>90</w:t>
            </w:r>
          </w:p>
        </w:tc>
        <w:tc>
          <w:tcPr>
            <w:tcW w:w="0" w:type="auto"/>
            <w:tcBorders>
              <w:top w:val="single" w:sz="4" w:space="0" w:color="000000"/>
              <w:left w:val="single" w:sz="4" w:space="0" w:color="000000"/>
              <w:bottom w:val="single" w:sz="4" w:space="0" w:color="000000"/>
              <w:right w:val="single" w:sz="4" w:space="0" w:color="000000"/>
            </w:tcBorders>
            <w:vAlign w:val="center"/>
          </w:tcPr>
          <w:p w14:paraId="5CC532B3" w14:textId="53857B8D" w:rsidR="00C75F8E" w:rsidRPr="00C75F8E" w:rsidRDefault="00C75F8E" w:rsidP="00C75F8E">
            <w:pPr>
              <w:pStyle w:val="Tabulka"/>
              <w:rPr>
                <w:rFonts w:cs="Calibri"/>
              </w:rPr>
            </w:pPr>
            <w:r w:rsidRPr="00C75F8E">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1436D466" w14:textId="42E1AD82" w:rsidR="00C75F8E" w:rsidRPr="00C75F8E" w:rsidRDefault="00C75F8E" w:rsidP="00C75F8E">
            <w:pPr>
              <w:pStyle w:val="Tabulka"/>
              <w:rPr>
                <w:rFonts w:cs="Calibri"/>
              </w:rPr>
            </w:pPr>
            <w:r w:rsidRPr="00C75F8E">
              <w:rPr>
                <w:rFonts w:cs="Calibri"/>
              </w:rPr>
              <w:t>průběžně</w:t>
            </w:r>
          </w:p>
        </w:tc>
      </w:tr>
      <w:tr w:rsidR="00C75F8E" w:rsidRPr="00DD47DF" w14:paraId="3796C865" w14:textId="77777777"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00E85D3A" w14:textId="66CA3389" w:rsidR="00C75F8E" w:rsidRPr="00C75F8E" w:rsidRDefault="00C75F8E" w:rsidP="00C75F8E">
            <w:pPr>
              <w:pStyle w:val="Tabulka"/>
              <w:rPr>
                <w:rFonts w:cs="Calibri"/>
              </w:rPr>
            </w:pPr>
            <w:r w:rsidRPr="00C75F8E">
              <w:rPr>
                <w:rFonts w:cs="Calibri"/>
              </w:rPr>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6D4D3A35" w14:textId="7627EA67" w:rsidR="00C75F8E" w:rsidRPr="00C75F8E" w:rsidRDefault="00C75F8E" w:rsidP="00C75F8E">
            <w:pPr>
              <w:pStyle w:val="Tabulka"/>
              <w:jc w:val="left"/>
              <w:rPr>
                <w:rFonts w:cs="Calibri"/>
              </w:rPr>
            </w:pPr>
            <w:r w:rsidRPr="00C75F8E">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46BEEFAD" w14:textId="7458773D" w:rsidR="00C75F8E" w:rsidRPr="00C75F8E" w:rsidRDefault="00C75F8E" w:rsidP="00C75F8E">
            <w:pPr>
              <w:pStyle w:val="Tabulka"/>
              <w:rPr>
                <w:rFonts w:cs="Calibri"/>
              </w:rPr>
            </w:pPr>
            <w:r w:rsidRPr="00C75F8E">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25FD9EEF" w14:textId="00E348E3" w:rsidR="00C75F8E" w:rsidRPr="00C75F8E" w:rsidRDefault="00C75F8E" w:rsidP="00C75F8E">
            <w:pPr>
              <w:pStyle w:val="Tabulka"/>
              <w:rPr>
                <w:rFonts w:cs="Calibri"/>
              </w:rPr>
            </w:pPr>
            <w:r w:rsidRPr="00C75F8E">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DC6FD8F" w14:textId="2A6FEB55" w:rsidR="00C75F8E" w:rsidRPr="00C75F8E" w:rsidRDefault="00C75F8E" w:rsidP="00C75F8E">
            <w:pPr>
              <w:pStyle w:val="Tabulka"/>
              <w:rPr>
                <w:rFonts w:cs="Calibri"/>
              </w:rPr>
            </w:pPr>
            <w:r w:rsidRPr="00C75F8E">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25FA1C69" w14:textId="66C56B9D" w:rsidR="00C75F8E" w:rsidRPr="00C75F8E" w:rsidRDefault="00EC6E73" w:rsidP="00C75F8E">
            <w:pPr>
              <w:pStyle w:val="Tabulka"/>
              <w:rPr>
                <w:rFonts w:cs="Calibri"/>
              </w:rPr>
            </w:pPr>
            <w:r>
              <w:rPr>
                <w:rFonts w:cs="Calibri"/>
              </w:rPr>
              <w:t>90</w:t>
            </w:r>
            <w:r w:rsidRPr="00C75F8E">
              <w:rPr>
                <w:rFonts w:cs="Calibri"/>
              </w:rPr>
              <w:t xml:space="preserve"> </w:t>
            </w:r>
            <w:r w:rsidR="00C75F8E" w:rsidRPr="00C75F8E">
              <w:rPr>
                <w:rFonts w:cs="Calibri"/>
              </w:rPr>
              <w:t>000</w:t>
            </w:r>
          </w:p>
        </w:tc>
        <w:tc>
          <w:tcPr>
            <w:tcW w:w="0" w:type="auto"/>
            <w:tcBorders>
              <w:top w:val="single" w:sz="4" w:space="0" w:color="000000"/>
              <w:left w:val="single" w:sz="4" w:space="0" w:color="000000"/>
              <w:bottom w:val="single" w:sz="4" w:space="0" w:color="000000"/>
              <w:right w:val="single" w:sz="4" w:space="0" w:color="000000"/>
            </w:tcBorders>
            <w:vAlign w:val="center"/>
          </w:tcPr>
          <w:p w14:paraId="0720AA3C" w14:textId="039E38FC" w:rsidR="00C75F8E" w:rsidRPr="00C75F8E" w:rsidRDefault="00C75F8E" w:rsidP="00C75F8E">
            <w:pPr>
              <w:pStyle w:val="Tabulka"/>
              <w:rPr>
                <w:rFonts w:cs="Calibri"/>
              </w:rPr>
            </w:pPr>
            <w:r w:rsidRPr="00C75F8E">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B2F7B38" w14:textId="67FCBE46" w:rsidR="00C75F8E" w:rsidRPr="00C75F8E" w:rsidRDefault="00C75F8E" w:rsidP="00C75F8E">
            <w:pPr>
              <w:pStyle w:val="Tabulka"/>
              <w:rPr>
                <w:rFonts w:cs="Calibri"/>
              </w:rPr>
            </w:pPr>
            <w:r w:rsidRPr="00C75F8E">
              <w:rPr>
                <w:rFonts w:cs="Calibri"/>
              </w:rPr>
              <w:t>průběžně</w:t>
            </w:r>
          </w:p>
        </w:tc>
      </w:tr>
    </w:tbl>
    <w:p w14:paraId="4EEF0BCC" w14:textId="77777777" w:rsidR="00AA66A2" w:rsidRPr="00DD47DF" w:rsidRDefault="00AA66A2" w:rsidP="00DA3512">
      <w:pPr>
        <w:pStyle w:val="kapitola2A0"/>
        <w:numPr>
          <w:ilvl w:val="2"/>
          <w:numId w:val="66"/>
        </w:numPr>
      </w:pPr>
      <w:bookmarkStart w:id="70" w:name="_Toc129005405"/>
      <w:r w:rsidRPr="00DD47DF">
        <w:lastRenderedPageBreak/>
        <w:t>INVESTIČNÍ PRIORITA 3 prioritní osy 3: Rozvoj a zavádění inteligentních distribučních soustav, jež fungují na hladině nízkého a středního napětí</w:t>
      </w:r>
      <w:bookmarkEnd w:id="70"/>
    </w:p>
    <w:p w14:paraId="43A48194" w14:textId="77777777" w:rsidR="003B05CA" w:rsidRPr="00DD47DF" w:rsidRDefault="008C7D72" w:rsidP="00DA3512">
      <w:pPr>
        <w:pStyle w:val="kapitola2A0"/>
        <w:numPr>
          <w:ilvl w:val="2"/>
          <w:numId w:val="66"/>
        </w:numPr>
      </w:pPr>
      <w:bookmarkStart w:id="71" w:name="_Toc129005406"/>
      <w:r w:rsidRPr="00DD47DF">
        <w:t>Specifické cíle odpovídající investiční prioritě a očekávané výsledky</w:t>
      </w:r>
      <w:bookmarkEnd w:id="71"/>
    </w:p>
    <w:p w14:paraId="190BD6E5" w14:textId="77777777" w:rsidR="009D1769" w:rsidRPr="00DD47DF" w:rsidRDefault="00EC0F1D" w:rsidP="009D1769">
      <w:pPr>
        <w:pStyle w:val="Modrnadpis"/>
      </w:pPr>
      <w:r w:rsidRPr="00DD47DF">
        <w:t xml:space="preserve">SPECIFICKÝ CÍL </w:t>
      </w:r>
      <w:r w:rsidR="00C71E6F" w:rsidRPr="00DD47DF">
        <w:t>3.</w:t>
      </w:r>
      <w:r w:rsidRPr="00DD47DF">
        <w:t>3:</w:t>
      </w:r>
      <w:r w:rsidR="00BA4E72" w:rsidRPr="00DD47DF">
        <w:t xml:space="preserve"> </w:t>
      </w:r>
      <w:r w:rsidR="009D1769" w:rsidRPr="00DD47DF">
        <w:t>Zvýšit aplikaci prvků inteligentních sítí v distribučních soustavách</w:t>
      </w:r>
    </w:p>
    <w:p w14:paraId="763FD7A5" w14:textId="77777777" w:rsidR="00F82915" w:rsidRPr="00DD47DF" w:rsidRDefault="00C461F7" w:rsidP="00F24686">
      <w:pPr>
        <w:pStyle w:val="Standardntext"/>
      </w:pPr>
      <w:r w:rsidRPr="00DD47DF">
        <w:t>S postupně se zvyšující integrací decentralizovaných zdrojů energie vzrůstá potřeba vhodně doplňovat stávající distribuční soustavy technologiemi, které umožňují zajistit spolehlivý provoz. Prvky inteligentních sítí přispějí k aktivnímu řízení distribučních soustav a ke zvýšení spolehlivosti a kvality dodávek energie.</w:t>
      </w:r>
      <w:r w:rsidR="004B2602" w:rsidRPr="00DD47DF">
        <w:t xml:space="preserve"> </w:t>
      </w:r>
      <w:r w:rsidR="00F82915" w:rsidRPr="00DD47DF">
        <w:t xml:space="preserve">Hlavním cílem je posílení konkurenceschopnosti a udržitelnosti české ekonomiky </w:t>
      </w:r>
      <w:r w:rsidR="00DA544B" w:rsidRPr="00DD47DF">
        <w:t>pomocí</w:t>
      </w:r>
      <w:r w:rsidR="00F82915" w:rsidRPr="00DD47DF">
        <w:t xml:space="preserve"> rozvoje a modernizace energetické infrastruktury na hladině nízkého a </w:t>
      </w:r>
      <w:r w:rsidRPr="00DD47DF">
        <w:t>středního</w:t>
      </w:r>
      <w:r w:rsidR="00F82915" w:rsidRPr="00DD47DF">
        <w:t xml:space="preserve"> napětí.</w:t>
      </w:r>
    </w:p>
    <w:p w14:paraId="0A40C796" w14:textId="77777777" w:rsidR="004F2013" w:rsidRPr="00DD47DF" w:rsidRDefault="003508A9" w:rsidP="004F2013">
      <w:pPr>
        <w:pStyle w:val="Modrnadpis"/>
      </w:pPr>
      <w:r w:rsidRPr="00DD47DF">
        <w:t>Výsledky, kterých chce ČR dosáhnout s podporou Unie</w:t>
      </w:r>
    </w:p>
    <w:p w14:paraId="723575AB" w14:textId="77777777" w:rsidR="004F2013" w:rsidRPr="00DD47DF" w:rsidRDefault="00997A9B" w:rsidP="00D927A2">
      <w:pPr>
        <w:pStyle w:val="Standardntext"/>
        <w:numPr>
          <w:ilvl w:val="0"/>
          <w:numId w:val="43"/>
        </w:numPr>
      </w:pPr>
      <w:r w:rsidRPr="00DD47DF">
        <w:t>Z</w:t>
      </w:r>
      <w:r w:rsidR="003412FC" w:rsidRPr="00DD47DF">
        <w:t xml:space="preserve">lepšení </w:t>
      </w:r>
      <w:r w:rsidR="003A58B4" w:rsidRPr="00DD47DF">
        <w:t xml:space="preserve">kvality, </w:t>
      </w:r>
      <w:r w:rsidR="004B2602" w:rsidRPr="00DD47DF">
        <w:t xml:space="preserve">spolehlivosti, </w:t>
      </w:r>
      <w:r w:rsidR="003A58B4" w:rsidRPr="00DD47DF">
        <w:t>bezpečnosti a udržitelnosti dodávek elektřiny konečným zákazníkům</w:t>
      </w:r>
      <w:r w:rsidR="003412FC" w:rsidRPr="00DD47DF">
        <w:t xml:space="preserve"> ve všech regionech České republiky</w:t>
      </w:r>
      <w:r w:rsidR="00E314F2" w:rsidRPr="00DD47DF">
        <w:t xml:space="preserve"> </w:t>
      </w:r>
      <w:r w:rsidR="00FA0C8C" w:rsidRPr="00DD47DF">
        <w:t>kromě</w:t>
      </w:r>
      <w:r w:rsidR="00E314F2" w:rsidRPr="00DD47DF">
        <w:t xml:space="preserve"> </w:t>
      </w:r>
      <w:r w:rsidR="00FA0C8C" w:rsidRPr="00DD47DF">
        <w:t xml:space="preserve">hl. m. </w:t>
      </w:r>
      <w:r w:rsidR="00E314F2" w:rsidRPr="00DD47DF">
        <w:t>Prah</w:t>
      </w:r>
      <w:r w:rsidR="00FA0C8C" w:rsidRPr="00DD47DF">
        <w:t>y</w:t>
      </w:r>
      <w:r w:rsidR="004B2602" w:rsidRPr="00DD47DF">
        <w:t xml:space="preserve"> a přiblížení na úroveň obvyklou v zemích EU-15</w:t>
      </w:r>
      <w:r w:rsidR="002471EA" w:rsidRPr="00DD47DF">
        <w:t>.</w:t>
      </w:r>
    </w:p>
    <w:p w14:paraId="07F01976" w14:textId="77777777" w:rsidR="003412FC" w:rsidRPr="00DD47DF" w:rsidRDefault="002471EA" w:rsidP="00D927A2">
      <w:pPr>
        <w:pStyle w:val="Standardntext"/>
        <w:numPr>
          <w:ilvl w:val="0"/>
          <w:numId w:val="43"/>
        </w:numPr>
      </w:pPr>
      <w:r w:rsidRPr="00DD47DF">
        <w:t>Minimalizace úzkých profilů a integrace decentralizovaných zdrojů energie.</w:t>
      </w:r>
      <w:r w:rsidR="003412FC" w:rsidRPr="00DD47DF">
        <w:t xml:space="preserve"> S tím souvisí z</w:t>
      </w:r>
      <w:r w:rsidRPr="00DD47DF">
        <w:t>avedení inteligentních technologických prvků, které budou řešit nepříznivé jevy nepredikovatelných výrobních zdrojů</w:t>
      </w:r>
      <w:r w:rsidR="003412FC" w:rsidRPr="00DD47DF">
        <w:t>, zejména OZE</w:t>
      </w:r>
      <w:r w:rsidRPr="00DD47DF">
        <w:t>.</w:t>
      </w:r>
      <w:r w:rsidR="003412FC" w:rsidRPr="00DD47DF">
        <w:t xml:space="preserve"> </w:t>
      </w:r>
      <w:r w:rsidR="00C1180B" w:rsidRPr="00DD47DF">
        <w:t xml:space="preserve">V návaznosti na to dojde k usnadnění připojení nových OZE do sítě, přičemž důsledkem rozvoje OZE bude pozitivní dopad na </w:t>
      </w:r>
      <w:r w:rsidR="00E314F2" w:rsidRPr="00DD47DF">
        <w:t>ochranu klimatu a energetickou bezpečnost</w:t>
      </w:r>
      <w:r w:rsidR="00C1180B" w:rsidRPr="00DD47DF">
        <w:t>.</w:t>
      </w:r>
    </w:p>
    <w:p w14:paraId="210D6C8E" w14:textId="77777777" w:rsidR="004B2602" w:rsidRPr="00DD47DF" w:rsidRDefault="004B2602" w:rsidP="00D927A2">
      <w:pPr>
        <w:pStyle w:val="Standardntext"/>
        <w:numPr>
          <w:ilvl w:val="0"/>
          <w:numId w:val="43"/>
        </w:numPr>
      </w:pPr>
      <w:r w:rsidRPr="00DD47DF">
        <w:t>Snížení ztrát a zvýšení účinnosti distribuce elektrické energie.</w:t>
      </w:r>
    </w:p>
    <w:p w14:paraId="1B0A4F44" w14:textId="77777777" w:rsidR="004B2602" w:rsidRPr="00DD47DF" w:rsidRDefault="004B2602" w:rsidP="00D927A2">
      <w:pPr>
        <w:pStyle w:val="Standardntext"/>
        <w:numPr>
          <w:ilvl w:val="0"/>
          <w:numId w:val="43"/>
        </w:numPr>
      </w:pPr>
      <w:r w:rsidRPr="00DD47DF">
        <w:t xml:space="preserve">Zvýšení volné připojovací kapacity a dodatečného výkonu pro integraci decentralizovaných zdrojů energie </w:t>
      </w:r>
      <w:r w:rsidR="00C461F7" w:rsidRPr="00DD47DF">
        <w:t>na hladině nízkého (do 1000 V) a středního napětí (1000 V až 50 kV)</w:t>
      </w:r>
      <w:r w:rsidRPr="00DD47DF">
        <w:t>.</w:t>
      </w:r>
    </w:p>
    <w:p w14:paraId="758FA8B6" w14:textId="77777777" w:rsidR="002471EA" w:rsidRPr="00DD47DF" w:rsidRDefault="002471EA" w:rsidP="00D927A2">
      <w:pPr>
        <w:pStyle w:val="Standardntext"/>
        <w:numPr>
          <w:ilvl w:val="0"/>
          <w:numId w:val="43"/>
        </w:numPr>
      </w:pPr>
      <w:r w:rsidRPr="00DD47DF">
        <w:t>Impuls pro rozvoj průmyslu, podnikání a celé ekonomiky díky rozvoji a modernizaci energetické infrastruktury.</w:t>
      </w:r>
    </w:p>
    <w:p w14:paraId="2348331F" w14:textId="77777777" w:rsidR="00002031" w:rsidRPr="00DD47DF" w:rsidRDefault="00002031" w:rsidP="00DA544B">
      <w:pPr>
        <w:pStyle w:val="Titulek"/>
        <w:keepNext/>
        <w:keepLines/>
        <w:rPr>
          <w:rFonts w:cs="Calibri"/>
        </w:rPr>
      </w:pPr>
      <w:r w:rsidRPr="00DD47DF">
        <w:rPr>
          <w:rFonts w:cs="Calibri"/>
        </w:rPr>
        <w:lastRenderedPageBreak/>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Layout w:type="fixed"/>
        <w:tblCellMar>
          <w:left w:w="57" w:type="dxa"/>
          <w:right w:w="57" w:type="dxa"/>
        </w:tblCellMar>
        <w:tblLook w:val="01E0" w:firstRow="1" w:lastRow="1" w:firstColumn="1" w:lastColumn="1" w:noHBand="0" w:noVBand="0"/>
      </w:tblPr>
      <w:tblGrid>
        <w:gridCol w:w="908"/>
        <w:gridCol w:w="811"/>
        <w:gridCol w:w="987"/>
        <w:gridCol w:w="1201"/>
        <w:gridCol w:w="970"/>
        <w:gridCol w:w="992"/>
        <w:gridCol w:w="992"/>
        <w:gridCol w:w="1445"/>
        <w:gridCol w:w="1020"/>
      </w:tblGrid>
      <w:tr w:rsidR="00CF739D" w:rsidRPr="00DD47DF" w14:paraId="64B00D08" w14:textId="77777777">
        <w:trPr>
          <w:trHeight w:hRule="exact" w:val="1385"/>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3DE0069" w14:textId="77777777" w:rsidR="00CF739D" w:rsidRPr="00DD47DF" w:rsidRDefault="00CF739D" w:rsidP="00DA544B">
            <w:pPr>
              <w:pStyle w:val="Tabulka"/>
              <w:keepNext/>
              <w:keepLines/>
              <w:rPr>
                <w:rFonts w:cs="Calibri"/>
                <w:b/>
                <w:bCs/>
              </w:rPr>
            </w:pPr>
            <w:r w:rsidRPr="00DD47DF">
              <w:rPr>
                <w:rFonts w:cs="Calibri"/>
                <w:b/>
                <w:bCs/>
              </w:rPr>
              <w:t>ID</w:t>
            </w:r>
          </w:p>
        </w:tc>
        <w:tc>
          <w:tcPr>
            <w:tcW w:w="81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6C26EF3" w14:textId="77777777" w:rsidR="00CF739D" w:rsidRPr="00DD47DF" w:rsidRDefault="00CF739D" w:rsidP="00DA544B">
            <w:pPr>
              <w:pStyle w:val="Tabulka"/>
              <w:keepNext/>
              <w:keepLines/>
              <w:rPr>
                <w:rFonts w:cs="Calibri"/>
                <w:b/>
                <w:bCs/>
              </w:rPr>
            </w:pPr>
            <w:r w:rsidRPr="00DD47DF">
              <w:rPr>
                <w:rFonts w:cs="Calibri"/>
                <w:b/>
                <w:bCs/>
              </w:rPr>
              <w:t>Ukazatel</w:t>
            </w:r>
          </w:p>
        </w:tc>
        <w:tc>
          <w:tcPr>
            <w:tcW w:w="98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C271999" w14:textId="77777777" w:rsidR="00CF739D" w:rsidRPr="00DD47DF" w:rsidRDefault="00CF739D" w:rsidP="00DA544B">
            <w:pPr>
              <w:pStyle w:val="Tabulka"/>
              <w:keepNext/>
              <w:keepLines/>
              <w:rPr>
                <w:rFonts w:cs="Calibri"/>
                <w:b/>
                <w:bCs/>
              </w:rPr>
            </w:pPr>
            <w:r w:rsidRPr="00DD47DF">
              <w:rPr>
                <w:rFonts w:cs="Calibri"/>
                <w:b/>
                <w:bCs/>
              </w:rPr>
              <w:t>Měrná</w:t>
            </w:r>
          </w:p>
          <w:p w14:paraId="430DDAB3" w14:textId="77777777" w:rsidR="00CF739D" w:rsidRPr="00DD47DF" w:rsidRDefault="00CF739D" w:rsidP="00DA544B">
            <w:pPr>
              <w:pStyle w:val="Tabulka"/>
              <w:keepNext/>
              <w:keepLines/>
              <w:rPr>
                <w:rFonts w:cs="Calibri"/>
                <w:b/>
                <w:bCs/>
              </w:rPr>
            </w:pPr>
            <w:r w:rsidRPr="00DD47DF">
              <w:rPr>
                <w:rFonts w:cs="Calibri"/>
                <w:b/>
                <w:bCs/>
              </w:rPr>
              <w:t>jednotka</w:t>
            </w:r>
          </w:p>
        </w:tc>
        <w:tc>
          <w:tcPr>
            <w:tcW w:w="120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58BCFE2" w14:textId="77777777" w:rsidR="00CF739D" w:rsidRPr="00DD47DF" w:rsidRDefault="00CF739D" w:rsidP="00DA544B">
            <w:pPr>
              <w:pStyle w:val="Tabulka"/>
              <w:keepNext/>
              <w:keepLines/>
              <w:rPr>
                <w:rFonts w:cs="Calibri"/>
                <w:b/>
                <w:bCs/>
              </w:rPr>
            </w:pPr>
            <w:r w:rsidRPr="00DD47DF">
              <w:rPr>
                <w:rFonts w:cs="Calibri"/>
                <w:b/>
                <w:bCs/>
              </w:rPr>
              <w:t>Kategorie regionů (je-li relevantní)</w:t>
            </w:r>
          </w:p>
        </w:tc>
        <w:tc>
          <w:tcPr>
            <w:tcW w:w="9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FB2D62F" w14:textId="77777777" w:rsidR="00CF739D" w:rsidRPr="00DD47DF" w:rsidRDefault="004B0854" w:rsidP="00DA544B">
            <w:pPr>
              <w:pStyle w:val="Tabulka"/>
              <w:keepNext/>
              <w:keepLines/>
              <w:rPr>
                <w:rFonts w:cs="Calibri"/>
                <w:b/>
                <w:bCs/>
              </w:rPr>
            </w:pPr>
            <w:r w:rsidRPr="00DD47DF">
              <w:rPr>
                <w:rFonts w:cs="Calibri"/>
                <w:b/>
                <w:bCs/>
              </w:rPr>
              <w:t>Výchozí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ACFB50B"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D615D62" w14:textId="77777777" w:rsidR="00CF739D" w:rsidRPr="00DD47DF" w:rsidRDefault="00CF739D" w:rsidP="00DA544B">
            <w:pPr>
              <w:pStyle w:val="Tabulka"/>
              <w:keepNext/>
              <w:keepLines/>
              <w:rPr>
                <w:rFonts w:cs="Calibri"/>
                <w:b/>
                <w:bCs/>
              </w:rPr>
            </w:pPr>
            <w:r w:rsidRPr="00DD47DF">
              <w:rPr>
                <w:rFonts w:cs="Calibri"/>
                <w:b/>
                <w:bCs/>
              </w:rPr>
              <w:t>Cílová hodnota (2023)</w:t>
            </w:r>
          </w:p>
        </w:tc>
        <w:tc>
          <w:tcPr>
            <w:tcW w:w="144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B485224" w14:textId="77777777" w:rsidR="00CF739D" w:rsidRPr="00DD47DF" w:rsidRDefault="00CF739D" w:rsidP="00DA544B">
            <w:pPr>
              <w:pStyle w:val="Tabulka"/>
              <w:keepNext/>
              <w:keepLines/>
              <w:rPr>
                <w:rFonts w:cs="Calibri"/>
                <w:b/>
                <w:bCs/>
              </w:rPr>
            </w:pPr>
            <w:r w:rsidRPr="00DD47DF">
              <w:rPr>
                <w:rFonts w:cs="Calibri"/>
                <w:b/>
                <w:bCs/>
              </w:rPr>
              <w:t>Zdroj údajů</w:t>
            </w:r>
          </w:p>
        </w:tc>
        <w:tc>
          <w:tcPr>
            <w:tcW w:w="102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0840B3E" w14:textId="77777777" w:rsidR="00CF739D" w:rsidRPr="00DD47DF" w:rsidRDefault="00CF739D" w:rsidP="00DA544B">
            <w:pPr>
              <w:pStyle w:val="Tabulka"/>
              <w:keepNext/>
              <w:keepLines/>
              <w:rPr>
                <w:rFonts w:cs="Calibri"/>
                <w:b/>
                <w:bCs/>
              </w:rPr>
            </w:pPr>
            <w:r w:rsidRPr="00DD47DF">
              <w:rPr>
                <w:rFonts w:cs="Calibri"/>
                <w:b/>
                <w:bCs/>
              </w:rPr>
              <w:t>Četnost podávání zpráv</w:t>
            </w:r>
          </w:p>
        </w:tc>
      </w:tr>
      <w:tr w:rsidR="00ED13F4" w:rsidRPr="00DD47DF" w14:paraId="42708DF6" w14:textId="77777777">
        <w:trPr>
          <w:trHeight w:hRule="exact" w:val="980"/>
        </w:trPr>
        <w:tc>
          <w:tcPr>
            <w:tcW w:w="908" w:type="dxa"/>
            <w:tcBorders>
              <w:top w:val="single" w:sz="4" w:space="0" w:color="000000"/>
              <w:left w:val="single" w:sz="4" w:space="0" w:color="000000"/>
              <w:bottom w:val="single" w:sz="4" w:space="0" w:color="000000"/>
              <w:right w:val="single" w:sz="4" w:space="0" w:color="000000"/>
            </w:tcBorders>
            <w:vAlign w:val="center"/>
          </w:tcPr>
          <w:p w14:paraId="50F0DEFF" w14:textId="77777777" w:rsidR="00ED13F4" w:rsidRPr="00DD47DF" w:rsidRDefault="004E0F70" w:rsidP="003A6FFF">
            <w:pPr>
              <w:pStyle w:val="Tabulka"/>
              <w:rPr>
                <w:rFonts w:cs="Calibri"/>
              </w:rPr>
            </w:pPr>
            <w:r w:rsidRPr="00DD47DF">
              <w:rPr>
                <w:rFonts w:cs="Calibri"/>
              </w:rPr>
              <w:t>33700</w:t>
            </w:r>
          </w:p>
        </w:tc>
        <w:tc>
          <w:tcPr>
            <w:tcW w:w="811" w:type="dxa"/>
            <w:tcBorders>
              <w:top w:val="single" w:sz="4" w:space="0" w:color="000000"/>
              <w:left w:val="single" w:sz="4" w:space="0" w:color="000000"/>
              <w:bottom w:val="single" w:sz="4" w:space="0" w:color="000000"/>
              <w:right w:val="single" w:sz="4" w:space="0" w:color="000000"/>
            </w:tcBorders>
            <w:vAlign w:val="center"/>
          </w:tcPr>
          <w:p w14:paraId="43A7C1F1" w14:textId="77777777" w:rsidR="00ED13F4" w:rsidRPr="00DD47DF" w:rsidRDefault="008F1E9F" w:rsidP="003A6FFF">
            <w:pPr>
              <w:pStyle w:val="Tabulka"/>
              <w:jc w:val="left"/>
              <w:rPr>
                <w:rFonts w:cs="Calibri"/>
                <w:szCs w:val="20"/>
              </w:rPr>
            </w:pPr>
            <w:r w:rsidRPr="00DD47DF">
              <w:rPr>
                <w:rFonts w:cs="Calibri"/>
                <w:szCs w:val="20"/>
              </w:rPr>
              <w:t>SAIFI</w:t>
            </w:r>
            <w:r w:rsidR="0068667C" w:rsidRPr="00DD47DF">
              <w:rPr>
                <w:rStyle w:val="Znakapoznpodarou"/>
                <w:rFonts w:cs="Calibri"/>
                <w:szCs w:val="20"/>
              </w:rPr>
              <w:footnoteReference w:id="63"/>
            </w:r>
          </w:p>
        </w:tc>
        <w:tc>
          <w:tcPr>
            <w:tcW w:w="987" w:type="dxa"/>
            <w:tcBorders>
              <w:top w:val="single" w:sz="4" w:space="0" w:color="000000"/>
              <w:left w:val="single" w:sz="4" w:space="0" w:color="000000"/>
              <w:bottom w:val="single" w:sz="4" w:space="0" w:color="000000"/>
              <w:right w:val="single" w:sz="4" w:space="0" w:color="000000"/>
            </w:tcBorders>
            <w:vAlign w:val="center"/>
          </w:tcPr>
          <w:p w14:paraId="15C80435" w14:textId="77777777" w:rsidR="00ED13F4" w:rsidRPr="00DD47DF" w:rsidRDefault="00DA544B" w:rsidP="003A6FFF">
            <w:pPr>
              <w:pStyle w:val="Tabulka"/>
              <w:rPr>
                <w:rFonts w:cs="Calibri"/>
              </w:rPr>
            </w:pPr>
            <w:r w:rsidRPr="00DD47DF">
              <w:rPr>
                <w:rFonts w:cs="Calibri"/>
              </w:rPr>
              <w:t>počet přerušení</w:t>
            </w:r>
            <w:r w:rsidR="00D57106" w:rsidRPr="00DD47DF">
              <w:rPr>
                <w:rFonts w:cs="Calibri"/>
              </w:rPr>
              <w:t xml:space="preserve"> </w:t>
            </w:r>
            <w:r w:rsidRPr="00DD47DF">
              <w:rPr>
                <w:rFonts w:cs="Calibri"/>
              </w:rPr>
              <w:t>/</w:t>
            </w:r>
            <w:r w:rsidR="00D57106" w:rsidRPr="00DD47DF">
              <w:rPr>
                <w:rFonts w:cs="Calibri"/>
              </w:rPr>
              <w:t xml:space="preserve"> </w:t>
            </w:r>
            <w:r w:rsidRPr="00DD47DF">
              <w:rPr>
                <w:rFonts w:cs="Calibri"/>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14:paraId="35562DEF" w14:textId="77777777" w:rsidR="00ED13F4" w:rsidRPr="00DD47DF" w:rsidRDefault="00FD0399" w:rsidP="003A6FFF">
            <w:pPr>
              <w:pStyle w:val="Tabulka"/>
              <w:rPr>
                <w:rFonts w:cs="Calibri"/>
              </w:rPr>
            </w:pPr>
            <w:r w:rsidRPr="00DD47DF">
              <w:rPr>
                <w:rFonts w:cs="Calibri"/>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14:paraId="462D0B02" w14:textId="77777777" w:rsidR="00ED13F4" w:rsidRPr="00DD47DF" w:rsidRDefault="007A1429" w:rsidP="003A6FFF">
            <w:pPr>
              <w:pStyle w:val="Tabulka"/>
              <w:rPr>
                <w:rFonts w:cs="Calibri"/>
              </w:rPr>
            </w:pPr>
            <w:r w:rsidRPr="00DD47DF">
              <w:rPr>
                <w:rFonts w:cs="Calibri"/>
              </w:rPr>
              <w:t>2,755</w:t>
            </w:r>
            <w:r w:rsidR="00DC16B0" w:rsidRPr="00DD47DF">
              <w:rPr>
                <w:rStyle w:val="Znakapoznpodarou"/>
                <w:rFonts w:cs="Calibri"/>
              </w:rPr>
              <w:footnoteReference w:id="64"/>
            </w:r>
          </w:p>
        </w:tc>
        <w:tc>
          <w:tcPr>
            <w:tcW w:w="992" w:type="dxa"/>
            <w:tcBorders>
              <w:top w:val="single" w:sz="4" w:space="0" w:color="000000"/>
              <w:left w:val="single" w:sz="4" w:space="0" w:color="000000"/>
              <w:bottom w:val="single" w:sz="4" w:space="0" w:color="000000"/>
              <w:right w:val="single" w:sz="4" w:space="0" w:color="000000"/>
            </w:tcBorders>
            <w:vAlign w:val="center"/>
          </w:tcPr>
          <w:p w14:paraId="490C15C1" w14:textId="77777777" w:rsidR="00ED13F4" w:rsidRPr="00DD47DF" w:rsidRDefault="007A1429" w:rsidP="003A6FFF">
            <w:pPr>
              <w:pStyle w:val="Tabulka"/>
              <w:rPr>
                <w:rFonts w:cs="Calibri"/>
              </w:rPr>
            </w:pPr>
            <w:r w:rsidRPr="00DD47DF">
              <w:rPr>
                <w:rFonts w:cs="Calibri"/>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14:paraId="6FAB78A2" w14:textId="77777777" w:rsidR="00ED13F4" w:rsidRPr="00DD47DF" w:rsidRDefault="007A1429" w:rsidP="003A6FFF">
            <w:pPr>
              <w:pStyle w:val="Tabulka"/>
              <w:rPr>
                <w:rFonts w:cs="Calibri"/>
              </w:rPr>
            </w:pPr>
            <w:r w:rsidRPr="00DD47DF">
              <w:rPr>
                <w:rFonts w:cs="Calibri"/>
              </w:rPr>
              <w:t>1,925</w:t>
            </w:r>
            <w:r w:rsidR="00DC16B0" w:rsidRPr="00DD47DF">
              <w:rPr>
                <w:rStyle w:val="Znakapoznpodarou"/>
                <w:rFonts w:cs="Calibri"/>
              </w:rPr>
              <w:footnoteReference w:id="65"/>
            </w:r>
          </w:p>
        </w:tc>
        <w:tc>
          <w:tcPr>
            <w:tcW w:w="1445" w:type="dxa"/>
            <w:tcBorders>
              <w:top w:val="single" w:sz="4" w:space="0" w:color="000000"/>
              <w:left w:val="single" w:sz="4" w:space="0" w:color="000000"/>
              <w:bottom w:val="single" w:sz="4" w:space="0" w:color="000000"/>
              <w:right w:val="single" w:sz="4" w:space="0" w:color="000000"/>
            </w:tcBorders>
            <w:vAlign w:val="center"/>
          </w:tcPr>
          <w:p w14:paraId="203FD1CB" w14:textId="77777777" w:rsidR="00ED13F4" w:rsidRPr="00DD47DF" w:rsidRDefault="00942A5B" w:rsidP="00120476">
            <w:pPr>
              <w:pStyle w:val="Tabulka"/>
              <w:rPr>
                <w:rFonts w:cs="Calibri"/>
              </w:rPr>
            </w:pPr>
            <w:r w:rsidRPr="00DD47DF">
              <w:rPr>
                <w:rFonts w:cs="Calibri"/>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14:paraId="4B6024CC" w14:textId="77777777" w:rsidR="00ED13F4" w:rsidRPr="00DD47DF" w:rsidRDefault="00274100" w:rsidP="003A6FFF">
            <w:pPr>
              <w:pStyle w:val="Tabulka"/>
              <w:rPr>
                <w:rFonts w:cs="Calibri"/>
              </w:rPr>
            </w:pPr>
            <w:r w:rsidRPr="00DD47DF">
              <w:rPr>
                <w:rFonts w:cs="Calibri"/>
              </w:rPr>
              <w:t>r</w:t>
            </w:r>
            <w:r w:rsidR="005F2E5E" w:rsidRPr="00DD47DF">
              <w:rPr>
                <w:rFonts w:cs="Calibri"/>
              </w:rPr>
              <w:t>očně</w:t>
            </w:r>
          </w:p>
        </w:tc>
      </w:tr>
      <w:tr w:rsidR="008F1E9F" w:rsidRPr="00DD47DF" w14:paraId="360572A7" w14:textId="77777777">
        <w:trPr>
          <w:trHeight w:hRule="exact" w:val="1137"/>
        </w:trPr>
        <w:tc>
          <w:tcPr>
            <w:tcW w:w="908" w:type="dxa"/>
            <w:tcBorders>
              <w:top w:val="single" w:sz="4" w:space="0" w:color="000000"/>
              <w:left w:val="single" w:sz="4" w:space="0" w:color="000000"/>
              <w:bottom w:val="single" w:sz="4" w:space="0" w:color="000000"/>
              <w:right w:val="single" w:sz="4" w:space="0" w:color="000000"/>
            </w:tcBorders>
            <w:vAlign w:val="center"/>
          </w:tcPr>
          <w:p w14:paraId="7302E6C3" w14:textId="77777777" w:rsidR="008F1E9F" w:rsidRPr="00DD47DF" w:rsidRDefault="004E0F70" w:rsidP="003A6FFF">
            <w:pPr>
              <w:pStyle w:val="Tabulka"/>
              <w:rPr>
                <w:rFonts w:cs="Calibri"/>
              </w:rPr>
            </w:pPr>
            <w:r w:rsidRPr="00DD47DF">
              <w:rPr>
                <w:rFonts w:cs="Calibri"/>
              </w:rPr>
              <w:t>33600</w:t>
            </w:r>
          </w:p>
        </w:tc>
        <w:tc>
          <w:tcPr>
            <w:tcW w:w="811" w:type="dxa"/>
            <w:tcBorders>
              <w:top w:val="single" w:sz="4" w:space="0" w:color="000000"/>
              <w:left w:val="single" w:sz="4" w:space="0" w:color="000000"/>
              <w:bottom w:val="single" w:sz="4" w:space="0" w:color="000000"/>
              <w:right w:val="single" w:sz="4" w:space="0" w:color="000000"/>
            </w:tcBorders>
            <w:vAlign w:val="center"/>
          </w:tcPr>
          <w:p w14:paraId="515BC338" w14:textId="77777777" w:rsidR="008F1E9F" w:rsidRPr="00DD47DF" w:rsidRDefault="008F1E9F" w:rsidP="003A6FFF">
            <w:pPr>
              <w:pStyle w:val="Tabulka"/>
              <w:jc w:val="left"/>
              <w:rPr>
                <w:rFonts w:cs="Calibri"/>
                <w:szCs w:val="20"/>
              </w:rPr>
            </w:pPr>
            <w:r w:rsidRPr="00DD47DF">
              <w:rPr>
                <w:rFonts w:cs="Calibri"/>
                <w:szCs w:val="20"/>
              </w:rPr>
              <w:t>SAIDI</w:t>
            </w:r>
            <w:r w:rsidR="0068667C" w:rsidRPr="00DD47DF">
              <w:rPr>
                <w:rStyle w:val="Znakapoznpodarou"/>
                <w:rFonts w:cs="Calibri"/>
                <w:szCs w:val="20"/>
              </w:rPr>
              <w:footnoteReference w:id="66"/>
            </w:r>
          </w:p>
        </w:tc>
        <w:tc>
          <w:tcPr>
            <w:tcW w:w="987" w:type="dxa"/>
            <w:tcBorders>
              <w:top w:val="single" w:sz="4" w:space="0" w:color="000000"/>
              <w:left w:val="single" w:sz="4" w:space="0" w:color="000000"/>
              <w:bottom w:val="single" w:sz="4" w:space="0" w:color="000000"/>
              <w:right w:val="single" w:sz="4" w:space="0" w:color="000000"/>
            </w:tcBorders>
            <w:vAlign w:val="center"/>
          </w:tcPr>
          <w:p w14:paraId="485D2943" w14:textId="77777777" w:rsidR="008F1E9F" w:rsidRPr="00DD47DF" w:rsidRDefault="008F1E9F" w:rsidP="003A6FFF">
            <w:pPr>
              <w:pStyle w:val="Tabulka"/>
              <w:rPr>
                <w:rFonts w:cs="Calibri"/>
              </w:rPr>
            </w:pPr>
            <w:r w:rsidRPr="00DD47DF">
              <w:rPr>
                <w:rFonts w:cs="Calibri"/>
              </w:rPr>
              <w:t>délka přerušení v</w:t>
            </w:r>
            <w:r w:rsidR="00D57106" w:rsidRPr="00DD47DF">
              <w:rPr>
                <w:rFonts w:cs="Calibri"/>
              </w:rPr>
              <w:t> </w:t>
            </w:r>
            <w:r w:rsidRPr="00DD47DF">
              <w:rPr>
                <w:rFonts w:cs="Calibri"/>
              </w:rPr>
              <w:t>min</w:t>
            </w:r>
            <w:r w:rsidR="00D57106" w:rsidRPr="00DD47DF">
              <w:rPr>
                <w:rFonts w:cs="Calibri"/>
              </w:rPr>
              <w:t xml:space="preserve"> </w:t>
            </w:r>
            <w:r w:rsidRPr="00DD47DF">
              <w:rPr>
                <w:rFonts w:cs="Calibri"/>
              </w:rPr>
              <w:t>/</w:t>
            </w:r>
            <w:r w:rsidR="00D57106" w:rsidRPr="00DD47DF">
              <w:rPr>
                <w:rFonts w:cs="Calibri"/>
              </w:rPr>
              <w:t xml:space="preserve"> </w:t>
            </w:r>
            <w:r w:rsidRPr="00DD47DF">
              <w:rPr>
                <w:rFonts w:cs="Calibri"/>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14:paraId="3904DB16" w14:textId="77777777" w:rsidR="008F1E9F" w:rsidRPr="00DD47DF" w:rsidRDefault="008F1E9F" w:rsidP="003A6FFF">
            <w:pPr>
              <w:pStyle w:val="Tabulka"/>
              <w:rPr>
                <w:rFonts w:cs="Calibri"/>
              </w:rPr>
            </w:pPr>
            <w:r w:rsidRPr="00DD47DF">
              <w:rPr>
                <w:rFonts w:cs="Calibri"/>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14:paraId="0A55BC7A" w14:textId="77777777" w:rsidR="008F1E9F" w:rsidRPr="00DD47DF" w:rsidRDefault="00157ABA" w:rsidP="003A6FFF">
            <w:pPr>
              <w:pStyle w:val="Tabulka"/>
              <w:rPr>
                <w:rFonts w:cs="Calibri"/>
              </w:rPr>
            </w:pPr>
            <w:r w:rsidRPr="00DD47DF">
              <w:rPr>
                <w:rFonts w:cs="Calibri"/>
              </w:rPr>
              <w:t>394,33</w:t>
            </w:r>
          </w:p>
        </w:tc>
        <w:tc>
          <w:tcPr>
            <w:tcW w:w="992" w:type="dxa"/>
            <w:tcBorders>
              <w:top w:val="single" w:sz="4" w:space="0" w:color="000000"/>
              <w:left w:val="single" w:sz="4" w:space="0" w:color="000000"/>
              <w:bottom w:val="single" w:sz="4" w:space="0" w:color="000000"/>
              <w:right w:val="single" w:sz="4" w:space="0" w:color="000000"/>
            </w:tcBorders>
            <w:vAlign w:val="center"/>
          </w:tcPr>
          <w:p w14:paraId="162C53DD" w14:textId="77777777" w:rsidR="008F1E9F" w:rsidRPr="00DD47DF" w:rsidRDefault="00157ABA" w:rsidP="003A6FFF">
            <w:pPr>
              <w:pStyle w:val="Tabulka"/>
              <w:rPr>
                <w:rFonts w:cs="Calibri"/>
              </w:rPr>
            </w:pPr>
            <w:r w:rsidRPr="00DD47DF">
              <w:rPr>
                <w:rFonts w:cs="Calibri"/>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14:paraId="3D99F9F6" w14:textId="77777777" w:rsidR="008F1E9F" w:rsidRPr="00DD47DF" w:rsidRDefault="00157ABA" w:rsidP="003A6FFF">
            <w:pPr>
              <w:pStyle w:val="Tabulka"/>
              <w:rPr>
                <w:rFonts w:cs="Calibri"/>
              </w:rPr>
            </w:pPr>
            <w:r w:rsidRPr="00DD47DF">
              <w:rPr>
                <w:rFonts w:cs="Calibri"/>
              </w:rPr>
              <w:t>230</w:t>
            </w:r>
          </w:p>
        </w:tc>
        <w:tc>
          <w:tcPr>
            <w:tcW w:w="1445" w:type="dxa"/>
            <w:tcBorders>
              <w:top w:val="single" w:sz="4" w:space="0" w:color="000000"/>
              <w:left w:val="single" w:sz="4" w:space="0" w:color="000000"/>
              <w:bottom w:val="single" w:sz="4" w:space="0" w:color="000000"/>
              <w:right w:val="single" w:sz="4" w:space="0" w:color="000000"/>
            </w:tcBorders>
            <w:vAlign w:val="center"/>
          </w:tcPr>
          <w:p w14:paraId="57172071" w14:textId="77777777" w:rsidR="008F1E9F" w:rsidRPr="00DD47DF" w:rsidRDefault="00942A5B" w:rsidP="00120476">
            <w:pPr>
              <w:pStyle w:val="Tabulka"/>
              <w:rPr>
                <w:rFonts w:cs="Calibri"/>
              </w:rPr>
            </w:pPr>
            <w:r w:rsidRPr="00DD47DF">
              <w:rPr>
                <w:rFonts w:cs="Calibri"/>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14:paraId="2D44733B" w14:textId="77777777" w:rsidR="008F1E9F" w:rsidRPr="00DD47DF" w:rsidRDefault="00274100" w:rsidP="003A6FFF">
            <w:pPr>
              <w:pStyle w:val="Tabulka"/>
              <w:rPr>
                <w:rFonts w:cs="Calibri"/>
              </w:rPr>
            </w:pPr>
            <w:r w:rsidRPr="00DD47DF">
              <w:rPr>
                <w:rFonts w:cs="Calibri"/>
              </w:rPr>
              <w:t>r</w:t>
            </w:r>
            <w:r w:rsidR="005F2E5E" w:rsidRPr="00DD47DF">
              <w:rPr>
                <w:rFonts w:cs="Calibri"/>
              </w:rPr>
              <w:t>očně</w:t>
            </w:r>
          </w:p>
        </w:tc>
      </w:tr>
    </w:tbl>
    <w:p w14:paraId="0A0C50CE" w14:textId="77777777" w:rsidR="00EC2D25" w:rsidRPr="00DD47DF" w:rsidRDefault="00EC2D25" w:rsidP="00DA3512">
      <w:pPr>
        <w:pStyle w:val="kapitola2A0"/>
        <w:numPr>
          <w:ilvl w:val="2"/>
          <w:numId w:val="66"/>
        </w:numPr>
      </w:pPr>
      <w:bookmarkStart w:id="72" w:name="_Toc129005407"/>
      <w:r w:rsidRPr="00DD47DF">
        <w:t>Opatření, jež má být podpořeno v rámci investiční priority</w:t>
      </w:r>
      <w:bookmarkEnd w:id="72"/>
    </w:p>
    <w:p w14:paraId="1584A40A" w14:textId="77777777" w:rsidR="0058402E" w:rsidRPr="00DD47DF" w:rsidRDefault="00D479AF" w:rsidP="003A6FFF">
      <w:pPr>
        <w:pStyle w:val="Nadpis5"/>
        <w:numPr>
          <w:ilvl w:val="4"/>
          <w:numId w:val="22"/>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1C95C5C3" w14:textId="77777777" w:rsidR="0058402E" w:rsidRPr="00DD47DF" w:rsidRDefault="000A2EB4" w:rsidP="007D5585">
      <w:pPr>
        <w:pStyle w:val="Standardntext"/>
        <w:keepNext/>
        <w:keepLines/>
        <w:rPr>
          <w:b/>
        </w:rPr>
      </w:pPr>
      <w:r w:rsidRPr="00DD47DF">
        <w:rPr>
          <w:b/>
        </w:rPr>
        <w:t>Aktivity pro tento specifický cíl:</w:t>
      </w:r>
    </w:p>
    <w:p w14:paraId="38D0912C" w14:textId="77777777" w:rsidR="00F24686" w:rsidRPr="00DD47DF" w:rsidRDefault="00E314F2" w:rsidP="00D927A2">
      <w:pPr>
        <w:pStyle w:val="Standardntext"/>
        <w:numPr>
          <w:ilvl w:val="0"/>
          <w:numId w:val="39"/>
        </w:numPr>
      </w:pPr>
      <w:r w:rsidRPr="00DD47DF">
        <w:t>N</w:t>
      </w:r>
      <w:r w:rsidR="00F24686" w:rsidRPr="00DD47DF">
        <w:t xml:space="preserve">asazení </w:t>
      </w:r>
      <w:r w:rsidR="00DA544B" w:rsidRPr="00DD47DF">
        <w:t xml:space="preserve">automatizovaných </w:t>
      </w:r>
      <w:r w:rsidR="00F24686" w:rsidRPr="00DD47DF">
        <w:t>dálkově ovládaných prvků v distribučních soustavách,</w:t>
      </w:r>
    </w:p>
    <w:p w14:paraId="345E1BD4" w14:textId="77777777" w:rsidR="00F24686" w:rsidRPr="00DD47DF" w:rsidRDefault="00F24686" w:rsidP="00D927A2">
      <w:pPr>
        <w:pStyle w:val="Standardntext"/>
        <w:numPr>
          <w:ilvl w:val="0"/>
          <w:numId w:val="39"/>
        </w:numPr>
      </w:pPr>
      <w:r w:rsidRPr="00DD47DF">
        <w:t xml:space="preserve">nasazení technologických prvků řízení napětí </w:t>
      </w:r>
      <w:r w:rsidR="00DA544B" w:rsidRPr="00DD47DF">
        <w:t xml:space="preserve">a výběrové osazení měření kvality elektrické energie </w:t>
      </w:r>
      <w:r w:rsidRPr="00DD47DF">
        <w:t>v distribučních soustavách,</w:t>
      </w:r>
    </w:p>
    <w:p w14:paraId="195E5B80" w14:textId="77777777" w:rsidR="00F24686" w:rsidRPr="00DD47DF" w:rsidRDefault="00E314F2" w:rsidP="00D927A2">
      <w:pPr>
        <w:pStyle w:val="Standardntext"/>
        <w:numPr>
          <w:ilvl w:val="0"/>
          <w:numId w:val="39"/>
        </w:numPr>
      </w:pPr>
      <w:r w:rsidRPr="00DD47DF">
        <w:t xml:space="preserve">řešení </w:t>
      </w:r>
      <w:r w:rsidR="00DA544B" w:rsidRPr="00DD47DF">
        <w:t>lokální bilance řízením toků výkonu mezi odběrateli a provozovatelem distribuční sítě</w:t>
      </w:r>
      <w:r w:rsidRPr="00DD47DF">
        <w:t>.</w:t>
      </w:r>
    </w:p>
    <w:p w14:paraId="53E8FBEA" w14:textId="77777777" w:rsidR="00896EDF" w:rsidRPr="00DD47DF" w:rsidRDefault="00E314F2" w:rsidP="00E314F2">
      <w:pPr>
        <w:pStyle w:val="Standardntext"/>
      </w:pPr>
      <w:r w:rsidRPr="00DD47DF">
        <w:t>Typovým projektem v rámci tohoto specifického cíle je nasazení vyššího</w:t>
      </w:r>
      <w:r w:rsidR="00E7342F" w:rsidRPr="00DD47DF">
        <w:t xml:space="preserve"> počtu </w:t>
      </w:r>
      <w:r w:rsidR="00DA544B" w:rsidRPr="00DD47DF">
        <w:t xml:space="preserve">automatizovaných </w:t>
      </w:r>
      <w:r w:rsidR="00E7342F" w:rsidRPr="00DD47DF">
        <w:t>dálkově ovládaných prvků</w:t>
      </w:r>
      <w:r w:rsidRPr="00DD47DF">
        <w:t xml:space="preserve"> v distribuční soustavě na hladině </w:t>
      </w:r>
      <w:r w:rsidR="00F444C1" w:rsidRPr="00DD47DF">
        <w:t xml:space="preserve">středního </w:t>
      </w:r>
      <w:r w:rsidRPr="00DD47DF">
        <w:t xml:space="preserve">napětí na topologicky vhodně zvolená místa. </w:t>
      </w:r>
      <w:r w:rsidR="00DA544B" w:rsidRPr="00DD47DF">
        <w:t>Dálkově ovládané prvky zlepší spolehlivost dodávky ve smyslu počtu přeruše</w:t>
      </w:r>
      <w:r w:rsidR="00E43457" w:rsidRPr="00DD47DF">
        <w:t>ní a zkrácení doby nedodávky elektrické</w:t>
      </w:r>
      <w:r w:rsidR="00DA544B" w:rsidRPr="00DD47DF">
        <w:t xml:space="preserve"> energie, snížení počtu postižených zákazníků a snížení nákladů souvisejících s identifikací poruchy v postiženém úseku vedení. Mezi automatizované dálkově ovládané prvky patří vypínače s funkcionalitou opětovného zapnutí, reclosery, dálkově ovládané odpínače s indikací, indikátory poruchových proudů, apod. Určení topologicky vhodně zvoleného místa bude na základě předložené výpočtové studie vždy s výběrem výsledné technické varianty řešení dle parametrů SAIDI a </w:t>
      </w:r>
      <w:r w:rsidR="007E355B" w:rsidRPr="00DD47DF">
        <w:t>čisté současné hodnoty</w:t>
      </w:r>
      <w:r w:rsidR="00DA544B" w:rsidRPr="00DD47DF">
        <w:t>.</w:t>
      </w:r>
    </w:p>
    <w:p w14:paraId="2C15259D" w14:textId="77777777" w:rsidR="00E314F2" w:rsidRPr="00DD47DF" w:rsidRDefault="00942A5B" w:rsidP="00E314F2">
      <w:pPr>
        <w:pStyle w:val="Standardntext"/>
      </w:pPr>
      <w:r w:rsidRPr="00DD47DF">
        <w:t xml:space="preserve">Výstupem projektu bude nasazení dálkově </w:t>
      </w:r>
      <w:r w:rsidR="00E314F2" w:rsidRPr="00DD47DF">
        <w:t xml:space="preserve">ovládaných prvků v distribuční soustavě, které se promítají do výsledků ve formě snížení provozních nákladů </w:t>
      </w:r>
      <w:r w:rsidR="00E873A7" w:rsidRPr="00DD47DF">
        <w:t>provozovatele distribuční soustavy</w:t>
      </w:r>
      <w:r w:rsidR="00E314F2" w:rsidRPr="00DD47DF">
        <w:t xml:space="preserve"> </w:t>
      </w:r>
      <w:r w:rsidR="00E314F2" w:rsidRPr="00DD47DF">
        <w:lastRenderedPageBreak/>
        <w:t>spojené s </w:t>
      </w:r>
      <w:r w:rsidR="00E873A7" w:rsidRPr="00DD47DF">
        <w:t>obnovou a zajištěním dodávek elektrické energie</w:t>
      </w:r>
      <w:r w:rsidR="00E43457" w:rsidRPr="00DD47DF">
        <w:t>,</w:t>
      </w:r>
      <w:r w:rsidR="00E314F2" w:rsidRPr="00DD47DF">
        <w:t xml:space="preserve"> z</w:t>
      </w:r>
      <w:r w:rsidR="00E873A7" w:rsidRPr="00DD47DF">
        <w:t>výšení spolehlivosti dodávek elektrické energie</w:t>
      </w:r>
      <w:r w:rsidR="00E43457" w:rsidRPr="00DD47DF">
        <w:t xml:space="preserve"> a postupné přiblížení spolehlivosti dodávek na úroveň obvyklou v zemích EU-15.</w:t>
      </w:r>
    </w:p>
    <w:p w14:paraId="4250B733" w14:textId="77777777" w:rsidR="00E43457" w:rsidRPr="00DD47DF" w:rsidRDefault="00E43457" w:rsidP="00E43457">
      <w:pPr>
        <w:pStyle w:val="Standardntext"/>
      </w:pPr>
      <w:r w:rsidRPr="00DD47DF">
        <w:t>Dalším typovým projektem v rámci tohoto specifického cíle je nasazení technologických prvků řízení napětí v distribučních soustavách a výběrové osazení měření kvality na hladině nízkého</w:t>
      </w:r>
      <w:r w:rsidR="00007987" w:rsidRPr="00DD47DF">
        <w:t xml:space="preserve"> (nn)</w:t>
      </w:r>
      <w:r w:rsidRPr="00DD47DF">
        <w:t xml:space="preserve"> a středního </w:t>
      </w:r>
      <w:r w:rsidR="00007987" w:rsidRPr="00DD47DF">
        <w:t xml:space="preserve">(vn) </w:t>
      </w:r>
      <w:r w:rsidRPr="00DD47DF">
        <w:t xml:space="preserve">napětí. Tyto prvky umožní zvýšení kvality dodávané energie (především parametr napětí), umožní eliminaci nepříznivých jevů nepredikovatelných výrobních zdrojů na kvalitu napětí a připraví distribuční společnosti na další očekávanou integraci decentralizovaných zdrojů energie. </w:t>
      </w:r>
    </w:p>
    <w:p w14:paraId="2D90FE17" w14:textId="77777777" w:rsidR="00E43457" w:rsidRPr="00DD47DF" w:rsidRDefault="00E43457" w:rsidP="00E43457">
      <w:pPr>
        <w:pStyle w:val="Standardntext"/>
      </w:pPr>
      <w:r w:rsidRPr="00DD47DF">
        <w:t>Mezi technologické prvky řízení napětí patří linkové kondicionéry na nn úrovni, distribuční transformátory vn/nn s automatickou regulací odboček pod zátěží a opatření na straně provozovatele distribuční sítě v oblasti regulace jalového výkonu výroben (úpravy dispečerských řídicích systémů, úpravy a integrace SW algoritmů pro řízení napětí v jednotlivých oblastech 110 kV/vn, prostředky dálkové komunikace a doplnění měření). Mezi technologické prvky měření kvality na vn/nn úrovni patří výběrové osazení univerzálních monitorů, integrovaných datových koncentrátorů umožňujících měření parametrů kvality, prostředků dálkové komunikace, úpravu SW systémů pro vyhodnocování kvality el. energie).</w:t>
      </w:r>
    </w:p>
    <w:p w14:paraId="2E7074AD" w14:textId="77777777" w:rsidR="00E43457" w:rsidRPr="00DD47DF" w:rsidRDefault="00942A5B" w:rsidP="00E43457">
      <w:pPr>
        <w:pStyle w:val="Standardntext"/>
      </w:pPr>
      <w:r w:rsidRPr="00DD47DF">
        <w:t xml:space="preserve">Výstupem projektu bude nasazení prvků řízení napětí v distribučních soustavách a výběrové osazení </w:t>
      </w:r>
      <w:r w:rsidR="00E43457" w:rsidRPr="00DD47DF">
        <w:t>měření kvality na vn/nn úrovni, které se promítají do výsledků ve formě snížení investičních nákladů provozovatele distribuční soustavy spojené s nápra</w:t>
      </w:r>
      <w:r w:rsidR="00007987" w:rsidRPr="00DD47DF">
        <w:t>vným řešením kvality dodávek elektrické</w:t>
      </w:r>
      <w:r w:rsidR="00E43457" w:rsidRPr="00DD47DF">
        <w:t xml:space="preserve"> energie, snížením počtu stížností zák</w:t>
      </w:r>
      <w:r w:rsidR="00007987" w:rsidRPr="00DD47DF">
        <w:t>azníků na kvalitu elektrické</w:t>
      </w:r>
      <w:r w:rsidR="00E43457" w:rsidRPr="00DD47DF">
        <w:t xml:space="preserve"> energie, snížením budoucího rizika zhoršování kvality napětí související s dalším připojováním decentralizovaných zdrojů energie na hladině nn a provozování vn vedení s konstantní úrovní napětí, tzn. zvýšení bezpečnosti a spolehlivosti.</w:t>
      </w:r>
    </w:p>
    <w:p w14:paraId="2B38CCCB" w14:textId="77777777" w:rsidR="00E43457" w:rsidRPr="00DD47DF" w:rsidRDefault="00E43457" w:rsidP="00007987">
      <w:pPr>
        <w:pStyle w:val="Standardntext"/>
      </w:pPr>
      <w:r w:rsidRPr="00DD47DF">
        <w:t>Dalším typovým projektem v rámci tohoto specifického cíle je technologické řešení lokální bilance řízením toků výkonu mezi odběrateli a provozovatelem distribuční sítě. Využitím dostupného výkonu akumulačních spotřebičů a změny logiky spínání hromadného dálkového ovládání na výkonovou bilanci distribuční trafostanice se sníží</w:t>
      </w:r>
      <w:r w:rsidR="00007987" w:rsidRPr="00DD47DF">
        <w:t>,</w:t>
      </w:r>
      <w:r w:rsidRPr="00DD47DF">
        <w:t xml:space="preserve"> až eliminují negativní vlivy lokálně zapojených nepredikovatelných výrobních zdrojů (FVE), především přetoky el</w:t>
      </w:r>
      <w:r w:rsidR="00007987" w:rsidRPr="00DD47DF">
        <w:t>ektrické</w:t>
      </w:r>
      <w:r w:rsidRPr="00DD47DF">
        <w:t xml:space="preserve"> energie do vyšší napěťové hladiny. Mezi technologické prvky lokální bilance řízení patří spínače dostupného výkonu akumulačních spotřebičů u odběratelů, predikční nástroje pro výrobní zdroje (FVE) na lokální úrovni a </w:t>
      </w:r>
      <w:r w:rsidR="00007987" w:rsidRPr="00DD47DF">
        <w:t>řídicí</w:t>
      </w:r>
      <w:r w:rsidRPr="00DD47DF">
        <w:t xml:space="preserve"> systém na lokální úrovni.</w:t>
      </w:r>
    </w:p>
    <w:p w14:paraId="3D154736" w14:textId="77777777" w:rsidR="00E43457" w:rsidRPr="00DD47DF" w:rsidRDefault="00E43457" w:rsidP="00007987">
      <w:pPr>
        <w:pStyle w:val="Standardntext"/>
      </w:pPr>
      <w:r w:rsidRPr="00DD47DF">
        <w:t>Výstupem projektu bude nasazení prvků řešení lokální bilance řízením toků výkonu mezi odběrateli a provozovatelem distribuční sítě, které se promítají do výsledků ve formě eliminace přetoků do vyšších napěťových hladin, snižování ztrát a zvyšování účinnosti distribuce el</w:t>
      </w:r>
      <w:r w:rsidR="00007987" w:rsidRPr="00DD47DF">
        <w:t>ektrické</w:t>
      </w:r>
      <w:r w:rsidRPr="00DD47DF">
        <w:t xml:space="preserve"> energie na lokální úrovni.</w:t>
      </w:r>
    </w:p>
    <w:p w14:paraId="7459B6AF" w14:textId="77777777" w:rsidR="00E314F2" w:rsidRPr="00DD47DF" w:rsidRDefault="00C64425" w:rsidP="00E314F2">
      <w:pPr>
        <w:pStyle w:val="Standardntext"/>
      </w:pPr>
      <w:r w:rsidRPr="00DD47DF">
        <w:t>Aktivity jsou definovány ve vazbě na aktualizovanou Státní energetickou koncepci</w:t>
      </w:r>
      <w:r w:rsidR="007D0E83" w:rsidRPr="00DD47DF">
        <w:t>, přičemž p</w:t>
      </w:r>
      <w:r w:rsidR="00007987" w:rsidRPr="00DD47DF">
        <w:t>odrobnější specifikace realizovaných opatření bude v souladu s cíli a kartami opatření </w:t>
      </w:r>
      <w:r w:rsidR="00E314F2" w:rsidRPr="00DD47DF">
        <w:t xml:space="preserve">Národního akčního plánu </w:t>
      </w:r>
      <w:r w:rsidR="00007987" w:rsidRPr="00DD47DF">
        <w:t>Smart Grids</w:t>
      </w:r>
      <w:r w:rsidR="00E314F2" w:rsidRPr="00DD47DF">
        <w:t>.</w:t>
      </w:r>
    </w:p>
    <w:p w14:paraId="30C25023" w14:textId="77777777" w:rsidR="00A56556" w:rsidRPr="00DD47DF" w:rsidRDefault="00A56556" w:rsidP="00A56556">
      <w:pPr>
        <w:pStyle w:val="Standardntext"/>
      </w:pPr>
      <w:r w:rsidRPr="00DD47DF">
        <w:t xml:space="preserve">Současně budou aktivity v souladu s níže uvedenou definici Smart grid: </w:t>
      </w:r>
    </w:p>
    <w:p w14:paraId="29890C3C" w14:textId="77777777" w:rsidR="00A56556" w:rsidRPr="00DD47DF" w:rsidRDefault="00270C11" w:rsidP="00A56556">
      <w:pPr>
        <w:pStyle w:val="Standardntext"/>
      </w:pPr>
      <w:r w:rsidRPr="00DD47DF">
        <w:t>Inteligentní sítí se rozumí elektrická síť, která může nákladově efektivně zohlednit chování a akce všech uživatelů na ni napojených, včetně výrobců, spotřebitelů a těch, kteří elektřinu vyrábějí i spotřebovávají, k zajištění ekonomicky efektivní udržitelné elektrické soustavy s malými ztrátami a vysokou úrovní jakosti a bezpečnosti dodávek a zabezpečení.</w:t>
      </w:r>
    </w:p>
    <w:p w14:paraId="09A71226" w14:textId="77777777" w:rsidR="0058402E" w:rsidRPr="00DD47DF" w:rsidRDefault="0058402E" w:rsidP="00D540FC">
      <w:pPr>
        <w:pStyle w:val="Standardntext"/>
      </w:pPr>
      <w:r w:rsidRPr="00DD47DF">
        <w:rPr>
          <w:b/>
        </w:rPr>
        <w:lastRenderedPageBreak/>
        <w:t xml:space="preserve">Hlavní cílová skupina: </w:t>
      </w:r>
      <w:r w:rsidR="00127389" w:rsidRPr="00DD47DF">
        <w:t>P</w:t>
      </w:r>
      <w:r w:rsidR="00D540FC" w:rsidRPr="00DD47DF">
        <w:t>rovozovatelé distribučních soustav, kteří se hodlají soustředit na modernizaci a rozvoj distribučních soustav.</w:t>
      </w:r>
      <w:r w:rsidRPr="00DD47DF">
        <w:t xml:space="preserve"> </w:t>
      </w:r>
    </w:p>
    <w:p w14:paraId="696FDFB1" w14:textId="77777777" w:rsidR="0058402E" w:rsidRPr="00DD47DF" w:rsidRDefault="0058402E" w:rsidP="00D540FC">
      <w:pPr>
        <w:pStyle w:val="Standardntext"/>
      </w:pPr>
      <w:r w:rsidRPr="00DD47DF">
        <w:rPr>
          <w:b/>
        </w:rPr>
        <w:t>Cílové území:</w:t>
      </w:r>
      <w:r w:rsidRPr="00DD47DF">
        <w:t xml:space="preserve"> </w:t>
      </w:r>
      <w:r w:rsidR="001E0AA2" w:rsidRPr="00DD47DF">
        <w:t>Území České republiky, mimo území hl. m. Prahy.</w:t>
      </w:r>
      <w:r w:rsidR="00015039" w:rsidRPr="00DD47DF">
        <w:t xml:space="preserve"> </w:t>
      </w:r>
      <w:r w:rsidR="00A46CD6" w:rsidRPr="00DD47DF">
        <w:t>Předpokládá se plošné směrování intervencí bez vymezení územní dimenze</w:t>
      </w:r>
      <w:r w:rsidR="00015039" w:rsidRPr="00DD47DF">
        <w:t>.</w:t>
      </w:r>
    </w:p>
    <w:p w14:paraId="03E589BB" w14:textId="77777777" w:rsidR="007D0E83" w:rsidRPr="00DD47DF" w:rsidRDefault="0058402E" w:rsidP="007D0E83">
      <w:pPr>
        <w:pStyle w:val="Standardntext"/>
      </w:pPr>
      <w:r w:rsidRPr="00DD47DF">
        <w:rPr>
          <w:b/>
        </w:rPr>
        <w:t xml:space="preserve">Typy příjemců: </w:t>
      </w:r>
      <w:r w:rsidRPr="00DD47DF">
        <w:t>Podnikatelské subjekty (</w:t>
      </w:r>
      <w:r w:rsidR="00D540FC" w:rsidRPr="00DD47DF">
        <w:t>zejména střední a velké podniky</w:t>
      </w:r>
      <w:r w:rsidRPr="00DD47DF">
        <w:t>).</w:t>
      </w:r>
      <w:r w:rsidR="00E314F2" w:rsidRPr="00DD47DF">
        <w:t xml:space="preserve"> Provozovatelé distribučních sítí jsou </w:t>
      </w:r>
      <w:r w:rsidR="007D0E83" w:rsidRPr="00DD47DF">
        <w:t xml:space="preserve">v ČR </w:t>
      </w:r>
      <w:r w:rsidR="00E314F2" w:rsidRPr="00DD47DF">
        <w:t xml:space="preserve">zpravidla velké podniky, tudíž rozvoj </w:t>
      </w:r>
      <w:r w:rsidR="007D0E83" w:rsidRPr="00DD47DF">
        <w:t>inteligentních</w:t>
      </w:r>
      <w:r w:rsidR="00E314F2" w:rsidRPr="00DD47DF">
        <w:t xml:space="preserve"> sítí nelze realizovat v segmentu malých a středních firem.</w:t>
      </w:r>
      <w:r w:rsidR="007D0E83" w:rsidRPr="00DD47DF">
        <w:t xml:space="preserve"> Provozovatelé distribučních sítí jsou držitelem licence na distribuci elektřiny a zřizují technický dispečink pro výkon činností v případě, že provozují zařízení s napětím 110 kV ve smyslu energetického zákona č. 458/2000 Sb. K realizaci výše uvedených podporovaných aktivit je nutné dispečerské řízení prostřednictvím technického dispečinku. Odpovědnost za realizaci podporovaných aktivit inteligentních sítí mají provozovatelé distribučních sítí, jak vyplývá např. z dokumentů SET Plan / iniciativy European Electricity Grid Initiative.</w:t>
      </w:r>
    </w:p>
    <w:p w14:paraId="17E18B26" w14:textId="77777777" w:rsidR="0058402E" w:rsidRPr="00DD47DF" w:rsidRDefault="00BA6461" w:rsidP="005F43DF">
      <w:pPr>
        <w:pStyle w:val="Nadpis5"/>
        <w:numPr>
          <w:ilvl w:val="4"/>
          <w:numId w:val="22"/>
        </w:numPr>
      </w:pPr>
      <w:r w:rsidRPr="00DD47DF">
        <w:t>Hlavní zásady pro výběr operací</w:t>
      </w:r>
    </w:p>
    <w:p w14:paraId="42A3FDD5"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284DA3BB" w14:textId="77777777" w:rsidR="00B12F31" w:rsidRPr="00DD47DF" w:rsidRDefault="00B12F31" w:rsidP="00B12F31">
      <w:pPr>
        <w:pStyle w:val="Standardntext"/>
      </w:pPr>
      <w:r w:rsidRPr="00DD47DF">
        <w:t>V rámci výběru a hodnocení projektů budou posuzována především následující kritéria:</w:t>
      </w:r>
    </w:p>
    <w:p w14:paraId="458EFE1F" w14:textId="77777777" w:rsidR="00B12F31" w:rsidRPr="00DD47DF" w:rsidRDefault="00B12F31" w:rsidP="00D927A2">
      <w:pPr>
        <w:pStyle w:val="Standardntext"/>
        <w:numPr>
          <w:ilvl w:val="0"/>
          <w:numId w:val="43"/>
        </w:numPr>
      </w:pPr>
      <w:r w:rsidRPr="00DD47DF">
        <w:t xml:space="preserve">Kvalita a potřebnost </w:t>
      </w:r>
      <w:r w:rsidR="00C0640C" w:rsidRPr="00DD47DF">
        <w:t xml:space="preserve">projektu </w:t>
      </w:r>
      <w:r w:rsidRPr="00DD47DF">
        <w:t xml:space="preserve">s ohledem na </w:t>
      </w:r>
      <w:r w:rsidR="00DC4382" w:rsidRPr="00DD47DF">
        <w:t>jeho</w:t>
      </w:r>
      <w:r w:rsidRPr="00DD47DF">
        <w:t xml:space="preserve"> přínosy k bezpečnosti distribuční soustavy a nově zavedené technologie.</w:t>
      </w:r>
    </w:p>
    <w:p w14:paraId="19B7C627" w14:textId="77777777" w:rsidR="00B12F31" w:rsidRPr="00DD47DF" w:rsidRDefault="00B12F31"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3A39864F" w14:textId="77777777" w:rsidR="00192F36" w:rsidRPr="00DD47DF" w:rsidRDefault="00192F36"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4BE24AC2" w14:textId="77777777" w:rsidR="0058402E" w:rsidRPr="00DD47DF" w:rsidRDefault="00BA6461" w:rsidP="005F43DF">
      <w:pPr>
        <w:pStyle w:val="Nadpis5"/>
        <w:numPr>
          <w:ilvl w:val="4"/>
          <w:numId w:val="22"/>
        </w:numPr>
        <w:rPr>
          <w:rFonts w:cs="Calibri"/>
        </w:rPr>
      </w:pPr>
      <w:r w:rsidRPr="00DD47DF">
        <w:t>Plánované využití finančních nástrojů (použije-li se)</w:t>
      </w:r>
    </w:p>
    <w:p w14:paraId="435AC7F2" w14:textId="77777777" w:rsidR="0058402E" w:rsidRPr="00DD47DF" w:rsidRDefault="00352703" w:rsidP="002A4D1D">
      <w:pPr>
        <w:pStyle w:val="Standardntext"/>
        <w:rPr>
          <w:color w:val="FF0000"/>
        </w:rPr>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0CB57618" w14:textId="77777777" w:rsidR="0058402E" w:rsidRPr="00DD47DF" w:rsidRDefault="00BA6461" w:rsidP="005F43DF">
      <w:pPr>
        <w:pStyle w:val="Nadpis5"/>
        <w:numPr>
          <w:ilvl w:val="4"/>
          <w:numId w:val="22"/>
        </w:numPr>
      </w:pPr>
      <w:r w:rsidRPr="00DD47DF">
        <w:t>Plánované využití velkých projektů (použije-li se)</w:t>
      </w:r>
    </w:p>
    <w:p w14:paraId="28802EC4"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588EE9F2" w14:textId="77777777" w:rsidR="0058402E" w:rsidRPr="00DD47DF" w:rsidRDefault="00BA6461" w:rsidP="005F43DF">
      <w:pPr>
        <w:pStyle w:val="Nadpis5"/>
        <w:numPr>
          <w:ilvl w:val="4"/>
          <w:numId w:val="22"/>
        </w:numPr>
      </w:pPr>
      <w:r w:rsidRPr="00DD47DF">
        <w:lastRenderedPageBreak/>
        <w:t>Ukazatele výstupů podle investiční priority a případně podle kategorie regionů</w:t>
      </w:r>
    </w:p>
    <w:p w14:paraId="7DB1D375" w14:textId="77777777" w:rsidR="0058402E" w:rsidRPr="00DD47DF" w:rsidRDefault="0058402E" w:rsidP="00EC2D25">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71"/>
        <w:gridCol w:w="2194"/>
        <w:gridCol w:w="1081"/>
        <w:gridCol w:w="665"/>
        <w:gridCol w:w="1275"/>
        <w:gridCol w:w="1140"/>
        <w:gridCol w:w="1050"/>
        <w:gridCol w:w="1250"/>
      </w:tblGrid>
      <w:tr w:rsidR="001B2E5C" w:rsidRPr="00DD47DF" w14:paraId="091ECFEF"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A0A3AF2" w14:textId="77777777" w:rsidR="001B2E5C" w:rsidRPr="00DD47DF" w:rsidRDefault="001B2E5C" w:rsidP="00EC2D25">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584311A" w14:textId="77777777" w:rsidR="001B2E5C" w:rsidRPr="00DD47DF" w:rsidRDefault="001B2E5C" w:rsidP="00EC2D25">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5C8E76" w14:textId="77777777" w:rsidR="001B2E5C" w:rsidRPr="00DD47DF" w:rsidRDefault="001B2E5C" w:rsidP="00EC2D25">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8D1FA71" w14:textId="77777777" w:rsidR="001B2E5C" w:rsidRPr="00DD47DF" w:rsidRDefault="001B2E5C" w:rsidP="00EC2D25">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A819605" w14:textId="77777777" w:rsidR="001B2E5C" w:rsidRPr="00DD47DF" w:rsidRDefault="001B2E5C" w:rsidP="00EC2D25">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86516E9" w14:textId="77777777" w:rsidR="001B2E5C" w:rsidRPr="00DD47DF" w:rsidRDefault="001B2E5C" w:rsidP="00D57106">
            <w:pPr>
              <w:pStyle w:val="Tabulka"/>
              <w:keepNext/>
              <w:keepLines/>
              <w:rPr>
                <w:rFonts w:cs="Calibri"/>
                <w:b/>
              </w:rPr>
            </w:pPr>
            <w:r w:rsidRPr="00DD47DF">
              <w:rPr>
                <w:rFonts w:cs="Calibri"/>
                <w:b/>
              </w:rPr>
              <w:t>Cílová hodnota</w:t>
            </w:r>
            <w:r w:rsidR="00D57106"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92C9AFE" w14:textId="77777777" w:rsidR="001B2E5C" w:rsidRPr="00DD47DF" w:rsidRDefault="001B2E5C" w:rsidP="00EC2D25">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F4304E0" w14:textId="77777777" w:rsidR="001B2E5C" w:rsidRPr="00DD47DF" w:rsidRDefault="001B2E5C" w:rsidP="00EC2D25">
            <w:pPr>
              <w:pStyle w:val="Tabulka"/>
              <w:keepNext/>
              <w:keepLines/>
              <w:rPr>
                <w:rFonts w:cs="Calibri"/>
                <w:b/>
              </w:rPr>
            </w:pPr>
            <w:r w:rsidRPr="00DD47DF">
              <w:rPr>
                <w:rFonts w:cs="Calibri"/>
                <w:b/>
              </w:rPr>
              <w:t>Četnost podávání zpráv</w:t>
            </w:r>
          </w:p>
        </w:tc>
      </w:tr>
      <w:tr w:rsidR="00FD0399" w:rsidRPr="00DD47DF" w14:paraId="1E44C9B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E1BAD08" w14:textId="0B038AAF" w:rsidR="00FD0399" w:rsidRPr="00DD47DF" w:rsidRDefault="00C75691" w:rsidP="00EC2D25">
            <w:pPr>
              <w:pStyle w:val="Tabulka"/>
              <w:keepNext/>
              <w:keepLines/>
              <w:rPr>
                <w:rFonts w:cs="Calibri"/>
              </w:rPr>
            </w:pPr>
            <w:r w:rsidRPr="00DD47DF">
              <w:rPr>
                <w:rFonts w:cs="Calibri"/>
              </w:rPr>
              <w:t xml:space="preserve">CO </w:t>
            </w:r>
            <w:r w:rsidR="00081C97" w:rsidRPr="00DD47DF">
              <w:rPr>
                <w:rFonts w:cs="Calibri"/>
              </w:rPr>
              <w:t>0</w:t>
            </w:r>
            <w:r w:rsidR="00FD039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06CA085E" w14:textId="77777777" w:rsidR="00FD0399" w:rsidRPr="00DD47DF" w:rsidRDefault="007D6298" w:rsidP="00EC2D25">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0FAFA663" w14:textId="77777777" w:rsidR="00FD0399" w:rsidRPr="00DD47DF" w:rsidRDefault="00FD0399" w:rsidP="00EC2D25">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08EEC32" w14:textId="77777777" w:rsidR="00FD0399" w:rsidRPr="00DD47DF" w:rsidRDefault="002B3F69" w:rsidP="00EC2D25">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60817E6" w14:textId="77777777" w:rsidR="00FD0399" w:rsidRPr="00DD47DF" w:rsidRDefault="00FD0399" w:rsidP="00EC2D25">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F89B54F" w14:textId="3EBE4F29" w:rsidR="00FD0399" w:rsidRPr="00DD47DF" w:rsidRDefault="00B0587B" w:rsidP="00EC2D25">
            <w:pPr>
              <w:pStyle w:val="Tabulka"/>
              <w:keepNext/>
              <w:keepLines/>
              <w:rPr>
                <w:rFonts w:cs="Calibri"/>
              </w:rPr>
            </w:pPr>
            <w:r>
              <w:rPr>
                <w:rFonts w:cs="Calibri"/>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40FD80F9" w14:textId="77777777" w:rsidR="00FD0399" w:rsidRPr="00DD47DF" w:rsidRDefault="00FC7054" w:rsidP="00EC2D25">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5849B22A" w14:textId="77777777" w:rsidR="00FD0399" w:rsidRPr="00DD47DF" w:rsidRDefault="00FC7054" w:rsidP="00EC2D25">
            <w:pPr>
              <w:pStyle w:val="Tabulka"/>
              <w:keepNext/>
              <w:keepLines/>
              <w:rPr>
                <w:rFonts w:cs="Calibri"/>
              </w:rPr>
            </w:pPr>
            <w:r>
              <w:rPr>
                <w:rFonts w:cs="Calibri"/>
              </w:rPr>
              <w:t>průběžně</w:t>
            </w:r>
          </w:p>
        </w:tc>
      </w:tr>
      <w:tr w:rsidR="002B3F69" w:rsidRPr="00DD47DF" w14:paraId="0B4E29C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FFACD11" w14:textId="21EC1D70" w:rsidR="002B3F69" w:rsidRPr="00DD47DF" w:rsidRDefault="00C75691" w:rsidP="007E38FF">
            <w:pPr>
              <w:pStyle w:val="Tabulka"/>
              <w:rPr>
                <w:rFonts w:cs="Calibri"/>
              </w:rPr>
            </w:pPr>
            <w:r w:rsidRPr="00DD47DF">
              <w:rPr>
                <w:rFonts w:cs="Calibri"/>
              </w:rPr>
              <w:t xml:space="preserve">CO </w:t>
            </w:r>
            <w:r w:rsidR="00081C97"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399D460" w14:textId="77777777" w:rsidR="002B3F69" w:rsidRPr="00DD47DF" w:rsidRDefault="002B3F69" w:rsidP="007E38FF">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F75407E" w14:textId="77777777" w:rsidR="002B3F69" w:rsidRPr="00DD47DF" w:rsidRDefault="002B3F69"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7037DE8A" w14:textId="77777777" w:rsidR="002B3F69" w:rsidRPr="00DD47DF" w:rsidRDefault="002B3F69"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A6139E3" w14:textId="77777777" w:rsidR="002B3F69" w:rsidRPr="00DD47DF" w:rsidRDefault="002B3F69" w:rsidP="007E38FF">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EF686B7" w14:textId="25EFABAB" w:rsidR="002B3F69" w:rsidRPr="00DD47DF" w:rsidRDefault="00B0587B" w:rsidP="007E38FF">
            <w:pPr>
              <w:pStyle w:val="Tabulka"/>
              <w:rPr>
                <w:rFonts w:cs="Calibri"/>
              </w:rPr>
            </w:pPr>
            <w:r>
              <w:rPr>
                <w:rFonts w:cs="Calibri"/>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029AFEBD" w14:textId="77777777" w:rsidR="002B3F69"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F2B4DA3" w14:textId="77777777" w:rsidR="002B3F69" w:rsidRPr="00DD47DF" w:rsidRDefault="00FC7054" w:rsidP="007E38FF">
            <w:pPr>
              <w:pStyle w:val="Tabulka"/>
              <w:rPr>
                <w:rFonts w:cs="Calibri"/>
              </w:rPr>
            </w:pPr>
            <w:r>
              <w:rPr>
                <w:rFonts w:cs="Calibri"/>
              </w:rPr>
              <w:t>průběžně</w:t>
            </w:r>
          </w:p>
        </w:tc>
      </w:tr>
      <w:tr w:rsidR="002B3F69" w:rsidRPr="00DD47DF" w14:paraId="2FDD4640" w14:textId="77777777" w:rsidTr="008F259C">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50A6882B" w14:textId="7A321E90" w:rsidR="002B3F69" w:rsidRPr="00DD47DF" w:rsidRDefault="00C75691" w:rsidP="008F259C">
            <w:pPr>
              <w:pStyle w:val="Tabulka"/>
              <w:keepLines/>
              <w:rPr>
                <w:rFonts w:cs="Calibri"/>
              </w:rPr>
            </w:pPr>
            <w:r w:rsidRPr="00DD47DF">
              <w:rPr>
                <w:rFonts w:cs="Calibri"/>
              </w:rPr>
              <w:t xml:space="preserve">CO </w:t>
            </w:r>
            <w:r w:rsidR="00081C97" w:rsidRPr="00DD47DF">
              <w:rPr>
                <w:rFonts w:cs="Calibri"/>
              </w:rPr>
              <w:t>0</w:t>
            </w:r>
            <w:r w:rsidR="002B3F69"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1FC2CCA3" w14:textId="77777777" w:rsidR="002B3F69" w:rsidRPr="00DD47DF" w:rsidRDefault="00892451" w:rsidP="008F259C">
            <w:pPr>
              <w:pStyle w:val="Tabulka"/>
              <w:keepLines/>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F315C17" w14:textId="77777777" w:rsidR="002B3F69" w:rsidRPr="00DD47DF" w:rsidRDefault="002B3F69" w:rsidP="008F259C">
            <w:pPr>
              <w:pStyle w:val="Tabulka"/>
              <w:keepLines/>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3A68DC8" w14:textId="77777777" w:rsidR="002B3F69" w:rsidRPr="00DD47DF" w:rsidRDefault="002B3F69" w:rsidP="008F259C">
            <w:pPr>
              <w:pStyle w:val="Tabulka"/>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79A3109" w14:textId="77777777" w:rsidR="002B3F69" w:rsidRPr="00DD47DF" w:rsidRDefault="002B3F69" w:rsidP="008F259C">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157F804" w14:textId="76997571" w:rsidR="002B3F69" w:rsidRPr="00DD47DF" w:rsidRDefault="00B0587B" w:rsidP="008F259C">
            <w:pPr>
              <w:pStyle w:val="Tabulka"/>
              <w:keepLines/>
              <w:rPr>
                <w:rFonts w:cs="Calibri"/>
              </w:rPr>
            </w:pPr>
            <w:r>
              <w:rPr>
                <w:rFonts w:cs="Calibri"/>
              </w:rPr>
              <w:t>8 700 000</w:t>
            </w:r>
          </w:p>
        </w:tc>
        <w:tc>
          <w:tcPr>
            <w:tcW w:w="0" w:type="auto"/>
            <w:tcBorders>
              <w:top w:val="single" w:sz="4" w:space="0" w:color="000000"/>
              <w:left w:val="single" w:sz="4" w:space="0" w:color="000000"/>
              <w:bottom w:val="single" w:sz="4" w:space="0" w:color="000000"/>
              <w:right w:val="single" w:sz="4" w:space="0" w:color="000000"/>
            </w:tcBorders>
            <w:vAlign w:val="center"/>
          </w:tcPr>
          <w:p w14:paraId="36D291D0" w14:textId="77777777" w:rsidR="002B3F69" w:rsidRPr="00DD47DF" w:rsidRDefault="00800418" w:rsidP="008F259C">
            <w:pPr>
              <w:pStyle w:val="Tabulka"/>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4730A2AB" w14:textId="77777777" w:rsidR="002B3F69" w:rsidRPr="00DD47DF" w:rsidRDefault="00934A97" w:rsidP="008F259C">
            <w:pPr>
              <w:pStyle w:val="Tabulka"/>
              <w:keepLines/>
              <w:rPr>
                <w:rFonts w:cs="Calibri"/>
              </w:rPr>
            </w:pPr>
            <w:r>
              <w:rPr>
                <w:rFonts w:cs="Calibri"/>
              </w:rPr>
              <w:t>průběžně</w:t>
            </w:r>
          </w:p>
        </w:tc>
      </w:tr>
      <w:tr w:rsidR="00AA16EC" w:rsidRPr="00DD47DF" w14:paraId="65A9E597" w14:textId="77777777" w:rsidTr="008F259C">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56DCCDB4" w14:textId="77777777" w:rsidR="00AA16EC" w:rsidRPr="00DD47DF" w:rsidDel="00C75691" w:rsidRDefault="00F467FE" w:rsidP="008F259C">
            <w:pPr>
              <w:pStyle w:val="Tabulka"/>
              <w:keepLines/>
              <w:rPr>
                <w:rFonts w:cs="Calibri"/>
              </w:rPr>
            </w:pPr>
            <w:r w:rsidRPr="00DD47DF">
              <w:rPr>
                <w:rFonts w:cs="Calibri"/>
              </w:rPr>
              <w:t>33503</w:t>
            </w:r>
          </w:p>
        </w:tc>
        <w:tc>
          <w:tcPr>
            <w:tcW w:w="0" w:type="auto"/>
            <w:tcBorders>
              <w:top w:val="single" w:sz="4" w:space="0" w:color="000000"/>
              <w:left w:val="single" w:sz="4" w:space="0" w:color="000000"/>
              <w:bottom w:val="single" w:sz="4" w:space="0" w:color="000000"/>
              <w:right w:val="single" w:sz="4" w:space="0" w:color="000000"/>
            </w:tcBorders>
            <w:vAlign w:val="center"/>
          </w:tcPr>
          <w:p w14:paraId="6FCC6507" w14:textId="77777777" w:rsidR="00AA16EC" w:rsidRPr="00DD47DF" w:rsidRDefault="00AA16EC" w:rsidP="008F259C">
            <w:pPr>
              <w:pStyle w:val="Tabulka"/>
              <w:keepLines/>
              <w:jc w:val="left"/>
              <w:rPr>
                <w:rFonts w:cs="Calibri"/>
              </w:rPr>
            </w:pPr>
            <w:r w:rsidRPr="00DD47DF">
              <w:rPr>
                <w:rFonts w:cs="Calibri"/>
              </w:rPr>
              <w:t xml:space="preserve">Nové </w:t>
            </w:r>
            <w:r w:rsidR="00D92892" w:rsidRPr="00DD47DF">
              <w:rPr>
                <w:rFonts w:cs="Calibri"/>
              </w:rPr>
              <w:t>smart grids systémy v distribučn</w:t>
            </w:r>
            <w:r w:rsidRPr="00DD47DF">
              <w:rPr>
                <w:rFonts w:cs="Calibri"/>
              </w:rPr>
              <w:t>ích soustavách</w:t>
            </w:r>
          </w:p>
        </w:tc>
        <w:tc>
          <w:tcPr>
            <w:tcW w:w="0" w:type="auto"/>
            <w:tcBorders>
              <w:top w:val="single" w:sz="4" w:space="0" w:color="000000"/>
              <w:left w:val="single" w:sz="4" w:space="0" w:color="000000"/>
              <w:bottom w:val="single" w:sz="4" w:space="0" w:color="000000"/>
              <w:right w:val="single" w:sz="4" w:space="0" w:color="000000"/>
            </w:tcBorders>
            <w:vAlign w:val="center"/>
          </w:tcPr>
          <w:p w14:paraId="0F4CBA4D" w14:textId="77777777" w:rsidR="00AA16EC" w:rsidRPr="00DD47DF" w:rsidRDefault="00AA16EC" w:rsidP="008F259C">
            <w:pPr>
              <w:pStyle w:val="Tabulka"/>
              <w:keepLines/>
              <w:rPr>
                <w:rFonts w:cs="Calibri"/>
              </w:rPr>
            </w:pPr>
            <w:r w:rsidRPr="00DD47DF">
              <w:rPr>
                <w:rFonts w:cs="Calibri"/>
              </w:rPr>
              <w:t>systém</w:t>
            </w:r>
            <w:r w:rsidR="009B0E08" w:rsidRPr="00DD47DF">
              <w:rPr>
                <w:rFonts w:cs="Calibri"/>
              </w:rPr>
              <w:t>y</w:t>
            </w:r>
          </w:p>
        </w:tc>
        <w:tc>
          <w:tcPr>
            <w:tcW w:w="0" w:type="auto"/>
            <w:tcBorders>
              <w:top w:val="single" w:sz="4" w:space="0" w:color="000000"/>
              <w:left w:val="single" w:sz="4" w:space="0" w:color="000000"/>
              <w:bottom w:val="single" w:sz="4" w:space="0" w:color="000000"/>
              <w:right w:val="single" w:sz="4" w:space="0" w:color="000000"/>
            </w:tcBorders>
            <w:vAlign w:val="center"/>
          </w:tcPr>
          <w:p w14:paraId="0D93E016" w14:textId="77777777" w:rsidR="00AA16EC" w:rsidRPr="00DD47DF" w:rsidRDefault="00AA16EC" w:rsidP="008F259C">
            <w:pPr>
              <w:pStyle w:val="Tabulka"/>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D0863BC" w14:textId="77777777" w:rsidR="00AA16EC" w:rsidRPr="00DD47DF" w:rsidRDefault="00AA16EC" w:rsidP="008F259C">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5E728E5" w14:textId="783B6456" w:rsidR="00AA16EC" w:rsidRPr="00DD47DF" w:rsidRDefault="00B0587B" w:rsidP="008F259C">
            <w:pPr>
              <w:pStyle w:val="Tabulka"/>
              <w:keepLines/>
              <w:rPr>
                <w:rFonts w:cs="Calibri"/>
              </w:rPr>
            </w:pPr>
            <w:r>
              <w:rPr>
                <w:rFonts w:cs="Calibri"/>
              </w:rPr>
              <w:t>14</w:t>
            </w:r>
          </w:p>
        </w:tc>
        <w:tc>
          <w:tcPr>
            <w:tcW w:w="0" w:type="auto"/>
            <w:tcBorders>
              <w:top w:val="single" w:sz="4" w:space="0" w:color="000000"/>
              <w:left w:val="single" w:sz="4" w:space="0" w:color="000000"/>
              <w:bottom w:val="single" w:sz="4" w:space="0" w:color="000000"/>
              <w:right w:val="single" w:sz="4" w:space="0" w:color="000000"/>
            </w:tcBorders>
            <w:vAlign w:val="center"/>
          </w:tcPr>
          <w:p w14:paraId="5018ADEF" w14:textId="77777777" w:rsidR="00AA16EC" w:rsidRPr="00DD47DF" w:rsidRDefault="002F1844" w:rsidP="008F259C">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DD5945F" w14:textId="77777777" w:rsidR="00AA16EC" w:rsidRPr="00DD47DF" w:rsidRDefault="0067650F" w:rsidP="008F259C">
            <w:pPr>
              <w:pStyle w:val="Tabulka"/>
              <w:keepLines/>
              <w:rPr>
                <w:rFonts w:cs="Calibri"/>
              </w:rPr>
            </w:pPr>
            <w:r>
              <w:rPr>
                <w:rFonts w:cs="Calibri"/>
              </w:rPr>
              <w:t>průběžně</w:t>
            </w:r>
          </w:p>
        </w:tc>
      </w:tr>
    </w:tbl>
    <w:p w14:paraId="41D9ACF8" w14:textId="77777777" w:rsidR="00EC2D25" w:rsidRPr="00DD47DF" w:rsidRDefault="00EC2D25" w:rsidP="0025513A">
      <w:pPr>
        <w:pStyle w:val="kapitola2A0"/>
        <w:numPr>
          <w:ilvl w:val="2"/>
          <w:numId w:val="67"/>
        </w:numPr>
      </w:pPr>
      <w:bookmarkStart w:id="73" w:name="_Toc129005408"/>
      <w:r w:rsidRPr="00DD47DF">
        <w:t>INVESTIČNÍ PRIORITA 4 prioritní osy 3: Podpora výzkumu</w:t>
      </w:r>
      <w:r w:rsidR="002641C7" w:rsidRPr="00DD47DF">
        <w:t xml:space="preserve"> a</w:t>
      </w:r>
      <w:r w:rsidRPr="00DD47DF">
        <w:t xml:space="preserve"> inovací a zavádění nízkouhlíkových technologií</w:t>
      </w:r>
      <w:bookmarkEnd w:id="73"/>
    </w:p>
    <w:p w14:paraId="56CD7B23" w14:textId="77777777" w:rsidR="003B05CA" w:rsidRPr="00DD47DF" w:rsidRDefault="008C7D72" w:rsidP="0025513A">
      <w:pPr>
        <w:pStyle w:val="kapitola2A0"/>
        <w:numPr>
          <w:ilvl w:val="2"/>
          <w:numId w:val="67"/>
        </w:numPr>
      </w:pPr>
      <w:bookmarkStart w:id="74" w:name="_Toc129005409"/>
      <w:r w:rsidRPr="00DD47DF">
        <w:t>Specifické cíle odpovídající investiční prioritě a očekávané výsledky</w:t>
      </w:r>
      <w:bookmarkEnd w:id="74"/>
    </w:p>
    <w:p w14:paraId="23F9CDC6" w14:textId="77777777" w:rsidR="00EC0F1D" w:rsidRPr="00DD47DF" w:rsidRDefault="00EC0F1D" w:rsidP="00396141">
      <w:pPr>
        <w:pStyle w:val="Modrnadpis"/>
      </w:pPr>
      <w:r w:rsidRPr="00DD47DF">
        <w:t xml:space="preserve">SPECIFICKÝ CÍL </w:t>
      </w:r>
      <w:r w:rsidR="00C71E6F" w:rsidRPr="00DD47DF">
        <w:t>3.</w:t>
      </w:r>
      <w:r w:rsidRPr="00DD47DF">
        <w:t xml:space="preserve">4: </w:t>
      </w:r>
      <w:r w:rsidR="008D77E8" w:rsidRPr="00DD47DF">
        <w:t>Uplatnit inovativní nízkouhlíkové technologie v oblasti nakládání energií a při využívání druhotných surovin</w:t>
      </w:r>
    </w:p>
    <w:p w14:paraId="4157F986" w14:textId="77777777" w:rsidR="00376385" w:rsidRPr="00DD47DF" w:rsidRDefault="0034513C" w:rsidP="00D540FC">
      <w:pPr>
        <w:pStyle w:val="Standardntext"/>
      </w:pPr>
      <w:r w:rsidRPr="00DD47DF">
        <w:t>K technologické změně, která je nutná k dosažení energetických a surovinových cílů Č</w:t>
      </w:r>
      <w:r w:rsidR="00686722" w:rsidRPr="00DD47DF">
        <w:t>R a</w:t>
      </w:r>
      <w:r w:rsidRPr="00DD47DF">
        <w:t xml:space="preserve"> E</w:t>
      </w:r>
      <w:r w:rsidR="00CC6093" w:rsidRPr="00DD47DF">
        <w:t>U</w:t>
      </w:r>
      <w:r w:rsidRPr="00DD47DF">
        <w:t xml:space="preserve">, může dojít, pouze pokud </w:t>
      </w:r>
      <w:r w:rsidR="00CC6093" w:rsidRPr="00DD47DF">
        <w:t>se podstatně zmodernizuje</w:t>
      </w:r>
      <w:r w:rsidRPr="00DD47DF">
        <w:t xml:space="preserve"> </w:t>
      </w:r>
      <w:r w:rsidR="00CC6093" w:rsidRPr="00DD47DF">
        <w:t>stávající technologická</w:t>
      </w:r>
      <w:r w:rsidRPr="00DD47DF">
        <w:t xml:space="preserve"> základn</w:t>
      </w:r>
      <w:r w:rsidR="00CC6093" w:rsidRPr="00DD47DF">
        <w:t>a</w:t>
      </w:r>
      <w:r w:rsidRPr="00DD47DF">
        <w:t xml:space="preserve"> českých podniků. </w:t>
      </w:r>
      <w:r w:rsidR="00CC6093" w:rsidRPr="00DD47DF">
        <w:t xml:space="preserve">Větší uplatnění inovativních nízkouhlíkových technologií je však zastíněno nutností udržení podnikatelské produkce. </w:t>
      </w:r>
      <w:r w:rsidR="00376385" w:rsidRPr="00DD47DF">
        <w:t>Hlavním cílem je podpora konkurenceschopnosti podniků a udržitelnosti české ekonomiky prostřednictvím zaváděním nových technologií v oblasti nakládání energií a druhotných surovin.</w:t>
      </w:r>
    </w:p>
    <w:p w14:paraId="670C664A" w14:textId="77777777" w:rsidR="00942A5B" w:rsidRPr="00DD47DF" w:rsidRDefault="003508A9" w:rsidP="00942A5B">
      <w:pPr>
        <w:pStyle w:val="Modrnadpis"/>
      </w:pPr>
      <w:r w:rsidRPr="00DD47DF">
        <w:t xml:space="preserve">Výsledky, kterých chce ČR dosáhnout s podporou </w:t>
      </w:r>
      <w:r w:rsidR="00942A5B" w:rsidRPr="00DD47DF">
        <w:t>Unie</w:t>
      </w:r>
    </w:p>
    <w:p w14:paraId="61BD1234" w14:textId="77777777" w:rsidR="00160E34" w:rsidRPr="00DD47DF" w:rsidRDefault="00376385" w:rsidP="0025513A">
      <w:pPr>
        <w:pStyle w:val="Standardntext"/>
        <w:numPr>
          <w:ilvl w:val="0"/>
          <w:numId w:val="50"/>
        </w:numPr>
      </w:pPr>
      <w:r w:rsidRPr="00DD47DF">
        <w:t xml:space="preserve">Zvýšení využití </w:t>
      </w:r>
      <w:r w:rsidR="00CC6093" w:rsidRPr="00DD47DF">
        <w:t xml:space="preserve">efektivnějších a spolehlivějších energetických a surovinových nízkouhlíkových </w:t>
      </w:r>
      <w:r w:rsidRPr="00DD47DF">
        <w:t>technologií, které se běžně v ČR komerčně neuplatňují.</w:t>
      </w:r>
      <w:r w:rsidR="00600E4E" w:rsidRPr="00DD47DF">
        <w:t xml:space="preserve"> </w:t>
      </w:r>
      <w:r w:rsidR="00160E34" w:rsidRPr="00DD47DF">
        <w:t>Specifický cíl chce především naplňovat principy v souladu s Iniciativou Smart Cities a v další části chce pomoci zavádět technologie pro zpracování druhotných surovin v souladu se strategií Evropa méně náročná na zdroje. Níže uvedený výčet podporovaných aktivit tak není úplný, je především ilustrativní, neboť vývoj technologií je v této oblasti velmi dynamický a nelze dopředu předjímat novou konkrétní technologii.</w:t>
      </w:r>
    </w:p>
    <w:p w14:paraId="2D702F41" w14:textId="77777777" w:rsidR="0034513C" w:rsidRPr="00DD47DF" w:rsidRDefault="0034513C" w:rsidP="0025513A">
      <w:pPr>
        <w:pStyle w:val="Standardntext"/>
        <w:numPr>
          <w:ilvl w:val="0"/>
          <w:numId w:val="50"/>
        </w:numPr>
      </w:pPr>
      <w:r w:rsidRPr="00DD47DF">
        <w:lastRenderedPageBreak/>
        <w:t xml:space="preserve">Využití potenciálu </w:t>
      </w:r>
      <w:r w:rsidR="005A3907" w:rsidRPr="00DD47DF">
        <w:t>pro zavádění moderních nízkouhlíkových technologií v oblasti nakládání energií</w:t>
      </w:r>
      <w:r w:rsidR="00686722" w:rsidRPr="00DD47DF">
        <w:t xml:space="preserve"> a využívání druhotných surovin -</w:t>
      </w:r>
      <w:r w:rsidR="005A3907" w:rsidRPr="00DD47DF">
        <w:t xml:space="preserve"> především v malých a středních </w:t>
      </w:r>
      <w:r w:rsidR="00686722" w:rsidRPr="00DD47DF">
        <w:t>podnicích -</w:t>
      </w:r>
      <w:r w:rsidR="005A3907" w:rsidRPr="00DD47DF">
        <w:t xml:space="preserve"> který zvyšuje vedle konkurenceschopnosti rovněž i celkový inovační potenciál ČR v oblasti nakládání energií a druhotnými surovinami.</w:t>
      </w:r>
    </w:p>
    <w:p w14:paraId="43D1ACB3" w14:textId="77777777" w:rsidR="00DC76B6" w:rsidRPr="00DD47DF" w:rsidRDefault="00DC76B6" w:rsidP="0025513A">
      <w:pPr>
        <w:pStyle w:val="Standardntext"/>
        <w:numPr>
          <w:ilvl w:val="0"/>
          <w:numId w:val="50"/>
        </w:numPr>
      </w:pPr>
      <w:r w:rsidRPr="00DD47DF">
        <w:t>Zvýšení soběstačnosti ČR v surovinových zdrojích substitucí primárních zdrojů druhotnými surovinami a zvýšení inovační aktivity podniků směrem k efektivnějšímu využívání klíčových surovin během celého jejich životního cyklu. Konkurenceschopnost a růst bude vycházet z využívání menšího objemu zdrojů, produkce a spotřeby zboží, vytváření podnikatelských příležitostí i nových pracovních míst v oborech lepšího designu výrobků a nahrazování primárních materiálů materiály vyrobenými z druhotných surovin.</w:t>
      </w:r>
    </w:p>
    <w:p w14:paraId="5DDB31EE" w14:textId="77777777" w:rsidR="00FF7727" w:rsidRPr="00DD47DF" w:rsidRDefault="00FF7727" w:rsidP="0025513A">
      <w:pPr>
        <w:pStyle w:val="Standardntext"/>
        <w:numPr>
          <w:ilvl w:val="0"/>
          <w:numId w:val="50"/>
        </w:numPr>
      </w:pPr>
      <w:r w:rsidRPr="00DD47DF">
        <w:t>Výsledkem vyššího využívání druhotných surovin bude snížení energetické a materiálové náročnosti ve všech výrobních odvětvích a snížení emisí z průmyslové činnosti v souvislosti s poklesem objemu těžby primárních surovin.</w:t>
      </w:r>
    </w:p>
    <w:p w14:paraId="3D176EAC" w14:textId="77777777" w:rsidR="00376385" w:rsidRPr="00DD47DF" w:rsidRDefault="0034513C" w:rsidP="0025513A">
      <w:pPr>
        <w:pStyle w:val="Standardntext"/>
        <w:numPr>
          <w:ilvl w:val="0"/>
          <w:numId w:val="50"/>
        </w:numPr>
      </w:pPr>
      <w:r w:rsidRPr="00DD47DF">
        <w:t>Pozitivní dopad</w:t>
      </w:r>
      <w:r w:rsidR="00376385" w:rsidRPr="00DD47DF">
        <w:t xml:space="preserve"> </w:t>
      </w:r>
      <w:r w:rsidRPr="00DD47DF">
        <w:t>z hlediska životního prostředí</w:t>
      </w:r>
      <w:r w:rsidR="00376385" w:rsidRPr="00DD47DF">
        <w:t xml:space="preserve"> v důsledku </w:t>
      </w:r>
      <w:r w:rsidR="00686722" w:rsidRPr="00DD47DF">
        <w:t>zavádění</w:t>
      </w:r>
      <w:r w:rsidR="00376385" w:rsidRPr="00DD47DF">
        <w:t xml:space="preserve"> </w:t>
      </w:r>
      <w:r w:rsidR="00CC6093" w:rsidRPr="00DD47DF">
        <w:t xml:space="preserve">nízkouhlíkových </w:t>
      </w:r>
      <w:r w:rsidR="00376385" w:rsidRPr="00DD47DF">
        <w:t>technologií</w:t>
      </w:r>
      <w:r w:rsidRPr="00DD47DF">
        <w:t xml:space="preserve"> </w:t>
      </w:r>
      <w:r w:rsidR="00686722" w:rsidRPr="00DD47DF">
        <w:t xml:space="preserve">do výrobních procesů </w:t>
      </w:r>
      <w:r w:rsidRPr="00DD47DF">
        <w:t>v podnicích</w:t>
      </w:r>
      <w:r w:rsidR="00376385" w:rsidRPr="00DD47DF">
        <w:t>.</w:t>
      </w:r>
      <w:r w:rsidR="00485D01" w:rsidRPr="00DD47DF">
        <w:t xml:space="preserve"> Naplňování specifického cíle povede k podpoře udržitelného růstu, který kromě jiného zahrnuje vytváření udržitelné a konkurenceschopné ekonomiky méně náročné na zdroje, přispěje k posilování konkurenčních výhod zejména malých a středních podniků, zavádění technologií a výrobních postupů, jež snižují využívání přírodních zdrojů.</w:t>
      </w:r>
    </w:p>
    <w:p w14:paraId="46FD95F3" w14:textId="77777777" w:rsidR="00AF242B" w:rsidRPr="00DD47DF" w:rsidRDefault="00AF242B" w:rsidP="00CA2F85">
      <w:pPr>
        <w:pStyle w:val="Standardntext"/>
      </w:pPr>
      <w:r w:rsidRPr="00DD47DF">
        <w:t>Pokud jde o ukazatel výsledku (viz tab. 3) „Aplikované inovativní nízkouhlíkové technologie“, je jeho výchozí hodnota nulová. OP PIK se prostřednictvím tohoto specifického cíle zaměřuje na podporu pilotních projektů v oblasti inovativních nízkouhlíkových technologií, které dosud nebyly v prostředí ČR aplikovány, a není k dispozici žádná relevantní statistika o využívání nízkouhlíkových technologií.</w:t>
      </w:r>
    </w:p>
    <w:p w14:paraId="096E6079" w14:textId="77777777" w:rsidR="00272AE4" w:rsidRPr="00DD47DF" w:rsidRDefault="00272AE4" w:rsidP="00C71E6F">
      <w:pPr>
        <w:pStyle w:val="Titulek"/>
        <w:keepNext/>
        <w:keepLines/>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50"/>
        <w:gridCol w:w="1628"/>
        <w:gridCol w:w="1142"/>
        <w:gridCol w:w="1142"/>
        <w:gridCol w:w="885"/>
        <w:gridCol w:w="873"/>
        <w:gridCol w:w="957"/>
        <w:gridCol w:w="666"/>
        <w:gridCol w:w="983"/>
      </w:tblGrid>
      <w:tr w:rsidR="00D57106" w:rsidRPr="00DD47DF" w14:paraId="76BEC0A9" w14:textId="77777777">
        <w:trPr>
          <w:trHeight w:hRule="exact" w:val="1297"/>
        </w:trPr>
        <w:tc>
          <w:tcPr>
            <w:tcW w:w="56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A77C996" w14:textId="77777777" w:rsidR="00CF739D" w:rsidRPr="00DD47DF" w:rsidRDefault="00CF739D" w:rsidP="00CF739D">
            <w:pPr>
              <w:pStyle w:val="Tabulka"/>
              <w:keepNext/>
              <w:keepLines/>
              <w:rPr>
                <w:rFonts w:cs="Calibri"/>
                <w:b/>
                <w:bCs/>
              </w:rPr>
            </w:pPr>
            <w:r w:rsidRPr="00DD47DF">
              <w:rPr>
                <w:rFonts w:cs="Calibri"/>
                <w:b/>
                <w:bCs/>
              </w:rPr>
              <w:t>ID</w:t>
            </w:r>
          </w:p>
        </w:tc>
        <w:tc>
          <w:tcPr>
            <w:tcW w:w="8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107D7236" w14:textId="77777777" w:rsidR="00CF739D" w:rsidRPr="00DD47DF" w:rsidRDefault="00CF739D" w:rsidP="00CF739D">
            <w:pPr>
              <w:pStyle w:val="Tabulka"/>
              <w:keepNext/>
              <w:keepLines/>
              <w:rPr>
                <w:rFonts w:cs="Calibri"/>
                <w:b/>
                <w:bCs/>
              </w:rPr>
            </w:pPr>
            <w:r w:rsidRPr="00DD47DF">
              <w:rPr>
                <w:rFonts w:cs="Calibri"/>
                <w:b/>
                <w:bCs/>
              </w:rPr>
              <w:t>Ukazatel</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793389E" w14:textId="77777777" w:rsidR="00CF739D" w:rsidRPr="00DD47DF" w:rsidRDefault="00CF739D" w:rsidP="00CF739D">
            <w:pPr>
              <w:pStyle w:val="Tabulka"/>
              <w:keepNext/>
              <w:keepLines/>
              <w:rPr>
                <w:rFonts w:cs="Calibri"/>
                <w:b/>
                <w:bCs/>
              </w:rPr>
            </w:pPr>
            <w:r w:rsidRPr="00DD47DF">
              <w:rPr>
                <w:rFonts w:cs="Calibri"/>
                <w:b/>
                <w:bCs/>
              </w:rPr>
              <w:t>Měrná</w:t>
            </w:r>
          </w:p>
          <w:p w14:paraId="25EFC550" w14:textId="77777777" w:rsidR="00CF739D" w:rsidRPr="00DD47DF" w:rsidRDefault="00CF739D" w:rsidP="00CF739D">
            <w:pPr>
              <w:pStyle w:val="Tabulka"/>
              <w:keepNext/>
              <w:keepLines/>
              <w:rPr>
                <w:rFonts w:cs="Calibri"/>
                <w:b/>
                <w:bCs/>
              </w:rPr>
            </w:pPr>
            <w:r w:rsidRPr="00DD47DF">
              <w:rPr>
                <w:rFonts w:cs="Calibri"/>
                <w:b/>
                <w:bCs/>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A716593" w14:textId="77777777" w:rsidR="00CF739D" w:rsidRPr="00DD47DF" w:rsidRDefault="00CF739D" w:rsidP="00CF739D">
            <w:pPr>
              <w:pStyle w:val="Tabulka"/>
              <w:keepNext/>
              <w:keepLines/>
              <w:rPr>
                <w:rFonts w:cs="Calibri"/>
                <w:b/>
                <w:bCs/>
              </w:rPr>
            </w:pPr>
            <w:r w:rsidRPr="00DD47DF">
              <w:rPr>
                <w:rFonts w:cs="Calibri"/>
                <w:b/>
                <w:bCs/>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B52BE99" w14:textId="77777777" w:rsidR="00CF739D" w:rsidRPr="00DD47DF" w:rsidRDefault="004B0854" w:rsidP="00CF739D">
            <w:pPr>
              <w:pStyle w:val="Tabulka"/>
              <w:keepNext/>
              <w:keepLines/>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066D9B5"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51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4BAE4C5" w14:textId="77777777" w:rsidR="00CF739D" w:rsidRPr="00DD47DF" w:rsidRDefault="00CF739D" w:rsidP="00CF739D">
            <w:pPr>
              <w:pStyle w:val="Tabulka"/>
              <w:keepNext/>
              <w:keepLines/>
              <w:rPr>
                <w:rFonts w:cs="Calibri"/>
                <w:b/>
                <w:bCs/>
              </w:rPr>
            </w:pPr>
            <w:r w:rsidRPr="00DD47DF">
              <w:rPr>
                <w:rFonts w:cs="Calibri"/>
                <w:b/>
                <w:bCs/>
              </w:rPr>
              <w:t>Cílová hodnota (2023)</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0E7489C" w14:textId="77777777" w:rsidR="00CF739D" w:rsidRPr="00DD47DF" w:rsidRDefault="00CF739D" w:rsidP="00CF739D">
            <w:pPr>
              <w:pStyle w:val="Tabulka"/>
              <w:keepNext/>
              <w:keepLines/>
              <w:rPr>
                <w:rFonts w:cs="Calibri"/>
                <w:b/>
                <w:bCs/>
              </w:rPr>
            </w:pPr>
            <w:r w:rsidRPr="00DD47DF">
              <w:rPr>
                <w:rFonts w:cs="Calibri"/>
                <w:b/>
                <w:bCs/>
              </w:rPr>
              <w:t>Zdroj údajů</w:t>
            </w:r>
          </w:p>
        </w:tc>
        <w:tc>
          <w:tcPr>
            <w:tcW w:w="52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3D969DA" w14:textId="77777777" w:rsidR="00CF739D" w:rsidRPr="00DD47DF" w:rsidRDefault="00CF739D" w:rsidP="00CF739D">
            <w:pPr>
              <w:pStyle w:val="Tabulka"/>
              <w:keepNext/>
              <w:keepLines/>
              <w:rPr>
                <w:rFonts w:cs="Calibri"/>
                <w:b/>
                <w:bCs/>
              </w:rPr>
            </w:pPr>
            <w:r w:rsidRPr="00DD47DF">
              <w:rPr>
                <w:rFonts w:cs="Calibri"/>
                <w:b/>
                <w:bCs/>
              </w:rPr>
              <w:t>Četnost podávání zpráv</w:t>
            </w:r>
          </w:p>
        </w:tc>
      </w:tr>
      <w:tr w:rsidR="00D57106" w:rsidRPr="00DD47DF" w14:paraId="64D268C2" w14:textId="77777777">
        <w:trPr>
          <w:trHeight w:hRule="exact" w:val="1206"/>
        </w:trPr>
        <w:tc>
          <w:tcPr>
            <w:tcW w:w="563" w:type="pct"/>
            <w:tcBorders>
              <w:top w:val="single" w:sz="4" w:space="0" w:color="000000"/>
              <w:left w:val="single" w:sz="4" w:space="0" w:color="000000"/>
              <w:bottom w:val="single" w:sz="4" w:space="0" w:color="000000"/>
              <w:right w:val="single" w:sz="4" w:space="0" w:color="000000"/>
            </w:tcBorders>
            <w:vAlign w:val="center"/>
          </w:tcPr>
          <w:p w14:paraId="0EF205F7" w14:textId="77777777" w:rsidR="00272AE4" w:rsidRPr="00DD47DF" w:rsidRDefault="00527C4C" w:rsidP="00A86EB3">
            <w:pPr>
              <w:pStyle w:val="Tabulka"/>
              <w:rPr>
                <w:rFonts w:cs="Calibri"/>
              </w:rPr>
            </w:pPr>
            <w:r w:rsidRPr="00DD47DF">
              <w:rPr>
                <w:rFonts w:cs="Calibri"/>
              </w:rPr>
              <w:t>21710</w:t>
            </w:r>
          </w:p>
        </w:tc>
        <w:tc>
          <w:tcPr>
            <w:tcW w:w="873" w:type="pct"/>
            <w:tcBorders>
              <w:top w:val="single" w:sz="4" w:space="0" w:color="000000"/>
              <w:left w:val="single" w:sz="4" w:space="0" w:color="000000"/>
              <w:bottom w:val="single" w:sz="4" w:space="0" w:color="000000"/>
              <w:right w:val="single" w:sz="4" w:space="0" w:color="000000"/>
            </w:tcBorders>
            <w:vAlign w:val="center"/>
          </w:tcPr>
          <w:p w14:paraId="75DB7DDD" w14:textId="77777777" w:rsidR="00272AE4" w:rsidRPr="00DD47DF" w:rsidRDefault="00195FEB" w:rsidP="00A86EB3">
            <w:pPr>
              <w:pStyle w:val="Tabulka"/>
              <w:jc w:val="left"/>
              <w:rPr>
                <w:rFonts w:cs="Calibri"/>
              </w:rPr>
            </w:pPr>
            <w:r w:rsidRPr="00DD47DF">
              <w:rPr>
                <w:rFonts w:cs="Calibri"/>
                <w:szCs w:val="20"/>
              </w:rPr>
              <w:t xml:space="preserve">Aplikované </w:t>
            </w:r>
            <w:r w:rsidR="00942A5B" w:rsidRPr="00DD47DF">
              <w:rPr>
                <w:rFonts w:cs="Calibri"/>
                <w:szCs w:val="20"/>
              </w:rPr>
              <w:t xml:space="preserve">inovativní </w:t>
            </w:r>
            <w:r w:rsidRPr="00DD47DF">
              <w:rPr>
                <w:rFonts w:cs="Calibri"/>
                <w:szCs w:val="20"/>
              </w:rPr>
              <w:t>nízkouhlíkové technologie</w:t>
            </w:r>
          </w:p>
        </w:tc>
        <w:tc>
          <w:tcPr>
            <w:tcW w:w="612" w:type="pct"/>
            <w:tcBorders>
              <w:top w:val="single" w:sz="4" w:space="0" w:color="000000"/>
              <w:left w:val="single" w:sz="4" w:space="0" w:color="000000"/>
              <w:bottom w:val="single" w:sz="4" w:space="0" w:color="000000"/>
              <w:right w:val="single" w:sz="4" w:space="0" w:color="000000"/>
            </w:tcBorders>
            <w:vAlign w:val="center"/>
          </w:tcPr>
          <w:p w14:paraId="00787CC7" w14:textId="77777777" w:rsidR="00272AE4" w:rsidRPr="00DD47DF" w:rsidRDefault="005644D4" w:rsidP="00A86EB3">
            <w:pPr>
              <w:pStyle w:val="Tabulka"/>
              <w:rPr>
                <w:rFonts w:cs="Calibri"/>
              </w:rPr>
            </w:pPr>
            <w:r w:rsidRPr="00DD47DF">
              <w:rPr>
                <w:rFonts w:cs="Calibri"/>
              </w:rPr>
              <w:t>technologie</w:t>
            </w:r>
          </w:p>
        </w:tc>
        <w:tc>
          <w:tcPr>
            <w:tcW w:w="612" w:type="pct"/>
            <w:tcBorders>
              <w:top w:val="single" w:sz="4" w:space="0" w:color="000000"/>
              <w:left w:val="single" w:sz="4" w:space="0" w:color="000000"/>
              <w:bottom w:val="single" w:sz="4" w:space="0" w:color="000000"/>
              <w:right w:val="single" w:sz="4" w:space="0" w:color="000000"/>
            </w:tcBorders>
            <w:vAlign w:val="center"/>
          </w:tcPr>
          <w:p w14:paraId="29578A94" w14:textId="77777777" w:rsidR="00272AE4" w:rsidRPr="00DD47DF" w:rsidRDefault="00FD0399" w:rsidP="00A86EB3">
            <w:pPr>
              <w:pStyle w:val="Tabulka"/>
              <w:rPr>
                <w:rFonts w:cs="Calibri"/>
              </w:rPr>
            </w:pPr>
            <w:r w:rsidRPr="00DD47DF">
              <w:rPr>
                <w:rFonts w:cs="Calibri"/>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14:paraId="1E6C10A8" w14:textId="77777777" w:rsidR="00272AE4" w:rsidRPr="00DD47DF" w:rsidRDefault="00FD0399" w:rsidP="00A86EB3">
            <w:pPr>
              <w:pStyle w:val="Tabulka"/>
              <w:rPr>
                <w:rFonts w:cs="Calibri"/>
              </w:rPr>
            </w:pPr>
            <w:r w:rsidRPr="00DD47DF">
              <w:rPr>
                <w:rFonts w:cs="Calibri"/>
              </w:rPr>
              <w:t>0</w:t>
            </w:r>
          </w:p>
        </w:tc>
        <w:tc>
          <w:tcPr>
            <w:tcW w:w="468" w:type="pct"/>
            <w:tcBorders>
              <w:top w:val="single" w:sz="4" w:space="0" w:color="000000"/>
              <w:left w:val="single" w:sz="4" w:space="0" w:color="000000"/>
              <w:bottom w:val="single" w:sz="4" w:space="0" w:color="000000"/>
              <w:right w:val="single" w:sz="4" w:space="0" w:color="000000"/>
            </w:tcBorders>
            <w:vAlign w:val="center"/>
          </w:tcPr>
          <w:p w14:paraId="32C7C78C" w14:textId="77777777" w:rsidR="00272AE4" w:rsidRPr="00DD47DF" w:rsidRDefault="00FD0399" w:rsidP="00A86EB3">
            <w:pPr>
              <w:pStyle w:val="Tabulka"/>
              <w:rPr>
                <w:rFonts w:cs="Calibri"/>
              </w:rPr>
            </w:pPr>
            <w:r w:rsidRPr="00DD47DF">
              <w:rPr>
                <w:rFonts w:cs="Calibri"/>
              </w:rPr>
              <w:t>2014</w:t>
            </w:r>
          </w:p>
        </w:tc>
        <w:tc>
          <w:tcPr>
            <w:tcW w:w="513" w:type="pct"/>
            <w:tcBorders>
              <w:top w:val="single" w:sz="4" w:space="0" w:color="000000"/>
              <w:left w:val="single" w:sz="4" w:space="0" w:color="000000"/>
              <w:bottom w:val="single" w:sz="4" w:space="0" w:color="000000"/>
              <w:right w:val="single" w:sz="4" w:space="0" w:color="000000"/>
            </w:tcBorders>
            <w:vAlign w:val="center"/>
          </w:tcPr>
          <w:p w14:paraId="353F2522" w14:textId="0D7696FE" w:rsidR="00272AE4" w:rsidRPr="00DD47DF" w:rsidRDefault="0050432A" w:rsidP="00A86EB3">
            <w:pPr>
              <w:pStyle w:val="Tabulka"/>
              <w:rPr>
                <w:rFonts w:cs="Calibri"/>
              </w:rPr>
            </w:pPr>
            <w:r>
              <w:rPr>
                <w:rFonts w:cs="Calibri"/>
              </w:rPr>
              <w:t>650</w:t>
            </w:r>
          </w:p>
        </w:tc>
        <w:tc>
          <w:tcPr>
            <w:tcW w:w="357" w:type="pct"/>
            <w:tcBorders>
              <w:top w:val="single" w:sz="4" w:space="0" w:color="000000"/>
              <w:left w:val="single" w:sz="4" w:space="0" w:color="000000"/>
              <w:bottom w:val="single" w:sz="4" w:space="0" w:color="000000"/>
              <w:right w:val="single" w:sz="4" w:space="0" w:color="000000"/>
            </w:tcBorders>
            <w:vAlign w:val="center"/>
          </w:tcPr>
          <w:p w14:paraId="52804E52" w14:textId="77777777" w:rsidR="00272AE4" w:rsidRPr="00DD47DF" w:rsidRDefault="005F6D63" w:rsidP="00A86EB3">
            <w:pPr>
              <w:pStyle w:val="Tabulka"/>
              <w:rPr>
                <w:rFonts w:cs="Calibri"/>
              </w:rPr>
            </w:pPr>
            <w:r w:rsidRPr="00DD47DF">
              <w:rPr>
                <w:rFonts w:cs="Calibri"/>
              </w:rPr>
              <w:t>ŘO</w:t>
            </w:r>
          </w:p>
        </w:tc>
        <w:tc>
          <w:tcPr>
            <w:tcW w:w="527" w:type="pct"/>
            <w:tcBorders>
              <w:top w:val="single" w:sz="4" w:space="0" w:color="000000"/>
              <w:left w:val="single" w:sz="4" w:space="0" w:color="000000"/>
              <w:bottom w:val="single" w:sz="4" w:space="0" w:color="000000"/>
              <w:right w:val="single" w:sz="4" w:space="0" w:color="000000"/>
            </w:tcBorders>
            <w:vAlign w:val="center"/>
          </w:tcPr>
          <w:p w14:paraId="1F49947E" w14:textId="77777777" w:rsidR="00272AE4" w:rsidRPr="00DD47DF" w:rsidRDefault="00274100" w:rsidP="00A86EB3">
            <w:pPr>
              <w:pStyle w:val="Tabulka"/>
              <w:rPr>
                <w:rFonts w:cs="Calibri"/>
              </w:rPr>
            </w:pPr>
            <w:r w:rsidRPr="00DD47DF">
              <w:rPr>
                <w:rFonts w:cs="Calibri"/>
              </w:rPr>
              <w:t>ročně</w:t>
            </w:r>
          </w:p>
        </w:tc>
      </w:tr>
    </w:tbl>
    <w:p w14:paraId="7709C326" w14:textId="77777777" w:rsidR="00EC2D25" w:rsidRPr="00DD47DF" w:rsidRDefault="00EC2D25" w:rsidP="00AF242B">
      <w:pPr>
        <w:pStyle w:val="kapitola2A0"/>
        <w:numPr>
          <w:ilvl w:val="2"/>
          <w:numId w:val="67"/>
        </w:numPr>
      </w:pPr>
      <w:bookmarkStart w:id="75" w:name="_Toc129005410"/>
      <w:r w:rsidRPr="00DD47DF">
        <w:t>Opatření, jež má být podpořeno v rámci investiční priority</w:t>
      </w:r>
      <w:bookmarkEnd w:id="75"/>
    </w:p>
    <w:p w14:paraId="4C907F7E" w14:textId="77777777" w:rsidR="0058402E" w:rsidRPr="00DD47DF" w:rsidRDefault="00D479AF" w:rsidP="00A86EB3">
      <w:pPr>
        <w:pStyle w:val="Nadpis5"/>
        <w:numPr>
          <w:ilvl w:val="4"/>
          <w:numId w:val="23"/>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5E77D3D2" w14:textId="77777777" w:rsidR="0058402E" w:rsidRPr="00DD47DF" w:rsidRDefault="000A2EB4" w:rsidP="009912CD">
      <w:pPr>
        <w:pStyle w:val="Standardntext"/>
        <w:rPr>
          <w:b/>
        </w:rPr>
      </w:pPr>
      <w:r w:rsidRPr="00DD47DF">
        <w:rPr>
          <w:b/>
        </w:rPr>
        <w:t>Aktivity pro tento specifický cíl:</w:t>
      </w:r>
    </w:p>
    <w:p w14:paraId="36061155" w14:textId="77777777" w:rsidR="007D0E83" w:rsidRPr="00DD47DF" w:rsidRDefault="007D0E83" w:rsidP="00AF242B">
      <w:pPr>
        <w:pStyle w:val="Standardntext"/>
        <w:numPr>
          <w:ilvl w:val="0"/>
          <w:numId w:val="40"/>
        </w:numPr>
      </w:pPr>
      <w:r w:rsidRPr="00DD47DF">
        <w:lastRenderedPageBreak/>
        <w:t xml:space="preserve">Zavádění inovativních technologií v oblasti nízkouhlíkové dopravy (elektromobilita silničních vozidel), </w:t>
      </w:r>
    </w:p>
    <w:p w14:paraId="21D3AEE4" w14:textId="0D41019E" w:rsidR="007D0E83" w:rsidRPr="00DD47DF" w:rsidRDefault="00290041" w:rsidP="00AF242B">
      <w:pPr>
        <w:pStyle w:val="Standardntext"/>
        <w:numPr>
          <w:ilvl w:val="0"/>
          <w:numId w:val="40"/>
        </w:numPr>
      </w:pPr>
      <w:r w:rsidRPr="00700E39">
        <w:t>projekty zavádění technologií akumulace energie (např. akumulace elektřiny rámci inteligentních sítí a v budovách, akumulace tepla a chladu v budovách, aplikace vodíkových technologií)</w:t>
      </w:r>
      <w:r w:rsidR="007D0E83" w:rsidRPr="00DD47DF">
        <w:t xml:space="preserve">, </w:t>
      </w:r>
    </w:p>
    <w:p w14:paraId="50E91F78" w14:textId="77777777" w:rsidR="007D0E83" w:rsidRPr="00DD47DF" w:rsidRDefault="007D0E83" w:rsidP="00AF242B">
      <w:pPr>
        <w:pStyle w:val="Standardntext"/>
        <w:numPr>
          <w:ilvl w:val="0"/>
          <w:numId w:val="40"/>
        </w:numPr>
      </w:pPr>
      <w:r w:rsidRPr="00DD47DF">
        <w:t>zavádění nízkouhlíkových technologií v budovách (inteligentní prvky řízení budov, integrace OZE do budov, aplikace nových energeticky šetrných materiálů, využití druhotných surovin k udržitelné výstavbě),</w:t>
      </w:r>
    </w:p>
    <w:p w14:paraId="1A6912BE" w14:textId="77777777" w:rsidR="00BF3738" w:rsidRPr="00DD47DF" w:rsidRDefault="00EB01B2" w:rsidP="00AF242B">
      <w:pPr>
        <w:pStyle w:val="Standardntext"/>
        <w:numPr>
          <w:ilvl w:val="0"/>
          <w:numId w:val="40"/>
        </w:numPr>
      </w:pPr>
      <w:r w:rsidRPr="00DD47DF">
        <w:t>zavádění inovativních technologií v oblasti výroby energie z obnovitelných zdrojů</w:t>
      </w:r>
      <w:r w:rsidR="00BF3738" w:rsidRPr="00DD47DF">
        <w:t xml:space="preserve"> (např. využití biometanu),</w:t>
      </w:r>
    </w:p>
    <w:p w14:paraId="4C00B5D3" w14:textId="77777777" w:rsidR="007D0E83" w:rsidRPr="00DD47DF" w:rsidRDefault="007D0E83" w:rsidP="00AF242B">
      <w:pPr>
        <w:pStyle w:val="Standardntext"/>
        <w:numPr>
          <w:ilvl w:val="0"/>
          <w:numId w:val="40"/>
        </w:numPr>
      </w:pPr>
      <w:r w:rsidRPr="00DD47DF">
        <w:t>zavádění off grid systémů (městské a komunitní sítě, ostrovní systémy dodávek energií v budovách),</w:t>
      </w:r>
    </w:p>
    <w:p w14:paraId="524C3F56" w14:textId="77777777" w:rsidR="007D0E83" w:rsidRPr="00DD47DF" w:rsidRDefault="007D0E83" w:rsidP="00AF242B">
      <w:pPr>
        <w:pStyle w:val="Standardntext"/>
        <w:numPr>
          <w:ilvl w:val="0"/>
          <w:numId w:val="40"/>
        </w:numPr>
      </w:pPr>
      <w:r w:rsidRPr="00DD47DF">
        <w:t>zavádění systémů řízení spotřeby energií,</w:t>
      </w:r>
    </w:p>
    <w:p w14:paraId="52269E5B" w14:textId="77777777" w:rsidR="007D0E83" w:rsidRPr="00DD47DF" w:rsidRDefault="007D0E83" w:rsidP="00AF242B">
      <w:pPr>
        <w:pStyle w:val="Standardntext"/>
        <w:numPr>
          <w:ilvl w:val="0"/>
          <w:numId w:val="40"/>
        </w:numPr>
      </w:pPr>
      <w:r w:rsidRPr="00DD47DF">
        <w:t>zavádění inovativních nízkouhlíkatých technologií v oblasti zpracování a využívání druhotných surovin,</w:t>
      </w:r>
    </w:p>
    <w:p w14:paraId="2E95FA47" w14:textId="77777777" w:rsidR="007D0E83" w:rsidRPr="00DD47DF" w:rsidRDefault="007D0E83" w:rsidP="00AF242B">
      <w:pPr>
        <w:pStyle w:val="Standardntext"/>
        <w:numPr>
          <w:ilvl w:val="0"/>
          <w:numId w:val="40"/>
        </w:numPr>
      </w:pPr>
      <w:r w:rsidRPr="00DD47DF">
        <w:t>zavádění technologií k získávání druhotných surovin v kvalitě vhodné pro další využití v průmyslové výrobě např. z použitého papíru, skla, kovů, pneumatik, textilu, plastů, stavebních a demoličních odpadů, vedlejších energetických produktů a řady dalších výrobků s ukončenou životností,</w:t>
      </w:r>
    </w:p>
    <w:p w14:paraId="4AAF3AE0" w14:textId="77777777" w:rsidR="007D0E83" w:rsidRPr="00DD47DF" w:rsidRDefault="007D0E83" w:rsidP="00AF242B">
      <w:pPr>
        <w:pStyle w:val="Standardntext"/>
        <w:numPr>
          <w:ilvl w:val="0"/>
          <w:numId w:val="40"/>
        </w:numPr>
      </w:pPr>
      <w:r w:rsidRPr="00DD47DF">
        <w:t>zavádění technologií, kterými se budou z použitých výrobků získávat efektivním způsobem cenné druhotné suroviny, které jsou v ČR i v EU deficitní (zejména kritické suroviny),</w:t>
      </w:r>
    </w:p>
    <w:p w14:paraId="3F728F59" w14:textId="77777777" w:rsidR="009D1E8F" w:rsidRPr="00DD47DF" w:rsidRDefault="007D0E83" w:rsidP="00AF242B">
      <w:pPr>
        <w:pStyle w:val="Standardntext"/>
        <w:numPr>
          <w:ilvl w:val="0"/>
          <w:numId w:val="40"/>
        </w:numPr>
      </w:pPr>
      <w:r w:rsidRPr="00DD47DF">
        <w:t>zavádění technologií na výrobu inovativních výrobků vyrobených z druhotných surovin, včetně náhrad primárních zdrojů druhotnými surovinami, tam kde je to ekonomicky výhodné</w:t>
      </w:r>
      <w:r w:rsidR="00EB01B2" w:rsidRPr="00DD47DF">
        <w:t>.</w:t>
      </w:r>
    </w:p>
    <w:p w14:paraId="28F2195B" w14:textId="7BF6CA1B" w:rsidR="00896EDF" w:rsidRPr="00DD47DF" w:rsidRDefault="00D83C31" w:rsidP="007D0E83">
      <w:pPr>
        <w:pStyle w:val="Standardntext"/>
      </w:pPr>
      <w:r w:rsidRPr="00700E39">
        <w:t>Typovým projektem v oblasti zavádění nízkouhlíkových technologií v dopravě budou projekty zaměřené na zavádění elektromobility u podnikatelských subjektů tak, aby došlo k žádoucím synergiím s OP Doprava a Integrovaným regionálním operačním programem (blíže viz oddíl 8, resp. Nepovinná příloha č. 4). Způsobilé výdaje budou vynakládány na pořízení souvisejících technologií, dobíjecích stanic případně na možnost úhrady/příspěvku části kupní ceny elektromobilu, která přesahuje průměrnou cenu automobilů se spalovacím motorem. Výstupem projektu bude rozšiřování nabíjecí infrastruktury a počtu elektromobilů v ČR. Úspěšné projekty budou prezentovat elektromobilitu jako nízkoemisní a nízkonákladový dopravní prostředek ve velkých aglomeracích.</w:t>
      </w:r>
    </w:p>
    <w:p w14:paraId="6AC39198" w14:textId="77777777" w:rsidR="007D0E83" w:rsidRPr="00DD47DF" w:rsidRDefault="007D0E83" w:rsidP="007D0E83">
      <w:pPr>
        <w:pStyle w:val="Standardntext"/>
      </w:pPr>
      <w:r w:rsidRPr="00DD47DF">
        <w:t xml:space="preserve">Typovým projektem v oblasti využití druhotných surovin </w:t>
      </w:r>
      <w:r w:rsidR="00101D4E" w:rsidRPr="00DD47DF">
        <w:t>bude</w:t>
      </w:r>
      <w:r w:rsidRPr="00DD47DF">
        <w:t xml:space="preserve"> projekt, při kterém</w:t>
      </w:r>
      <w:r w:rsidR="00101D4E" w:rsidRPr="00DD47DF">
        <w:t xml:space="preserve"> bude</w:t>
      </w:r>
      <w:r w:rsidRPr="00DD47DF">
        <w:t xml:space="preserve"> poskytnuta podpora na pořízení technologie na výrobu inovativních výrobků vyrobených z druhotných surovin.</w:t>
      </w:r>
      <w:r w:rsidR="00101D4E" w:rsidRPr="00DD47DF">
        <w:t xml:space="preserve"> </w:t>
      </w:r>
      <w:r w:rsidRPr="00DD47DF">
        <w:t>Způsobilé výdaje budou veškeré investiční náklady přímo spojené s instalací zařízení.</w:t>
      </w:r>
      <w:r w:rsidR="00101D4E" w:rsidRPr="00DD47DF">
        <w:t xml:space="preserve"> </w:t>
      </w:r>
      <w:r w:rsidRPr="00DD47DF">
        <w:t>Výstupem bude instalovaná moderní technologie na produkci</w:t>
      </w:r>
      <w:r w:rsidR="00F76D49" w:rsidRPr="00DD47DF">
        <w:t xml:space="preserve"> výrobků z druhotných surovin, která povede k jejímu vyššímu využití v rámci podniku.</w:t>
      </w:r>
      <w:r w:rsidRPr="00DD47DF">
        <w:t xml:space="preserve"> </w:t>
      </w:r>
      <w:r w:rsidR="00F76D49" w:rsidRPr="00DD47DF">
        <w:t>Dopad těchto intervencí</w:t>
      </w:r>
      <w:r w:rsidRPr="00DD47DF">
        <w:t xml:space="preserve"> se projeví v úspoře primárních surovin, ve vyšší surovinové bezpečnosti.</w:t>
      </w:r>
    </w:p>
    <w:p w14:paraId="6BB576BE" w14:textId="77777777" w:rsidR="007D0E83" w:rsidRPr="00DD47DF" w:rsidRDefault="007D0E83" w:rsidP="007D0E83">
      <w:pPr>
        <w:pStyle w:val="Standardntext"/>
      </w:pPr>
      <w:r w:rsidRPr="00DD47DF">
        <w:t>Typovým projektem v oblasti inteligentních domů bude realizace stavby, jež bude obsahovat komplex zařízení ob</w:t>
      </w:r>
      <w:r w:rsidR="00101D4E" w:rsidRPr="00DD47DF">
        <w:t>s</w:t>
      </w:r>
      <w:r w:rsidRPr="00DD47DF">
        <w:t xml:space="preserve">ahujících inteligentní řízení, akumulaci energie, integrace OZE, využití </w:t>
      </w:r>
      <w:r w:rsidRPr="00DD47DF">
        <w:lastRenderedPageBreak/>
        <w:t>stavebních materiálů z druhotných surovin atd.)</w:t>
      </w:r>
      <w:r w:rsidR="00101D4E" w:rsidRPr="00DD47DF">
        <w:t xml:space="preserve">. </w:t>
      </w:r>
      <w:r w:rsidRPr="00DD47DF">
        <w:t>Způsobilé výdaje budou veškeré investiční náklady přímo spojené s instalací zařízení.</w:t>
      </w:r>
      <w:r w:rsidR="00101D4E" w:rsidRPr="00DD47DF">
        <w:t xml:space="preserve"> </w:t>
      </w:r>
      <w:r w:rsidRPr="00DD47DF">
        <w:t>Výstupem bude inteligentní budova, jejíž výsledky se projeví v oblasti urychlení zavádění moderních technologií do budov.</w:t>
      </w:r>
    </w:p>
    <w:p w14:paraId="2B9940E6" w14:textId="07DD5FD8" w:rsidR="007D0E83" w:rsidRPr="00DD47DF" w:rsidRDefault="00BB3B1F" w:rsidP="007D0E83">
      <w:pPr>
        <w:pStyle w:val="Standardntext"/>
      </w:pPr>
      <w:r w:rsidRPr="00700E39">
        <w:t>Dalším opatřením v rámci tohoto specifického cíle je rozvoj akumulace elektrické energie na úrovni středního, resp. nízkého napětí. Cílem je aplikace akumulační jednotky (zřejmě bateriového typu) stabilizovat dodávku z decentralizovaných zdrojů energie (FVE, VTE) do distribuční sítě a řešit přetoky do vyšších napěťových úrovní. Mezi technologické prvky akumulace elektrické energie patří nejen samotná bateriová jednotka, ale také řídící jednotka včetně SW přizpůsobení konkrétní aplikace, komunikační jednotka, připojovací kabeláže, měření, apod. Způsobilé výdaje budou veškeré investiční náklady přímo spojené s instalací zařízení. Výstupem projektu bude ověření perspektivní technologie eliminující vlivy decentralizovaných výrobních zdrojů na distribuční soustavu, ověření peak-offpeak arbitráže u zdrojů – řízení spotřeby/dodávky v čase dle potřeb distribuční soustavy a doložené ekonomické porovnání s nutnými investičními náklady do posílení výkonu transformátoru, resp. silového vedení při konvenčním způsobu řešení.</w:t>
      </w:r>
    </w:p>
    <w:p w14:paraId="315B845B" w14:textId="77777777" w:rsidR="00EF6B98" w:rsidRPr="00DD47DF" w:rsidRDefault="00EF6B98" w:rsidP="00EF6B98">
      <w:pPr>
        <w:pStyle w:val="Standardntext"/>
      </w:pPr>
      <w:r w:rsidRPr="00DD47DF">
        <w:t xml:space="preserve">Výstupy </w:t>
      </w:r>
      <w:r w:rsidR="00AE425C" w:rsidRPr="00DD47DF">
        <w:t xml:space="preserve">všech </w:t>
      </w:r>
      <w:r w:rsidRPr="00DD47DF">
        <w:t xml:space="preserve">výše uvedených aktivit přispějí k naplňování výsledků tohoto specifického cíle, tj. rozšíření aplikace </w:t>
      </w:r>
      <w:r w:rsidR="00634DCF" w:rsidRPr="00DD47DF">
        <w:t xml:space="preserve">doposud nevyužívaných </w:t>
      </w:r>
      <w:r w:rsidRPr="00DD47DF">
        <w:t>nízkouhlíkových technologií.</w:t>
      </w:r>
      <w:r w:rsidR="00220F0B" w:rsidRPr="00DD47DF">
        <w:t xml:space="preserve"> </w:t>
      </w:r>
      <w:r w:rsidR="00A976A0" w:rsidRPr="00DD47DF">
        <w:t xml:space="preserve">OP PIK </w:t>
      </w:r>
      <w:r w:rsidR="00A56556" w:rsidRPr="00DD47DF">
        <w:t xml:space="preserve">se </w:t>
      </w:r>
      <w:r w:rsidR="00A976A0" w:rsidRPr="00DD47DF">
        <w:t xml:space="preserve">prostřednictvím tohoto specifického cíle zaměřuje na podporu pilotních projektů v oblasti inovativních nízkouhlíkových technologií, které dosud nebyly v prostředí ČR aplikovány, </w:t>
      </w:r>
      <w:r w:rsidR="00AF242B" w:rsidRPr="00DD47DF">
        <w:t xml:space="preserve">proto </w:t>
      </w:r>
      <w:r w:rsidR="00A976A0" w:rsidRPr="00DD47DF">
        <w:t>je výchozí hodnota pro sledování výsledků stanovena jako nulová.</w:t>
      </w:r>
      <w:r w:rsidR="001E054A" w:rsidRPr="00DD47DF">
        <w:t xml:space="preserve"> Současně je nutné zmínit, že bude kladen důraz na edukační a osvětovou činnost a na šíření poznatků z aplikací inovativních technologií.</w:t>
      </w:r>
    </w:p>
    <w:p w14:paraId="1EF177DE" w14:textId="77777777" w:rsidR="0058402E" w:rsidRPr="00DD47DF" w:rsidRDefault="0058402E" w:rsidP="00D540FC">
      <w:pPr>
        <w:pStyle w:val="Standardntext"/>
      </w:pPr>
      <w:r w:rsidRPr="00DD47DF">
        <w:rPr>
          <w:b/>
          <w:bCs/>
        </w:rPr>
        <w:t xml:space="preserve">Hlavní cílová skupina: </w:t>
      </w:r>
      <w:r w:rsidR="00127389" w:rsidRPr="00DD47DF">
        <w:t>P</w:t>
      </w:r>
      <w:r w:rsidR="00D90173" w:rsidRPr="00DD47DF">
        <w:t xml:space="preserve">odnikatelské subjekty, </w:t>
      </w:r>
      <w:r w:rsidR="00D540FC" w:rsidRPr="00DD47DF">
        <w:t>především MSP, ale i velk</w:t>
      </w:r>
      <w:r w:rsidR="00D90173" w:rsidRPr="00DD47DF">
        <w:t>é</w:t>
      </w:r>
      <w:r w:rsidR="00D540FC" w:rsidRPr="00DD47DF">
        <w:t xml:space="preserve"> podnik</w:t>
      </w:r>
      <w:r w:rsidR="00D90173" w:rsidRPr="00DD47DF">
        <w:t>y</w:t>
      </w:r>
      <w:r w:rsidR="00D540FC" w:rsidRPr="00DD47DF">
        <w:t>, kte</w:t>
      </w:r>
      <w:r w:rsidR="00D90173" w:rsidRPr="00DD47DF">
        <w:t>ré</w:t>
      </w:r>
      <w:r w:rsidR="00D540FC" w:rsidRPr="00DD47DF">
        <w:t xml:space="preserve"> hodlají zavést inovativní nízkouhlíkovou technologii v oblasti nakládání energií, včetně nízkouhlíkové dopravy a zpracování druhotných surovin.</w:t>
      </w:r>
    </w:p>
    <w:p w14:paraId="30904D33" w14:textId="77777777" w:rsidR="0058402E" w:rsidRPr="00DD47DF" w:rsidRDefault="0058402E" w:rsidP="00D540FC">
      <w:pPr>
        <w:pStyle w:val="Standardntext"/>
      </w:pPr>
      <w:r w:rsidRPr="00DD47DF">
        <w:rPr>
          <w:b/>
          <w:bCs/>
        </w:rPr>
        <w:t xml:space="preserve">Cílové území: </w:t>
      </w:r>
      <w:r w:rsidR="001E0AA2" w:rsidRPr="00DD47DF">
        <w:t>Území České republiky, mimo území hl. m. Prahy.</w:t>
      </w:r>
      <w:r w:rsidR="00015039" w:rsidRPr="00DD47DF">
        <w:t xml:space="preserve"> Předpokládá se plošné směrování intervencí bez vymezení územní dimenze.</w:t>
      </w:r>
    </w:p>
    <w:p w14:paraId="2AEE774B" w14:textId="77777777" w:rsidR="0058402E" w:rsidRPr="00DD47DF" w:rsidRDefault="0058402E" w:rsidP="00D540FC">
      <w:pPr>
        <w:pStyle w:val="Standardntext"/>
      </w:pPr>
      <w:r w:rsidRPr="00DD47DF">
        <w:rPr>
          <w:b/>
          <w:bCs/>
        </w:rPr>
        <w:t xml:space="preserve">Typy příjemců: </w:t>
      </w:r>
      <w:r w:rsidRPr="00DD47DF">
        <w:t>Podnikatelské subjekty (malé, střední a případně velké podniky)</w:t>
      </w:r>
      <w:r w:rsidR="00D81209" w:rsidRPr="00DD47DF">
        <w:t xml:space="preserve">. </w:t>
      </w:r>
      <w:r w:rsidR="00E873A7" w:rsidRPr="00DD47DF">
        <w:t xml:space="preserve">V tomto specifickém cíli se předpokládá účast velkých podniků (dle čl. 3 odst. 1 písm. b) nařízení o EFRR), neboť </w:t>
      </w:r>
      <w:r w:rsidR="00082BCC" w:rsidRPr="00DD47DF">
        <w:t>představují</w:t>
      </w:r>
      <w:r w:rsidR="00802F4D" w:rsidRPr="00DD47DF">
        <w:t xml:space="preserve"> významnou cílovou skupinou pro zavádění nízkouhlíkových technologií z hlediska snížení negativního dopadu jejich činnosti na životní prostředí. To je dáno jednak rozsahem tohoto dopadu vzhledem k velikosti jejich produkce (velký potenciál ke zlepšení), a</w:t>
      </w:r>
      <w:r w:rsidR="00082BCC" w:rsidRPr="00DD47DF">
        <w:t>le</w:t>
      </w:r>
      <w:r w:rsidR="00802F4D" w:rsidRPr="00DD47DF">
        <w:t xml:space="preserve"> také tím, že řada velkých podniků má starší technologické vybavení a nevhodnou infrastrukturu přinášející zbytečnou ekologickou zátěž.</w:t>
      </w:r>
      <w:r w:rsidR="00E873A7" w:rsidRPr="00DD47DF">
        <w:t xml:space="preserve"> </w:t>
      </w:r>
    </w:p>
    <w:p w14:paraId="196342F4" w14:textId="77777777" w:rsidR="0058402E" w:rsidRPr="00DD47DF" w:rsidRDefault="00BA6461" w:rsidP="005F43DF">
      <w:pPr>
        <w:pStyle w:val="Nadpis5"/>
        <w:numPr>
          <w:ilvl w:val="4"/>
          <w:numId w:val="23"/>
        </w:numPr>
      </w:pPr>
      <w:r w:rsidRPr="00DD47DF">
        <w:t>Hlavní zásady pro výběr operací</w:t>
      </w:r>
    </w:p>
    <w:p w14:paraId="100C41CB"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4144B03C" w14:textId="77777777" w:rsidR="00C0640C" w:rsidRPr="00DD47DF" w:rsidRDefault="00C0640C" w:rsidP="00C0640C">
      <w:pPr>
        <w:pStyle w:val="Standardntext"/>
      </w:pPr>
      <w:r w:rsidRPr="00DD47DF">
        <w:t>V rámci výběru a hodnocení projektů budou posuzována především následující kritéria:</w:t>
      </w:r>
    </w:p>
    <w:p w14:paraId="0329BD13" w14:textId="77777777" w:rsidR="00C0640C" w:rsidRPr="00DD47DF" w:rsidRDefault="00C0640C" w:rsidP="00AF242B">
      <w:pPr>
        <w:pStyle w:val="Standardntext"/>
        <w:numPr>
          <w:ilvl w:val="0"/>
          <w:numId w:val="43"/>
        </w:numPr>
      </w:pPr>
      <w:r w:rsidRPr="00DD47DF">
        <w:t xml:space="preserve">Kvalita a potřebnost projektu </w:t>
      </w:r>
      <w:r w:rsidR="00DC4382" w:rsidRPr="00DD47DF">
        <w:t>s ohledem na jejich inovativní přínosy a ekonomickou efektivnost.</w:t>
      </w:r>
    </w:p>
    <w:p w14:paraId="73473C1E" w14:textId="77777777" w:rsidR="00A61EA1" w:rsidRPr="00DD47DF" w:rsidRDefault="00A61EA1" w:rsidP="00AF242B">
      <w:pPr>
        <w:pStyle w:val="Standardntext"/>
        <w:numPr>
          <w:ilvl w:val="0"/>
          <w:numId w:val="43"/>
        </w:numPr>
      </w:pPr>
      <w:r w:rsidRPr="00DD47DF">
        <w:t xml:space="preserve">Vliv projektů SC 3.4 z hlediska životní prostředí bude </w:t>
      </w:r>
      <w:r w:rsidR="00D5203D" w:rsidRPr="00DD47DF">
        <w:t xml:space="preserve">na projektové úrovni </w:t>
      </w:r>
      <w:r w:rsidRPr="00DD47DF">
        <w:t>sledován prostřednictvím indikátoru „Aplikované inovativní nízkouhlíkové technologie“</w:t>
      </w:r>
      <w:r w:rsidR="00C306CB" w:rsidRPr="00DD47DF">
        <w:t xml:space="preserve"> (2 17 </w:t>
      </w:r>
      <w:r w:rsidR="00C306CB" w:rsidRPr="00DD47DF">
        <w:lastRenderedPageBreak/>
        <w:t>10)</w:t>
      </w:r>
      <w:r w:rsidRPr="00DD47DF">
        <w:t>. Tento environmentální indikátor bude dále agregován pro potřeby Dohody o partnerství.</w:t>
      </w:r>
    </w:p>
    <w:p w14:paraId="0EDA5047" w14:textId="77777777" w:rsidR="000B12B7" w:rsidRPr="00DD47DF" w:rsidRDefault="000B12B7" w:rsidP="00AF242B">
      <w:pPr>
        <w:pStyle w:val="Standardntext"/>
        <w:numPr>
          <w:ilvl w:val="0"/>
          <w:numId w:val="43"/>
        </w:numPr>
      </w:pPr>
      <w:r w:rsidRPr="00DD47DF">
        <w:t xml:space="preserve">V případě zavádění inovativní technologií do budov budou </w:t>
      </w:r>
      <w:r w:rsidRPr="00DD47DF">
        <w:rPr>
          <w:bCs/>
        </w:rPr>
        <w:t>podporovány ukázkové šetrné budovy, které budou koncipovány po stavební stránce v minimálně pasivně energetickém standardu. Technologicky půjde o budovu s vysoce účinnými systémy pro vytváření zdravého a komfortního vnitřního prostředí. Součástí konceptu bude též chytré řízení a sběr dat o provozu takových systémů. Výstavba a provoz bude zásadně minimalizovat celkový dopad na životní prostředí a na čerpání surovinových zdrojů včetně pitné vody.</w:t>
      </w:r>
      <w:r w:rsidRPr="00DD47DF" w:rsidDel="003409F7">
        <w:t xml:space="preserve"> </w:t>
      </w:r>
    </w:p>
    <w:p w14:paraId="68466445" w14:textId="77777777" w:rsidR="000B12B7" w:rsidRPr="00DD47DF" w:rsidRDefault="000B12B7" w:rsidP="00AF242B">
      <w:pPr>
        <w:pStyle w:val="Standardntext"/>
        <w:numPr>
          <w:ilvl w:val="0"/>
          <w:numId w:val="43"/>
        </w:numPr>
      </w:pPr>
      <w:r w:rsidRPr="00DD47DF">
        <w:t>Projekt nesmí být financován provozní podporou obnovitelných zdrojů energie.</w:t>
      </w:r>
    </w:p>
    <w:p w14:paraId="6F8198E9" w14:textId="77777777" w:rsidR="000B12B7" w:rsidRPr="00DD47DF" w:rsidRDefault="000B12B7" w:rsidP="00AF242B">
      <w:pPr>
        <w:pStyle w:val="Standardntext"/>
        <w:numPr>
          <w:ilvl w:val="0"/>
          <w:numId w:val="43"/>
        </w:numPr>
      </w:pPr>
      <w:r w:rsidRPr="00DD47DF">
        <w:t>Podporovány budou projekty s vysokou mírou účinnosti.</w:t>
      </w:r>
    </w:p>
    <w:p w14:paraId="59D4076C" w14:textId="77777777" w:rsidR="000B12B7" w:rsidRPr="00DD47DF" w:rsidRDefault="000B12B7" w:rsidP="00AF242B">
      <w:pPr>
        <w:pStyle w:val="Standardntext"/>
        <w:numPr>
          <w:ilvl w:val="0"/>
          <w:numId w:val="43"/>
        </w:numPr>
      </w:pPr>
      <w:r w:rsidRPr="00DD47DF">
        <w:t>Při hodnocení míry inovativnosti, respektive způsobilosti projektu do tohoto specifického cíle bude aplikováno hodnocení Technology Readiness Level (TRL, Úroveň připravenosti technologie). Podpořeny budou projekty níže uvedených úrovní:</w:t>
      </w:r>
    </w:p>
    <w:p w14:paraId="362D9FEA" w14:textId="77777777" w:rsidR="000B12B7" w:rsidRPr="00DD47DF" w:rsidRDefault="000B12B7" w:rsidP="00D927A2">
      <w:pPr>
        <w:pStyle w:val="Standardntext"/>
        <w:numPr>
          <w:ilvl w:val="1"/>
          <w:numId w:val="43"/>
        </w:numPr>
      </w:pPr>
      <w:r w:rsidRPr="00DD47DF">
        <w:t>TRL 5 – technologie ověřena v relevantním prostředí (průmyslově významné prostředí v případě klíčových technologií)</w:t>
      </w:r>
    </w:p>
    <w:p w14:paraId="0F5C9A25" w14:textId="77777777" w:rsidR="000B12B7" w:rsidRPr="00DD47DF" w:rsidRDefault="000B12B7" w:rsidP="00D927A2">
      <w:pPr>
        <w:pStyle w:val="Standardntext"/>
        <w:numPr>
          <w:ilvl w:val="1"/>
          <w:numId w:val="43"/>
        </w:numPr>
      </w:pPr>
      <w:r w:rsidRPr="00DD47DF">
        <w:t>TRL 6 – technologie demonstrována v daném prostředí (průmyslově významné prostředí v případě klíčových technologií)</w:t>
      </w:r>
    </w:p>
    <w:p w14:paraId="6E923184" w14:textId="77777777" w:rsidR="000B12B7" w:rsidRPr="00DD47DF" w:rsidRDefault="000B12B7" w:rsidP="00D927A2">
      <w:pPr>
        <w:pStyle w:val="Standardntext"/>
        <w:numPr>
          <w:ilvl w:val="1"/>
          <w:numId w:val="43"/>
        </w:numPr>
      </w:pPr>
      <w:r w:rsidRPr="00DD47DF">
        <w:t>TRL 7 – demonstrace systémového prototypu v provozním prostředí</w:t>
      </w:r>
    </w:p>
    <w:p w14:paraId="79827801" w14:textId="77777777" w:rsidR="000B12B7" w:rsidRPr="00DD47DF" w:rsidRDefault="000B12B7" w:rsidP="00D927A2">
      <w:pPr>
        <w:pStyle w:val="Standardntext"/>
        <w:numPr>
          <w:ilvl w:val="1"/>
          <w:numId w:val="43"/>
        </w:numPr>
      </w:pPr>
      <w:r w:rsidRPr="00DD47DF">
        <w:t>TRL 8 – systém kompletní a kvalifikovaný</w:t>
      </w:r>
    </w:p>
    <w:p w14:paraId="1D42C3AA" w14:textId="77777777" w:rsidR="000B12B7" w:rsidRPr="00DD47DF" w:rsidRDefault="000B12B7" w:rsidP="00D927A2">
      <w:pPr>
        <w:pStyle w:val="Standardntext"/>
        <w:numPr>
          <w:ilvl w:val="1"/>
          <w:numId w:val="43"/>
        </w:numPr>
      </w:pPr>
      <w:r w:rsidRPr="00DD47DF">
        <w:t>TRL 9 – existující systém byl ověřen v provozním prostředí</w:t>
      </w:r>
      <w:r w:rsidR="008336D9" w:rsidRPr="00DD47DF">
        <w:t>.</w:t>
      </w:r>
    </w:p>
    <w:p w14:paraId="255909A1" w14:textId="77777777" w:rsidR="00C0640C" w:rsidRPr="00DD47DF" w:rsidRDefault="00C0640C" w:rsidP="00D927A2">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63D33A28" w14:textId="77777777" w:rsidR="001E054A" w:rsidRPr="00DD47DF" w:rsidRDefault="001E054A" w:rsidP="00D927A2">
      <w:pPr>
        <w:pStyle w:val="Standardntext"/>
        <w:numPr>
          <w:ilvl w:val="0"/>
          <w:numId w:val="43"/>
        </w:numPr>
      </w:pPr>
      <w:r w:rsidRPr="00DD47DF">
        <w:t>Podpořené projekty budou mít povinnost realizovat diseminační aktivity, např.: uspořádat veřejnou akci (konferenci, seminář, workshop atd.) tematicky zaměřenou na předmětnou inovativní technologii. Dále budou muset zpracovat a veřejně zpřístupnit odbornou publikaci/metodiku, která bude podrobně popisovat předmětnou technologii, konkrétní způsob její aplikace v projektu, výhody, nevýhody, doporučení dalším případným zájemcům apod.</w:t>
      </w:r>
    </w:p>
    <w:p w14:paraId="396AF41D" w14:textId="77777777" w:rsidR="00192F36" w:rsidRPr="00DD47DF" w:rsidRDefault="00192F36" w:rsidP="00D927A2">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723BF5F" w14:textId="77777777" w:rsidR="0058402E" w:rsidRPr="00DD47DF" w:rsidRDefault="00BA6461" w:rsidP="005F43DF">
      <w:pPr>
        <w:pStyle w:val="Nadpis5"/>
        <w:numPr>
          <w:ilvl w:val="4"/>
          <w:numId w:val="23"/>
        </w:numPr>
        <w:rPr>
          <w:rFonts w:cs="Calibri"/>
        </w:rPr>
      </w:pPr>
      <w:r w:rsidRPr="00DD47DF">
        <w:t>Plánované využití finančních nástrojů (použije-li se)</w:t>
      </w:r>
    </w:p>
    <w:p w14:paraId="11717A41" w14:textId="77777777" w:rsidR="0058402E" w:rsidRPr="00DD47DF" w:rsidRDefault="00DC5013" w:rsidP="002A4D1D">
      <w:pPr>
        <w:pStyle w:val="Standardntext"/>
        <w:rPr>
          <w:color w:val="FF0000"/>
        </w:rPr>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496BC1D1" w14:textId="77777777" w:rsidR="0058402E" w:rsidRPr="00DD47DF" w:rsidRDefault="00BA6461" w:rsidP="005F43DF">
      <w:pPr>
        <w:pStyle w:val="Nadpis5"/>
        <w:numPr>
          <w:ilvl w:val="4"/>
          <w:numId w:val="23"/>
        </w:numPr>
      </w:pPr>
      <w:r w:rsidRPr="00DD47DF">
        <w:lastRenderedPageBreak/>
        <w:t>Plánované využití velkých projektů (použije-li se)</w:t>
      </w:r>
    </w:p>
    <w:p w14:paraId="45F73D3A"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38F4ACCB" w14:textId="77777777" w:rsidR="0058402E" w:rsidRPr="00DD47DF" w:rsidRDefault="00BA6461" w:rsidP="001049C5">
      <w:pPr>
        <w:pStyle w:val="Nadpis5"/>
        <w:numPr>
          <w:ilvl w:val="4"/>
          <w:numId w:val="23"/>
        </w:numPr>
      </w:pPr>
      <w:r w:rsidRPr="00DD47DF">
        <w:t>Ukazatele výstupů podle investiční priority a případně podle kategorie regionů</w:t>
      </w:r>
    </w:p>
    <w:p w14:paraId="1D95AF9B" w14:textId="77777777" w:rsidR="0058402E" w:rsidRPr="00DD47DF" w:rsidRDefault="0058402E" w:rsidP="001049C5">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80"/>
        <w:gridCol w:w="2257"/>
        <w:gridCol w:w="1095"/>
        <w:gridCol w:w="665"/>
        <w:gridCol w:w="1300"/>
        <w:gridCol w:w="1253"/>
        <w:gridCol w:w="997"/>
        <w:gridCol w:w="1279"/>
      </w:tblGrid>
      <w:tr w:rsidR="001B2E5C" w:rsidRPr="00DD47DF" w14:paraId="551138E5" w14:textId="77777777">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27E8835" w14:textId="77777777" w:rsidR="001B2E5C" w:rsidRPr="00DD47DF" w:rsidRDefault="001B2E5C" w:rsidP="001B2E5C">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3C03E4" w14:textId="77777777" w:rsidR="001B2E5C" w:rsidRPr="00DD47DF" w:rsidRDefault="001B2E5C" w:rsidP="001B2E5C">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86E02DD" w14:textId="77777777" w:rsidR="001B2E5C" w:rsidRPr="00DD47DF" w:rsidRDefault="001B2E5C" w:rsidP="001B2E5C">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F70CB99" w14:textId="77777777" w:rsidR="001B2E5C" w:rsidRPr="00DD47DF" w:rsidRDefault="001B2E5C" w:rsidP="001B2E5C">
            <w:pPr>
              <w:pStyle w:val="Tabulka"/>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3F9B54" w14:textId="77777777" w:rsidR="001B2E5C" w:rsidRPr="00DD47DF" w:rsidRDefault="001B2E5C" w:rsidP="001B2E5C">
            <w:pPr>
              <w:pStyle w:val="Tabulka"/>
              <w:rPr>
                <w:rFonts w:cs="Calibri"/>
                <w:b/>
              </w:rPr>
            </w:pPr>
            <w:r w:rsidRPr="00DD47DF">
              <w:rPr>
                <w:rFonts w:cs="Calibri"/>
                <w:b/>
              </w:rPr>
              <w:t>Kategorie regionu</w:t>
            </w:r>
          </w:p>
        </w:tc>
        <w:tc>
          <w:tcPr>
            <w:tcW w:w="125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436AAD2" w14:textId="77777777" w:rsidR="001B2E5C" w:rsidRPr="00DD47DF" w:rsidRDefault="001B2E5C" w:rsidP="00956C4F">
            <w:pPr>
              <w:pStyle w:val="Tabulka"/>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0443B2A" w14:textId="77777777" w:rsidR="001B2E5C" w:rsidRPr="00DD47DF" w:rsidRDefault="001B2E5C" w:rsidP="001B2E5C">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9EA449" w14:textId="77777777" w:rsidR="001B2E5C" w:rsidRPr="00DD47DF" w:rsidRDefault="001B2E5C" w:rsidP="001B2E5C">
            <w:pPr>
              <w:pStyle w:val="Tabulka"/>
              <w:rPr>
                <w:rFonts w:cs="Calibri"/>
                <w:b/>
              </w:rPr>
            </w:pPr>
            <w:r w:rsidRPr="00DD47DF">
              <w:rPr>
                <w:rFonts w:cs="Calibri"/>
                <w:b/>
              </w:rPr>
              <w:t>Četnost podávání zpráv</w:t>
            </w:r>
          </w:p>
        </w:tc>
      </w:tr>
      <w:tr w:rsidR="00F94124" w:rsidRPr="00DD47DF" w14:paraId="3B8F13C9"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0C081C3" w14:textId="6FCB6216"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43EBDC7" w14:textId="77777777" w:rsidR="00F94124" w:rsidRPr="00DD47DF" w:rsidRDefault="00F94124" w:rsidP="007E38FF">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36034E04" w14:textId="77777777" w:rsidR="00F94124" w:rsidRPr="00DD47DF" w:rsidRDefault="00F94124"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7D4B74F"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68932F4"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0874B201" w14:textId="52B2A953" w:rsidR="00F94124" w:rsidRPr="00DD47DF" w:rsidRDefault="004A3B8E" w:rsidP="00994365">
            <w:pPr>
              <w:pStyle w:val="Tabulka"/>
              <w:rPr>
                <w:rFonts w:cs="Calibri"/>
              </w:rPr>
            </w:pPr>
            <w:r>
              <w:rPr>
                <w:rFonts w:cs="Calibri"/>
              </w:rPr>
              <w:t>600</w:t>
            </w:r>
          </w:p>
        </w:tc>
        <w:tc>
          <w:tcPr>
            <w:tcW w:w="665" w:type="dxa"/>
            <w:tcBorders>
              <w:top w:val="single" w:sz="4" w:space="0" w:color="000000"/>
              <w:left w:val="single" w:sz="4" w:space="0" w:color="000000"/>
              <w:bottom w:val="single" w:sz="4" w:space="0" w:color="000000"/>
              <w:right w:val="single" w:sz="4" w:space="0" w:color="000000"/>
            </w:tcBorders>
            <w:vAlign w:val="center"/>
          </w:tcPr>
          <w:p w14:paraId="7FDD9179" w14:textId="77777777" w:rsidR="00F94124"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222C93D" w14:textId="77777777" w:rsidR="00F94124" w:rsidRPr="00DD47DF" w:rsidRDefault="00FC7054" w:rsidP="007E38FF">
            <w:pPr>
              <w:pStyle w:val="Tabulka"/>
              <w:rPr>
                <w:rFonts w:cs="Calibri"/>
              </w:rPr>
            </w:pPr>
            <w:r>
              <w:rPr>
                <w:rFonts w:cs="Calibri"/>
              </w:rPr>
              <w:t>průběžně</w:t>
            </w:r>
          </w:p>
        </w:tc>
      </w:tr>
      <w:tr w:rsidR="00F94124" w:rsidRPr="00DD47DF" w14:paraId="7FE06C79"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AF6CBC6" w14:textId="687ED5DC"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68F46F40" w14:textId="77777777" w:rsidR="00F94124" w:rsidRPr="00DD47DF" w:rsidRDefault="00F94124" w:rsidP="007E38FF">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45CE210" w14:textId="77777777" w:rsidR="00F94124" w:rsidRPr="00DD47DF" w:rsidRDefault="00F94124" w:rsidP="007E38FF">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7A59444B"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4D9DF232"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3F61593B" w14:textId="2B16B669" w:rsidR="00F94124" w:rsidRPr="00DD47DF" w:rsidRDefault="004A3B8E" w:rsidP="00994365">
            <w:pPr>
              <w:pStyle w:val="Tabulka"/>
              <w:rPr>
                <w:rFonts w:cs="Calibri"/>
              </w:rPr>
            </w:pPr>
            <w:r>
              <w:rPr>
                <w:rFonts w:cs="Calibri"/>
              </w:rPr>
              <w:t>600</w:t>
            </w:r>
          </w:p>
        </w:tc>
        <w:tc>
          <w:tcPr>
            <w:tcW w:w="665" w:type="dxa"/>
            <w:tcBorders>
              <w:top w:val="single" w:sz="4" w:space="0" w:color="000000"/>
              <w:left w:val="single" w:sz="4" w:space="0" w:color="000000"/>
              <w:bottom w:val="single" w:sz="4" w:space="0" w:color="000000"/>
              <w:right w:val="single" w:sz="4" w:space="0" w:color="000000"/>
            </w:tcBorders>
            <w:vAlign w:val="center"/>
          </w:tcPr>
          <w:p w14:paraId="14A909F2" w14:textId="77777777" w:rsidR="00F94124" w:rsidRPr="00DD47DF" w:rsidRDefault="00FC7054"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33EF56C4" w14:textId="77777777" w:rsidR="00F94124" w:rsidRPr="00DD47DF" w:rsidRDefault="00FC7054" w:rsidP="007E38FF">
            <w:pPr>
              <w:pStyle w:val="Tabulka"/>
              <w:rPr>
                <w:rFonts w:cs="Calibri"/>
              </w:rPr>
            </w:pPr>
            <w:r>
              <w:rPr>
                <w:rFonts w:cs="Calibri"/>
              </w:rPr>
              <w:t>průběžně</w:t>
            </w:r>
          </w:p>
        </w:tc>
      </w:tr>
      <w:tr w:rsidR="00F94124" w:rsidRPr="00DD47DF" w14:paraId="376674D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FAE64E7" w14:textId="64DF3A1A" w:rsidR="00F94124" w:rsidRPr="00DD47DF" w:rsidRDefault="00C75691" w:rsidP="007E38FF">
            <w:pPr>
              <w:pStyle w:val="Tabulka"/>
              <w:rPr>
                <w:rFonts w:cs="Calibri"/>
              </w:rPr>
            </w:pPr>
            <w:r w:rsidRPr="00DD47DF">
              <w:rPr>
                <w:rFonts w:cs="Calibri"/>
              </w:rPr>
              <w:t xml:space="preserve">CO </w:t>
            </w:r>
            <w:r w:rsidR="00223936" w:rsidRPr="00DD47DF">
              <w:rPr>
                <w:rFonts w:cs="Calibri"/>
              </w:rPr>
              <w:t>0</w:t>
            </w:r>
            <w:r w:rsidR="00F94124"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4061D101" w14:textId="77777777" w:rsidR="00F94124" w:rsidRPr="00DD47DF" w:rsidRDefault="00892451" w:rsidP="007E38FF">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039BDA19" w14:textId="77777777" w:rsidR="00F94124" w:rsidRPr="00DD47DF" w:rsidRDefault="00F94124" w:rsidP="007E38FF">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0D0AB68B" w14:textId="77777777" w:rsidR="00F94124" w:rsidRPr="00DD47DF" w:rsidRDefault="00F94124" w:rsidP="007E38FF">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F09B495" w14:textId="77777777" w:rsidR="00F94124" w:rsidRPr="00DD47DF" w:rsidRDefault="00F94124" w:rsidP="007E38FF">
            <w:pPr>
              <w:pStyle w:val="Tabulka"/>
              <w:rPr>
                <w:rFonts w:cs="Calibri"/>
              </w:rPr>
            </w:pPr>
            <w:r w:rsidRPr="00DD47DF">
              <w:rPr>
                <w:rFonts w:cs="Calibri"/>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14:paraId="626199E9" w14:textId="7ABE6C16" w:rsidR="00F94124" w:rsidRPr="00DD47DF" w:rsidRDefault="00A91AF2" w:rsidP="00994365">
            <w:pPr>
              <w:pStyle w:val="Tabulka"/>
              <w:rPr>
                <w:rFonts w:cs="Calibri"/>
              </w:rPr>
            </w:pPr>
            <w:r>
              <w:rPr>
                <w:rFonts w:cs="Calibri"/>
              </w:rPr>
              <w:t>75</w:t>
            </w:r>
            <w:r w:rsidRPr="00DD47DF">
              <w:rPr>
                <w:rFonts w:cs="Calibri"/>
              </w:rPr>
              <w:t> </w:t>
            </w:r>
            <w:r w:rsidR="00F94124" w:rsidRPr="00DD47DF">
              <w:rPr>
                <w:rFonts w:cs="Calibri"/>
              </w:rPr>
              <w:t>000 000</w:t>
            </w:r>
          </w:p>
        </w:tc>
        <w:tc>
          <w:tcPr>
            <w:tcW w:w="665" w:type="dxa"/>
            <w:tcBorders>
              <w:top w:val="single" w:sz="4" w:space="0" w:color="000000"/>
              <w:left w:val="single" w:sz="4" w:space="0" w:color="000000"/>
              <w:bottom w:val="single" w:sz="4" w:space="0" w:color="000000"/>
              <w:right w:val="single" w:sz="4" w:space="0" w:color="000000"/>
            </w:tcBorders>
            <w:vAlign w:val="center"/>
          </w:tcPr>
          <w:p w14:paraId="555A5B22" w14:textId="77777777" w:rsidR="00F94124" w:rsidRPr="00DD47DF" w:rsidRDefault="00800418" w:rsidP="007E38FF">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666F8E1" w14:textId="77777777" w:rsidR="00F94124" w:rsidRPr="00DD47DF" w:rsidRDefault="00934A97" w:rsidP="007E38FF">
            <w:pPr>
              <w:pStyle w:val="Tabulka"/>
              <w:rPr>
                <w:rFonts w:cs="Calibri"/>
              </w:rPr>
            </w:pPr>
            <w:r>
              <w:rPr>
                <w:rFonts w:cs="Calibri"/>
              </w:rPr>
              <w:t>průběžně</w:t>
            </w:r>
          </w:p>
        </w:tc>
      </w:tr>
    </w:tbl>
    <w:p w14:paraId="709CBF7B" w14:textId="77777777" w:rsidR="00EC2D25" w:rsidRPr="00DD47DF" w:rsidRDefault="00EC2D25" w:rsidP="00DA3512">
      <w:pPr>
        <w:pStyle w:val="kapitola2A0"/>
        <w:numPr>
          <w:ilvl w:val="2"/>
          <w:numId w:val="68"/>
        </w:numPr>
      </w:pPr>
      <w:bookmarkStart w:id="76" w:name="_Toc351464393"/>
      <w:bookmarkStart w:id="77" w:name="_Toc129005411"/>
      <w:r w:rsidRPr="00DD47DF">
        <w:t>INVESTIČNÍ PRIORITA 5 prioritní osy 3: Podpora využívání vysoce účinné kombinované výroby tepla a elektřiny na základě poptávky po užitečném teple</w:t>
      </w:r>
      <w:bookmarkEnd w:id="77"/>
    </w:p>
    <w:p w14:paraId="486AC30D" w14:textId="77777777" w:rsidR="003B05CA" w:rsidRPr="00DD47DF" w:rsidRDefault="008C7D72" w:rsidP="00DA3512">
      <w:pPr>
        <w:pStyle w:val="kapitola2A0"/>
        <w:numPr>
          <w:ilvl w:val="2"/>
          <w:numId w:val="68"/>
        </w:numPr>
      </w:pPr>
      <w:bookmarkStart w:id="78" w:name="_Toc129005412"/>
      <w:r w:rsidRPr="00DD47DF">
        <w:t>Specifické cíle odpovídající investiční prioritě a očekávané výsledky</w:t>
      </w:r>
      <w:bookmarkEnd w:id="78"/>
    </w:p>
    <w:p w14:paraId="42C99CD1" w14:textId="77777777" w:rsidR="00272AE4" w:rsidRPr="00DD47DF" w:rsidRDefault="00272AE4" w:rsidP="00396141">
      <w:pPr>
        <w:pStyle w:val="Modrnadpis"/>
      </w:pPr>
      <w:r w:rsidRPr="00DD47DF">
        <w:t xml:space="preserve">SPECIFICKÝ CÍL </w:t>
      </w:r>
      <w:r w:rsidR="00C71E6F" w:rsidRPr="00DD47DF">
        <w:t>3.</w:t>
      </w:r>
      <w:r w:rsidRPr="00DD47DF">
        <w:t xml:space="preserve">5: </w:t>
      </w:r>
      <w:r w:rsidR="007E355B" w:rsidRPr="00DD47DF">
        <w:t>Zvýšit účinnost soustav zásobování teplem</w:t>
      </w:r>
    </w:p>
    <w:bookmarkEnd w:id="76"/>
    <w:p w14:paraId="4B91E8A0" w14:textId="77777777" w:rsidR="00583E19" w:rsidRPr="00DD47DF" w:rsidRDefault="00686722" w:rsidP="00686722">
      <w:pPr>
        <w:pStyle w:val="Standardntext"/>
      </w:pPr>
      <w:r w:rsidRPr="00DD47DF">
        <w:t>Č</w:t>
      </w:r>
      <w:r w:rsidR="00583E19" w:rsidRPr="00DD47DF">
        <w:t>R</w:t>
      </w:r>
      <w:r w:rsidRPr="00DD47DF">
        <w:t xml:space="preserve"> disponuje rozsáhlý</w:t>
      </w:r>
      <w:r w:rsidR="00583E19" w:rsidRPr="00DD47DF">
        <w:t xml:space="preserve">mi soustavami zásobování teplem, které </w:t>
      </w:r>
      <w:r w:rsidRPr="00DD47DF">
        <w:t xml:space="preserve">však již dnes </w:t>
      </w:r>
      <w:r w:rsidR="00583E19" w:rsidRPr="00DD47DF">
        <w:t xml:space="preserve">v mnoha případech </w:t>
      </w:r>
      <w:r w:rsidRPr="00DD47DF">
        <w:t>neodpovída</w:t>
      </w:r>
      <w:r w:rsidR="00583E19" w:rsidRPr="00DD47DF">
        <w:t>jí požadovaným parametrům. Zároveň</w:t>
      </w:r>
      <w:r w:rsidRPr="00DD47DF">
        <w:t xml:space="preserve"> v ČR existuje nevyužitý potenciál kombinované výroby elektřiny a tepla, kdy je celá řada soustav zásobování teplem napájena ze zdroje monovýroby tepla a teplo z výroby elektrické energie není využito. </w:t>
      </w:r>
      <w:r w:rsidR="00583E19" w:rsidRPr="00DD47DF">
        <w:t>Hlavním cílem je podpora konkurenceschopnosti a udržitelnosti české ekonomiky prostřednictvím využití kombinované výroby elektřiny a tepla.</w:t>
      </w:r>
    </w:p>
    <w:p w14:paraId="37960EC7" w14:textId="77777777" w:rsidR="00686722" w:rsidRPr="00DD47DF" w:rsidRDefault="003508A9" w:rsidP="00686722">
      <w:pPr>
        <w:pStyle w:val="Modrnadpis"/>
      </w:pPr>
      <w:r w:rsidRPr="00DD47DF">
        <w:t>Výsledky, kterých chce ČR dosáhnout s podporou Unie</w:t>
      </w:r>
    </w:p>
    <w:p w14:paraId="12C1BB2B" w14:textId="77777777" w:rsidR="00583E19" w:rsidRPr="00DD47DF" w:rsidRDefault="00583E19" w:rsidP="00FB3387">
      <w:pPr>
        <w:pStyle w:val="Standardntext"/>
        <w:numPr>
          <w:ilvl w:val="0"/>
          <w:numId w:val="51"/>
        </w:numPr>
      </w:pPr>
      <w:r w:rsidRPr="00DD47DF">
        <w:t>Příspěvek k naplnění Směrnice Evropského parlamentu a Rady 2012/27/EU o energetické účinnosti, která nabádá členské státy, aby přijmuli politiky, které podporují náležité zohledňování potenciálu využívání účinných systémů vytápění a chlazení, zejména systémů využívajících vysoce účinnou kombinovanou výrobu tepla a elektřiny.</w:t>
      </w:r>
    </w:p>
    <w:p w14:paraId="2D36100D" w14:textId="77777777" w:rsidR="007E355B" w:rsidRPr="00DD47DF" w:rsidRDefault="007E355B" w:rsidP="00FB3387">
      <w:pPr>
        <w:pStyle w:val="Standardntext"/>
        <w:numPr>
          <w:ilvl w:val="0"/>
          <w:numId w:val="51"/>
        </w:numPr>
      </w:pPr>
      <w:r w:rsidRPr="00DD47DF">
        <w:t>Dosažení úspor primární energie díky využití nízkopotenciálního tepla z výroby elektřiny, které by jinak bylo vyvedeno do okolního prostředí a zavádění kombinované výroby elektřiny a tepla (dále také „KVET“) v soustavách zásobování teplem, kde byla poptávka po teple uspokojována pouze monovýrobou tepla.</w:t>
      </w:r>
    </w:p>
    <w:p w14:paraId="0E129BBE" w14:textId="77777777" w:rsidR="00B65348" w:rsidRPr="00DD47DF" w:rsidRDefault="007E355B" w:rsidP="00FB3387">
      <w:pPr>
        <w:pStyle w:val="Standardntext"/>
        <w:numPr>
          <w:ilvl w:val="0"/>
          <w:numId w:val="51"/>
        </w:numPr>
      </w:pPr>
      <w:r w:rsidRPr="00DD47DF">
        <w:lastRenderedPageBreak/>
        <w:t>Modernizace soustav zásobování teplem, optimalizace jejich provozu a snižování ztrát tepla v rozvodech. Při rekonstrukci tepelných sítí dojde ke snížení ztrát díky lepším izolačním parametrům, změně teploty provozního média a dojde k dimenzování soustavy s ohledem na současnou a budoucí spotřebu tepla. V některých případech je nutno počítat s řízeným přechodem některých velkých soustav na větší množství menších systémů využívajících menší kogenerační jednotky.</w:t>
      </w:r>
    </w:p>
    <w:p w14:paraId="7AED7367" w14:textId="77777777" w:rsidR="00272AE4" w:rsidRPr="00DD47DF" w:rsidRDefault="00272AE4" w:rsidP="001D58DB">
      <w:pPr>
        <w:pStyle w:val="Titulek"/>
        <w:rPr>
          <w:rFonts w:cs="Calibri"/>
        </w:rPr>
      </w:pPr>
      <w:r w:rsidRPr="00DD47DF">
        <w:rPr>
          <w:rFonts w:cs="Calibri"/>
        </w:rPr>
        <w:t xml:space="preserve">Tabulka </w:t>
      </w:r>
      <w:r w:rsidR="002756E7" w:rsidRPr="00DD47DF">
        <w:rPr>
          <w:rFonts w:cs="Calibri"/>
        </w:rPr>
        <w:fldChar w:fldCharType="begin"/>
      </w:r>
      <w:r w:rsidR="00F7325F"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68"/>
        <w:gridCol w:w="1399"/>
        <w:gridCol w:w="985"/>
        <w:gridCol w:w="1142"/>
        <w:gridCol w:w="974"/>
        <w:gridCol w:w="873"/>
        <w:gridCol w:w="992"/>
        <w:gridCol w:w="757"/>
        <w:gridCol w:w="1136"/>
      </w:tblGrid>
      <w:tr w:rsidR="00D57106" w:rsidRPr="00DD47DF" w14:paraId="7DCF0540" w14:textId="77777777">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2713D25" w14:textId="77777777" w:rsidR="00CF739D" w:rsidRPr="00DD47DF" w:rsidRDefault="00CF739D" w:rsidP="001D58DB">
            <w:pPr>
              <w:pStyle w:val="Tabulka"/>
              <w:rPr>
                <w:rFonts w:cs="Calibri"/>
                <w:b/>
                <w:bCs/>
              </w:rPr>
            </w:pPr>
            <w:r w:rsidRPr="00DD47DF">
              <w:rPr>
                <w:rFonts w:cs="Calibri"/>
                <w:b/>
                <w:bCs/>
              </w:rPr>
              <w:t>ID</w:t>
            </w:r>
          </w:p>
        </w:tc>
        <w:tc>
          <w:tcPr>
            <w:tcW w:w="750"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D435855" w14:textId="77777777" w:rsidR="00CF739D" w:rsidRPr="00DD47DF" w:rsidRDefault="00CF739D" w:rsidP="001D58DB">
            <w:pPr>
              <w:pStyle w:val="Tabulka"/>
              <w:rPr>
                <w:rFonts w:cs="Calibri"/>
                <w:b/>
                <w:bCs/>
              </w:rPr>
            </w:pPr>
            <w:r w:rsidRPr="00DD47DF">
              <w:rPr>
                <w:rFonts w:cs="Calibri"/>
                <w:b/>
                <w:bCs/>
              </w:rPr>
              <w:t>Ukazatel</w:t>
            </w:r>
          </w:p>
        </w:tc>
        <w:tc>
          <w:tcPr>
            <w:tcW w:w="52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BA08EF2" w14:textId="77777777" w:rsidR="00CF739D" w:rsidRPr="00DD47DF" w:rsidRDefault="00CF739D" w:rsidP="001D58DB">
            <w:pPr>
              <w:pStyle w:val="Tabulka"/>
              <w:rPr>
                <w:rFonts w:cs="Calibri"/>
                <w:b/>
                <w:bCs/>
              </w:rPr>
            </w:pPr>
            <w:r w:rsidRPr="00DD47DF">
              <w:rPr>
                <w:rFonts w:cs="Calibri"/>
                <w:b/>
                <w:bCs/>
              </w:rPr>
              <w:t>Měrná</w:t>
            </w:r>
          </w:p>
          <w:p w14:paraId="4998B121" w14:textId="77777777" w:rsidR="00CF739D" w:rsidRPr="00DD47DF" w:rsidRDefault="00CF739D" w:rsidP="001D58DB">
            <w:pPr>
              <w:pStyle w:val="Tabulka"/>
              <w:rPr>
                <w:rFonts w:cs="Calibri"/>
                <w:b/>
                <w:bCs/>
              </w:rPr>
            </w:pPr>
            <w:r w:rsidRPr="00DD47DF">
              <w:rPr>
                <w:rFonts w:cs="Calibri"/>
                <w:b/>
                <w:bCs/>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1D02951" w14:textId="77777777" w:rsidR="00CF739D" w:rsidRPr="00DD47DF" w:rsidRDefault="00CF739D" w:rsidP="001D58DB">
            <w:pPr>
              <w:pStyle w:val="Tabulka"/>
              <w:rPr>
                <w:rFonts w:cs="Calibri"/>
                <w:b/>
                <w:bCs/>
              </w:rPr>
            </w:pPr>
            <w:r w:rsidRPr="00DD47DF">
              <w:rPr>
                <w:rFonts w:cs="Calibri"/>
                <w:b/>
                <w:bCs/>
              </w:rPr>
              <w:t>Kategorie regionů (je-li relevantní)</w:t>
            </w:r>
          </w:p>
        </w:tc>
        <w:tc>
          <w:tcPr>
            <w:tcW w:w="52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9CDB23D" w14:textId="77777777" w:rsidR="00CF739D" w:rsidRPr="00DD47DF" w:rsidRDefault="004B0854" w:rsidP="001D58DB">
            <w:pPr>
              <w:pStyle w:val="Tabulka"/>
              <w:rPr>
                <w:rFonts w:cs="Calibri"/>
                <w:b/>
                <w:bCs/>
              </w:rPr>
            </w:pPr>
            <w:r w:rsidRPr="00DD47DF">
              <w:rPr>
                <w:rFonts w:cs="Calibri"/>
                <w:b/>
                <w:bCs/>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33B8F46" w14:textId="77777777" w:rsidR="00CF739D" w:rsidRPr="00DD47DF" w:rsidRDefault="004B0854" w:rsidP="001D58DB">
            <w:pPr>
              <w:pStyle w:val="Tabulka"/>
              <w:rPr>
                <w:rFonts w:cs="Calibri"/>
                <w:b/>
                <w:bCs/>
              </w:rPr>
            </w:pPr>
            <w:r w:rsidRPr="00DD47DF">
              <w:rPr>
                <w:rFonts w:cs="Calibri"/>
                <w:b/>
                <w:bCs/>
              </w:rPr>
              <w:t xml:space="preserve">Výchozí </w:t>
            </w:r>
            <w:r w:rsidR="00CF739D" w:rsidRPr="00DD47DF">
              <w:rPr>
                <w:rFonts w:cs="Calibri"/>
                <w:b/>
                <w:bCs/>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EF45B5B" w14:textId="77777777" w:rsidR="00CF739D" w:rsidRPr="00DD47DF" w:rsidRDefault="00CF739D" w:rsidP="001D58DB">
            <w:pPr>
              <w:pStyle w:val="Tabulka"/>
              <w:rPr>
                <w:rFonts w:cs="Calibri"/>
                <w:b/>
                <w:bCs/>
              </w:rPr>
            </w:pPr>
            <w:r w:rsidRPr="00DD47DF">
              <w:rPr>
                <w:rFonts w:cs="Calibri"/>
                <w:b/>
                <w:bCs/>
              </w:rPr>
              <w:t>Cílová hodnota (2023)</w:t>
            </w:r>
          </w:p>
        </w:tc>
        <w:tc>
          <w:tcPr>
            <w:tcW w:w="40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6F616D40" w14:textId="77777777" w:rsidR="00CF739D" w:rsidRPr="00DD47DF" w:rsidRDefault="00CF739D" w:rsidP="001D58DB">
            <w:pPr>
              <w:pStyle w:val="Tabulka"/>
              <w:rPr>
                <w:rFonts w:cs="Calibri"/>
                <w:b/>
                <w:bCs/>
              </w:rPr>
            </w:pPr>
            <w:r w:rsidRPr="00DD47DF">
              <w:rPr>
                <w:rFonts w:cs="Calibri"/>
                <w:b/>
                <w:bCs/>
              </w:rPr>
              <w:t>Zdroj údajů</w:t>
            </w:r>
          </w:p>
        </w:tc>
        <w:tc>
          <w:tcPr>
            <w:tcW w:w="609"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07A91D20" w14:textId="77777777" w:rsidR="00CF739D" w:rsidRPr="00DD47DF" w:rsidRDefault="00CF739D" w:rsidP="001D58DB">
            <w:pPr>
              <w:pStyle w:val="Tabulka"/>
              <w:rPr>
                <w:rFonts w:cs="Calibri"/>
                <w:b/>
                <w:bCs/>
              </w:rPr>
            </w:pPr>
            <w:r w:rsidRPr="00DD47DF">
              <w:rPr>
                <w:rFonts w:cs="Calibri"/>
                <w:b/>
                <w:bCs/>
              </w:rPr>
              <w:t>Četnost podávání zpráv</w:t>
            </w:r>
          </w:p>
        </w:tc>
      </w:tr>
      <w:tr w:rsidR="00D57106" w:rsidRPr="00DD47DF" w14:paraId="5775582C" w14:textId="77777777" w:rsidTr="00B90373">
        <w:trPr>
          <w:trHeight w:hRule="exact" w:val="1572"/>
        </w:trPr>
        <w:tc>
          <w:tcPr>
            <w:tcW w:w="573" w:type="pct"/>
            <w:tcBorders>
              <w:top w:val="single" w:sz="4" w:space="0" w:color="000000"/>
              <w:left w:val="single" w:sz="4" w:space="0" w:color="000000"/>
              <w:bottom w:val="single" w:sz="4" w:space="0" w:color="000000"/>
              <w:right w:val="single" w:sz="4" w:space="0" w:color="000000"/>
            </w:tcBorders>
            <w:vAlign w:val="center"/>
          </w:tcPr>
          <w:p w14:paraId="0A096409" w14:textId="1836B1E2" w:rsidR="00272AE4" w:rsidRPr="00DD47DF" w:rsidRDefault="002252D2" w:rsidP="00FA6560">
            <w:pPr>
              <w:pStyle w:val="Tabulka"/>
              <w:rPr>
                <w:rFonts w:cs="Calibri"/>
              </w:rPr>
            </w:pPr>
            <w:r w:rsidRPr="00DD47DF">
              <w:rPr>
                <w:rFonts w:cs="Calibri"/>
              </w:rPr>
              <w:t>326</w:t>
            </w:r>
            <w:r w:rsidR="003F52E6">
              <w:rPr>
                <w:rFonts w:cs="Calibri"/>
              </w:rPr>
              <w:t>20</w:t>
            </w:r>
          </w:p>
        </w:tc>
        <w:tc>
          <w:tcPr>
            <w:tcW w:w="750" w:type="pct"/>
            <w:tcBorders>
              <w:top w:val="single" w:sz="4" w:space="0" w:color="000000"/>
              <w:left w:val="single" w:sz="4" w:space="0" w:color="000000"/>
              <w:bottom w:val="single" w:sz="4" w:space="0" w:color="000000"/>
              <w:right w:val="single" w:sz="4" w:space="0" w:color="000000"/>
            </w:tcBorders>
            <w:vAlign w:val="center"/>
          </w:tcPr>
          <w:p w14:paraId="254F6372" w14:textId="0136FA3F" w:rsidR="00272AE4" w:rsidRPr="00DD47DF" w:rsidRDefault="0047406C" w:rsidP="001D58DB">
            <w:pPr>
              <w:pStyle w:val="Tabulka"/>
              <w:jc w:val="left"/>
              <w:rPr>
                <w:rFonts w:cs="Calibri"/>
              </w:rPr>
            </w:pPr>
            <w:r w:rsidRPr="0047406C">
              <w:rPr>
                <w:rFonts w:cs="Calibri"/>
                <w:szCs w:val="20"/>
              </w:rPr>
              <w:t>Vsázka paliva do tepláren (KVET) a výtopen SZT</w:t>
            </w:r>
          </w:p>
        </w:tc>
        <w:tc>
          <w:tcPr>
            <w:tcW w:w="528" w:type="pct"/>
            <w:tcBorders>
              <w:top w:val="single" w:sz="4" w:space="0" w:color="000000"/>
              <w:left w:val="single" w:sz="4" w:space="0" w:color="000000"/>
              <w:bottom w:val="single" w:sz="4" w:space="0" w:color="000000"/>
              <w:right w:val="single" w:sz="4" w:space="0" w:color="000000"/>
            </w:tcBorders>
            <w:vAlign w:val="center"/>
          </w:tcPr>
          <w:p w14:paraId="71A6CC66" w14:textId="77777777" w:rsidR="00272AE4" w:rsidRPr="00DD47DF" w:rsidRDefault="003A01C6" w:rsidP="001D58DB">
            <w:pPr>
              <w:pStyle w:val="Tabulka"/>
              <w:rPr>
                <w:rFonts w:cs="Calibri"/>
              </w:rPr>
            </w:pPr>
            <w:r w:rsidRPr="00DD47DF">
              <w:rPr>
                <w:rFonts w:cs="Calibri"/>
              </w:rPr>
              <w:t>TJ</w:t>
            </w:r>
          </w:p>
        </w:tc>
        <w:tc>
          <w:tcPr>
            <w:tcW w:w="612" w:type="pct"/>
            <w:tcBorders>
              <w:top w:val="single" w:sz="4" w:space="0" w:color="000000"/>
              <w:left w:val="single" w:sz="4" w:space="0" w:color="000000"/>
              <w:bottom w:val="single" w:sz="4" w:space="0" w:color="000000"/>
              <w:right w:val="single" w:sz="4" w:space="0" w:color="000000"/>
            </w:tcBorders>
            <w:vAlign w:val="center"/>
          </w:tcPr>
          <w:p w14:paraId="26FC69E8" w14:textId="77777777" w:rsidR="00272AE4" w:rsidRPr="00DD47DF" w:rsidRDefault="00FD0399" w:rsidP="001D58DB">
            <w:pPr>
              <w:pStyle w:val="Tabulka"/>
              <w:rPr>
                <w:rFonts w:cs="Calibri"/>
              </w:rPr>
            </w:pPr>
            <w:r w:rsidRPr="00DD47DF">
              <w:rPr>
                <w:rFonts w:cs="Calibri"/>
              </w:rPr>
              <w:t>Méně rozvinuté regiony</w:t>
            </w:r>
          </w:p>
        </w:tc>
        <w:tc>
          <w:tcPr>
            <w:tcW w:w="522" w:type="pct"/>
            <w:tcBorders>
              <w:top w:val="single" w:sz="4" w:space="0" w:color="000000"/>
              <w:left w:val="single" w:sz="4" w:space="0" w:color="000000"/>
              <w:bottom w:val="single" w:sz="4" w:space="0" w:color="000000"/>
              <w:right w:val="single" w:sz="4" w:space="0" w:color="000000"/>
            </w:tcBorders>
            <w:vAlign w:val="center"/>
          </w:tcPr>
          <w:p w14:paraId="3C779EB5" w14:textId="7C66C870" w:rsidR="00272AE4" w:rsidRPr="00DD47DF" w:rsidRDefault="00B050B4" w:rsidP="001D58DB">
            <w:pPr>
              <w:pStyle w:val="Tabulka"/>
              <w:rPr>
                <w:rFonts w:cs="Calibri"/>
              </w:rPr>
            </w:pPr>
            <w:r w:rsidRPr="00B050B4">
              <w:rPr>
                <w:rFonts w:cs="Calibri"/>
              </w:rPr>
              <w:t>295 607</w:t>
            </w:r>
          </w:p>
        </w:tc>
        <w:tc>
          <w:tcPr>
            <w:tcW w:w="468" w:type="pct"/>
            <w:tcBorders>
              <w:top w:val="single" w:sz="4" w:space="0" w:color="000000"/>
              <w:left w:val="single" w:sz="4" w:space="0" w:color="000000"/>
              <w:bottom w:val="single" w:sz="4" w:space="0" w:color="000000"/>
              <w:right w:val="single" w:sz="4" w:space="0" w:color="000000"/>
            </w:tcBorders>
            <w:vAlign w:val="center"/>
          </w:tcPr>
          <w:p w14:paraId="54104CC9" w14:textId="77777777" w:rsidR="00272AE4" w:rsidRPr="00DD47DF" w:rsidRDefault="001779BC" w:rsidP="001D58DB">
            <w:pPr>
              <w:pStyle w:val="Tabulka"/>
              <w:rPr>
                <w:rFonts w:cs="Calibri"/>
              </w:rPr>
            </w:pPr>
            <w:r w:rsidRPr="00DD47DF">
              <w:rPr>
                <w:rFonts w:cs="Calibri"/>
              </w:rPr>
              <w:t>2012</w:t>
            </w:r>
          </w:p>
        </w:tc>
        <w:tc>
          <w:tcPr>
            <w:tcW w:w="532" w:type="pct"/>
            <w:tcBorders>
              <w:top w:val="single" w:sz="4" w:space="0" w:color="000000"/>
              <w:left w:val="single" w:sz="4" w:space="0" w:color="000000"/>
              <w:bottom w:val="single" w:sz="4" w:space="0" w:color="000000"/>
              <w:right w:val="single" w:sz="4" w:space="0" w:color="000000"/>
            </w:tcBorders>
            <w:vAlign w:val="center"/>
          </w:tcPr>
          <w:p w14:paraId="105E9C5B" w14:textId="0E24679A" w:rsidR="00272AE4" w:rsidRPr="00DD47DF" w:rsidRDefault="00E36DA7" w:rsidP="001D58DB">
            <w:pPr>
              <w:pStyle w:val="Tabulka"/>
              <w:rPr>
                <w:rFonts w:cs="Calibri"/>
              </w:rPr>
            </w:pPr>
            <w:r w:rsidRPr="00E36DA7">
              <w:rPr>
                <w:rFonts w:cs="Calibri"/>
              </w:rPr>
              <w:t>240 000</w:t>
            </w:r>
          </w:p>
        </w:tc>
        <w:tc>
          <w:tcPr>
            <w:tcW w:w="406" w:type="pct"/>
            <w:tcBorders>
              <w:top w:val="single" w:sz="4" w:space="0" w:color="000000"/>
              <w:left w:val="single" w:sz="4" w:space="0" w:color="000000"/>
              <w:bottom w:val="single" w:sz="4" w:space="0" w:color="000000"/>
              <w:right w:val="single" w:sz="4" w:space="0" w:color="000000"/>
            </w:tcBorders>
            <w:vAlign w:val="center"/>
          </w:tcPr>
          <w:p w14:paraId="18A100AA" w14:textId="09F8A556" w:rsidR="00272AE4" w:rsidRPr="00DD47DF" w:rsidRDefault="00AC072C" w:rsidP="009872FD">
            <w:pPr>
              <w:pStyle w:val="Tabulka"/>
              <w:rPr>
                <w:rFonts w:cs="Calibri"/>
              </w:rPr>
            </w:pPr>
            <w:r w:rsidRPr="00DD47DF">
              <w:rPr>
                <w:rFonts w:cs="Calibri"/>
              </w:rPr>
              <w:t>ČSÚ</w:t>
            </w:r>
          </w:p>
        </w:tc>
        <w:tc>
          <w:tcPr>
            <w:tcW w:w="609" w:type="pct"/>
            <w:tcBorders>
              <w:top w:val="single" w:sz="4" w:space="0" w:color="000000"/>
              <w:left w:val="single" w:sz="4" w:space="0" w:color="000000"/>
              <w:bottom w:val="single" w:sz="4" w:space="0" w:color="000000"/>
              <w:right w:val="single" w:sz="4" w:space="0" w:color="000000"/>
            </w:tcBorders>
            <w:vAlign w:val="center"/>
          </w:tcPr>
          <w:p w14:paraId="73A336AC" w14:textId="77777777" w:rsidR="00272AE4" w:rsidRPr="00DD47DF" w:rsidRDefault="003A01C6" w:rsidP="001D58DB">
            <w:pPr>
              <w:pStyle w:val="Tabulka"/>
              <w:rPr>
                <w:rFonts w:cs="Calibri"/>
              </w:rPr>
            </w:pPr>
            <w:r w:rsidRPr="00DD47DF">
              <w:rPr>
                <w:rFonts w:cs="Calibri"/>
              </w:rPr>
              <w:t>ročně</w:t>
            </w:r>
          </w:p>
        </w:tc>
      </w:tr>
    </w:tbl>
    <w:p w14:paraId="4BC47B35" w14:textId="77777777" w:rsidR="00EC2D25" w:rsidRPr="00DD47DF" w:rsidRDefault="00EC2D25" w:rsidP="00DA3512">
      <w:pPr>
        <w:pStyle w:val="kapitola2A0"/>
        <w:numPr>
          <w:ilvl w:val="2"/>
          <w:numId w:val="68"/>
        </w:numPr>
      </w:pPr>
      <w:bookmarkStart w:id="79" w:name="_Toc129005413"/>
      <w:r w:rsidRPr="00DD47DF">
        <w:t>Opatření, jež má být podpořeno v rámci investiční priority</w:t>
      </w:r>
      <w:bookmarkEnd w:id="79"/>
    </w:p>
    <w:p w14:paraId="4BB77752" w14:textId="77777777" w:rsidR="00272AE4" w:rsidRPr="00DD47DF" w:rsidRDefault="00D479AF" w:rsidP="001D58DB">
      <w:pPr>
        <w:pStyle w:val="Nadpis5"/>
        <w:numPr>
          <w:ilvl w:val="4"/>
          <w:numId w:val="24"/>
        </w:numPr>
      </w:pPr>
      <w:bookmarkStart w:id="80" w:name="_Toc351464395"/>
      <w:r w:rsidRPr="00DD47DF">
        <w:t>Popis typů a příkladů opatření, která mají být podporována, a jejich očekávaný přínos k plnění specifických cílů, případně včetně určení hlavních cílových skupin, konkrétních cílových území a druhů příjemců</w:t>
      </w:r>
    </w:p>
    <w:bookmarkEnd w:id="80"/>
    <w:p w14:paraId="5869612D" w14:textId="77777777" w:rsidR="00272AE4" w:rsidRPr="00DD47DF" w:rsidRDefault="000A2EB4" w:rsidP="009912CD">
      <w:pPr>
        <w:pStyle w:val="Standardntext"/>
        <w:rPr>
          <w:b/>
        </w:rPr>
      </w:pPr>
      <w:r w:rsidRPr="00DD47DF">
        <w:rPr>
          <w:b/>
        </w:rPr>
        <w:t>Aktivity pro tento specifický cíl:</w:t>
      </w:r>
    </w:p>
    <w:p w14:paraId="5DC1D3C3" w14:textId="77777777" w:rsidR="00272AE4" w:rsidRPr="00DD47DF" w:rsidRDefault="001E5FB8" w:rsidP="00FB3387">
      <w:pPr>
        <w:pStyle w:val="Standardntext"/>
        <w:numPr>
          <w:ilvl w:val="0"/>
          <w:numId w:val="41"/>
        </w:numPr>
      </w:pPr>
      <w:r w:rsidRPr="00DD47DF">
        <w:t>R</w:t>
      </w:r>
      <w:r w:rsidR="009A6E4E" w:rsidRPr="00DD47DF">
        <w:t xml:space="preserve">ekonstrukce a rozvoj soustav zásobování teplem resp. rozvodných </w:t>
      </w:r>
      <w:r w:rsidR="00EE7AF6" w:rsidRPr="00DD47DF">
        <w:t xml:space="preserve">tepelných </w:t>
      </w:r>
      <w:r w:rsidR="009A6E4E" w:rsidRPr="00DD47DF">
        <w:t>zařízení</w:t>
      </w:r>
      <w:r w:rsidR="00272AE4" w:rsidRPr="00DD47DF">
        <w:t>,</w:t>
      </w:r>
    </w:p>
    <w:p w14:paraId="6FE5C690" w14:textId="77777777" w:rsidR="00272AE4" w:rsidRPr="00DD47DF" w:rsidRDefault="009A6E4E" w:rsidP="00FB3387">
      <w:pPr>
        <w:pStyle w:val="Standardntext"/>
        <w:numPr>
          <w:ilvl w:val="0"/>
          <w:numId w:val="41"/>
        </w:numPr>
      </w:pPr>
      <w:r w:rsidRPr="00DD47DF">
        <w:t>zavádění a zvyšování účinnosti systémů kombinované výroby elektřiny a tepla</w:t>
      </w:r>
      <w:r w:rsidR="00272AE4" w:rsidRPr="00DD47DF">
        <w:t>.</w:t>
      </w:r>
    </w:p>
    <w:p w14:paraId="5CFF83A3" w14:textId="77777777" w:rsidR="007E355B" w:rsidRPr="00DD47DF" w:rsidRDefault="003A03E8" w:rsidP="00687183">
      <w:pPr>
        <w:pStyle w:val="Standardntext"/>
      </w:pPr>
      <w:r w:rsidRPr="00DD47DF">
        <w:t>Jak vyplynulo z implementace obdobných proje</w:t>
      </w:r>
      <w:r w:rsidR="00903715" w:rsidRPr="00DD47DF">
        <w:t xml:space="preserve">ktů v OPPI v letech 2007 – 2013, </w:t>
      </w:r>
      <w:r w:rsidR="007E355B" w:rsidRPr="00DD47DF">
        <w:t xml:space="preserve">mohou projekty </w:t>
      </w:r>
      <w:r w:rsidRPr="00DD47DF">
        <w:t xml:space="preserve">ve výše uvedených aktivitách </w:t>
      </w:r>
      <w:r w:rsidR="007E355B" w:rsidRPr="00DD47DF">
        <w:t xml:space="preserve">obsahovat pouze jeden typ úsporného opatření (modernizace tepelných rozvodů) či kombinaci několika úsporných opatření. Doporučenou variantu řešení bude obsahovat </w:t>
      </w:r>
      <w:r w:rsidR="00A924D2" w:rsidRPr="00DD47DF">
        <w:t>e</w:t>
      </w:r>
      <w:r w:rsidR="007E355B" w:rsidRPr="00DD47DF">
        <w:t>nergetický audit, kter</w:t>
      </w:r>
      <w:r w:rsidR="00A924D2" w:rsidRPr="00DD47DF">
        <w:t>ý</w:t>
      </w:r>
      <w:r w:rsidR="007E355B" w:rsidRPr="00DD47DF">
        <w:t xml:space="preserve"> bude povinnou součástí žádosti o </w:t>
      </w:r>
      <w:r w:rsidR="00A924D2" w:rsidRPr="00DD47DF">
        <w:t>podporu.</w:t>
      </w:r>
    </w:p>
    <w:p w14:paraId="5169F1D6" w14:textId="77777777" w:rsidR="00A924D2" w:rsidRPr="00DD47DF" w:rsidRDefault="00A924D2" w:rsidP="00A924D2">
      <w:pPr>
        <w:pStyle w:val="Standardntext"/>
      </w:pPr>
      <w:r w:rsidRPr="00DD47DF">
        <w:t>V rámci tohoto SC budou podporovány následující typové příklady či jejich kombinace:</w:t>
      </w:r>
    </w:p>
    <w:p w14:paraId="686F6E9D" w14:textId="77777777" w:rsidR="00A924D2" w:rsidRPr="00DD47DF" w:rsidRDefault="00A924D2" w:rsidP="00FB3387">
      <w:pPr>
        <w:pStyle w:val="Standardntext"/>
        <w:numPr>
          <w:ilvl w:val="0"/>
          <w:numId w:val="41"/>
        </w:numPr>
      </w:pPr>
      <w:r w:rsidRPr="00DD47DF">
        <w:t xml:space="preserve">Instalace </w:t>
      </w:r>
      <w:r w:rsidR="00DD1988" w:rsidRPr="00DD47DF">
        <w:t xml:space="preserve">vysokoúčinných (plynových) </w:t>
      </w:r>
      <w:r w:rsidRPr="00DD47DF">
        <w:t>kogeneračních jednotek v soustavách zásobování teplem, kde doposud probíhala pouze výroba tepla nebo kde je možné zvýšit množství tepla pocházejícího z vysokoúčinné kombinované výroby elektřiny a tepla, včetně rozvoje a propojování existujících soustav za účelem vyššího využití kombinované výroby elektřiny a tepla s cílem dosažení úspor primární energie.</w:t>
      </w:r>
    </w:p>
    <w:p w14:paraId="15F36F01" w14:textId="77777777" w:rsidR="008614C4" w:rsidRPr="00DD47DF" w:rsidRDefault="008614C4" w:rsidP="00FB3387">
      <w:pPr>
        <w:pStyle w:val="Standardntext"/>
        <w:numPr>
          <w:ilvl w:val="0"/>
          <w:numId w:val="41"/>
        </w:numPr>
      </w:pPr>
      <w:r w:rsidRPr="00DD47DF">
        <w:t xml:space="preserve">Instalace </w:t>
      </w:r>
      <w:r w:rsidR="00DD1988" w:rsidRPr="00DD47DF">
        <w:t xml:space="preserve">vysokoúčinné (plynové) </w:t>
      </w:r>
      <w:r w:rsidRPr="00DD47DF">
        <w:t>kogenerační jednotky za účelem lokální spotřeby tepelné energie.</w:t>
      </w:r>
    </w:p>
    <w:p w14:paraId="36F63768" w14:textId="77777777" w:rsidR="00A924D2" w:rsidRPr="00DD47DF" w:rsidRDefault="00A924D2" w:rsidP="00FB3387">
      <w:pPr>
        <w:pStyle w:val="Standardntext"/>
        <w:numPr>
          <w:ilvl w:val="0"/>
          <w:numId w:val="41"/>
        </w:numPr>
      </w:pPr>
      <w:r w:rsidRPr="00DD47DF">
        <w:t>Rekonstrukce stávajících zařízení s kombinovanou výrobou elektřiny a tepla s cílem dosažení úspory primární energie díky zlepšení technických parametrů zařízení.</w:t>
      </w:r>
    </w:p>
    <w:p w14:paraId="1EB8538B" w14:textId="77777777" w:rsidR="00A924D2" w:rsidRPr="00DD47DF" w:rsidRDefault="00DD1988" w:rsidP="00FB3387">
      <w:pPr>
        <w:pStyle w:val="Standardntext"/>
        <w:numPr>
          <w:ilvl w:val="0"/>
          <w:numId w:val="41"/>
        </w:numPr>
      </w:pPr>
      <w:r w:rsidRPr="00DD47DF">
        <w:lastRenderedPageBreak/>
        <w:t>Výstavba a r</w:t>
      </w:r>
      <w:r w:rsidR="00A924D2" w:rsidRPr="00DD47DF">
        <w:t>ozvoj stávajících soustav zásobování teplem včetně předávacích stanic s cílem maximálního využití tepla z vysokoúčinné kombinované výroby elektřiny a tepla případně odpadního tepla z průmyslových procesů a dosažení úspor primární energie.</w:t>
      </w:r>
      <w:r w:rsidR="00657F1B" w:rsidRPr="00DD47DF">
        <w:t xml:space="preserve"> Podpora bude poskytována na projekty, které se zaměřují na rozvoj systémů zásobování teplem, za předpokladu, že analýza nákladů a přínosů dle čl. 14 směrnice č. 2012/27/EU o energetické účinnosti, identifikuje potenciál pro využití vysoce účinné kogenerace </w:t>
      </w:r>
      <w:r w:rsidR="000F32C8" w:rsidRPr="00DD47DF">
        <w:t>tepla a elektřiny</w:t>
      </w:r>
      <w:r w:rsidR="00657F1B" w:rsidRPr="00DD47DF">
        <w:t xml:space="preserve"> nebo efektivní vzdálené vytápění a chlazení, jehož přínosy </w:t>
      </w:r>
      <w:r w:rsidR="000F32C8" w:rsidRPr="00DD47DF">
        <w:t>převýší náklady.</w:t>
      </w:r>
    </w:p>
    <w:p w14:paraId="2069CF45" w14:textId="77777777" w:rsidR="008336D9" w:rsidRPr="00DD47DF" w:rsidRDefault="00A924D2" w:rsidP="00A924D2">
      <w:pPr>
        <w:pStyle w:val="Standardntext"/>
      </w:pPr>
      <w:r w:rsidRPr="00DD47DF">
        <w:t>Rekonstrukce stávajících tepelných sítí včetně předávacích stanic s cílem snížení ztrát tepla a dosažení úspor primární energie. Typickým příkladem je změna teplonosného média z páry na horkou vodu, která umožňuje lepší regulovatelnost dodávky tepelné energie konečným spotřebitelům a přináší významné snížení ztrát tepla v rozvodu. Součástí rozsáhlých rekonstrukcí tepelných sítí může být také budování části nových sítí v nových trasách s cílem optimalizace topologie tepelné sítě a snížení ztrát tepla.</w:t>
      </w:r>
    </w:p>
    <w:p w14:paraId="16414064" w14:textId="77777777" w:rsidR="0054394C" w:rsidRPr="00DD47DF" w:rsidRDefault="004A1E6D" w:rsidP="0054394C">
      <w:pPr>
        <w:pStyle w:val="Standardntext"/>
      </w:pPr>
      <w:r w:rsidRPr="00DD47DF">
        <w:t>Podpora je poskytována na investice do vysoce účinných zařízení na kombinovanou výrobu tepla a elektřiny, jejichž cílem je dosažení co nejnižších emisí CO</w:t>
      </w:r>
      <w:r w:rsidRPr="00DD47DF">
        <w:rPr>
          <w:vertAlign w:val="subscript"/>
        </w:rPr>
        <w:t>2</w:t>
      </w:r>
      <w:r w:rsidRPr="00DD47DF">
        <w:t xml:space="preserve"> a maximální snížení znečištění ovzduší a zajištění ekonomické udržitelnosti. Kromě těchto podmínek by veškeré investice do modernizace stávajících zařízení na vysoce účinná zařízení na kombinovanou výrobu tepla a elektřiny měly vést ke snížení emisí CO</w:t>
      </w:r>
      <w:r w:rsidRPr="00DD47DF">
        <w:rPr>
          <w:vertAlign w:val="subscript"/>
        </w:rPr>
        <w:t>2</w:t>
      </w:r>
      <w:r w:rsidRPr="00DD47DF">
        <w:t xml:space="preserve"> nejméně o 30 % ve srovnání se stávajícími zařízeními.</w:t>
      </w:r>
      <w:r w:rsidR="0054394C" w:rsidRPr="00DD47DF">
        <w:t xml:space="preserve"> </w:t>
      </w:r>
    </w:p>
    <w:p w14:paraId="60500A40" w14:textId="77777777" w:rsidR="0054394C" w:rsidRPr="00DD47DF" w:rsidRDefault="004A1E6D" w:rsidP="0054394C">
      <w:pPr>
        <w:pStyle w:val="Standardntext"/>
      </w:pPr>
      <w:r w:rsidRPr="00DD47DF">
        <w:t>V případě nových zařízení by mělo být dosaženo alespoň 10% nárůstu energetické účinnosti ve srovnání s oddělenou výrobou elektřiny a tepla při využití nejlepších dostupných technologií. Investiční podporu pro vysoce účinnou kombinovanou výrobu tepla a elektřiny na bázi zemního plynu lze poskytnout, pokud to nebude mít za následek vytlačení nízkouhlíkových řešení a pokud by alternativní řešení bylo méně účinné a s vyšším obsahem uhlíku</w:t>
      </w:r>
      <w:r w:rsidR="0054394C" w:rsidRPr="00DD47DF">
        <w:t>.</w:t>
      </w:r>
    </w:p>
    <w:p w14:paraId="79A635DA" w14:textId="77777777" w:rsidR="006A5E3C" w:rsidRPr="00DD47DF" w:rsidRDefault="006A5E3C" w:rsidP="00A924D2">
      <w:pPr>
        <w:pStyle w:val="Standardntext"/>
      </w:pPr>
      <w:r w:rsidRPr="00DD47DF">
        <w:t xml:space="preserve">Vyšší prioritu bude mít modernizace soustav zásobování teplem se zdroji do 20 MW, současně však </w:t>
      </w:r>
      <w:r w:rsidR="00385E18" w:rsidRPr="00DD47DF">
        <w:t>budou podporován</w:t>
      </w:r>
      <w:r w:rsidR="0054394C" w:rsidRPr="00DD47DF">
        <w:t>a i tepelná rozvodná zařízení</w:t>
      </w:r>
      <w:r w:rsidRPr="00DD47DF">
        <w:t>, do nichž je dodáváno teplo ze zdrojů s vyšším výkonem než 20 MW</w:t>
      </w:r>
      <w:r w:rsidR="0054394C" w:rsidRPr="00DD47DF">
        <w:t>. Rekonstrukce/modernizace zdroje  bude umožněna pouze do 20 MW tepelného příkonu.</w:t>
      </w:r>
    </w:p>
    <w:p w14:paraId="786CEF04" w14:textId="77777777" w:rsidR="00A924D2" w:rsidRPr="00DD47DF" w:rsidRDefault="00A924D2" w:rsidP="00A924D2">
      <w:pPr>
        <w:pStyle w:val="Standardntext"/>
      </w:pPr>
      <w:r w:rsidRPr="00DD47DF">
        <w:t>Způsobilými výdaji budou výdaje na stavbu a technologická zařízení včetně měření a regulace v soustavách zásobování teplem nezbytná pro dosažení úspor primární energie</w:t>
      </w:r>
      <w:r w:rsidR="005F7F3F" w:rsidRPr="00DD47DF">
        <w:t>,</w:t>
      </w:r>
      <w:r w:rsidRPr="00DD47DF">
        <w:t xml:space="preserve"> včetně projektové dokumentace a energetického auditu.</w:t>
      </w:r>
    </w:p>
    <w:p w14:paraId="061A725B" w14:textId="77777777" w:rsidR="00471031" w:rsidRPr="00DD47DF" w:rsidRDefault="00471031" w:rsidP="00471031">
      <w:pPr>
        <w:pStyle w:val="Standardntext"/>
        <w:rPr>
          <w:bCs/>
        </w:rPr>
      </w:pPr>
      <w:r w:rsidRPr="00DD47DF">
        <w:t>Výstupy výše uvedených aktivit přispějí k naplňování hlavního výsledku tohoto specifického cíle, kterým je zvýšení úspory primární energie.</w:t>
      </w:r>
      <w:r w:rsidR="008A2959" w:rsidRPr="00DD47DF">
        <w:t xml:space="preserve"> </w:t>
      </w:r>
      <w:r w:rsidR="007C2897" w:rsidRPr="00DD47DF">
        <w:t>Výsledky pokrývají jen teplárenský sektor</w:t>
      </w:r>
      <w:r w:rsidR="008A2959" w:rsidRPr="00DD47DF">
        <w:t>.</w:t>
      </w:r>
    </w:p>
    <w:p w14:paraId="3FA1B0F3" w14:textId="2B7B106B" w:rsidR="00272AE4" w:rsidRPr="00DD47DF" w:rsidRDefault="00272AE4" w:rsidP="009A6E4E">
      <w:pPr>
        <w:pStyle w:val="Standardntext"/>
      </w:pPr>
      <w:r w:rsidRPr="00DD47DF">
        <w:rPr>
          <w:b/>
          <w:bCs/>
        </w:rPr>
        <w:t xml:space="preserve">Hlavní cílová skupina: </w:t>
      </w:r>
      <w:r w:rsidR="000A7B53" w:rsidRPr="000A7B53">
        <w:rPr>
          <w:bCs/>
        </w:rPr>
        <w:t xml:space="preserve">Veřejný sektor a </w:t>
      </w:r>
      <w:r w:rsidR="000A7B53">
        <w:rPr>
          <w:bCs/>
        </w:rPr>
        <w:t>p</w:t>
      </w:r>
      <w:r w:rsidR="000A7B53" w:rsidRPr="00DD47DF">
        <w:rPr>
          <w:bCs/>
        </w:rPr>
        <w:t xml:space="preserve">odnikatelské </w:t>
      </w:r>
      <w:r w:rsidR="00FA6AB3" w:rsidRPr="00DD47DF">
        <w:rPr>
          <w:bCs/>
        </w:rPr>
        <w:t>subjekty (</w:t>
      </w:r>
      <w:r w:rsidR="009A6E4E" w:rsidRPr="00DD47DF">
        <w:t>velké podniky</w:t>
      </w:r>
      <w:r w:rsidR="00FA6AB3" w:rsidRPr="00DD47DF">
        <w:t xml:space="preserve">, </w:t>
      </w:r>
      <w:r w:rsidR="009A6E4E" w:rsidRPr="00DD47DF">
        <w:t>ale i střední</w:t>
      </w:r>
      <w:r w:rsidR="003D0A72" w:rsidRPr="00DD47DF">
        <w:t xml:space="preserve"> a</w:t>
      </w:r>
      <w:r w:rsidR="009A6E4E" w:rsidRPr="00DD47DF">
        <w:t xml:space="preserve"> případně malé</w:t>
      </w:r>
      <w:r w:rsidR="00FA6AB3" w:rsidRPr="00DD47DF">
        <w:t xml:space="preserve"> podniky) </w:t>
      </w:r>
      <w:r w:rsidR="009A6E4E" w:rsidRPr="00DD47DF">
        <w:t xml:space="preserve">které se soustředí na výrobu a dodávku tepla do systému </w:t>
      </w:r>
      <w:r w:rsidR="003D0A72" w:rsidRPr="00DD47DF">
        <w:t xml:space="preserve">zásobování teplem z </w:t>
      </w:r>
      <w:r w:rsidR="00EE7AF6" w:rsidRPr="00DD47DF">
        <w:t>kombinované výroby elektřiny a tepla</w:t>
      </w:r>
      <w:r w:rsidR="003D0A72" w:rsidRPr="00DD47DF">
        <w:t>.</w:t>
      </w:r>
    </w:p>
    <w:p w14:paraId="390E3458" w14:textId="77777777" w:rsidR="00272AE4" w:rsidRPr="00DD47DF" w:rsidRDefault="00272AE4" w:rsidP="009A6E4E">
      <w:pPr>
        <w:pStyle w:val="Standardntext"/>
      </w:pPr>
      <w:r w:rsidRPr="00DD47DF">
        <w:rPr>
          <w:b/>
          <w:bCs/>
        </w:rPr>
        <w:t xml:space="preserve">Cílové území: </w:t>
      </w:r>
      <w:r w:rsidR="001E0AA2" w:rsidRPr="00DD47DF">
        <w:t>Území České republiky, mimo území hl. m. Prahy.</w:t>
      </w:r>
      <w:r w:rsidR="00015039" w:rsidRPr="00DD47DF">
        <w:t xml:space="preserve"> Z hlediska územní dimenze </w:t>
      </w:r>
      <w:r w:rsidR="00A46CD6" w:rsidRPr="00DD47DF">
        <w:t>bude tento specifický cíl zaměřen na urbánní území, kde se předpokládá zapojení do integrovaného nástroje ITI.</w:t>
      </w:r>
    </w:p>
    <w:p w14:paraId="6287734C" w14:textId="1EE23549" w:rsidR="00272AE4" w:rsidRPr="00DD47DF" w:rsidRDefault="00272AE4" w:rsidP="008A6D2D">
      <w:pPr>
        <w:pStyle w:val="Standardntext"/>
      </w:pPr>
      <w:r w:rsidRPr="00DD47DF">
        <w:rPr>
          <w:b/>
          <w:bCs/>
        </w:rPr>
        <w:t xml:space="preserve">Typy příjemců: </w:t>
      </w:r>
      <w:r w:rsidR="00333F6E" w:rsidRPr="000A7B53">
        <w:rPr>
          <w:bCs/>
        </w:rPr>
        <w:t>Veřejný sektor a</w:t>
      </w:r>
      <w:r w:rsidR="00333F6E" w:rsidRPr="00DD47DF">
        <w:t xml:space="preserve"> </w:t>
      </w:r>
      <w:r w:rsidR="00333F6E">
        <w:t>p</w:t>
      </w:r>
      <w:r w:rsidRPr="00DD47DF">
        <w:t>odnikatelské subjekty (malé, střední a velké podniky).</w:t>
      </w:r>
      <w:r w:rsidR="00951C8A" w:rsidRPr="00DD47DF">
        <w:t xml:space="preserve"> </w:t>
      </w:r>
    </w:p>
    <w:p w14:paraId="015F05A7" w14:textId="77777777" w:rsidR="00272AE4" w:rsidRPr="00DD47DF" w:rsidRDefault="00BA6461" w:rsidP="005F43DF">
      <w:pPr>
        <w:pStyle w:val="Nadpis5"/>
        <w:numPr>
          <w:ilvl w:val="4"/>
          <w:numId w:val="24"/>
        </w:numPr>
      </w:pPr>
      <w:r w:rsidRPr="00DD47DF">
        <w:lastRenderedPageBreak/>
        <w:t>Hlavní zásady pro výběr operací</w:t>
      </w:r>
    </w:p>
    <w:p w14:paraId="35687F62"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04EB906C" w14:textId="77777777" w:rsidR="00C0640C" w:rsidRPr="00DD47DF" w:rsidRDefault="00C0640C" w:rsidP="00C0640C">
      <w:pPr>
        <w:pStyle w:val="Standardntext"/>
      </w:pPr>
      <w:r w:rsidRPr="00DD47DF">
        <w:t>V rámci výběru a hodnocení projektů budou posuzována především následující kritéria:</w:t>
      </w:r>
    </w:p>
    <w:p w14:paraId="5C10388E" w14:textId="77777777" w:rsidR="00C0640C" w:rsidRPr="00DD47DF" w:rsidRDefault="00C0640C" w:rsidP="00FB3387">
      <w:pPr>
        <w:pStyle w:val="Standardntext"/>
        <w:numPr>
          <w:ilvl w:val="0"/>
          <w:numId w:val="43"/>
        </w:numPr>
      </w:pPr>
      <w:r w:rsidRPr="00DD47DF">
        <w:t xml:space="preserve">Kvalita a potřebnost projektu s ohledem na </w:t>
      </w:r>
      <w:r w:rsidR="00945CA9" w:rsidRPr="00DD47DF">
        <w:t>jeho ekologické přínosy a ekonomickou efektivnost; zejména bude kladen důraz na poměr investičních nákladů k úspoře energii a redukci emisí znečišťujících látek.</w:t>
      </w:r>
    </w:p>
    <w:p w14:paraId="755677B3" w14:textId="77777777" w:rsidR="00DD1988" w:rsidRPr="00DD47DF" w:rsidRDefault="00DD1988" w:rsidP="00FB3387">
      <w:pPr>
        <w:pStyle w:val="Standardntext"/>
        <w:numPr>
          <w:ilvl w:val="0"/>
          <w:numId w:val="43"/>
        </w:numPr>
      </w:pPr>
      <w:r w:rsidRPr="00DD47DF">
        <w:t>Prioritně budou podpořeny projekty rekonstrukce tepelných sítí.</w:t>
      </w:r>
    </w:p>
    <w:p w14:paraId="113AFF3F" w14:textId="77777777" w:rsidR="00DD1988" w:rsidRPr="00DD47DF" w:rsidRDefault="00DD1988" w:rsidP="00FB3387">
      <w:pPr>
        <w:pStyle w:val="Standardntext"/>
        <w:numPr>
          <w:ilvl w:val="0"/>
          <w:numId w:val="43"/>
        </w:numPr>
      </w:pPr>
      <w:r w:rsidRPr="00DD47DF">
        <w:t>Výstavba zcela nové soustavy zásobování teplem  či výstavba tepelných rozvodů bude možná pouze za podmínky zpracování analýzy, která prokáže zvýšení energetické účinnosti, nákladově optimální řešení, a která přinese nejlepší úspory energie ve srovnání s jinými opatřeními.</w:t>
      </w:r>
    </w:p>
    <w:p w14:paraId="1F5ED90C" w14:textId="77777777" w:rsidR="00A92A82" w:rsidRPr="00DD47DF" w:rsidRDefault="00A92A82" w:rsidP="002E46E2">
      <w:pPr>
        <w:pStyle w:val="Standardntext"/>
        <w:numPr>
          <w:ilvl w:val="0"/>
          <w:numId w:val="43"/>
        </w:numPr>
      </w:pPr>
      <w:r w:rsidRPr="00DD47DF">
        <w:t xml:space="preserve">Podpořen nebude projekt </w:t>
      </w:r>
      <w:r w:rsidR="00B80388" w:rsidRPr="00DD47DF">
        <w:t xml:space="preserve">instalace a </w:t>
      </w:r>
      <w:r w:rsidRPr="00DD47DF">
        <w:t>rekonstrukce zařízení (zdroje) nad 20 MW tepelného příkon</w:t>
      </w:r>
      <w:r w:rsidR="008701FE" w:rsidRPr="00DD47DF">
        <w:t>u</w:t>
      </w:r>
      <w:r w:rsidRPr="00DD47DF">
        <w:t xml:space="preserve"> (po rekonstrukci).</w:t>
      </w:r>
    </w:p>
    <w:p w14:paraId="14B96DF0" w14:textId="77777777" w:rsidR="00B80388" w:rsidRPr="00DD47DF" w:rsidRDefault="00276C89" w:rsidP="00FB3387">
      <w:pPr>
        <w:pStyle w:val="Standardntext"/>
        <w:numPr>
          <w:ilvl w:val="0"/>
          <w:numId w:val="43"/>
        </w:numPr>
      </w:pPr>
      <w:r w:rsidRPr="00DD47DF">
        <w:t>Žádná podpora nebude udělena na spolufinancování zařízení, na něž se vztahuje směrnice o průmyslových emisích, která je použitelná na zařízení pro výrobu energie a dálkové vytápění nad 50 MW</w:t>
      </w:r>
      <w:r w:rsidR="00B80388" w:rsidRPr="00DD47DF">
        <w:t>.</w:t>
      </w:r>
    </w:p>
    <w:p w14:paraId="28BB5C17" w14:textId="77777777" w:rsidR="00902AAE" w:rsidRPr="00DD47DF" w:rsidRDefault="00902AAE" w:rsidP="00902AAE">
      <w:pPr>
        <w:pStyle w:val="Standardntext"/>
        <w:numPr>
          <w:ilvl w:val="0"/>
          <w:numId w:val="43"/>
        </w:numPr>
      </w:pPr>
      <w:r w:rsidRPr="00DD47DF">
        <w:t>Měly by být vybírány projekty, které zajišťují nejnižší emise CO</w:t>
      </w:r>
      <w:r w:rsidRPr="00DD47DF">
        <w:rPr>
          <w:vertAlign w:val="subscript"/>
        </w:rPr>
        <w:t>2</w:t>
      </w:r>
      <w:r w:rsidRPr="00DD47DF">
        <w:t xml:space="preserve"> a nejmenší znečištění ovzduší – zejména PM10.</w:t>
      </w:r>
    </w:p>
    <w:p w14:paraId="36C8B845" w14:textId="77777777" w:rsidR="00902AAE" w:rsidRPr="00DD47DF" w:rsidRDefault="00902AAE" w:rsidP="00902AAE">
      <w:pPr>
        <w:pStyle w:val="Standardntext"/>
        <w:numPr>
          <w:ilvl w:val="0"/>
          <w:numId w:val="43"/>
        </w:numPr>
      </w:pPr>
      <w:r w:rsidRPr="00DD47DF">
        <w:t>Projekty by měly prokázat ekonomickou udržitelnost a – je-li to relevantní – řešit energetickou chudobu.</w:t>
      </w:r>
    </w:p>
    <w:p w14:paraId="4D5207B5" w14:textId="77777777" w:rsidR="00902AAE" w:rsidRPr="00DD47DF" w:rsidRDefault="00902AAE" w:rsidP="00902AAE">
      <w:pPr>
        <w:pStyle w:val="Standardntext"/>
        <w:numPr>
          <w:ilvl w:val="0"/>
          <w:numId w:val="43"/>
        </w:numPr>
      </w:pPr>
      <w:r w:rsidRPr="00DD47DF">
        <w:t xml:space="preserve">Přednost by měly dostat projekty využívající energii z obnovitelných zdrojů. </w:t>
      </w:r>
    </w:p>
    <w:p w14:paraId="5EFE8005" w14:textId="77777777" w:rsidR="00902AAE" w:rsidRPr="00DD47DF" w:rsidRDefault="00BB5CA2" w:rsidP="00902AAE">
      <w:pPr>
        <w:pStyle w:val="Standardntext"/>
        <w:numPr>
          <w:ilvl w:val="0"/>
          <w:numId w:val="43"/>
        </w:numPr>
      </w:pPr>
      <w:r w:rsidRPr="00DD47DF">
        <w:t>Projekt by měl prokázat, že investice je založena na poptávce po užitečném teple.</w:t>
      </w:r>
      <w:r w:rsidR="00902AAE" w:rsidRPr="00DD47DF">
        <w:t xml:space="preserve"> </w:t>
      </w:r>
    </w:p>
    <w:p w14:paraId="648234C7" w14:textId="77777777" w:rsidR="00902AAE" w:rsidRPr="00DD47DF" w:rsidRDefault="00902AAE" w:rsidP="00902AAE">
      <w:pPr>
        <w:pStyle w:val="Standardntext"/>
        <w:numPr>
          <w:ilvl w:val="0"/>
          <w:numId w:val="43"/>
        </w:numPr>
      </w:pPr>
      <w:r w:rsidRPr="00DD47DF">
        <w:t>Všechny investice musí být v souladu s normami a právními předpisy EU v oblasti životního prostředí.</w:t>
      </w:r>
    </w:p>
    <w:p w14:paraId="722FA4E2" w14:textId="77777777" w:rsidR="0054394C" w:rsidRPr="00DD47DF" w:rsidRDefault="00902AAE" w:rsidP="00902AAE">
      <w:pPr>
        <w:pStyle w:val="Standardntext"/>
        <w:numPr>
          <w:ilvl w:val="0"/>
          <w:numId w:val="43"/>
        </w:numPr>
      </w:pPr>
      <w:r w:rsidRPr="00DD47DF">
        <w:t>Mělo být podporováno využívání poskytovatelů energetických služeb a finančních nástrojů.</w:t>
      </w:r>
    </w:p>
    <w:p w14:paraId="28D57634" w14:textId="1F0D00A6" w:rsidR="0054394C" w:rsidRPr="00DD47DF" w:rsidRDefault="00427C5D" w:rsidP="00427C5D">
      <w:pPr>
        <w:pStyle w:val="Standardntext"/>
        <w:numPr>
          <w:ilvl w:val="0"/>
          <w:numId w:val="43"/>
        </w:numPr>
      </w:pPr>
      <w:r w:rsidRPr="00427C5D">
        <w:t>Podpořeny budou pouze projekty, které splňují požadavky mezních hodnot emisí pro spalovací zařízení podle Směrnice 2015/2193/ES o omezení emisí některých znečišťujících látek do ovzduší ze středních spalovacích zařízení. Prioritně budou podporovány projekty, které přispívají k plnění směrnice o nových národních emisních stropech, která vstoupila v platnost dne 31. prosince 2016.</w:t>
      </w:r>
      <w:r w:rsidR="002E46E2" w:rsidRPr="00DD47DF">
        <w:t xml:space="preserve"> </w:t>
      </w:r>
    </w:p>
    <w:p w14:paraId="2024655C" w14:textId="77777777" w:rsidR="0054394C" w:rsidRPr="00DD47DF" w:rsidRDefault="00463683" w:rsidP="009D3B07">
      <w:pPr>
        <w:pStyle w:val="Standardntext"/>
        <w:numPr>
          <w:ilvl w:val="0"/>
          <w:numId w:val="43"/>
        </w:numPr>
      </w:pPr>
      <w:r w:rsidRPr="00DD47DF">
        <w:t>Životnost investic v tomto odvětví se počítá na desítky let, a měly by proto odpovídat příslušným ustanovením a politikám právních předpisů EU. Systémy vytápění finančně podporované z OP musí již od počátku programového období splňovat minimální požadavky na energetickou účinnost a na emise platné ke konci roku 2020, jak to stanoví prováděcí opatření směrnice o ekodesignu 2009/125/ES.</w:t>
      </w:r>
    </w:p>
    <w:p w14:paraId="2F51444D" w14:textId="77777777" w:rsidR="006A5E3C" w:rsidRPr="00DD47DF" w:rsidRDefault="00A92A82" w:rsidP="0054394C">
      <w:pPr>
        <w:pStyle w:val="Standardntext"/>
        <w:numPr>
          <w:ilvl w:val="0"/>
          <w:numId w:val="43"/>
        </w:numPr>
      </w:pPr>
      <w:r w:rsidRPr="00DD47DF">
        <w:t>Podpořeny nebudou projekty zaměřené na výstavbu a rekonstrukci zdrojů tepla a kombinované výroby elektřiny a tepla z biomasy.</w:t>
      </w:r>
    </w:p>
    <w:p w14:paraId="5BB61B8F" w14:textId="77777777" w:rsidR="00A92A82" w:rsidRPr="00DD47DF" w:rsidRDefault="00A92A82" w:rsidP="00FB3387">
      <w:pPr>
        <w:pStyle w:val="Standardntext"/>
        <w:numPr>
          <w:ilvl w:val="0"/>
          <w:numId w:val="43"/>
        </w:numPr>
      </w:pPr>
      <w:r w:rsidRPr="00DD47DF">
        <w:lastRenderedPageBreak/>
        <w:t>Podpořeny nebudou projekty zaměřené na rekonstrukci/výstavbu zdroje kombinované výroby elektřiny a tepla a monovýroby tepla, která využívá jako palivo uhlí včetně  spoluspalování uhlí a biomasy. (Rekonstrukce a výstavba tepelných rozvodných zařízení bude podporována bez ohledu na to, jaké palivo využívá zdroj dodávající teplo do tepelného rozvodného zařízení).</w:t>
      </w:r>
    </w:p>
    <w:p w14:paraId="744C11C4" w14:textId="77777777" w:rsidR="00453052" w:rsidRPr="00DD47DF" w:rsidRDefault="00453052" w:rsidP="00FB3387">
      <w:pPr>
        <w:pStyle w:val="Standardntext"/>
        <w:numPr>
          <w:ilvl w:val="0"/>
          <w:numId w:val="43"/>
        </w:numPr>
      </w:pPr>
      <w:r w:rsidRPr="00DD47DF">
        <w:t>Základním předpokladem každého projektu by měla být zajištěná poptávka po užitečném teple. Prioritně se bude podpora zaměřovat na snížení ztrát tepelných rozvodů a v případě, kde nebude zajištěna dodávka užitečného tepla, se přistoupí k zavádění kogenerační výroby.</w:t>
      </w:r>
    </w:p>
    <w:p w14:paraId="25527DB9" w14:textId="77777777" w:rsidR="00C0640C" w:rsidRPr="00DD47DF" w:rsidRDefault="001963EC" w:rsidP="00FB3387">
      <w:pPr>
        <w:pStyle w:val="Standardntext"/>
        <w:numPr>
          <w:ilvl w:val="0"/>
          <w:numId w:val="43"/>
        </w:numPr>
      </w:pPr>
      <w:r w:rsidRPr="00DD47DF">
        <w:t>Soulad projektu s</w:t>
      </w:r>
      <w:r w:rsidR="00BA4E72" w:rsidRPr="00DD47DF">
        <w:t xml:space="preserve"> </w:t>
      </w:r>
      <w:r w:rsidRPr="00DD47DF">
        <w:t xml:space="preserve">územní dimenzí a uplatněním integrovaných </w:t>
      </w:r>
      <w:r w:rsidR="009D1769" w:rsidRPr="00DD47DF">
        <w:t>nástrojů</w:t>
      </w:r>
      <w:r w:rsidRPr="00DD47DF">
        <w:t xml:space="preserve"> (ITI) v rámci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68ADDCE0" w14:textId="77777777" w:rsidR="00C0640C" w:rsidRPr="00DD47DF" w:rsidRDefault="00C0640C"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70FF5FD4" w14:textId="77777777" w:rsidR="00A92A82" w:rsidRPr="00DD47DF" w:rsidRDefault="00A92A82" w:rsidP="00FB3387">
      <w:pPr>
        <w:pStyle w:val="Standardntext"/>
        <w:numPr>
          <w:ilvl w:val="0"/>
          <w:numId w:val="43"/>
        </w:numPr>
      </w:pPr>
      <w:r w:rsidRPr="00DD47DF">
        <w:t>Soulad projektu s nízkouhlíkovou strategií/akčním plánem pro udržitelnou energii.</w:t>
      </w:r>
    </w:p>
    <w:p w14:paraId="100C3BC8" w14:textId="7C894554" w:rsidR="00D5203D" w:rsidRPr="00DD47DF" w:rsidRDefault="00D5203D" w:rsidP="00DC0681">
      <w:pPr>
        <w:pStyle w:val="Standardntext"/>
        <w:numPr>
          <w:ilvl w:val="0"/>
          <w:numId w:val="43"/>
        </w:numPr>
      </w:pPr>
      <w:r w:rsidRPr="00DD47DF">
        <w:t>Vliv projektu na oblast klimatu bude na projektové úrovni sledován prostřednictvím indikátoru „Odhadované roční snížení emisí skleníkových plynů“</w:t>
      </w:r>
      <w:r w:rsidR="00C306CB" w:rsidRPr="00DD47DF">
        <w:t xml:space="preserve"> (3 60 10)</w:t>
      </w:r>
      <w:r w:rsidRPr="00DD47DF">
        <w:t>. Nad rámec toho bude na projektové úrovni interně monitorován vliv daného projektu na oblast ovzduší prostřednictvím indikátoru „</w:t>
      </w:r>
      <w:r w:rsidR="00DC0681" w:rsidRPr="00DC0681">
        <w:t>Množství emisí primárních částic a prekurzorů sekundárních částic</w:t>
      </w:r>
      <w:r w:rsidRPr="00DD47DF">
        <w:t>“</w:t>
      </w:r>
      <w:r w:rsidR="00C306CB" w:rsidRPr="00DD47DF">
        <w:t xml:space="preserve"> (3 61 11)</w:t>
      </w:r>
      <w:r w:rsidR="00E624A1" w:rsidRPr="00DD47DF">
        <w:rPr>
          <w:rStyle w:val="Znakapoznpodarou"/>
        </w:rPr>
        <w:footnoteReference w:id="67"/>
      </w:r>
      <w:r w:rsidRPr="00DD47DF">
        <w:t>. Tyto environmentální indikátory budou dále agregovány pro potřeby Dohody o partnerství</w:t>
      </w:r>
      <w:r w:rsidR="00E624A1" w:rsidRPr="00DD47DF">
        <w:t xml:space="preserve"> a Výročních zpráv OP PIK</w:t>
      </w:r>
      <w:r w:rsidRPr="00DD47DF">
        <w:t>.</w:t>
      </w:r>
    </w:p>
    <w:p w14:paraId="405E338F" w14:textId="77777777" w:rsidR="0038435E" w:rsidRPr="00DD47DF" w:rsidRDefault="0038435E" w:rsidP="0038435E">
      <w:pPr>
        <w:pStyle w:val="Standardntext"/>
        <w:numPr>
          <w:ilvl w:val="0"/>
          <w:numId w:val="43"/>
        </w:numPr>
      </w:pPr>
      <w:r w:rsidRPr="00DD47DF">
        <w:t>Projekt musí splňovat alespoň požadavky na úrovni kladené spodní polovinou intervalu nejlepších dostupných technik</w:t>
      </w:r>
      <w:r w:rsidRPr="00DD47DF" w:rsidDel="00A808D6">
        <w:t xml:space="preserve"> </w:t>
      </w:r>
      <w:r w:rsidRPr="00DD47DF">
        <w:rPr>
          <w:rStyle w:val="Znakapoznpodarou"/>
        </w:rPr>
        <w:footnoteReference w:id="68"/>
      </w:r>
      <w:r w:rsidRPr="00DD47DF">
        <w:t>.</w:t>
      </w:r>
    </w:p>
    <w:p w14:paraId="78ECCEDC" w14:textId="77777777" w:rsidR="00A92A82" w:rsidRPr="00DD47DF" w:rsidRDefault="00A92A82" w:rsidP="00FB3387">
      <w:pPr>
        <w:pStyle w:val="Standardntext"/>
        <w:numPr>
          <w:ilvl w:val="0"/>
          <w:numId w:val="43"/>
        </w:numPr>
      </w:pPr>
      <w:r w:rsidRPr="00DD47DF">
        <w:t>Podporovány budou projekty s vysokou mírou účinnosti.</w:t>
      </w:r>
    </w:p>
    <w:p w14:paraId="2FC8CCED" w14:textId="77777777" w:rsidR="00A92A82" w:rsidRPr="00DD47DF" w:rsidRDefault="00A92A82" w:rsidP="00FB3387">
      <w:pPr>
        <w:pStyle w:val="Standardntext"/>
        <w:numPr>
          <w:ilvl w:val="0"/>
          <w:numId w:val="43"/>
        </w:numPr>
      </w:pPr>
      <w:r w:rsidRPr="00DD47DF">
        <w:t>Projekt nesmí být financován provozní podporou obnovitelných zdrojů energie.</w:t>
      </w:r>
    </w:p>
    <w:p w14:paraId="456A7571" w14:textId="77777777" w:rsidR="00C0640C" w:rsidRPr="00DD47DF" w:rsidRDefault="00C0640C" w:rsidP="00FB3387">
      <w:pPr>
        <w:pStyle w:val="Standardntext"/>
        <w:numPr>
          <w:ilvl w:val="0"/>
          <w:numId w:val="43"/>
        </w:numPr>
      </w:pPr>
      <w:r w:rsidRPr="00DD47DF">
        <w:t>Součástí projektu musí být energetický audit</w:t>
      </w:r>
      <w:r w:rsidR="008A7937" w:rsidRPr="00DD47DF">
        <w:t xml:space="preserve"> doporučující nejvhodnější opatření, která budou realizována</w:t>
      </w:r>
      <w:r w:rsidRPr="00DD47DF">
        <w:t xml:space="preserve">. </w:t>
      </w:r>
    </w:p>
    <w:p w14:paraId="4403A8DF"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B72511F" w14:textId="77777777" w:rsidR="00272AE4" w:rsidRPr="00DD47DF" w:rsidRDefault="00BA6461" w:rsidP="005F43DF">
      <w:pPr>
        <w:pStyle w:val="Nadpis5"/>
        <w:numPr>
          <w:ilvl w:val="4"/>
          <w:numId w:val="24"/>
        </w:numPr>
        <w:rPr>
          <w:rFonts w:cs="Calibri"/>
        </w:rPr>
      </w:pPr>
      <w:r w:rsidRPr="00DD47DF">
        <w:lastRenderedPageBreak/>
        <w:t xml:space="preserve">Plánované využití finančních nástrojů </w:t>
      </w:r>
    </w:p>
    <w:p w14:paraId="4B9EF17F" w14:textId="09D0112A" w:rsidR="00C45CD5" w:rsidRPr="00DD47DF" w:rsidRDefault="00FA317B" w:rsidP="000373F5">
      <w:pPr>
        <w:pStyle w:val="Standardntext"/>
      </w:pPr>
      <w:r w:rsidRPr="00FA317B">
        <w:t>Řídící orgán nepředpokládá využití finančních nástrojů v této investiční prioritě. Detaily stanoví konečná verze předběžného posouzení finančních nástrojů OP PIK dle čl. 37 odst. 2 obecného nařízení, které provede ŘO OP PIK, případně jeho revize podle čl. 37 odst. 2 písm. g) obecného nařízení.</w:t>
      </w:r>
    </w:p>
    <w:p w14:paraId="2BA369CF" w14:textId="77777777" w:rsidR="00272AE4" w:rsidRPr="00DD47DF" w:rsidRDefault="00BA6461" w:rsidP="005F43DF">
      <w:pPr>
        <w:pStyle w:val="Nadpis5"/>
        <w:numPr>
          <w:ilvl w:val="4"/>
          <w:numId w:val="24"/>
        </w:numPr>
      </w:pPr>
      <w:r w:rsidRPr="00DD47DF">
        <w:t>Plánované využití velkých projektů (použije-li se)</w:t>
      </w:r>
    </w:p>
    <w:p w14:paraId="371EE76B" w14:textId="16DCC9A2" w:rsidR="002A4D1D" w:rsidRPr="00DD47DF" w:rsidRDefault="009C19AC" w:rsidP="002A4D1D">
      <w:pPr>
        <w:pStyle w:val="Standardntext"/>
      </w:pPr>
      <w:r w:rsidRPr="009C19AC">
        <w:t>Velké projekty ve smyslu čl. 100 obecného nařízení jsou plánovány. OP PPIK bude realizován také prostřednictvím tzv. velkých projektů, jejichž celkové způsobilé náklady budou vyšší než 50 mil. EUR</w:t>
      </w:r>
      <w:r w:rsidR="002A4D1D" w:rsidRPr="00DD47DF">
        <w:t>.</w:t>
      </w:r>
    </w:p>
    <w:p w14:paraId="37A0B6B5" w14:textId="77777777" w:rsidR="0058402E" w:rsidRPr="00DD47DF" w:rsidRDefault="00BA6461" w:rsidP="001049C5">
      <w:pPr>
        <w:pStyle w:val="Nadpis5"/>
        <w:keepNext w:val="0"/>
        <w:keepLines w:val="0"/>
        <w:numPr>
          <w:ilvl w:val="4"/>
          <w:numId w:val="24"/>
        </w:numPr>
      </w:pPr>
      <w:r w:rsidRPr="00DD47DF">
        <w:t>Ukazatele výstupů podle investiční priority a případně podle kategorie regionů</w:t>
      </w:r>
    </w:p>
    <w:p w14:paraId="2B8E187E" w14:textId="77777777" w:rsidR="0058402E" w:rsidRPr="00DD47DF" w:rsidRDefault="0058402E" w:rsidP="001049C5">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8"/>
        <w:gridCol w:w="2071"/>
        <w:gridCol w:w="1293"/>
        <w:gridCol w:w="665"/>
        <w:gridCol w:w="1177"/>
        <w:gridCol w:w="1317"/>
        <w:gridCol w:w="997"/>
        <w:gridCol w:w="1138"/>
      </w:tblGrid>
      <w:tr w:rsidR="001B2E5C" w:rsidRPr="00DD47DF" w14:paraId="12F886F9" w14:textId="77777777">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54E7258" w14:textId="77777777" w:rsidR="001B2E5C" w:rsidRPr="00DD47DF" w:rsidRDefault="001B2E5C" w:rsidP="001049C5">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D8541E8" w14:textId="77777777" w:rsidR="001B2E5C" w:rsidRPr="00DD47DF" w:rsidRDefault="001B2E5C" w:rsidP="001049C5">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C3E3400" w14:textId="77777777" w:rsidR="001B2E5C" w:rsidRPr="00DD47DF" w:rsidRDefault="001B2E5C" w:rsidP="001049C5">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95DD239" w14:textId="77777777" w:rsidR="001B2E5C" w:rsidRPr="00DD47DF" w:rsidRDefault="001B2E5C" w:rsidP="001049C5">
            <w:pPr>
              <w:pStyle w:val="Tabulka"/>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F568FAE" w14:textId="77777777" w:rsidR="001B2E5C" w:rsidRPr="00DD47DF" w:rsidRDefault="001B2E5C" w:rsidP="001049C5">
            <w:pPr>
              <w:pStyle w:val="Tabulka"/>
              <w:rPr>
                <w:rFonts w:cs="Calibri"/>
                <w:b/>
              </w:rPr>
            </w:pPr>
            <w:r w:rsidRPr="00DD47DF">
              <w:rPr>
                <w:rFonts w:cs="Calibri"/>
                <w:b/>
              </w:rPr>
              <w:t>Kategorie regionu</w:t>
            </w:r>
          </w:p>
        </w:tc>
        <w:tc>
          <w:tcPr>
            <w:tcW w:w="131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6D2B7D1" w14:textId="77777777" w:rsidR="001B2E5C" w:rsidRPr="00DD47DF" w:rsidRDefault="001B2E5C" w:rsidP="001049C5">
            <w:pPr>
              <w:pStyle w:val="Tabulka"/>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71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CE289D7" w14:textId="77777777" w:rsidR="001B2E5C" w:rsidRPr="00DD47DF" w:rsidRDefault="001B2E5C" w:rsidP="001049C5">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9CEF0CB" w14:textId="77777777" w:rsidR="001B2E5C" w:rsidRPr="00DD47DF" w:rsidRDefault="001B2E5C" w:rsidP="001049C5">
            <w:pPr>
              <w:pStyle w:val="Tabulka"/>
              <w:rPr>
                <w:rFonts w:cs="Calibri"/>
                <w:b/>
              </w:rPr>
            </w:pPr>
            <w:r w:rsidRPr="00DD47DF">
              <w:rPr>
                <w:rFonts w:cs="Calibri"/>
                <w:b/>
              </w:rPr>
              <w:t>Četnost podávání zpráv</w:t>
            </w:r>
          </w:p>
        </w:tc>
      </w:tr>
      <w:tr w:rsidR="00FD0399" w:rsidRPr="00DD47DF" w14:paraId="32C10303"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35EAF3C" w14:textId="62C4E7D6" w:rsidR="00FD0399" w:rsidRPr="00DD47DF" w:rsidRDefault="00C75691" w:rsidP="001049C5">
            <w:pPr>
              <w:pStyle w:val="Tabulka"/>
              <w:rPr>
                <w:rFonts w:cs="Calibri"/>
              </w:rPr>
            </w:pPr>
            <w:r w:rsidRPr="00DD47DF">
              <w:rPr>
                <w:rFonts w:cs="Calibri"/>
              </w:rPr>
              <w:t xml:space="preserve">CO </w:t>
            </w:r>
            <w:r w:rsidR="00D803FD" w:rsidRPr="00DD47DF">
              <w:rPr>
                <w:rFonts w:cs="Calibri"/>
              </w:rPr>
              <w:t>0</w:t>
            </w:r>
            <w:r w:rsidR="00FD039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42757427" w14:textId="77777777" w:rsidR="00FD0399" w:rsidRPr="00DD47DF" w:rsidRDefault="007D6298" w:rsidP="001049C5">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2EF5D077" w14:textId="77777777" w:rsidR="00FD0399" w:rsidRPr="00DD47DF" w:rsidRDefault="00FD0399"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74B25F8" w14:textId="77777777" w:rsidR="00FD0399" w:rsidRPr="00DD47DF" w:rsidRDefault="002B3F69"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8FC728A" w14:textId="77777777" w:rsidR="00FD0399" w:rsidRPr="00DD47DF" w:rsidRDefault="00FD0399"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57C2CAA2" w14:textId="67230669" w:rsidR="00FD0399" w:rsidRPr="00DD47DF" w:rsidRDefault="008A1BA5" w:rsidP="00873E0A">
            <w:pPr>
              <w:pStyle w:val="Tabulka"/>
              <w:rPr>
                <w:rFonts w:cs="Calibri"/>
              </w:rPr>
            </w:pPr>
            <w:r>
              <w:rPr>
                <w:rFonts w:cs="Calibri"/>
              </w:rPr>
              <w:t>45</w:t>
            </w:r>
          </w:p>
        </w:tc>
        <w:tc>
          <w:tcPr>
            <w:tcW w:w="713" w:type="dxa"/>
            <w:tcBorders>
              <w:top w:val="single" w:sz="4" w:space="0" w:color="000000"/>
              <w:left w:val="single" w:sz="4" w:space="0" w:color="000000"/>
              <w:bottom w:val="single" w:sz="4" w:space="0" w:color="000000"/>
              <w:right w:val="single" w:sz="4" w:space="0" w:color="000000"/>
            </w:tcBorders>
            <w:vAlign w:val="center"/>
          </w:tcPr>
          <w:p w14:paraId="66E49306" w14:textId="77777777" w:rsidR="00FC7054" w:rsidRPr="00DD47DF" w:rsidRDefault="00FC7054" w:rsidP="00FC7054">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9E935C7" w14:textId="77777777" w:rsidR="00FD0399" w:rsidRPr="00DD47DF" w:rsidRDefault="00FC7054" w:rsidP="001049C5">
            <w:pPr>
              <w:pStyle w:val="Tabulka"/>
              <w:rPr>
                <w:rFonts w:cs="Calibri"/>
              </w:rPr>
            </w:pPr>
            <w:r>
              <w:rPr>
                <w:rFonts w:cs="Calibri"/>
              </w:rPr>
              <w:t>průběžně</w:t>
            </w:r>
          </w:p>
        </w:tc>
      </w:tr>
      <w:tr w:rsidR="00B324A0" w:rsidRPr="00DD47DF" w14:paraId="740FF2FC" w14:textId="77777777" w:rsidTr="00F85EE2">
        <w:trPr>
          <w:trHeight w:val="363"/>
        </w:trPr>
        <w:tc>
          <w:tcPr>
            <w:tcW w:w="0" w:type="auto"/>
            <w:tcBorders>
              <w:top w:val="single" w:sz="4" w:space="0" w:color="000000"/>
              <w:left w:val="single" w:sz="4" w:space="0" w:color="000000"/>
              <w:bottom w:val="single" w:sz="4" w:space="0" w:color="000000"/>
              <w:right w:val="single" w:sz="4" w:space="0" w:color="000000"/>
            </w:tcBorders>
            <w:vAlign w:val="center"/>
          </w:tcPr>
          <w:p w14:paraId="319D5D43" w14:textId="36FEE844" w:rsidR="00B324A0" w:rsidRPr="00DD47DF" w:rsidRDefault="00B324A0" w:rsidP="001049C5">
            <w:pPr>
              <w:pStyle w:val="Tabulka"/>
              <w:rPr>
                <w:rFonts w:cs="Calibri"/>
              </w:rPr>
            </w:pPr>
            <w:r w:rsidRPr="00DD47DF">
              <w:rPr>
                <w:rFonts w:cs="Calibri"/>
              </w:rPr>
              <w:t>CO 02</w:t>
            </w:r>
          </w:p>
        </w:tc>
        <w:tc>
          <w:tcPr>
            <w:tcW w:w="0" w:type="auto"/>
            <w:tcBorders>
              <w:top w:val="single" w:sz="4" w:space="0" w:color="000000"/>
              <w:left w:val="single" w:sz="4" w:space="0" w:color="000000"/>
              <w:bottom w:val="single" w:sz="4" w:space="0" w:color="000000"/>
              <w:right w:val="single" w:sz="4" w:space="0" w:color="000000"/>
            </w:tcBorders>
            <w:vAlign w:val="center"/>
          </w:tcPr>
          <w:p w14:paraId="7D0F9EA4" w14:textId="77777777" w:rsidR="00B324A0" w:rsidRPr="00DD47DF" w:rsidRDefault="00B324A0" w:rsidP="001049C5">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B45E878" w14:textId="77777777" w:rsidR="00B324A0" w:rsidRPr="00DD47DF" w:rsidRDefault="00B324A0"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23F43D34"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BDCC629"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0FAAFDAC" w14:textId="45B9E2A1" w:rsidR="00B324A0" w:rsidRPr="00DD47DF" w:rsidRDefault="008A1BA5" w:rsidP="00873E0A">
            <w:pPr>
              <w:pStyle w:val="Tabulka"/>
              <w:rPr>
                <w:rFonts w:cs="Calibri"/>
              </w:rPr>
            </w:pPr>
            <w:r>
              <w:rPr>
                <w:rFonts w:cs="Calibri"/>
              </w:rPr>
              <w:t>45</w:t>
            </w:r>
          </w:p>
        </w:tc>
        <w:tc>
          <w:tcPr>
            <w:tcW w:w="713" w:type="dxa"/>
            <w:tcBorders>
              <w:top w:val="single" w:sz="4" w:space="0" w:color="000000"/>
              <w:left w:val="single" w:sz="4" w:space="0" w:color="000000"/>
              <w:bottom w:val="single" w:sz="4" w:space="0" w:color="000000"/>
              <w:right w:val="single" w:sz="4" w:space="0" w:color="000000"/>
            </w:tcBorders>
            <w:vAlign w:val="center"/>
          </w:tcPr>
          <w:p w14:paraId="2DD25CD1" w14:textId="77777777" w:rsidR="00B324A0" w:rsidRPr="00DD47DF" w:rsidRDefault="00FC7054" w:rsidP="001049C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A3F93A4" w14:textId="77777777" w:rsidR="00B324A0" w:rsidRPr="00DD47DF" w:rsidRDefault="00FC7054" w:rsidP="001049C5">
            <w:pPr>
              <w:pStyle w:val="Tabulka"/>
              <w:rPr>
                <w:rFonts w:cs="Calibri"/>
              </w:rPr>
            </w:pPr>
            <w:r>
              <w:rPr>
                <w:rFonts w:cs="Calibri"/>
              </w:rPr>
              <w:t>průběžně</w:t>
            </w:r>
          </w:p>
        </w:tc>
      </w:tr>
      <w:tr w:rsidR="00B324A0" w:rsidRPr="00DD47DF" w14:paraId="1E588F6D"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E9A9DB" w14:textId="6C214547" w:rsidR="00B324A0" w:rsidRPr="00DD47DF" w:rsidRDefault="00B324A0" w:rsidP="001049C5">
            <w:pPr>
              <w:pStyle w:val="Tabulka"/>
              <w:rPr>
                <w:rFonts w:cs="Calibri"/>
              </w:rPr>
            </w:pPr>
            <w:r w:rsidRPr="00DD47DF">
              <w:rPr>
                <w:rFonts w:cs="Calibri"/>
              </w:rPr>
              <w:t>CO 03</w:t>
            </w:r>
          </w:p>
        </w:tc>
        <w:tc>
          <w:tcPr>
            <w:tcW w:w="0" w:type="auto"/>
            <w:tcBorders>
              <w:top w:val="single" w:sz="4" w:space="0" w:color="000000"/>
              <w:left w:val="single" w:sz="4" w:space="0" w:color="000000"/>
              <w:bottom w:val="single" w:sz="4" w:space="0" w:color="000000"/>
              <w:right w:val="single" w:sz="4" w:space="0" w:color="000000"/>
            </w:tcBorders>
            <w:vAlign w:val="center"/>
          </w:tcPr>
          <w:p w14:paraId="7925F738" w14:textId="77777777" w:rsidR="00B324A0" w:rsidRPr="00DD47DF" w:rsidRDefault="00B324A0" w:rsidP="001049C5">
            <w:pPr>
              <w:pStyle w:val="Tabulka"/>
              <w:jc w:val="left"/>
              <w:rPr>
                <w:rFonts w:cs="Calibri"/>
              </w:rPr>
            </w:pPr>
            <w:r w:rsidRPr="00DD47DF">
              <w:rPr>
                <w:rFonts w:cs="Calibri"/>
              </w:rPr>
              <w:t>Počet podniků p</w:t>
            </w:r>
            <w:r w:rsidR="00546318">
              <w:rPr>
                <w:rFonts w:cs="Calibri"/>
              </w:rPr>
              <w:t>obírajících jinou finanční podporu</w:t>
            </w:r>
            <w:r w:rsidRPr="00DD47DF">
              <w:rPr>
                <w:rFonts w:cs="Calibri"/>
              </w:rPr>
              <w:t xml:space="preserve">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408A162E" w14:textId="77777777" w:rsidR="00B324A0" w:rsidRPr="00DD47DF" w:rsidRDefault="00B324A0" w:rsidP="001049C5">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81BFDA"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8A9B934"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5232E3C5" w14:textId="001C35C4" w:rsidR="00B324A0" w:rsidRPr="00DD47DF" w:rsidRDefault="00BE6815" w:rsidP="00803F6A">
            <w:pPr>
              <w:pStyle w:val="Tabulka"/>
              <w:rPr>
                <w:rFonts w:cs="Calibri"/>
              </w:rPr>
            </w:pPr>
            <w:r>
              <w:rPr>
                <w:rFonts w:cs="Calibri"/>
              </w:rPr>
              <w:t>0</w:t>
            </w:r>
          </w:p>
        </w:tc>
        <w:tc>
          <w:tcPr>
            <w:tcW w:w="713" w:type="dxa"/>
            <w:tcBorders>
              <w:top w:val="single" w:sz="4" w:space="0" w:color="000000"/>
              <w:left w:val="single" w:sz="4" w:space="0" w:color="000000"/>
              <w:bottom w:val="single" w:sz="4" w:space="0" w:color="000000"/>
              <w:right w:val="single" w:sz="4" w:space="0" w:color="000000"/>
            </w:tcBorders>
            <w:vAlign w:val="center"/>
          </w:tcPr>
          <w:p w14:paraId="0558DB48" w14:textId="77777777" w:rsidR="00B324A0" w:rsidRPr="00DD47DF" w:rsidRDefault="00392BCA" w:rsidP="001049C5">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CE0FD0C" w14:textId="77777777" w:rsidR="00B324A0" w:rsidRPr="00DD47DF" w:rsidRDefault="00392BCA" w:rsidP="001049C5">
            <w:pPr>
              <w:pStyle w:val="Tabulka"/>
              <w:rPr>
                <w:rFonts w:cs="Calibri"/>
              </w:rPr>
            </w:pPr>
            <w:r>
              <w:rPr>
                <w:rFonts w:cs="Calibri"/>
              </w:rPr>
              <w:t>průběžně</w:t>
            </w:r>
          </w:p>
        </w:tc>
      </w:tr>
      <w:tr w:rsidR="00B324A0" w:rsidRPr="00DD47DF" w14:paraId="6866EE01"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68308D0" w14:textId="536BA70F" w:rsidR="00B324A0" w:rsidRPr="00DD47DF" w:rsidRDefault="00B324A0" w:rsidP="001049C5">
            <w:pPr>
              <w:pStyle w:val="Tabulka"/>
              <w:rPr>
                <w:rFonts w:cs="Calibri"/>
              </w:rPr>
            </w:pPr>
            <w:r w:rsidRPr="00DD47DF">
              <w:rPr>
                <w:rFonts w:cs="Calibri"/>
              </w:rPr>
              <w:t>CO 06</w:t>
            </w:r>
          </w:p>
        </w:tc>
        <w:tc>
          <w:tcPr>
            <w:tcW w:w="0" w:type="auto"/>
            <w:tcBorders>
              <w:top w:val="single" w:sz="4" w:space="0" w:color="000000"/>
              <w:left w:val="single" w:sz="4" w:space="0" w:color="000000"/>
              <w:bottom w:val="single" w:sz="4" w:space="0" w:color="000000"/>
              <w:right w:val="single" w:sz="4" w:space="0" w:color="000000"/>
            </w:tcBorders>
            <w:vAlign w:val="center"/>
          </w:tcPr>
          <w:p w14:paraId="2BF5E097" w14:textId="77777777" w:rsidR="00B324A0" w:rsidRPr="00DD47DF" w:rsidRDefault="00892451" w:rsidP="001049C5">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12B5D035" w14:textId="77777777" w:rsidR="00B324A0" w:rsidRPr="00DD47DF" w:rsidRDefault="00B324A0" w:rsidP="001049C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64014271"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F5EC3F1"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118FB4B1" w14:textId="07381754" w:rsidR="00B324A0" w:rsidRPr="00DD47DF" w:rsidRDefault="008A1BA5" w:rsidP="001049C5">
            <w:pPr>
              <w:pStyle w:val="Tabulka"/>
              <w:rPr>
                <w:rFonts w:cs="Calibri"/>
              </w:rPr>
            </w:pPr>
            <w:r>
              <w:rPr>
                <w:rFonts w:cs="Calibri"/>
              </w:rPr>
              <w:t>150 </w:t>
            </w:r>
            <w:r w:rsidR="00BE6815">
              <w:rPr>
                <w:rFonts w:cs="Calibri"/>
              </w:rPr>
              <w:t>000 000</w:t>
            </w:r>
          </w:p>
        </w:tc>
        <w:tc>
          <w:tcPr>
            <w:tcW w:w="713" w:type="dxa"/>
            <w:tcBorders>
              <w:top w:val="single" w:sz="4" w:space="0" w:color="000000"/>
              <w:left w:val="single" w:sz="4" w:space="0" w:color="000000"/>
              <w:bottom w:val="single" w:sz="4" w:space="0" w:color="000000"/>
              <w:right w:val="single" w:sz="4" w:space="0" w:color="000000"/>
            </w:tcBorders>
            <w:vAlign w:val="center"/>
          </w:tcPr>
          <w:p w14:paraId="5113B05C" w14:textId="77777777" w:rsidR="00B324A0" w:rsidRPr="00DD47DF" w:rsidRDefault="00800418" w:rsidP="001049C5">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B618CE4" w14:textId="77777777" w:rsidR="00B324A0" w:rsidRPr="00DD47DF" w:rsidRDefault="00934A97" w:rsidP="001049C5">
            <w:pPr>
              <w:pStyle w:val="Tabulka"/>
              <w:rPr>
                <w:rFonts w:cs="Calibri"/>
              </w:rPr>
            </w:pPr>
            <w:r>
              <w:rPr>
                <w:rFonts w:cs="Calibri"/>
              </w:rPr>
              <w:t>průběžně</w:t>
            </w:r>
          </w:p>
        </w:tc>
      </w:tr>
      <w:tr w:rsidR="00B324A0" w:rsidRPr="00DD47DF" w14:paraId="7F89A29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FC57AD9" w14:textId="63F4C470" w:rsidR="00B324A0" w:rsidRPr="00DD47DF" w:rsidRDefault="00B324A0" w:rsidP="001049C5">
            <w:pPr>
              <w:pStyle w:val="Tabulka"/>
              <w:rPr>
                <w:rFonts w:cs="Calibri"/>
              </w:rPr>
            </w:pPr>
            <w:r w:rsidRPr="00DD47DF">
              <w:rPr>
                <w:rFonts w:cs="Calibri"/>
              </w:rPr>
              <w:t>CO 07</w:t>
            </w:r>
          </w:p>
        </w:tc>
        <w:tc>
          <w:tcPr>
            <w:tcW w:w="0" w:type="auto"/>
            <w:tcBorders>
              <w:top w:val="single" w:sz="4" w:space="0" w:color="000000"/>
              <w:left w:val="single" w:sz="4" w:space="0" w:color="000000"/>
              <w:bottom w:val="single" w:sz="4" w:space="0" w:color="000000"/>
              <w:right w:val="single" w:sz="4" w:space="0" w:color="000000"/>
            </w:tcBorders>
            <w:vAlign w:val="center"/>
          </w:tcPr>
          <w:p w14:paraId="6606B28B" w14:textId="77777777" w:rsidR="00B324A0" w:rsidRPr="00DD47DF" w:rsidRDefault="006D0B6D" w:rsidP="001049C5">
            <w:pPr>
              <w:pStyle w:val="Tabulka"/>
              <w:jc w:val="left"/>
              <w:rPr>
                <w:rFonts w:cs="Calibri"/>
              </w:rPr>
            </w:pPr>
            <w:r w:rsidRPr="006D0B6D">
              <w:rPr>
                <w:rFonts w:cs="Calibri"/>
              </w:rPr>
              <w:t>Soukromé investice odpovídající veřejné podpoře podniků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29FC64ED" w14:textId="77777777" w:rsidR="00B324A0" w:rsidRPr="00DD47DF" w:rsidRDefault="00B324A0" w:rsidP="001049C5">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52B89730"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E8CE408"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E14C758" w14:textId="50BE1CD6" w:rsidR="00B324A0" w:rsidRPr="00DD47DF" w:rsidRDefault="00BE6815" w:rsidP="00803F6A">
            <w:pPr>
              <w:pStyle w:val="Tabulka"/>
              <w:rPr>
                <w:rFonts w:cs="Calibri"/>
              </w:rPr>
            </w:pPr>
            <w:r>
              <w:rPr>
                <w:rFonts w:cs="Calibri"/>
              </w:rPr>
              <w:t>0</w:t>
            </w:r>
          </w:p>
        </w:tc>
        <w:tc>
          <w:tcPr>
            <w:tcW w:w="713" w:type="dxa"/>
            <w:tcBorders>
              <w:top w:val="single" w:sz="4" w:space="0" w:color="000000"/>
              <w:left w:val="single" w:sz="4" w:space="0" w:color="000000"/>
              <w:bottom w:val="single" w:sz="4" w:space="0" w:color="000000"/>
              <w:right w:val="single" w:sz="4" w:space="0" w:color="000000"/>
            </w:tcBorders>
            <w:vAlign w:val="center"/>
          </w:tcPr>
          <w:p w14:paraId="0E305CE7" w14:textId="77777777" w:rsidR="00B324A0" w:rsidRPr="00DD47DF" w:rsidRDefault="00392BCA" w:rsidP="001049C5">
            <w:pPr>
              <w:pStyle w:val="Tabulka"/>
              <w:rPr>
                <w:rFonts w:cs="Calibri"/>
              </w:rPr>
            </w:pPr>
            <w:r>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068CCE7" w14:textId="77777777" w:rsidR="00B324A0" w:rsidRPr="00DD47DF" w:rsidRDefault="00392BCA" w:rsidP="001049C5">
            <w:pPr>
              <w:pStyle w:val="Tabulka"/>
              <w:rPr>
                <w:rFonts w:cs="Calibri"/>
              </w:rPr>
            </w:pPr>
            <w:r>
              <w:rPr>
                <w:rFonts w:cs="Calibri"/>
              </w:rPr>
              <w:t>průběžně</w:t>
            </w:r>
          </w:p>
        </w:tc>
      </w:tr>
      <w:tr w:rsidR="00B324A0" w:rsidRPr="00DD47DF" w14:paraId="20496342"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E2F719E" w14:textId="4020DC4C" w:rsidR="00B324A0" w:rsidRPr="00DD47DF" w:rsidDel="00C75691" w:rsidRDefault="00B324A0" w:rsidP="001049C5">
            <w:pPr>
              <w:pStyle w:val="Tabulka"/>
              <w:rPr>
                <w:rFonts w:cs="Calibri"/>
              </w:rPr>
            </w:pPr>
            <w:r w:rsidRPr="00DD47DF">
              <w:rPr>
                <w:rFonts w:cs="Calibri"/>
              </w:rPr>
              <w:t>CO 34</w:t>
            </w:r>
          </w:p>
        </w:tc>
        <w:tc>
          <w:tcPr>
            <w:tcW w:w="0" w:type="auto"/>
            <w:tcBorders>
              <w:top w:val="single" w:sz="4" w:space="0" w:color="000000"/>
              <w:left w:val="single" w:sz="4" w:space="0" w:color="000000"/>
              <w:bottom w:val="single" w:sz="4" w:space="0" w:color="000000"/>
              <w:right w:val="single" w:sz="4" w:space="0" w:color="000000"/>
            </w:tcBorders>
            <w:vAlign w:val="center"/>
          </w:tcPr>
          <w:p w14:paraId="5D26907D" w14:textId="77777777" w:rsidR="00B324A0" w:rsidRPr="00DD47DF" w:rsidRDefault="00B324A0" w:rsidP="001049C5">
            <w:pPr>
              <w:pStyle w:val="Tabulka"/>
              <w:jc w:val="left"/>
              <w:rPr>
                <w:rFonts w:cs="Calibri"/>
              </w:rPr>
            </w:pPr>
            <w:r w:rsidRPr="00DD47DF">
              <w:rPr>
                <w:rFonts w:cs="Calibri"/>
              </w:rPr>
              <w:t>Odhadované roční snížení emisí skleníkových plynů</w:t>
            </w:r>
          </w:p>
        </w:tc>
        <w:tc>
          <w:tcPr>
            <w:tcW w:w="0" w:type="auto"/>
            <w:tcBorders>
              <w:top w:val="single" w:sz="4" w:space="0" w:color="000000"/>
              <w:left w:val="single" w:sz="4" w:space="0" w:color="000000"/>
              <w:bottom w:val="single" w:sz="4" w:space="0" w:color="000000"/>
              <w:right w:val="single" w:sz="4" w:space="0" w:color="000000"/>
            </w:tcBorders>
            <w:vAlign w:val="center"/>
          </w:tcPr>
          <w:p w14:paraId="2B82004D" w14:textId="77777777" w:rsidR="00B324A0" w:rsidRPr="00DD47DF" w:rsidRDefault="00B324A0" w:rsidP="001049C5">
            <w:pPr>
              <w:pStyle w:val="Tabulka"/>
              <w:rPr>
                <w:rFonts w:cs="Calibri"/>
              </w:rPr>
            </w:pPr>
            <w:r w:rsidRPr="00DD47DF">
              <w:rPr>
                <w:rFonts w:cs="Calibri"/>
              </w:rPr>
              <w:t>Tuny ekvivalentu CO2/rok</w:t>
            </w:r>
          </w:p>
        </w:tc>
        <w:tc>
          <w:tcPr>
            <w:tcW w:w="0" w:type="auto"/>
            <w:tcBorders>
              <w:top w:val="single" w:sz="4" w:space="0" w:color="000000"/>
              <w:left w:val="single" w:sz="4" w:space="0" w:color="000000"/>
              <w:bottom w:val="single" w:sz="4" w:space="0" w:color="000000"/>
              <w:right w:val="single" w:sz="4" w:space="0" w:color="000000"/>
            </w:tcBorders>
            <w:vAlign w:val="center"/>
          </w:tcPr>
          <w:p w14:paraId="35524B3C"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11D1EA8"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52DCF0C" w14:textId="0DE3A705" w:rsidR="00B324A0" w:rsidRPr="00DD47DF" w:rsidRDefault="008A1BA5" w:rsidP="001049C5">
            <w:pPr>
              <w:pStyle w:val="Tabulka"/>
              <w:rPr>
                <w:rFonts w:cs="Calibri"/>
              </w:rPr>
            </w:pPr>
            <w:r>
              <w:rPr>
                <w:rFonts w:cs="Calibri"/>
              </w:rPr>
              <w:t>125</w:t>
            </w:r>
            <w:r w:rsidRPr="00DD47DF">
              <w:rPr>
                <w:rFonts w:cs="Calibri"/>
              </w:rPr>
              <w:t xml:space="preserve"> </w:t>
            </w:r>
            <w:r w:rsidR="00B324A0" w:rsidRPr="00DD47DF">
              <w:rPr>
                <w:rFonts w:cs="Calibri"/>
              </w:rPr>
              <w:t>000</w:t>
            </w:r>
          </w:p>
        </w:tc>
        <w:tc>
          <w:tcPr>
            <w:tcW w:w="713" w:type="dxa"/>
            <w:tcBorders>
              <w:top w:val="single" w:sz="4" w:space="0" w:color="000000"/>
              <w:left w:val="single" w:sz="4" w:space="0" w:color="000000"/>
              <w:bottom w:val="single" w:sz="4" w:space="0" w:color="000000"/>
              <w:right w:val="single" w:sz="4" w:space="0" w:color="000000"/>
            </w:tcBorders>
            <w:vAlign w:val="center"/>
          </w:tcPr>
          <w:p w14:paraId="096CEC29"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2AC8A7B" w14:textId="77777777" w:rsidR="00B324A0" w:rsidRPr="00DD47DF" w:rsidRDefault="00990784" w:rsidP="001049C5">
            <w:pPr>
              <w:pStyle w:val="Tabulka"/>
              <w:rPr>
                <w:rFonts w:cs="Calibri"/>
              </w:rPr>
            </w:pPr>
            <w:r>
              <w:rPr>
                <w:rFonts w:cs="Calibri"/>
              </w:rPr>
              <w:t>průběžně</w:t>
            </w:r>
          </w:p>
        </w:tc>
      </w:tr>
      <w:tr w:rsidR="00B324A0" w:rsidRPr="00DD47DF" w14:paraId="41334DF0"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A7194E6" w14:textId="77777777" w:rsidR="00B324A0" w:rsidRPr="00DD47DF" w:rsidDel="00C75691" w:rsidRDefault="00B324A0" w:rsidP="001049C5">
            <w:pPr>
              <w:pStyle w:val="Tabulka"/>
              <w:rPr>
                <w:rFonts w:cs="Calibri"/>
              </w:rPr>
            </w:pPr>
            <w:r w:rsidRPr="00DD47DF">
              <w:rPr>
                <w:rFonts w:cs="Calibri"/>
              </w:rPr>
              <w:t>33906</w:t>
            </w:r>
          </w:p>
        </w:tc>
        <w:tc>
          <w:tcPr>
            <w:tcW w:w="0" w:type="auto"/>
            <w:tcBorders>
              <w:top w:val="single" w:sz="4" w:space="0" w:color="000000"/>
              <w:left w:val="single" w:sz="4" w:space="0" w:color="000000"/>
              <w:bottom w:val="single" w:sz="4" w:space="0" w:color="000000"/>
              <w:right w:val="single" w:sz="4" w:space="0" w:color="000000"/>
            </w:tcBorders>
            <w:vAlign w:val="center"/>
          </w:tcPr>
          <w:p w14:paraId="3269FEB1" w14:textId="77777777" w:rsidR="00B324A0" w:rsidRPr="00DD47DF" w:rsidRDefault="00B324A0" w:rsidP="001049C5">
            <w:pPr>
              <w:pStyle w:val="Tabulka"/>
              <w:jc w:val="left"/>
              <w:rPr>
                <w:rFonts w:cs="Calibri"/>
              </w:rPr>
            </w:pPr>
            <w:r w:rsidRPr="00DD47DF">
              <w:rPr>
                <w:rFonts w:cs="Calibri"/>
              </w:rPr>
              <w:t>Nové nebo rekonstruované soustavy zásobování teplem</w:t>
            </w:r>
          </w:p>
        </w:tc>
        <w:tc>
          <w:tcPr>
            <w:tcW w:w="0" w:type="auto"/>
            <w:tcBorders>
              <w:top w:val="single" w:sz="4" w:space="0" w:color="000000"/>
              <w:left w:val="single" w:sz="4" w:space="0" w:color="000000"/>
              <w:bottom w:val="single" w:sz="4" w:space="0" w:color="000000"/>
              <w:right w:val="single" w:sz="4" w:space="0" w:color="000000"/>
            </w:tcBorders>
            <w:vAlign w:val="center"/>
          </w:tcPr>
          <w:p w14:paraId="275C9C8D" w14:textId="77777777" w:rsidR="00B324A0" w:rsidRPr="00DD47DF" w:rsidRDefault="00B324A0" w:rsidP="001049C5">
            <w:pPr>
              <w:pStyle w:val="Tabulka"/>
              <w:rPr>
                <w:rFonts w:cs="Calibri"/>
              </w:rPr>
            </w:pPr>
            <w:r w:rsidRPr="00DD47DF">
              <w:rPr>
                <w:rFonts w:cs="Calibri"/>
              </w:rPr>
              <w:t>soustava</w:t>
            </w:r>
          </w:p>
        </w:tc>
        <w:tc>
          <w:tcPr>
            <w:tcW w:w="0" w:type="auto"/>
            <w:tcBorders>
              <w:top w:val="single" w:sz="4" w:space="0" w:color="000000"/>
              <w:left w:val="single" w:sz="4" w:space="0" w:color="000000"/>
              <w:bottom w:val="single" w:sz="4" w:space="0" w:color="000000"/>
              <w:right w:val="single" w:sz="4" w:space="0" w:color="000000"/>
            </w:tcBorders>
            <w:vAlign w:val="center"/>
          </w:tcPr>
          <w:p w14:paraId="26EE954E"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9E2A123" w14:textId="77777777" w:rsidR="00B324A0" w:rsidRPr="00DD47DF" w:rsidRDefault="00B324A0" w:rsidP="001049C5">
            <w:pPr>
              <w:pStyle w:val="Tabulka"/>
              <w:rPr>
                <w:rFonts w:cs="Calibri"/>
              </w:rPr>
            </w:pPr>
            <w:r w:rsidRPr="00DD47DF">
              <w:rPr>
                <w:rFonts w:cs="Calibri"/>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764C8059" w14:textId="718B1273" w:rsidR="00B324A0" w:rsidRPr="00DD47DF" w:rsidRDefault="008A1BA5" w:rsidP="001049C5">
            <w:pPr>
              <w:pStyle w:val="Tabulka"/>
              <w:rPr>
                <w:rFonts w:cs="Calibri"/>
              </w:rPr>
            </w:pPr>
            <w:r>
              <w:rPr>
                <w:rFonts w:cs="Calibri"/>
              </w:rPr>
              <w:t>105</w:t>
            </w:r>
          </w:p>
        </w:tc>
        <w:tc>
          <w:tcPr>
            <w:tcW w:w="713" w:type="dxa"/>
            <w:tcBorders>
              <w:top w:val="single" w:sz="4" w:space="0" w:color="000000"/>
              <w:left w:val="single" w:sz="4" w:space="0" w:color="000000"/>
              <w:bottom w:val="single" w:sz="4" w:space="0" w:color="000000"/>
              <w:right w:val="single" w:sz="4" w:space="0" w:color="000000"/>
            </w:tcBorders>
            <w:vAlign w:val="center"/>
          </w:tcPr>
          <w:p w14:paraId="6FE4BEDB"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357AC062" w14:textId="77777777" w:rsidR="00B324A0" w:rsidRPr="00DD47DF" w:rsidRDefault="0079192F" w:rsidP="001049C5">
            <w:pPr>
              <w:pStyle w:val="Tabulka"/>
              <w:rPr>
                <w:rFonts w:cs="Calibri"/>
              </w:rPr>
            </w:pPr>
            <w:r>
              <w:rPr>
                <w:rFonts w:cs="Calibri"/>
              </w:rPr>
              <w:t>průběžně</w:t>
            </w:r>
          </w:p>
        </w:tc>
      </w:tr>
      <w:tr w:rsidR="00B324A0" w:rsidRPr="00DD47DF" w14:paraId="33299F45" w14:textId="77777777" w:rsidTr="00997228">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841BDF6" w14:textId="77777777" w:rsidR="00B324A0" w:rsidRPr="00DD47DF" w:rsidDel="00C75691" w:rsidRDefault="00B324A0" w:rsidP="001049C5">
            <w:pPr>
              <w:pStyle w:val="Tabulka"/>
              <w:rPr>
                <w:rFonts w:cs="Calibri"/>
              </w:rPr>
            </w:pPr>
            <w:r w:rsidRPr="00DD47DF">
              <w:rPr>
                <w:rFonts w:cs="Calibri"/>
              </w:rPr>
              <w:t>34701</w:t>
            </w:r>
          </w:p>
        </w:tc>
        <w:tc>
          <w:tcPr>
            <w:tcW w:w="0" w:type="auto"/>
            <w:tcBorders>
              <w:top w:val="single" w:sz="4" w:space="0" w:color="000000"/>
              <w:left w:val="single" w:sz="4" w:space="0" w:color="000000"/>
              <w:bottom w:val="single" w:sz="4" w:space="0" w:color="000000"/>
              <w:right w:val="single" w:sz="4" w:space="0" w:color="000000"/>
            </w:tcBorders>
            <w:vAlign w:val="center"/>
          </w:tcPr>
          <w:p w14:paraId="3D217509" w14:textId="77777777" w:rsidR="00B324A0" w:rsidRPr="00DD47DF" w:rsidRDefault="00B324A0" w:rsidP="001049C5">
            <w:pPr>
              <w:pStyle w:val="Tabulka"/>
              <w:jc w:val="left"/>
              <w:rPr>
                <w:rFonts w:cs="Calibri"/>
              </w:rPr>
            </w:pPr>
            <w:r w:rsidRPr="00DD47DF">
              <w:rPr>
                <w:rFonts w:cs="Calibri"/>
              </w:rPr>
              <w:t xml:space="preserve">Nové nebo rekonstruované </w:t>
            </w:r>
            <w:r w:rsidRPr="00DD47DF">
              <w:rPr>
                <w:rFonts w:cs="Calibri"/>
              </w:rPr>
              <w:lastRenderedPageBreak/>
              <w:t>KVET</w:t>
            </w:r>
          </w:p>
        </w:tc>
        <w:tc>
          <w:tcPr>
            <w:tcW w:w="0" w:type="auto"/>
            <w:tcBorders>
              <w:top w:val="single" w:sz="4" w:space="0" w:color="000000"/>
              <w:left w:val="single" w:sz="4" w:space="0" w:color="000000"/>
              <w:bottom w:val="single" w:sz="4" w:space="0" w:color="000000"/>
              <w:right w:val="single" w:sz="4" w:space="0" w:color="000000"/>
            </w:tcBorders>
            <w:vAlign w:val="center"/>
          </w:tcPr>
          <w:p w14:paraId="4793BEF9" w14:textId="77777777" w:rsidR="00B324A0" w:rsidRPr="00DD47DF" w:rsidRDefault="00B324A0" w:rsidP="001049C5">
            <w:pPr>
              <w:pStyle w:val="Tabulka"/>
              <w:rPr>
                <w:rFonts w:cs="Calibri"/>
              </w:rPr>
            </w:pPr>
            <w:r w:rsidRPr="00DD47DF">
              <w:rPr>
                <w:rFonts w:cs="Calibri"/>
              </w:rPr>
              <w:lastRenderedPageBreak/>
              <w:t>soustava KVET</w:t>
            </w:r>
          </w:p>
        </w:tc>
        <w:tc>
          <w:tcPr>
            <w:tcW w:w="0" w:type="auto"/>
            <w:tcBorders>
              <w:top w:val="single" w:sz="4" w:space="0" w:color="000000"/>
              <w:left w:val="single" w:sz="4" w:space="0" w:color="000000"/>
              <w:bottom w:val="single" w:sz="4" w:space="0" w:color="000000"/>
              <w:right w:val="single" w:sz="4" w:space="0" w:color="000000"/>
            </w:tcBorders>
            <w:vAlign w:val="center"/>
          </w:tcPr>
          <w:p w14:paraId="0A123518" w14:textId="77777777" w:rsidR="00B324A0" w:rsidRPr="00DD47DF" w:rsidRDefault="00B324A0" w:rsidP="001049C5">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778B9D00" w14:textId="77777777" w:rsidR="00B324A0" w:rsidRPr="00DD47DF" w:rsidRDefault="00B324A0" w:rsidP="001049C5">
            <w:pPr>
              <w:pStyle w:val="Tabulka"/>
              <w:rPr>
                <w:rFonts w:cs="Calibri"/>
              </w:rPr>
            </w:pPr>
            <w:r w:rsidRPr="00DD47DF">
              <w:rPr>
                <w:rFonts w:cs="Calibri"/>
              </w:rPr>
              <w:t xml:space="preserve">Méně rozvinuté </w:t>
            </w:r>
            <w:r w:rsidRPr="00DD47DF">
              <w:rPr>
                <w:rFonts w:cs="Calibri"/>
              </w:rPr>
              <w:lastRenderedPageBreak/>
              <w:t>regiony</w:t>
            </w:r>
          </w:p>
        </w:tc>
        <w:tc>
          <w:tcPr>
            <w:tcW w:w="1317" w:type="dxa"/>
            <w:tcBorders>
              <w:top w:val="single" w:sz="4" w:space="0" w:color="000000"/>
              <w:left w:val="single" w:sz="4" w:space="0" w:color="000000"/>
              <w:bottom w:val="single" w:sz="4" w:space="0" w:color="000000"/>
              <w:right w:val="single" w:sz="4" w:space="0" w:color="000000"/>
            </w:tcBorders>
            <w:vAlign w:val="center"/>
          </w:tcPr>
          <w:p w14:paraId="42130D8C" w14:textId="7F4FC959" w:rsidR="00B324A0" w:rsidRPr="00DD47DF" w:rsidRDefault="008A1BA5" w:rsidP="001049C5">
            <w:pPr>
              <w:pStyle w:val="Tabulka"/>
              <w:rPr>
                <w:rFonts w:cs="Calibri"/>
              </w:rPr>
            </w:pPr>
            <w:r>
              <w:rPr>
                <w:rFonts w:cs="Calibri"/>
              </w:rPr>
              <w:lastRenderedPageBreak/>
              <w:t>10</w:t>
            </w:r>
          </w:p>
        </w:tc>
        <w:tc>
          <w:tcPr>
            <w:tcW w:w="713" w:type="dxa"/>
            <w:tcBorders>
              <w:top w:val="single" w:sz="4" w:space="0" w:color="000000"/>
              <w:left w:val="single" w:sz="4" w:space="0" w:color="000000"/>
              <w:bottom w:val="single" w:sz="4" w:space="0" w:color="000000"/>
              <w:right w:val="single" w:sz="4" w:space="0" w:color="000000"/>
            </w:tcBorders>
            <w:vAlign w:val="center"/>
          </w:tcPr>
          <w:p w14:paraId="6FFB9A22" w14:textId="77777777" w:rsidR="00B324A0" w:rsidRPr="00DD47DF" w:rsidRDefault="00B324A0" w:rsidP="001049C5">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255083C" w14:textId="77777777" w:rsidR="00B324A0" w:rsidRPr="00DD47DF" w:rsidRDefault="00516928" w:rsidP="001049C5">
            <w:pPr>
              <w:pStyle w:val="Tabulka"/>
              <w:rPr>
                <w:rFonts w:cs="Calibri"/>
              </w:rPr>
            </w:pPr>
            <w:r>
              <w:rPr>
                <w:rFonts w:cs="Calibri"/>
              </w:rPr>
              <w:t>průběžně</w:t>
            </w:r>
          </w:p>
        </w:tc>
      </w:tr>
    </w:tbl>
    <w:p w14:paraId="5ECFD9C1" w14:textId="77777777" w:rsidR="004C3774" w:rsidRPr="00DD47DF" w:rsidRDefault="004C3774" w:rsidP="00DA3512">
      <w:pPr>
        <w:pStyle w:val="kapitola2A0"/>
        <w:numPr>
          <w:ilvl w:val="2"/>
          <w:numId w:val="70"/>
        </w:numPr>
      </w:pPr>
      <w:bookmarkStart w:id="81" w:name="_Toc129005414"/>
      <w:r w:rsidRPr="00DD47DF">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bookmarkEnd w:id="81"/>
    </w:p>
    <w:p w14:paraId="66E1AA16" w14:textId="77777777" w:rsidR="004C3774" w:rsidRPr="00DD47DF" w:rsidRDefault="004C3774" w:rsidP="00DA3512">
      <w:pPr>
        <w:pStyle w:val="kapitola2A0"/>
        <w:numPr>
          <w:ilvl w:val="2"/>
          <w:numId w:val="70"/>
        </w:numPr>
      </w:pPr>
      <w:bookmarkStart w:id="82" w:name="_Toc129005415"/>
      <w:r w:rsidRPr="00DD47DF">
        <w:t>Specifické cíle odpovídající investiční prioritě a očekávané výsledky</w:t>
      </w:r>
      <w:bookmarkEnd w:id="82"/>
    </w:p>
    <w:p w14:paraId="7A46FA2F" w14:textId="77777777" w:rsidR="004C3774" w:rsidRPr="00DD47DF" w:rsidRDefault="004C3774" w:rsidP="004C3774">
      <w:pPr>
        <w:pStyle w:val="Modrnadpis"/>
      </w:pPr>
      <w:r w:rsidRPr="00DD47DF">
        <w:t xml:space="preserve">SPECIFICKÝ CÍL 3.6: </w:t>
      </w:r>
      <w:r w:rsidR="00951C8A" w:rsidRPr="00DD47DF">
        <w:t>Posílit energetickou bezpečnost přenosové soustavy</w:t>
      </w:r>
    </w:p>
    <w:p w14:paraId="0FF8E85F" w14:textId="77777777" w:rsidR="004C3774" w:rsidRPr="00DD47DF" w:rsidRDefault="00CD0C96" w:rsidP="004C3774">
      <w:pPr>
        <w:pStyle w:val="Standardntext"/>
      </w:pPr>
      <w:r w:rsidRPr="00DD47DF">
        <w:t xml:space="preserve">Pro dlouhodobě stabilní provoz přenosové soustavy je nutná modernizace a rekonstrukce jejích stávajících prvků při uplatnění inovativních postupů, které přispějí k integraci do konceptu smart řízení celé elektrizační soustavy. </w:t>
      </w:r>
      <w:r w:rsidR="005F7F3F" w:rsidRPr="00DD47DF">
        <w:t xml:space="preserve">Investice do moderní energetické infrastruktury jsou neodmyslitelnou součástí rozvoje </w:t>
      </w:r>
      <w:r w:rsidRPr="00DD47DF">
        <w:t xml:space="preserve">všech </w:t>
      </w:r>
      <w:r w:rsidR="005F7F3F" w:rsidRPr="00DD47DF">
        <w:t>průmyslově se rozvíjejících regionů.</w:t>
      </w:r>
      <w:r w:rsidR="00951C8A" w:rsidRPr="00DD47DF">
        <w:t xml:space="preserve"> Hlavním cílem je posílení konkurenceschopnosti a udržitelnosti české ekonomiky prostřednictvím rozvoje a modernizace energetické infrastruktury.</w:t>
      </w:r>
    </w:p>
    <w:p w14:paraId="5AF72B66" w14:textId="77777777" w:rsidR="004C3774" w:rsidRPr="00DD47DF" w:rsidRDefault="004C3774" w:rsidP="004C3774">
      <w:pPr>
        <w:pStyle w:val="Modrnadpis"/>
      </w:pPr>
      <w:r w:rsidRPr="00DD47DF">
        <w:t>Výsledky, kterých chce ČR dosáhnout s podporou Unie</w:t>
      </w:r>
    </w:p>
    <w:p w14:paraId="5748CC4F" w14:textId="77777777" w:rsidR="004C3774" w:rsidRPr="00DD47DF" w:rsidRDefault="00773FB8" w:rsidP="00FB3387">
      <w:pPr>
        <w:pStyle w:val="Standardntext"/>
        <w:numPr>
          <w:ilvl w:val="0"/>
          <w:numId w:val="51"/>
        </w:numPr>
        <w:rPr>
          <w:i/>
        </w:rPr>
      </w:pPr>
      <w:r w:rsidRPr="00DD47DF">
        <w:t>Zlepšení kvality, bezpečnosti a udržitelnosti dodávek elektřiny konečným zákazníkům ve všech regionech České republiky mimo Prahu</w:t>
      </w:r>
    </w:p>
    <w:p w14:paraId="1ED2CDE4" w14:textId="77777777" w:rsidR="004C3774" w:rsidRPr="00DD47DF" w:rsidRDefault="00773FB8" w:rsidP="00FB3387">
      <w:pPr>
        <w:pStyle w:val="Standardntext"/>
        <w:numPr>
          <w:ilvl w:val="0"/>
          <w:numId w:val="51"/>
        </w:numPr>
      </w:pPr>
      <w:r w:rsidRPr="00DD47DF">
        <w:t>Přispět k rychlejšímu dotvoření plně funkčního a propojeného vnitřního trhu s energií a zajištění spolehlivých vedení výkonů v rámci trhů s elektřinou v EU.</w:t>
      </w:r>
    </w:p>
    <w:p w14:paraId="1831597B" w14:textId="77777777" w:rsidR="00773FB8" w:rsidRPr="00DD47DF" w:rsidRDefault="00773FB8" w:rsidP="00FB3387">
      <w:pPr>
        <w:pStyle w:val="Standardntext"/>
        <w:numPr>
          <w:ilvl w:val="0"/>
          <w:numId w:val="51"/>
        </w:numPr>
      </w:pPr>
      <w:r w:rsidRPr="00DD47DF">
        <w:t>Minimalizace úzkých profilů a integrace decentralizovaných zdrojů energie.</w:t>
      </w:r>
    </w:p>
    <w:p w14:paraId="38427942" w14:textId="77777777" w:rsidR="00773FB8" w:rsidRPr="00DD47DF" w:rsidRDefault="00773FB8" w:rsidP="00FB3387">
      <w:pPr>
        <w:pStyle w:val="Standardntext"/>
        <w:numPr>
          <w:ilvl w:val="0"/>
          <w:numId w:val="51"/>
        </w:numPr>
      </w:pPr>
      <w:r w:rsidRPr="00DD47DF">
        <w:t>Impuls pro rozvoj průmyslu, podnikání a celé ekonomiky díky rozvoji a modernizaci energetické infrastruktury.</w:t>
      </w:r>
    </w:p>
    <w:p w14:paraId="6932ADF1" w14:textId="77777777" w:rsidR="004C3774" w:rsidRPr="00DD47DF" w:rsidRDefault="004C3774" w:rsidP="00F90D67">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909"/>
        <w:gridCol w:w="991"/>
        <w:gridCol w:w="993"/>
        <w:gridCol w:w="1146"/>
        <w:gridCol w:w="979"/>
        <w:gridCol w:w="851"/>
        <w:gridCol w:w="992"/>
        <w:gridCol w:w="1419"/>
        <w:gridCol w:w="1046"/>
      </w:tblGrid>
      <w:tr w:rsidR="00D57106" w:rsidRPr="00DD47DF" w14:paraId="2F840CB8" w14:textId="77777777">
        <w:trPr>
          <w:trHeight w:hRule="exact" w:val="1385"/>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847F601" w14:textId="77777777" w:rsidR="004C3774" w:rsidRPr="00DD47DF" w:rsidRDefault="004C3774" w:rsidP="00F90D67">
            <w:pPr>
              <w:pStyle w:val="Tabulka"/>
              <w:rPr>
                <w:rFonts w:cs="Calibri"/>
                <w:b/>
                <w:bCs/>
              </w:rPr>
            </w:pPr>
            <w:r w:rsidRPr="00DD47DF">
              <w:rPr>
                <w:rFonts w:cs="Calibri"/>
                <w:b/>
                <w:bCs/>
              </w:rPr>
              <w:t>ID</w:t>
            </w:r>
          </w:p>
        </w:tc>
        <w:tc>
          <w:tcPr>
            <w:tcW w:w="53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BB55D14" w14:textId="77777777" w:rsidR="004C3774" w:rsidRPr="00DD47DF" w:rsidRDefault="004C3774" w:rsidP="00F90D67">
            <w:pPr>
              <w:pStyle w:val="Tabulka"/>
              <w:rPr>
                <w:rFonts w:cs="Calibri"/>
                <w:b/>
                <w:bCs/>
              </w:rPr>
            </w:pPr>
            <w:r w:rsidRPr="00DD47DF">
              <w:rPr>
                <w:rFonts w:cs="Calibri"/>
                <w:b/>
                <w:bCs/>
              </w:rPr>
              <w:t>Ukazatel</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7C0A480" w14:textId="77777777" w:rsidR="004C3774" w:rsidRPr="00DD47DF" w:rsidRDefault="004C3774" w:rsidP="00F90D67">
            <w:pPr>
              <w:pStyle w:val="Tabulka"/>
              <w:rPr>
                <w:rFonts w:cs="Calibri"/>
                <w:b/>
                <w:bCs/>
              </w:rPr>
            </w:pPr>
            <w:r w:rsidRPr="00DD47DF">
              <w:rPr>
                <w:rFonts w:cs="Calibri"/>
                <w:b/>
                <w:bCs/>
              </w:rPr>
              <w:t>Měrná</w:t>
            </w:r>
          </w:p>
          <w:p w14:paraId="1473B358" w14:textId="77777777" w:rsidR="004C3774" w:rsidRPr="00DD47DF" w:rsidRDefault="004C3774" w:rsidP="00F90D67">
            <w:pPr>
              <w:pStyle w:val="Tabulka"/>
              <w:rPr>
                <w:rFonts w:cs="Calibri"/>
                <w:b/>
                <w:bCs/>
              </w:rPr>
            </w:pPr>
            <w:r w:rsidRPr="00DD47DF">
              <w:rPr>
                <w:rFonts w:cs="Calibri"/>
                <w:b/>
                <w:bCs/>
              </w:rPr>
              <w:t>jednotka</w:t>
            </w:r>
          </w:p>
        </w:tc>
        <w:tc>
          <w:tcPr>
            <w:tcW w:w="614"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35B3FF93" w14:textId="77777777" w:rsidR="004C3774" w:rsidRPr="00DD47DF" w:rsidRDefault="004C3774" w:rsidP="00F90D67">
            <w:pPr>
              <w:pStyle w:val="Tabulka"/>
              <w:rPr>
                <w:rFonts w:cs="Calibri"/>
                <w:b/>
                <w:bCs/>
              </w:rPr>
            </w:pPr>
            <w:r w:rsidRPr="00DD47DF">
              <w:rPr>
                <w:rFonts w:cs="Calibri"/>
                <w:b/>
                <w:bCs/>
              </w:rPr>
              <w:t>Kategorie regionů (je-li relevantní)</w:t>
            </w:r>
          </w:p>
        </w:tc>
        <w:tc>
          <w:tcPr>
            <w:tcW w:w="525"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560849D" w14:textId="77777777" w:rsidR="004C3774" w:rsidRPr="00DD47DF" w:rsidRDefault="004B0854" w:rsidP="00F90D67">
            <w:pPr>
              <w:pStyle w:val="Tabulka"/>
              <w:rPr>
                <w:rFonts w:cs="Calibri"/>
                <w:b/>
                <w:bCs/>
              </w:rPr>
            </w:pPr>
            <w:r w:rsidRPr="00DD47DF">
              <w:rPr>
                <w:rFonts w:cs="Calibri"/>
                <w:b/>
                <w:bCs/>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72CC6F8C" w14:textId="77777777" w:rsidR="004C3774" w:rsidRPr="00DD47DF" w:rsidRDefault="004B0854" w:rsidP="00F90D67">
            <w:pPr>
              <w:pStyle w:val="Tabulka"/>
              <w:rPr>
                <w:rFonts w:cs="Calibri"/>
                <w:b/>
                <w:bCs/>
              </w:rPr>
            </w:pPr>
            <w:r w:rsidRPr="00DD47DF">
              <w:rPr>
                <w:rFonts w:cs="Calibri"/>
                <w:b/>
                <w:bCs/>
                <w:sz w:val="20"/>
              </w:rPr>
              <w:t xml:space="preserve">Výchozí </w:t>
            </w:r>
            <w:r w:rsidR="004C3774" w:rsidRPr="00DD47DF">
              <w:rPr>
                <w:rFonts w:cs="Calibri"/>
                <w:b/>
                <w:bCs/>
                <w:sz w:val="20"/>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27E03902" w14:textId="77777777" w:rsidR="004C3774" w:rsidRPr="00DD47DF" w:rsidRDefault="004C3774" w:rsidP="00F90D67">
            <w:pPr>
              <w:pStyle w:val="Tabulka"/>
              <w:rPr>
                <w:rFonts w:cs="Calibri"/>
                <w:b/>
                <w:bCs/>
              </w:rPr>
            </w:pPr>
            <w:r w:rsidRPr="00DD47DF">
              <w:rPr>
                <w:rFonts w:cs="Calibri"/>
                <w:b/>
                <w:bCs/>
              </w:rPr>
              <w:t>Cílová hodnota (2023)</w:t>
            </w:r>
          </w:p>
        </w:tc>
        <w:tc>
          <w:tcPr>
            <w:tcW w:w="7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5FF7D1F9" w14:textId="77777777" w:rsidR="004C3774" w:rsidRPr="00DD47DF" w:rsidRDefault="004C3774" w:rsidP="00F90D67">
            <w:pPr>
              <w:pStyle w:val="Tabulka"/>
              <w:rPr>
                <w:rFonts w:cs="Calibri"/>
                <w:b/>
                <w:bCs/>
              </w:rPr>
            </w:pPr>
            <w:r w:rsidRPr="00DD47DF">
              <w:rPr>
                <w:rFonts w:cs="Calibri"/>
                <w:b/>
                <w:bCs/>
              </w:rPr>
              <w:t>Zdroj údajů</w:t>
            </w:r>
          </w:p>
        </w:tc>
        <w:tc>
          <w:tcPr>
            <w:tcW w:w="561" w:type="pct"/>
            <w:tcBorders>
              <w:top w:val="single" w:sz="4" w:space="0" w:color="000000"/>
              <w:left w:val="single" w:sz="4" w:space="0" w:color="000000"/>
              <w:bottom w:val="single" w:sz="4" w:space="0" w:color="000000"/>
              <w:right w:val="single" w:sz="4" w:space="0" w:color="000000"/>
            </w:tcBorders>
            <w:shd w:val="clear" w:color="auto" w:fill="B8CCE4"/>
            <w:vAlign w:val="center"/>
          </w:tcPr>
          <w:p w14:paraId="413F2BE7" w14:textId="77777777" w:rsidR="004C3774" w:rsidRPr="00DD47DF" w:rsidRDefault="004C3774" w:rsidP="00F90D67">
            <w:pPr>
              <w:pStyle w:val="Tabulka"/>
              <w:rPr>
                <w:rFonts w:cs="Calibri"/>
                <w:b/>
                <w:bCs/>
              </w:rPr>
            </w:pPr>
            <w:r w:rsidRPr="00DD47DF">
              <w:rPr>
                <w:rFonts w:cs="Calibri"/>
                <w:b/>
                <w:bCs/>
              </w:rPr>
              <w:t>Četnost podávání zpráv</w:t>
            </w:r>
          </w:p>
        </w:tc>
      </w:tr>
      <w:tr w:rsidR="00956C4F" w:rsidRPr="00DD47DF" w14:paraId="6D0BF3A1" w14:textId="77777777">
        <w:trPr>
          <w:trHeight w:hRule="exact" w:val="1193"/>
        </w:trPr>
        <w:tc>
          <w:tcPr>
            <w:tcW w:w="487" w:type="pct"/>
            <w:tcBorders>
              <w:top w:val="single" w:sz="4" w:space="0" w:color="000000"/>
              <w:left w:val="single" w:sz="4" w:space="0" w:color="000000"/>
              <w:bottom w:val="single" w:sz="4" w:space="0" w:color="000000"/>
              <w:right w:val="single" w:sz="4" w:space="0" w:color="000000"/>
            </w:tcBorders>
            <w:vAlign w:val="center"/>
          </w:tcPr>
          <w:p w14:paraId="77E8B37A" w14:textId="77777777" w:rsidR="004C3774" w:rsidRPr="00DD47DF" w:rsidRDefault="002252D2" w:rsidP="00F90D67">
            <w:pPr>
              <w:pStyle w:val="Tabulka"/>
              <w:rPr>
                <w:rFonts w:cs="Calibri"/>
              </w:rPr>
            </w:pPr>
            <w:r w:rsidRPr="00DD47DF">
              <w:rPr>
                <w:rFonts w:cs="Calibri"/>
              </w:rPr>
              <w:t>33800</w:t>
            </w:r>
          </w:p>
        </w:tc>
        <w:tc>
          <w:tcPr>
            <w:tcW w:w="531" w:type="pct"/>
            <w:tcBorders>
              <w:top w:val="single" w:sz="4" w:space="0" w:color="000000"/>
              <w:left w:val="single" w:sz="4" w:space="0" w:color="000000"/>
              <w:bottom w:val="single" w:sz="4" w:space="0" w:color="000000"/>
              <w:right w:val="single" w:sz="4" w:space="0" w:color="000000"/>
            </w:tcBorders>
            <w:vAlign w:val="center"/>
          </w:tcPr>
          <w:p w14:paraId="353A37D9" w14:textId="77777777" w:rsidR="004C3774" w:rsidRPr="00DD47DF" w:rsidRDefault="00672F46" w:rsidP="00F90D67">
            <w:pPr>
              <w:pStyle w:val="Tabulka"/>
              <w:jc w:val="left"/>
              <w:rPr>
                <w:rFonts w:cs="Calibri"/>
              </w:rPr>
            </w:pPr>
            <w:r w:rsidRPr="00DD47DF">
              <w:rPr>
                <w:rFonts w:cs="Calibri"/>
                <w:szCs w:val="20"/>
              </w:rPr>
              <w:t>Transfor</w:t>
            </w:r>
            <w:r w:rsidR="00D57106" w:rsidRPr="00DD47DF">
              <w:rPr>
                <w:rFonts w:cs="Calibri"/>
                <w:szCs w:val="20"/>
              </w:rPr>
              <w:t>-</w:t>
            </w:r>
            <w:r w:rsidRPr="00DD47DF">
              <w:rPr>
                <w:rFonts w:cs="Calibri"/>
                <w:szCs w:val="20"/>
              </w:rPr>
              <w:t>mační výkon PS/DS</w:t>
            </w:r>
          </w:p>
        </w:tc>
        <w:tc>
          <w:tcPr>
            <w:tcW w:w="532" w:type="pct"/>
            <w:tcBorders>
              <w:top w:val="single" w:sz="4" w:space="0" w:color="000000"/>
              <w:left w:val="single" w:sz="4" w:space="0" w:color="000000"/>
              <w:bottom w:val="single" w:sz="4" w:space="0" w:color="000000"/>
              <w:right w:val="single" w:sz="4" w:space="0" w:color="000000"/>
            </w:tcBorders>
            <w:vAlign w:val="center"/>
          </w:tcPr>
          <w:p w14:paraId="157D424C" w14:textId="77777777" w:rsidR="004C3774" w:rsidRPr="00DD47DF" w:rsidRDefault="004C3774" w:rsidP="00F90D67">
            <w:pPr>
              <w:pStyle w:val="Tabulka"/>
              <w:rPr>
                <w:rFonts w:cs="Calibri"/>
              </w:rPr>
            </w:pPr>
            <w:r w:rsidRPr="00DD47DF">
              <w:rPr>
                <w:rFonts w:cs="Calibri"/>
              </w:rPr>
              <w:t>MVA</w:t>
            </w:r>
          </w:p>
        </w:tc>
        <w:tc>
          <w:tcPr>
            <w:tcW w:w="614" w:type="pct"/>
            <w:tcBorders>
              <w:top w:val="single" w:sz="4" w:space="0" w:color="000000"/>
              <w:left w:val="single" w:sz="4" w:space="0" w:color="000000"/>
              <w:bottom w:val="single" w:sz="4" w:space="0" w:color="000000"/>
              <w:right w:val="single" w:sz="4" w:space="0" w:color="000000"/>
            </w:tcBorders>
            <w:vAlign w:val="center"/>
          </w:tcPr>
          <w:p w14:paraId="01651583" w14:textId="77777777" w:rsidR="004C3774" w:rsidRPr="00DD47DF" w:rsidRDefault="004C3774" w:rsidP="00F90D67">
            <w:pPr>
              <w:pStyle w:val="Tabulka"/>
              <w:rPr>
                <w:rFonts w:cs="Calibri"/>
              </w:rPr>
            </w:pPr>
            <w:r w:rsidRPr="00DD47DF">
              <w:rPr>
                <w:rFonts w:cs="Calibri"/>
              </w:rPr>
              <w:t>Méně rozvinuté regiony</w:t>
            </w:r>
          </w:p>
        </w:tc>
        <w:tc>
          <w:tcPr>
            <w:tcW w:w="525" w:type="pct"/>
            <w:tcBorders>
              <w:top w:val="single" w:sz="4" w:space="0" w:color="000000"/>
              <w:left w:val="single" w:sz="4" w:space="0" w:color="000000"/>
              <w:bottom w:val="single" w:sz="4" w:space="0" w:color="000000"/>
              <w:right w:val="single" w:sz="4" w:space="0" w:color="000000"/>
            </w:tcBorders>
            <w:vAlign w:val="center"/>
          </w:tcPr>
          <w:p w14:paraId="1DF6E309" w14:textId="77777777" w:rsidR="004C3774" w:rsidRPr="00DD47DF" w:rsidRDefault="004C3774" w:rsidP="00F90D67">
            <w:pPr>
              <w:pStyle w:val="Tabulka"/>
              <w:rPr>
                <w:rFonts w:cs="Calibri"/>
              </w:rPr>
            </w:pPr>
            <w:r w:rsidRPr="00DD47DF">
              <w:rPr>
                <w:rFonts w:cs="Calibri"/>
              </w:rPr>
              <w:t>21 680</w:t>
            </w:r>
          </w:p>
        </w:tc>
        <w:tc>
          <w:tcPr>
            <w:tcW w:w="456" w:type="pct"/>
            <w:tcBorders>
              <w:top w:val="single" w:sz="4" w:space="0" w:color="000000"/>
              <w:left w:val="single" w:sz="4" w:space="0" w:color="000000"/>
              <w:bottom w:val="single" w:sz="4" w:space="0" w:color="000000"/>
              <w:right w:val="single" w:sz="4" w:space="0" w:color="000000"/>
            </w:tcBorders>
            <w:vAlign w:val="center"/>
          </w:tcPr>
          <w:p w14:paraId="23709CB3" w14:textId="77777777" w:rsidR="004C3774" w:rsidRPr="00DD47DF" w:rsidRDefault="004C3774" w:rsidP="00F90D67">
            <w:pPr>
              <w:pStyle w:val="Tabulka"/>
              <w:rPr>
                <w:rFonts w:cs="Calibri"/>
              </w:rPr>
            </w:pPr>
            <w:r w:rsidRPr="00DD47DF">
              <w:rPr>
                <w:rFonts w:cs="Calibri"/>
              </w:rPr>
              <w:t>201</w:t>
            </w:r>
            <w:r w:rsidR="000E2AD0" w:rsidRPr="00DD47DF">
              <w:rPr>
                <w:rFonts w:cs="Calibri"/>
              </w:rPr>
              <w:t>3</w:t>
            </w:r>
          </w:p>
        </w:tc>
        <w:tc>
          <w:tcPr>
            <w:tcW w:w="532" w:type="pct"/>
            <w:tcBorders>
              <w:top w:val="single" w:sz="4" w:space="0" w:color="000000"/>
              <w:left w:val="single" w:sz="4" w:space="0" w:color="000000"/>
              <w:bottom w:val="single" w:sz="4" w:space="0" w:color="000000"/>
              <w:right w:val="single" w:sz="4" w:space="0" w:color="000000"/>
            </w:tcBorders>
            <w:vAlign w:val="center"/>
          </w:tcPr>
          <w:p w14:paraId="3238487F" w14:textId="77777777" w:rsidR="004C3774" w:rsidRPr="00DD47DF" w:rsidRDefault="005F7F3F" w:rsidP="00F90D67">
            <w:pPr>
              <w:pStyle w:val="Tabulka"/>
              <w:rPr>
                <w:rFonts w:cs="Calibri"/>
              </w:rPr>
            </w:pPr>
            <w:r w:rsidRPr="00DD47DF">
              <w:rPr>
                <w:rFonts w:cs="Calibri"/>
              </w:rPr>
              <w:t>23 430</w:t>
            </w:r>
          </w:p>
        </w:tc>
        <w:tc>
          <w:tcPr>
            <w:tcW w:w="761" w:type="pct"/>
            <w:tcBorders>
              <w:top w:val="single" w:sz="4" w:space="0" w:color="000000"/>
              <w:left w:val="single" w:sz="4" w:space="0" w:color="000000"/>
              <w:bottom w:val="single" w:sz="4" w:space="0" w:color="000000"/>
              <w:right w:val="single" w:sz="4" w:space="0" w:color="000000"/>
            </w:tcBorders>
            <w:vAlign w:val="center"/>
          </w:tcPr>
          <w:p w14:paraId="3441FA94" w14:textId="77777777" w:rsidR="004C3774" w:rsidRPr="00DD47DF" w:rsidRDefault="00D40CB8" w:rsidP="00F90D67">
            <w:pPr>
              <w:pStyle w:val="Tabulka"/>
              <w:rPr>
                <w:rFonts w:cs="Calibri"/>
              </w:rPr>
            </w:pPr>
            <w:r>
              <w:rPr>
                <w:rFonts w:cs="Calibri"/>
              </w:rPr>
              <w:t>ŘO</w:t>
            </w:r>
          </w:p>
        </w:tc>
        <w:tc>
          <w:tcPr>
            <w:tcW w:w="561" w:type="pct"/>
            <w:tcBorders>
              <w:top w:val="single" w:sz="4" w:space="0" w:color="000000"/>
              <w:left w:val="single" w:sz="4" w:space="0" w:color="000000"/>
              <w:bottom w:val="single" w:sz="4" w:space="0" w:color="000000"/>
              <w:right w:val="single" w:sz="4" w:space="0" w:color="000000"/>
            </w:tcBorders>
            <w:vAlign w:val="center"/>
          </w:tcPr>
          <w:p w14:paraId="6236D811" w14:textId="77777777" w:rsidR="004C3774" w:rsidRPr="00DD47DF" w:rsidRDefault="00274100" w:rsidP="00F90D67">
            <w:pPr>
              <w:pStyle w:val="Tabulka"/>
              <w:rPr>
                <w:rFonts w:cs="Calibri"/>
              </w:rPr>
            </w:pPr>
            <w:r w:rsidRPr="00DD47DF">
              <w:rPr>
                <w:rFonts w:cs="Calibri"/>
              </w:rPr>
              <w:t>ročně</w:t>
            </w:r>
          </w:p>
        </w:tc>
      </w:tr>
      <w:tr w:rsidR="009F5EDB" w:rsidRPr="00DD47DF" w14:paraId="490BA1C2" w14:textId="77777777" w:rsidTr="009F5EDB">
        <w:trPr>
          <w:trHeight w:hRule="exact" w:val="1990"/>
        </w:trPr>
        <w:tc>
          <w:tcPr>
            <w:tcW w:w="487" w:type="pct"/>
            <w:tcBorders>
              <w:top w:val="single" w:sz="4" w:space="0" w:color="000000"/>
              <w:left w:val="single" w:sz="4" w:space="0" w:color="000000"/>
              <w:bottom w:val="single" w:sz="4" w:space="0" w:color="000000"/>
              <w:right w:val="single" w:sz="4" w:space="0" w:color="000000"/>
            </w:tcBorders>
            <w:vAlign w:val="center"/>
          </w:tcPr>
          <w:p w14:paraId="70A0F010" w14:textId="12BBE961" w:rsidR="009F5EDB" w:rsidRPr="009F5EDB" w:rsidRDefault="009F5EDB" w:rsidP="009F5EDB">
            <w:pPr>
              <w:pStyle w:val="Tabulka"/>
              <w:rPr>
                <w:rFonts w:cs="Calibri"/>
              </w:rPr>
            </w:pPr>
            <w:r w:rsidRPr="009F5EDB">
              <w:rPr>
                <w:rFonts w:cs="Calibri"/>
              </w:rPr>
              <w:lastRenderedPageBreak/>
              <w:t>33505</w:t>
            </w:r>
          </w:p>
        </w:tc>
        <w:tc>
          <w:tcPr>
            <w:tcW w:w="531" w:type="pct"/>
            <w:tcBorders>
              <w:top w:val="single" w:sz="4" w:space="0" w:color="000000"/>
              <w:left w:val="single" w:sz="4" w:space="0" w:color="000000"/>
              <w:bottom w:val="single" w:sz="4" w:space="0" w:color="000000"/>
              <w:right w:val="single" w:sz="4" w:space="0" w:color="000000"/>
            </w:tcBorders>
            <w:vAlign w:val="center"/>
          </w:tcPr>
          <w:p w14:paraId="4DF4F678" w14:textId="77777777" w:rsidR="009F5EDB" w:rsidRPr="009F5EDB" w:rsidRDefault="009F5EDB" w:rsidP="009F5EDB">
            <w:pPr>
              <w:pStyle w:val="Tabulka"/>
              <w:jc w:val="left"/>
              <w:rPr>
                <w:rFonts w:cs="Calibri"/>
                <w:szCs w:val="20"/>
              </w:rPr>
            </w:pPr>
            <w:r w:rsidRPr="009F5EDB">
              <w:rPr>
                <w:rFonts w:cs="Calibri"/>
                <w:szCs w:val="20"/>
              </w:rPr>
              <w:t>Průměrná přenosová schopnost všech vedení PS ČR</w:t>
            </w:r>
          </w:p>
          <w:p w14:paraId="692690FE" w14:textId="77777777" w:rsidR="009F5EDB" w:rsidRPr="009F5EDB" w:rsidRDefault="009F5EDB" w:rsidP="009F5EDB">
            <w:pPr>
              <w:pStyle w:val="Tabulka"/>
              <w:jc w:val="left"/>
              <w:rPr>
                <w:rFonts w:cs="Calibri"/>
                <w:szCs w:val="20"/>
              </w:rPr>
            </w:pPr>
          </w:p>
        </w:tc>
        <w:tc>
          <w:tcPr>
            <w:tcW w:w="532" w:type="pct"/>
            <w:tcBorders>
              <w:top w:val="single" w:sz="4" w:space="0" w:color="000000"/>
              <w:left w:val="single" w:sz="4" w:space="0" w:color="000000"/>
              <w:bottom w:val="single" w:sz="4" w:space="0" w:color="000000"/>
              <w:right w:val="single" w:sz="4" w:space="0" w:color="000000"/>
            </w:tcBorders>
            <w:vAlign w:val="center"/>
          </w:tcPr>
          <w:p w14:paraId="079551CB" w14:textId="49A03754" w:rsidR="009F5EDB" w:rsidRPr="009F5EDB" w:rsidRDefault="009F5EDB" w:rsidP="009F5EDB">
            <w:pPr>
              <w:pStyle w:val="Tabulka"/>
              <w:rPr>
                <w:rFonts w:cs="Calibri"/>
              </w:rPr>
            </w:pPr>
            <w:r w:rsidRPr="009F5EDB">
              <w:rPr>
                <w:rFonts w:cs="Calibri"/>
              </w:rPr>
              <w:t>MVA</w:t>
            </w:r>
          </w:p>
        </w:tc>
        <w:tc>
          <w:tcPr>
            <w:tcW w:w="614" w:type="pct"/>
            <w:tcBorders>
              <w:top w:val="single" w:sz="4" w:space="0" w:color="000000"/>
              <w:left w:val="single" w:sz="4" w:space="0" w:color="000000"/>
              <w:bottom w:val="single" w:sz="4" w:space="0" w:color="000000"/>
              <w:right w:val="single" w:sz="4" w:space="0" w:color="000000"/>
            </w:tcBorders>
            <w:vAlign w:val="center"/>
          </w:tcPr>
          <w:p w14:paraId="066F9358" w14:textId="22777446" w:rsidR="009F5EDB" w:rsidRPr="009F5EDB" w:rsidRDefault="009F5EDB" w:rsidP="009F5EDB">
            <w:pPr>
              <w:pStyle w:val="Tabulka"/>
              <w:rPr>
                <w:rFonts w:cs="Calibri"/>
              </w:rPr>
            </w:pPr>
            <w:r w:rsidRPr="009F5EDB">
              <w:rPr>
                <w:rFonts w:cs="Calibri"/>
              </w:rPr>
              <w:t>Méně rozvinuté regiony</w:t>
            </w:r>
          </w:p>
        </w:tc>
        <w:tc>
          <w:tcPr>
            <w:tcW w:w="525" w:type="pct"/>
            <w:tcBorders>
              <w:top w:val="single" w:sz="4" w:space="0" w:color="000000"/>
              <w:left w:val="single" w:sz="4" w:space="0" w:color="000000"/>
              <w:bottom w:val="single" w:sz="4" w:space="0" w:color="000000"/>
              <w:right w:val="single" w:sz="4" w:space="0" w:color="000000"/>
            </w:tcBorders>
            <w:vAlign w:val="center"/>
          </w:tcPr>
          <w:p w14:paraId="01744C19" w14:textId="409ABEE6" w:rsidR="009F5EDB" w:rsidRPr="009F5EDB" w:rsidRDefault="0009669C" w:rsidP="009F5EDB">
            <w:pPr>
              <w:pStyle w:val="Tabulka"/>
              <w:rPr>
                <w:rFonts w:cs="Calibri"/>
              </w:rPr>
            </w:pPr>
            <w:r>
              <w:rPr>
                <w:rFonts w:cs="Calibri"/>
              </w:rPr>
              <w:t>951</w:t>
            </w:r>
          </w:p>
        </w:tc>
        <w:tc>
          <w:tcPr>
            <w:tcW w:w="456" w:type="pct"/>
            <w:tcBorders>
              <w:top w:val="single" w:sz="4" w:space="0" w:color="000000"/>
              <w:left w:val="single" w:sz="4" w:space="0" w:color="000000"/>
              <w:bottom w:val="single" w:sz="4" w:space="0" w:color="000000"/>
              <w:right w:val="single" w:sz="4" w:space="0" w:color="000000"/>
            </w:tcBorders>
            <w:vAlign w:val="center"/>
          </w:tcPr>
          <w:p w14:paraId="6598063D" w14:textId="327A3F50" w:rsidR="009F5EDB" w:rsidRPr="009F5EDB" w:rsidRDefault="009F5EDB" w:rsidP="009F5EDB">
            <w:pPr>
              <w:pStyle w:val="Tabulka"/>
              <w:rPr>
                <w:rFonts w:cs="Calibri"/>
              </w:rPr>
            </w:pPr>
            <w:r w:rsidRPr="009F5EDB">
              <w:rPr>
                <w:rFonts w:cs="Calibri"/>
              </w:rPr>
              <w:t>2013</w:t>
            </w:r>
          </w:p>
        </w:tc>
        <w:tc>
          <w:tcPr>
            <w:tcW w:w="532" w:type="pct"/>
            <w:tcBorders>
              <w:top w:val="single" w:sz="4" w:space="0" w:color="000000"/>
              <w:left w:val="single" w:sz="4" w:space="0" w:color="000000"/>
              <w:bottom w:val="single" w:sz="4" w:space="0" w:color="000000"/>
              <w:right w:val="single" w:sz="4" w:space="0" w:color="000000"/>
            </w:tcBorders>
            <w:vAlign w:val="center"/>
          </w:tcPr>
          <w:p w14:paraId="143443FB" w14:textId="39852178" w:rsidR="009F5EDB" w:rsidRPr="009F5EDB" w:rsidRDefault="0009669C" w:rsidP="009F5EDB">
            <w:pPr>
              <w:pStyle w:val="Tabulka"/>
              <w:rPr>
                <w:rFonts w:cs="Calibri"/>
              </w:rPr>
            </w:pPr>
            <w:r>
              <w:rPr>
                <w:rFonts w:cs="Calibri"/>
              </w:rPr>
              <w:t>1 02</w:t>
            </w:r>
            <w:r w:rsidR="009F5EDB" w:rsidRPr="009F5EDB">
              <w:rPr>
                <w:rFonts w:cs="Calibri"/>
              </w:rPr>
              <w:t>5</w:t>
            </w:r>
          </w:p>
        </w:tc>
        <w:tc>
          <w:tcPr>
            <w:tcW w:w="761" w:type="pct"/>
            <w:tcBorders>
              <w:top w:val="single" w:sz="4" w:space="0" w:color="000000"/>
              <w:left w:val="single" w:sz="4" w:space="0" w:color="000000"/>
              <w:bottom w:val="single" w:sz="4" w:space="0" w:color="000000"/>
              <w:right w:val="single" w:sz="4" w:space="0" w:color="000000"/>
            </w:tcBorders>
            <w:vAlign w:val="center"/>
          </w:tcPr>
          <w:p w14:paraId="3420AFC1" w14:textId="05A8ADE8" w:rsidR="009F5EDB" w:rsidRPr="009F5EDB" w:rsidRDefault="009F5EDB" w:rsidP="009F5EDB">
            <w:pPr>
              <w:pStyle w:val="Tabulka"/>
              <w:rPr>
                <w:rFonts w:cs="Calibri"/>
              </w:rPr>
            </w:pPr>
            <w:r w:rsidRPr="009F5EDB">
              <w:rPr>
                <w:rFonts w:cs="Calibri"/>
              </w:rPr>
              <w:t>ŘO</w:t>
            </w:r>
          </w:p>
        </w:tc>
        <w:tc>
          <w:tcPr>
            <w:tcW w:w="561" w:type="pct"/>
            <w:tcBorders>
              <w:top w:val="single" w:sz="4" w:space="0" w:color="000000"/>
              <w:left w:val="single" w:sz="4" w:space="0" w:color="000000"/>
              <w:bottom w:val="single" w:sz="4" w:space="0" w:color="000000"/>
              <w:right w:val="single" w:sz="4" w:space="0" w:color="000000"/>
            </w:tcBorders>
            <w:vAlign w:val="center"/>
          </w:tcPr>
          <w:p w14:paraId="65034219" w14:textId="3324461E" w:rsidR="009F5EDB" w:rsidRPr="009F5EDB" w:rsidRDefault="009F5EDB" w:rsidP="009F5EDB">
            <w:pPr>
              <w:pStyle w:val="Tabulka"/>
              <w:rPr>
                <w:rFonts w:cs="Calibri"/>
              </w:rPr>
            </w:pPr>
            <w:r w:rsidRPr="009F5EDB">
              <w:rPr>
                <w:rFonts w:cs="Calibri"/>
              </w:rPr>
              <w:t>ročně</w:t>
            </w:r>
          </w:p>
        </w:tc>
      </w:tr>
    </w:tbl>
    <w:p w14:paraId="7E8E5BC6" w14:textId="77777777" w:rsidR="004C3774" w:rsidRPr="00DD47DF" w:rsidRDefault="004C3774" w:rsidP="00DA3512">
      <w:pPr>
        <w:pStyle w:val="kapitola2A0"/>
        <w:numPr>
          <w:ilvl w:val="2"/>
          <w:numId w:val="70"/>
        </w:numPr>
      </w:pPr>
      <w:bookmarkStart w:id="83" w:name="_Toc129005416"/>
      <w:r w:rsidRPr="00DD47DF">
        <w:t>Opatření, jež má být podpořeno v rámci investiční priority</w:t>
      </w:r>
      <w:bookmarkEnd w:id="83"/>
    </w:p>
    <w:p w14:paraId="3663B789" w14:textId="77777777" w:rsidR="004C3774" w:rsidRPr="00DD47DF" w:rsidRDefault="004C3774" w:rsidP="00DA3512">
      <w:pPr>
        <w:pStyle w:val="Nadpis5"/>
        <w:numPr>
          <w:ilvl w:val="4"/>
          <w:numId w:val="71"/>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A84DF4F" w14:textId="77777777" w:rsidR="004C3774" w:rsidRPr="00DD47DF" w:rsidRDefault="000A2EB4" w:rsidP="00F90D67">
      <w:pPr>
        <w:pStyle w:val="Standardntext"/>
        <w:keepNext/>
        <w:keepLines/>
        <w:rPr>
          <w:b/>
        </w:rPr>
      </w:pPr>
      <w:r w:rsidRPr="00DD47DF">
        <w:rPr>
          <w:b/>
        </w:rPr>
        <w:t>Aktivity pro tento specifický cíl:</w:t>
      </w:r>
    </w:p>
    <w:p w14:paraId="467799B0" w14:textId="77777777" w:rsidR="00896EDF" w:rsidRPr="00DD47DF" w:rsidRDefault="004C3774" w:rsidP="00FB3387">
      <w:pPr>
        <w:pStyle w:val="Standardntext"/>
        <w:keepNext/>
        <w:keepLines/>
        <w:numPr>
          <w:ilvl w:val="0"/>
          <w:numId w:val="41"/>
        </w:numPr>
      </w:pPr>
      <w:r w:rsidRPr="00DD47DF">
        <w:t>Výstavba, posílení, modernizace a rekonstrukce vedení přenosové soustavy a transformoven</w:t>
      </w:r>
      <w:r w:rsidR="00B24119" w:rsidRPr="00DD47DF">
        <w:t xml:space="preserve"> </w:t>
      </w:r>
      <w:r w:rsidR="004E6583" w:rsidRPr="00DD47DF">
        <w:t>(v souladu s konceptem chytrých sítí</w:t>
      </w:r>
      <w:r w:rsidR="00DE2376" w:rsidRPr="00DD47DF">
        <w:t>).</w:t>
      </w:r>
    </w:p>
    <w:p w14:paraId="754FD36B" w14:textId="77777777" w:rsidR="005F7F3F" w:rsidRPr="00DD47DF" w:rsidRDefault="005F7F3F" w:rsidP="00896EDF">
      <w:pPr>
        <w:pStyle w:val="Standardntext"/>
      </w:pPr>
      <w:r w:rsidRPr="00DD47DF">
        <w:t>Přenosová soustava jako celek je tvořena soustavou jednotlivých prvků zejména rozvoden, vedení a transformátorů, které byly budovány a vzájemně propojovány postupně tak, jak v průběhu vývoje vyžadovaly potřeby hospodářství ČR. Jednotlivé prvky přenosové soustavy tak vznikaly v různých etapách její výstavby a mnohdy s velkým časovým odstupem. Tyto prvky byly proto navrhovány a realizovány s odlišnými technickými parametry, které odpovídaly technickým možnostem a potřebám období jejich výstavby. Bezpečný a spolehlivý provoz, který je hlavním požadavkem kladeným na přenosovou soustavu, lze přitom zajistit pouze v případě bezpečného a spolehlivého provozu každého prvku přenosové soustavy. Základní podmínkou dlouhodobě stabilního provozu přenosové soustavy je vedle jejího plánovitého rozvoje i modernizace a rekonstrukce stávajících prvků soustavy, a to tak, aby všechny tyto prvky splňovaly stanovené technické a spolehlivostní požadavky s ohledem na inovativní postupy a umožnění plné integrace do konceptu smart řízení celé elektrizační soustavy přispívající k efektivnímu využití infrastruktury.</w:t>
      </w:r>
      <w:r w:rsidR="003D4D3F" w:rsidRPr="00DD47DF">
        <w:t xml:space="preserve"> </w:t>
      </w:r>
      <w:r w:rsidRPr="00DD47DF">
        <w:t xml:space="preserve">Aktivity zaměřené na rozvoj a modernizaci přenosové soustavy jsou proto směrovány zejména do </w:t>
      </w:r>
      <w:r w:rsidR="003D4D3F" w:rsidRPr="00DD47DF">
        <w:t>následujících</w:t>
      </w:r>
      <w:r w:rsidRPr="00DD47DF">
        <w:t xml:space="preserve"> typových projektů.</w:t>
      </w:r>
    </w:p>
    <w:p w14:paraId="126EB1F3" w14:textId="77777777" w:rsidR="005F7F3F" w:rsidRPr="00DD47DF" w:rsidRDefault="003D4D3F" w:rsidP="005F7F3F">
      <w:pPr>
        <w:pStyle w:val="Standardntext"/>
      </w:pPr>
      <w:r w:rsidRPr="00DD47DF">
        <w:t>Prvním typovým projektem je v</w:t>
      </w:r>
      <w:r w:rsidR="005F7F3F" w:rsidRPr="00DD47DF">
        <w:t>ýstavba nových linek a posilování přenosové schopnosti linek stávajících. U vybraných páteřních linek je plánováno jejich zdvojení, které výrazným způsobem zvyšuje přenosovou kapacitu linky při minimalizaci nároků na zábor pozemků a zatížení životního prostředí. Součástí procesu posilování přenosové schopnosti linek je i jejich modernizace zaměřená na plnění zvýšených požadavkům bezpečnosti provozu a nově stanovených ekologických požadavků (např. limitní hodnoty elektromagnetického pole) a to za účelem dosažení dostatečné kapacity pro přenos elektrické energie mezi výrobci a spotřebiteli.</w:t>
      </w:r>
      <w:r w:rsidRPr="00DD47DF">
        <w:t xml:space="preserve"> </w:t>
      </w:r>
      <w:r w:rsidR="005F7F3F" w:rsidRPr="00DD47DF">
        <w:t>Výstupem projektu bude nové nebo posílené vedení, které se promítá do výsledků ve formě zvýšené kapacity (bezpečnost, odolnost a spolehlivost provozu).</w:t>
      </w:r>
      <w:r w:rsidR="00EC77DC" w:rsidRPr="00DD47DF">
        <w:t xml:space="preserve"> </w:t>
      </w:r>
      <w:r w:rsidR="007C2897" w:rsidRPr="00DD47DF">
        <w:t>Výsledky pokrývají celou podporovatelnou oblast, tzn. všechny regiony České republiky mimo Prahu</w:t>
      </w:r>
      <w:r w:rsidR="00EC77DC" w:rsidRPr="00DD47DF">
        <w:t>.</w:t>
      </w:r>
    </w:p>
    <w:p w14:paraId="3BAD7757" w14:textId="77777777" w:rsidR="005F7F3F" w:rsidRPr="00DD47DF" w:rsidRDefault="003D4D3F" w:rsidP="005F7F3F">
      <w:pPr>
        <w:pStyle w:val="Standardntext"/>
      </w:pPr>
      <w:r w:rsidRPr="00DD47DF">
        <w:t>Dalším typovým projektem je v</w:t>
      </w:r>
      <w:r w:rsidR="005F7F3F" w:rsidRPr="00DD47DF">
        <w:t xml:space="preserve">ýstavba a modernizace rozvoden. Nedílnou součástí rozvoje přenosové soustavy je </w:t>
      </w:r>
      <w:r w:rsidRPr="00DD47DF">
        <w:t xml:space="preserve">totiž </w:t>
      </w:r>
      <w:r w:rsidR="005F7F3F" w:rsidRPr="00DD47DF">
        <w:t xml:space="preserve">výstavba nových rozvoden s navazující transformací na napěťovou úroveň 110 kV v místech s výrazným nárůstem spotřeby. Vedle výstavby nových rozvoden je realizován i proces modernizace rozvoden, který se především zaměřuje na zajištění dostatečné přenosové schopnosti ve všech uzlech soustavy a na zlepšení i dalších technických parametrů </w:t>
      </w:r>
      <w:r w:rsidR="005F7F3F" w:rsidRPr="00DD47DF">
        <w:lastRenderedPageBreak/>
        <w:t>rozvoden tak, aby byl zajištěn spolehlivý provoz přenosové soustavy i v m</w:t>
      </w:r>
      <w:r w:rsidRPr="00DD47DF">
        <w:t xml:space="preserve">imořádných provozních režimech. </w:t>
      </w:r>
      <w:r w:rsidR="005F7F3F" w:rsidRPr="00DD47DF">
        <w:t>Výstupem projektu bude nová či modernizovaná transformovna, která se promítá do výsledků ve formě zvýšené kapacity (bezpečnost, odolnost a spolehlivost provozu).</w:t>
      </w:r>
    </w:p>
    <w:p w14:paraId="08C82A10" w14:textId="77777777" w:rsidR="005F7F3F" w:rsidRPr="00DD47DF" w:rsidRDefault="003D4D3F" w:rsidP="005F7F3F">
      <w:pPr>
        <w:pStyle w:val="Standardntext"/>
      </w:pPr>
      <w:r w:rsidRPr="00DD47DF">
        <w:t>Mezi typové projekty patří také z</w:t>
      </w:r>
      <w:r w:rsidR="005F7F3F" w:rsidRPr="00DD47DF">
        <w:t>ajištění dostatečného transformačního výkonu z přenosové soustavy do všech částí distribuční soustavy. Tento požadavek je řešen instalací nových transformátorů v oblastech s nárůstem spotřeby a dále plánovanou výměnou stávajících transformátorů za nové stroje většího výkonu. Postupná výměna transformátorů je plánována především s ohledem na požadovaný přenášený výkon a spolehlivost provozu jednotlivých transformátorů, která je ovlivněna stářím stroje. V rámci výměny transformátorů je řešena i ekologizace jejich provozu, která se zaměřuje na snižování hladiny hluku v okolí strojů a bezpečnost olejového hospodářství.</w:t>
      </w:r>
      <w:r w:rsidRPr="00DD47DF">
        <w:t xml:space="preserve"> </w:t>
      </w:r>
      <w:r w:rsidR="005F7F3F" w:rsidRPr="00DD47DF">
        <w:t>Výstupem projektu bude nová či modernizovaná transformovna, která se promítá do výsledků ve formě zvýšené kapacity (bezpečnost, odolnost a spolehlivost provozu).</w:t>
      </w:r>
    </w:p>
    <w:p w14:paraId="0202590B" w14:textId="77777777" w:rsidR="005F7F3F" w:rsidRPr="00DD47DF" w:rsidRDefault="003D4D3F" w:rsidP="005F7F3F">
      <w:pPr>
        <w:pStyle w:val="Standardntext"/>
      </w:pPr>
      <w:r w:rsidRPr="00DD47DF">
        <w:t>Dalším typovým projektem je m</w:t>
      </w:r>
      <w:r w:rsidR="005F7F3F" w:rsidRPr="00DD47DF">
        <w:t>odernizace řídicích a komunikačních systém</w:t>
      </w:r>
      <w:r w:rsidRPr="00DD47DF">
        <w:t>ů</w:t>
      </w:r>
      <w:r w:rsidR="005F7F3F" w:rsidRPr="00DD47DF">
        <w:t xml:space="preserve">. Modernizovány </w:t>
      </w:r>
      <w:r w:rsidRPr="00DD47DF">
        <w:t>budou</w:t>
      </w:r>
      <w:r w:rsidR="005F7F3F" w:rsidRPr="00DD47DF">
        <w:t xml:space="preserve"> řídicí systémy v jednotlivých uzlech soustavy, ale i dispečerské řídicí systémy. Tento proces zajistí zlepšení provozu přenosové soustavy </w:t>
      </w:r>
      <w:r w:rsidR="00127389" w:rsidRPr="00DD47DF">
        <w:t xml:space="preserve">s </w:t>
      </w:r>
      <w:r w:rsidR="005F7F3F" w:rsidRPr="00DD47DF">
        <w:t>ohledem na jeho bezpečnost a spolehlivost, umožní ve větší míře zohlednit i ekonomické faktory provozu přenosové soustavy a postupně vytvoří podmínky pro zavádění prvků smart grid do řízení přenosové soustavy.</w:t>
      </w:r>
      <w:r w:rsidRPr="00DD47DF">
        <w:t xml:space="preserve"> </w:t>
      </w:r>
      <w:r w:rsidR="005F7F3F" w:rsidRPr="00DD47DF">
        <w:t>Výstupem projektu bude nová či modernizovaná transformovna, která se promítá do výsledků ve formě zvýšené kapacity (bezpečnost, odolnost a spolehlivost provozu).</w:t>
      </w:r>
    </w:p>
    <w:p w14:paraId="2F1EBB70" w14:textId="77777777" w:rsidR="00121309" w:rsidRPr="00DD47DF" w:rsidRDefault="00121309" w:rsidP="00121309">
      <w:pPr>
        <w:pStyle w:val="Standardntext"/>
      </w:pPr>
      <w:r w:rsidRPr="00DD47DF">
        <w:t>Rozvoj přenosové soustavy je obecně prováděn na základě principů inteligentních sítí. Obnova prvků přenosové soustavy nebo výstavba nových je vždy v souladu s nejlepší praxí. Na základě pokroku a vývoje je třeba udržovat soustavu na technologicky co možná nejvyšší úrovni, navíc rozvoj a obnova sítí velmi vysokého napětí musí neustále udržovat stejné tempo jako zbytek elektrizační soustavy, která musí být chápána jako celek. Právě všechny prvky elektrizační soustavy, jak na straně přenosu, tak distribuce, musí být kvalitativně vyváženy. Nelze proto striktně oddělovat smart pouze pro distribuční systémy a zcela opomíjet pokrok páteřní sítě na vysokých napěťových hladinách. Rozvoj inteligentních systémů pro distribuci je plně svázán s rozvojem přenosové soustavy právě z těchto důvodů.</w:t>
      </w:r>
    </w:p>
    <w:p w14:paraId="49097342" w14:textId="77777777" w:rsidR="009D3B07" w:rsidRPr="00DD47DF" w:rsidRDefault="009D3B07" w:rsidP="009D3B07">
      <w:pPr>
        <w:pStyle w:val="Standardntext"/>
      </w:pPr>
      <w:r w:rsidRPr="00DD47DF">
        <w:t>Aktivity budou v souladu s následující definici „smart grid“:</w:t>
      </w:r>
    </w:p>
    <w:p w14:paraId="0A9784F8" w14:textId="77777777" w:rsidR="009D3B07" w:rsidRPr="00DD47DF" w:rsidRDefault="00463683" w:rsidP="009D3B07">
      <w:pPr>
        <w:pStyle w:val="Standardntext"/>
      </w:pPr>
      <w:r w:rsidRPr="00DD47DF">
        <w:t>Inteligentní sítí se rozumí elektrická síť, která může nákladově efektivně zohlednit chování a akce všech uživatelů na ni napojených, včetně výrobců, spotřebitelů a těch, kteří elektřinu vyrábějí i spotřebovávají, k zajištění ekonomicky efektivní udržitelné elektrické soustavy s malými ztrátami a vysokou úrovní jakosti a bezpečnosti dodávek a zabezpečení.</w:t>
      </w:r>
    </w:p>
    <w:p w14:paraId="71D4D756" w14:textId="77777777" w:rsidR="00121309" w:rsidRPr="00DD47DF" w:rsidRDefault="00121309" w:rsidP="00121309">
      <w:pPr>
        <w:pStyle w:val="Standardntext"/>
      </w:pPr>
      <w:r w:rsidRPr="00DD47DF">
        <w:t xml:space="preserve">Elektrizační soustavu, a to jak přenosovou, tak distribuční část, je třeba rozvíjet v návaznosti na změny ve zdrojové základně, které jsou charakteristické rychlým rozvojem decentrálních a intermitentních zdrojů. Rozvoj zdrojové základny je podmíněn výstavbou nových vedení, zajišťujících spolehlivé vyvedení výkonů. Bez rozvoje a modernizace elektrizační soustavy nelze v budoucnu dostatečně uspokojit požadavky rozvíjejících se regionů a jednotného evropského trhu s elektřinou. </w:t>
      </w:r>
    </w:p>
    <w:p w14:paraId="0D55F5C2" w14:textId="77777777" w:rsidR="00121309" w:rsidRPr="00DD47DF" w:rsidRDefault="00121309" w:rsidP="00121309">
      <w:pPr>
        <w:pStyle w:val="Standardntext"/>
      </w:pPr>
      <w:r w:rsidRPr="00DD47DF">
        <w:t xml:space="preserve">Pro integraci trhu je nutné posílit vnitřní i přeshraniční kapacity přenosových vedení elektrické energie. Kvalitní napojení energetických sítí na evropské struktury je významné z hlediska energetické bezpečnosti a zajištění stálosti dodávek při exportu i importu energie. Je očekávána integrace nových inteligentních technologií jako jsou dálkově ovládané prvky, technologické prvky řízení napětí i činného výkonu, prvky dálkového řízení spotřeby a inteligentního měření, </w:t>
      </w:r>
      <w:r w:rsidRPr="00DD47DF">
        <w:lastRenderedPageBreak/>
        <w:t>které slouží jako regulační prvek v tzv. inteligentních sítích nebo zařízení pro akumulaci elektrické energie.</w:t>
      </w:r>
    </w:p>
    <w:p w14:paraId="35C1BC2A" w14:textId="77777777" w:rsidR="00121309" w:rsidRPr="00DD47DF" w:rsidRDefault="00121309" w:rsidP="00121309">
      <w:pPr>
        <w:pStyle w:val="Standardntext"/>
      </w:pPr>
      <w:r w:rsidRPr="00DD47DF">
        <w:t>Bližší specifikace typových projektů je uvedena v Nepovinné příloze č. 5. Nejedná se o taxativní výčet, ale o popis typových příkladů.</w:t>
      </w:r>
    </w:p>
    <w:p w14:paraId="645C62EF" w14:textId="77777777" w:rsidR="004C3774" w:rsidRPr="00DD47DF" w:rsidRDefault="004C3774" w:rsidP="004C3774">
      <w:pPr>
        <w:pStyle w:val="Standardntext"/>
      </w:pPr>
      <w:r w:rsidRPr="00DD47DF">
        <w:rPr>
          <w:b/>
        </w:rPr>
        <w:t xml:space="preserve">Hlavní cílová skupina: </w:t>
      </w:r>
      <w:r w:rsidR="00127389" w:rsidRPr="00DD47DF">
        <w:t>P</w:t>
      </w:r>
      <w:r w:rsidR="00773FB8" w:rsidRPr="00DD47DF">
        <w:t>rovozovatel přenosové soustavy, který se hodlá soustředit na modernizaci a rozvoj přenosové soustavy.</w:t>
      </w:r>
    </w:p>
    <w:p w14:paraId="474C5632" w14:textId="77777777" w:rsidR="004C3774" w:rsidRPr="00DD47DF" w:rsidRDefault="004C3774" w:rsidP="004C3774">
      <w:pPr>
        <w:pStyle w:val="Standardntext"/>
      </w:pPr>
      <w:r w:rsidRPr="00DD47DF">
        <w:rPr>
          <w:b/>
        </w:rPr>
        <w:t>Cílové území:</w:t>
      </w:r>
      <w:r w:rsidRPr="00DD47DF">
        <w:t xml:space="preserve"> </w:t>
      </w:r>
      <w:r w:rsidR="001E0AA2" w:rsidRPr="00DD47DF">
        <w:t>Území České republiky, mimo území hl. m. Prahy.</w:t>
      </w:r>
      <w:r w:rsidRPr="00DD47DF">
        <w:t xml:space="preserve"> </w:t>
      </w:r>
      <w:r w:rsidR="00A46CD6" w:rsidRPr="00DD47DF">
        <w:t>Předpokládá se plošné směrování intervencí bez vymezení územní dimenze</w:t>
      </w:r>
      <w:r w:rsidRPr="00DD47DF">
        <w:t>.</w:t>
      </w:r>
    </w:p>
    <w:p w14:paraId="5693A12B" w14:textId="77777777" w:rsidR="004C3774" w:rsidRPr="00DD47DF" w:rsidRDefault="004C3774" w:rsidP="004C3774">
      <w:pPr>
        <w:pStyle w:val="Standardntext"/>
        <w:rPr>
          <w:b/>
        </w:rPr>
      </w:pPr>
      <w:r w:rsidRPr="00DD47DF">
        <w:rPr>
          <w:b/>
        </w:rPr>
        <w:t xml:space="preserve">Typy příjemců: </w:t>
      </w:r>
      <w:r w:rsidR="00773FB8" w:rsidRPr="00DD47DF">
        <w:t>Podnikatelsk</w:t>
      </w:r>
      <w:r w:rsidR="00FA6AB3" w:rsidRPr="00DD47DF">
        <w:t xml:space="preserve">ý </w:t>
      </w:r>
      <w:r w:rsidR="00773FB8" w:rsidRPr="00DD47DF">
        <w:t>subjekt (</w:t>
      </w:r>
      <w:r w:rsidR="00FA6AB3" w:rsidRPr="00DD47DF">
        <w:t xml:space="preserve">provozovatel přenosové soustavy). </w:t>
      </w:r>
      <w:r w:rsidR="003D4D3F" w:rsidRPr="00DD47DF">
        <w:t>Provozovatel přenosových sítí j</w:t>
      </w:r>
      <w:r w:rsidR="00FA6AB3" w:rsidRPr="00DD47DF">
        <w:t xml:space="preserve">e </w:t>
      </w:r>
      <w:r w:rsidR="003D4D3F" w:rsidRPr="00DD47DF">
        <w:t>z principu velk</w:t>
      </w:r>
      <w:r w:rsidR="00FA6AB3" w:rsidRPr="00DD47DF">
        <w:t xml:space="preserve">ý </w:t>
      </w:r>
      <w:r w:rsidR="003D4D3F" w:rsidRPr="00DD47DF">
        <w:t xml:space="preserve">podnik. Intervence v této oblasti tedy nelze realizovat v segmentu malých a středních firem. Přenosová soustava (páteřní část celé elektrizační soustavy) provozovaná na napěťových hladinách 400 a 220 kV zajišťuje přenos elektřiny po celém území České republiky a napájí elektřinou distribuční soustavy, které ji dále rozvádějí až ke konečným spotřebitelům. Do přenosové soustavy je připojena více </w:t>
      </w:r>
      <w:r w:rsidR="00D23729" w:rsidRPr="00DD47DF">
        <w:t>než</w:t>
      </w:r>
      <w:r w:rsidR="003D4D3F" w:rsidRPr="00DD47DF">
        <w:t xml:space="preserve"> polovina instalovaného výkonu elektráren ČR.</w:t>
      </w:r>
    </w:p>
    <w:p w14:paraId="789AC2C3" w14:textId="77777777" w:rsidR="004C3774" w:rsidRPr="00DD47DF" w:rsidRDefault="004C3774" w:rsidP="00DA3512">
      <w:pPr>
        <w:pStyle w:val="Nadpis5"/>
        <w:numPr>
          <w:ilvl w:val="4"/>
          <w:numId w:val="71"/>
        </w:numPr>
      </w:pPr>
      <w:r w:rsidRPr="00DD47DF">
        <w:t>Hlavní zásady pro výběr operací</w:t>
      </w:r>
    </w:p>
    <w:p w14:paraId="642EB25E" w14:textId="77777777" w:rsidR="0042487A" w:rsidRPr="00DD47DF" w:rsidRDefault="00FE3385" w:rsidP="0042487A">
      <w:pPr>
        <w:pStyle w:val="Standardntext"/>
      </w:pPr>
      <w:r w:rsidRPr="00DD47DF">
        <w:t>Společné obecné zásady pro výběr operací pro všechny investiční priority celého OP PIK jsou uvedeny v prioritní ose 1 v oddíle 2.A.6.2.</w:t>
      </w:r>
    </w:p>
    <w:p w14:paraId="6E7D9FFB" w14:textId="77777777" w:rsidR="00C0640C" w:rsidRPr="00DD47DF" w:rsidRDefault="00C0640C" w:rsidP="00C0640C">
      <w:pPr>
        <w:pStyle w:val="Standardntext"/>
      </w:pPr>
      <w:r w:rsidRPr="00DD47DF">
        <w:t>V rámci výběru a hodnocení projektů budou posuzována především následující kritéria:</w:t>
      </w:r>
    </w:p>
    <w:p w14:paraId="646F463C" w14:textId="77777777" w:rsidR="00C0640C" w:rsidRPr="00DD47DF" w:rsidRDefault="00C0640C" w:rsidP="00FB3387">
      <w:pPr>
        <w:pStyle w:val="Standardntext"/>
        <w:numPr>
          <w:ilvl w:val="0"/>
          <w:numId w:val="43"/>
        </w:numPr>
      </w:pPr>
      <w:r w:rsidRPr="00DD47DF">
        <w:t xml:space="preserve">Kvalita a potřebnost projektu </w:t>
      </w:r>
      <w:r w:rsidR="00DC4382" w:rsidRPr="00DD47DF">
        <w:t>s ohledem na jeho přínosy k energetické bezpečnosti</w:t>
      </w:r>
      <w:r w:rsidRPr="00DD47DF">
        <w:t>.</w:t>
      </w:r>
    </w:p>
    <w:p w14:paraId="1BE654EC" w14:textId="77777777" w:rsidR="00C0640C" w:rsidRPr="00DD47DF" w:rsidRDefault="00C0640C" w:rsidP="00FB3387">
      <w:pPr>
        <w:pStyle w:val="Standardntext"/>
        <w:numPr>
          <w:ilvl w:val="0"/>
          <w:numId w:val="43"/>
        </w:numPr>
      </w:pPr>
      <w:r w:rsidRPr="00DD47DF">
        <w:t>Soulad projektu s horizontálními principy, mezi něž patří udržitelný rozvoj, rovné příležitosti a ochrana před diskriminací. Projekt, který bude v rozporu s</w:t>
      </w:r>
      <w:r w:rsidR="00233E65" w:rsidRPr="00DD47DF">
        <w:t> </w:t>
      </w:r>
      <w:r w:rsidRPr="00DD47DF">
        <w:t>tě</w:t>
      </w:r>
      <w:r w:rsidR="00233E65" w:rsidRPr="00DD47DF">
        <w:t xml:space="preserve"> </w:t>
      </w:r>
      <w:r w:rsidRPr="00DD47DF">
        <w:t xml:space="preserve">mito principy, nebude v rámci OP PIK podpořen (blíže viz oddíl 11). </w:t>
      </w:r>
    </w:p>
    <w:p w14:paraId="6E54B580" w14:textId="77777777" w:rsidR="00A92A82" w:rsidRPr="00DD47DF" w:rsidRDefault="008701FE" w:rsidP="00FB3387">
      <w:pPr>
        <w:pStyle w:val="Standardntext"/>
        <w:numPr>
          <w:ilvl w:val="0"/>
          <w:numId w:val="43"/>
        </w:numPr>
      </w:pPr>
      <w:r w:rsidRPr="00DD47DF">
        <w:t>Prioritně budou podpořeny projekty společného zájmu (PCI). V případě, že projekt PCI nezíská podporu z ESIF  bude zachována možnost podpory z CEF.</w:t>
      </w:r>
    </w:p>
    <w:p w14:paraId="42C3F28D"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723CD938" w14:textId="77777777" w:rsidR="004C3774" w:rsidRPr="00DD47DF" w:rsidRDefault="004C3774" w:rsidP="00DA3512">
      <w:pPr>
        <w:pStyle w:val="Nadpis5"/>
        <w:numPr>
          <w:ilvl w:val="4"/>
          <w:numId w:val="71"/>
        </w:numPr>
        <w:rPr>
          <w:rFonts w:cs="Calibri"/>
        </w:rPr>
      </w:pPr>
      <w:r w:rsidRPr="00DD47DF">
        <w:t>Plánované využití finančních nástrojů (použije-li se)</w:t>
      </w:r>
    </w:p>
    <w:p w14:paraId="23663CEB" w14:textId="77777777" w:rsidR="004C3774" w:rsidRPr="00DD47DF" w:rsidRDefault="000373F5" w:rsidP="004C3774">
      <w:pPr>
        <w:pStyle w:val="Standardntext"/>
      </w:pPr>
      <w:r w:rsidRPr="00DD47DF">
        <w:t xml:space="preserve">Řídící orgán nepředpokládá využití finančních nástrojů v této investiční prioritě. </w:t>
      </w:r>
      <w:r w:rsidR="006F58B4" w:rsidRPr="00DD47DF">
        <w:t>Detaily</w:t>
      </w:r>
      <w:r w:rsidRPr="00DD47DF">
        <w:t xml:space="preserve"> stanoví konečná verze předběžného posouzení finančních nástrojů OP PIK dle čl. 37 odst. 2 obecného nařízení, které provede ŘO OP PIK, případně jeho revize podle čl. 37 odst. 2 písm. g) obecného nařízení.</w:t>
      </w:r>
    </w:p>
    <w:p w14:paraId="243BDBB7" w14:textId="77777777" w:rsidR="004C3774" w:rsidRPr="00DD47DF" w:rsidRDefault="004C3774" w:rsidP="00DA3512">
      <w:pPr>
        <w:pStyle w:val="Nadpis5"/>
        <w:numPr>
          <w:ilvl w:val="4"/>
          <w:numId w:val="71"/>
        </w:numPr>
      </w:pPr>
      <w:r w:rsidRPr="00DD47DF">
        <w:t>Plánované využití velkých projektů (použije-li se)</w:t>
      </w:r>
    </w:p>
    <w:p w14:paraId="76EFD475" w14:textId="2E5589B5" w:rsidR="004C3774" w:rsidRPr="00DD47DF" w:rsidRDefault="00F64F0D" w:rsidP="009F1962">
      <w:pPr>
        <w:pStyle w:val="Standardntext"/>
      </w:pPr>
      <w:r w:rsidRPr="00F64F0D">
        <w:t xml:space="preserve">Velké projekty ve smyslu čl. 100 obecného nařízení jsou plánovány. OP PPIK bude realizován také prostřednictvím tzv. velkých projektů, jejichž celkové způsobilé náklady budou vyšší než 75 mil. EUR. Velké projekty budou do financování v rámci OP PIK zařazeny na základě Plánu </w:t>
      </w:r>
      <w:r w:rsidRPr="00F64F0D">
        <w:lastRenderedPageBreak/>
        <w:t>rozvoje přenosové soustavy České republiky zpracovaného na základě § 24 odst. 10 písm. j), zákona č. 458/2000 Sb., o podmínkách podnikání a o výkonu státní správy v energetických odvětvích („energetický zákon“).</w:t>
      </w:r>
    </w:p>
    <w:p w14:paraId="69B67999" w14:textId="77777777" w:rsidR="004C3774" w:rsidRPr="00DD47DF" w:rsidRDefault="004C3774" w:rsidP="00DA3512">
      <w:pPr>
        <w:pStyle w:val="Nadpis5"/>
        <w:numPr>
          <w:ilvl w:val="4"/>
          <w:numId w:val="71"/>
        </w:numPr>
      </w:pPr>
      <w:r w:rsidRPr="00DD47DF">
        <w:t>Ukazatele výstupů podle investiční priority a případně podle kategorie regionů</w:t>
      </w:r>
    </w:p>
    <w:p w14:paraId="1863CE68" w14:textId="77777777" w:rsidR="004C3774" w:rsidRPr="00DD47DF" w:rsidRDefault="004C3774" w:rsidP="00DE2376">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Společné a programově specifické ukazatele výstupů</w:t>
      </w:r>
    </w:p>
    <w:tbl>
      <w:tblPr>
        <w:tblW w:w="0" w:type="auto"/>
        <w:tblCellMar>
          <w:left w:w="57" w:type="dxa"/>
          <w:right w:w="57" w:type="dxa"/>
        </w:tblCellMar>
        <w:tblLook w:val="01E0" w:firstRow="1" w:lastRow="1" w:firstColumn="1" w:lastColumn="1" w:noHBand="0" w:noVBand="0"/>
      </w:tblPr>
      <w:tblGrid>
        <w:gridCol w:w="664"/>
        <w:gridCol w:w="2530"/>
        <w:gridCol w:w="1072"/>
        <w:gridCol w:w="665"/>
        <w:gridCol w:w="1260"/>
        <w:gridCol w:w="1125"/>
        <w:gridCol w:w="776"/>
        <w:gridCol w:w="1234"/>
      </w:tblGrid>
      <w:tr w:rsidR="004C3774" w:rsidRPr="00DD47DF" w14:paraId="62652782"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7F22DDE" w14:textId="77777777" w:rsidR="004C3774" w:rsidRPr="00DD47DF" w:rsidRDefault="004C3774" w:rsidP="00DE2376">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0D67F6E" w14:textId="77777777" w:rsidR="004C3774" w:rsidRPr="00DD47DF" w:rsidRDefault="004C3774" w:rsidP="00DE2376">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FE37A60" w14:textId="77777777" w:rsidR="004C3774" w:rsidRPr="00DD47DF" w:rsidRDefault="004C3774" w:rsidP="00DE2376">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4DA7F6E" w14:textId="77777777" w:rsidR="004C3774" w:rsidRPr="00DD47DF" w:rsidRDefault="004C3774" w:rsidP="00DE2376">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D576E8A" w14:textId="77777777" w:rsidR="004C3774" w:rsidRPr="00DD47DF" w:rsidRDefault="004C3774" w:rsidP="00DE2376">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E3853DC" w14:textId="77777777" w:rsidR="004C3774" w:rsidRPr="00DD47DF" w:rsidRDefault="004C3774" w:rsidP="00DE2376">
            <w:pPr>
              <w:pStyle w:val="Tabulka"/>
              <w:keepNext/>
              <w:keepLines/>
              <w:rPr>
                <w:rFonts w:cs="Calibri"/>
                <w:b/>
              </w:rPr>
            </w:pPr>
            <w:r w:rsidRPr="00DD47DF">
              <w:rPr>
                <w:rFonts w:cs="Calibri"/>
                <w:b/>
              </w:rPr>
              <w:t>Cílová hodnota</w:t>
            </w:r>
            <w:r w:rsidR="00956C4F" w:rsidRPr="00DD47DF">
              <w:rPr>
                <w:rFonts w:cs="Calibri"/>
                <w:b/>
              </w:rPr>
              <w:t xml:space="preserve"> </w:t>
            </w: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F613D0" w14:textId="77777777" w:rsidR="004C3774" w:rsidRPr="00DD47DF" w:rsidRDefault="004C3774" w:rsidP="00DE2376">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862D3D3" w14:textId="77777777" w:rsidR="004C3774" w:rsidRPr="00DD47DF" w:rsidRDefault="004C3774" w:rsidP="00DE2376">
            <w:pPr>
              <w:pStyle w:val="Tabulka"/>
              <w:keepNext/>
              <w:keepLines/>
              <w:rPr>
                <w:rFonts w:cs="Calibri"/>
                <w:b/>
              </w:rPr>
            </w:pPr>
            <w:r w:rsidRPr="00DD47DF">
              <w:rPr>
                <w:rFonts w:cs="Calibri"/>
                <w:b/>
              </w:rPr>
              <w:t>Četnost podávání zpráv</w:t>
            </w:r>
          </w:p>
        </w:tc>
      </w:tr>
      <w:tr w:rsidR="00502BCE" w:rsidRPr="00DD47DF" w14:paraId="7F674FBD"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5DA99F9C" w14:textId="77777777" w:rsidR="00502BCE" w:rsidRPr="00DD47DF" w:rsidRDefault="00502BCE" w:rsidP="00957169">
            <w:pPr>
              <w:pStyle w:val="Tabulka"/>
              <w:rPr>
                <w:rFonts w:cs="Calibri"/>
              </w:rPr>
            </w:pPr>
            <w:r w:rsidRPr="00DD47DF">
              <w:rPr>
                <w:rFonts w:cs="Calibri"/>
              </w:rPr>
              <w:t>33500</w:t>
            </w:r>
          </w:p>
        </w:tc>
        <w:tc>
          <w:tcPr>
            <w:tcW w:w="0" w:type="auto"/>
            <w:tcBorders>
              <w:top w:val="single" w:sz="4" w:space="0" w:color="000000"/>
              <w:left w:val="single" w:sz="4" w:space="0" w:color="000000"/>
              <w:bottom w:val="single" w:sz="4" w:space="0" w:color="000000"/>
              <w:right w:val="single" w:sz="4" w:space="0" w:color="000000"/>
            </w:tcBorders>
            <w:vAlign w:val="center"/>
          </w:tcPr>
          <w:p w14:paraId="4F5D0767" w14:textId="77777777" w:rsidR="00502BCE" w:rsidRPr="00DD47DF" w:rsidRDefault="00502BCE" w:rsidP="0073569C">
            <w:pPr>
              <w:pStyle w:val="Tabulka"/>
              <w:jc w:val="left"/>
              <w:rPr>
                <w:rFonts w:cs="Calibri"/>
              </w:rPr>
            </w:pPr>
            <w:r w:rsidRPr="00DD47DF">
              <w:rPr>
                <w:rFonts w:cs="Calibri"/>
              </w:rPr>
              <w:t>Počet rekonstruovaných</w:t>
            </w:r>
            <w:r w:rsidR="0073569C" w:rsidRPr="00DD47DF">
              <w:rPr>
                <w:rFonts w:cs="Calibri"/>
              </w:rPr>
              <w:t xml:space="preserve"> či </w:t>
            </w:r>
            <w:r w:rsidRPr="00DD47DF">
              <w:rPr>
                <w:rFonts w:cs="Calibri"/>
              </w:rPr>
              <w:t>zmodernizovaných polí v rozvodnách</w:t>
            </w:r>
          </w:p>
        </w:tc>
        <w:tc>
          <w:tcPr>
            <w:tcW w:w="0" w:type="auto"/>
            <w:tcBorders>
              <w:top w:val="single" w:sz="4" w:space="0" w:color="000000"/>
              <w:left w:val="single" w:sz="4" w:space="0" w:color="000000"/>
              <w:bottom w:val="single" w:sz="4" w:space="0" w:color="000000"/>
              <w:right w:val="single" w:sz="4" w:space="0" w:color="000000"/>
            </w:tcBorders>
            <w:vAlign w:val="center"/>
          </w:tcPr>
          <w:p w14:paraId="3EF1CB31" w14:textId="77777777" w:rsidR="00502BCE" w:rsidRPr="00DD47DF" w:rsidRDefault="00502BCE" w:rsidP="008B3478">
            <w:pPr>
              <w:pStyle w:val="Tabulka"/>
              <w:rPr>
                <w:rFonts w:cs="Calibri"/>
              </w:rPr>
            </w:pPr>
            <w:r w:rsidRPr="00DD47DF">
              <w:rPr>
                <w:rFonts w:cs="Calibri"/>
              </w:rPr>
              <w:t>po</w:t>
            </w:r>
            <w:r w:rsidR="008B3478" w:rsidRPr="00DD47DF">
              <w:rPr>
                <w:rFonts w:cs="Calibri"/>
              </w:rPr>
              <w:t>le</w:t>
            </w:r>
          </w:p>
        </w:tc>
        <w:tc>
          <w:tcPr>
            <w:tcW w:w="0" w:type="auto"/>
            <w:tcBorders>
              <w:top w:val="single" w:sz="4" w:space="0" w:color="000000"/>
              <w:left w:val="single" w:sz="4" w:space="0" w:color="000000"/>
              <w:bottom w:val="single" w:sz="4" w:space="0" w:color="000000"/>
              <w:right w:val="single" w:sz="4" w:space="0" w:color="000000"/>
            </w:tcBorders>
            <w:vAlign w:val="center"/>
          </w:tcPr>
          <w:p w14:paraId="5D0CE94C" w14:textId="77777777" w:rsidR="00502BCE" w:rsidRPr="00DD47DF" w:rsidRDefault="00502BCE" w:rsidP="00957169">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535EE1EC" w14:textId="77777777" w:rsidR="00502BCE" w:rsidRPr="00DD47DF" w:rsidRDefault="00502BCE" w:rsidP="0095716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A0E085A" w14:textId="71516F01" w:rsidR="00502BCE" w:rsidRPr="00DD47DF" w:rsidRDefault="00FC4065" w:rsidP="00957169">
            <w:pPr>
              <w:pStyle w:val="Tabulka"/>
              <w:rPr>
                <w:rFonts w:cs="Calibri"/>
              </w:rPr>
            </w:pPr>
            <w:r w:rsidRPr="00DD47DF">
              <w:rPr>
                <w:rFonts w:cs="Calibri"/>
              </w:rPr>
              <w:t>7</w:t>
            </w:r>
            <w:r w:rsidR="008A355A">
              <w:rPr>
                <w:rFonts w:cs="Calibri"/>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07635AF0" w14:textId="77777777" w:rsidR="00502BCE" w:rsidRPr="00DD47DF" w:rsidRDefault="00502BCE" w:rsidP="0095716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09A44E95" w14:textId="77777777" w:rsidR="00502BCE" w:rsidRPr="00DD47DF" w:rsidRDefault="0053488F" w:rsidP="00957169">
            <w:pPr>
              <w:pStyle w:val="Tabulka"/>
              <w:rPr>
                <w:rFonts w:cs="Calibri"/>
              </w:rPr>
            </w:pPr>
            <w:r>
              <w:rPr>
                <w:rFonts w:cs="Calibri"/>
              </w:rPr>
              <w:t>průběžně</w:t>
            </w:r>
          </w:p>
        </w:tc>
      </w:tr>
      <w:tr w:rsidR="00502BCE" w:rsidRPr="00DD47DF" w14:paraId="614CFA54"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96B0CE8" w14:textId="77777777" w:rsidR="00502BCE" w:rsidRPr="00DD47DF" w:rsidRDefault="008B3478" w:rsidP="00957169">
            <w:pPr>
              <w:pStyle w:val="Tabulka"/>
              <w:rPr>
                <w:rFonts w:cs="Calibri"/>
              </w:rPr>
            </w:pPr>
            <w:r w:rsidRPr="00DD47DF">
              <w:rPr>
                <w:rFonts w:cs="Calibri"/>
              </w:rPr>
              <w:t>33501</w:t>
            </w:r>
          </w:p>
        </w:tc>
        <w:tc>
          <w:tcPr>
            <w:tcW w:w="0" w:type="auto"/>
            <w:tcBorders>
              <w:top w:val="single" w:sz="4" w:space="0" w:color="000000"/>
              <w:left w:val="single" w:sz="4" w:space="0" w:color="000000"/>
              <w:bottom w:val="single" w:sz="4" w:space="0" w:color="000000"/>
              <w:right w:val="single" w:sz="4" w:space="0" w:color="000000"/>
            </w:tcBorders>
            <w:vAlign w:val="center"/>
          </w:tcPr>
          <w:p w14:paraId="5ADAF4E0" w14:textId="77777777" w:rsidR="00502BCE" w:rsidRPr="00DD47DF" w:rsidRDefault="00502BCE" w:rsidP="00957169">
            <w:pPr>
              <w:pStyle w:val="Tabulka"/>
              <w:jc w:val="left"/>
              <w:rPr>
                <w:rFonts w:cs="Calibri"/>
              </w:rPr>
            </w:pPr>
            <w:r w:rsidRPr="00DD47DF">
              <w:rPr>
                <w:rFonts w:cs="Calibri"/>
              </w:rPr>
              <w:t>Počet nově vybudovaných polí v rozvodnách</w:t>
            </w:r>
          </w:p>
        </w:tc>
        <w:tc>
          <w:tcPr>
            <w:tcW w:w="0" w:type="auto"/>
            <w:tcBorders>
              <w:top w:val="single" w:sz="4" w:space="0" w:color="000000"/>
              <w:left w:val="single" w:sz="4" w:space="0" w:color="000000"/>
              <w:bottom w:val="single" w:sz="4" w:space="0" w:color="000000"/>
              <w:right w:val="single" w:sz="4" w:space="0" w:color="000000"/>
            </w:tcBorders>
            <w:vAlign w:val="center"/>
          </w:tcPr>
          <w:p w14:paraId="1CF111FD" w14:textId="77777777" w:rsidR="00502BCE" w:rsidRPr="00DD47DF" w:rsidRDefault="008B3478" w:rsidP="00957169">
            <w:pPr>
              <w:pStyle w:val="Tabulka"/>
              <w:rPr>
                <w:rFonts w:cs="Calibri"/>
              </w:rPr>
            </w:pPr>
            <w:r w:rsidRPr="00DD47DF">
              <w:rPr>
                <w:rFonts w:cs="Calibri"/>
              </w:rPr>
              <w:t>pole</w:t>
            </w:r>
          </w:p>
        </w:tc>
        <w:tc>
          <w:tcPr>
            <w:tcW w:w="0" w:type="auto"/>
            <w:tcBorders>
              <w:top w:val="single" w:sz="4" w:space="0" w:color="000000"/>
              <w:left w:val="single" w:sz="4" w:space="0" w:color="000000"/>
              <w:bottom w:val="single" w:sz="4" w:space="0" w:color="000000"/>
              <w:right w:val="single" w:sz="4" w:space="0" w:color="000000"/>
            </w:tcBorders>
            <w:vAlign w:val="center"/>
          </w:tcPr>
          <w:p w14:paraId="674BDDDD" w14:textId="77777777" w:rsidR="00502BCE" w:rsidRPr="00DD47DF" w:rsidRDefault="00502BCE" w:rsidP="00957169">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48B6803" w14:textId="77777777" w:rsidR="00502BCE" w:rsidRPr="00DD47DF" w:rsidRDefault="00502BCE" w:rsidP="00957169">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5322172D" w14:textId="46CD56E9" w:rsidR="00502BCE" w:rsidRPr="00DD47DF" w:rsidRDefault="008A355A" w:rsidP="00957169">
            <w:pPr>
              <w:pStyle w:val="Tabulka"/>
              <w:rPr>
                <w:rFonts w:cs="Calibri"/>
              </w:rPr>
            </w:pPr>
            <w:r>
              <w:rPr>
                <w:rFonts w:cs="Calibri"/>
              </w:rPr>
              <w:t>13</w:t>
            </w:r>
          </w:p>
        </w:tc>
        <w:tc>
          <w:tcPr>
            <w:tcW w:w="0" w:type="auto"/>
            <w:tcBorders>
              <w:top w:val="single" w:sz="4" w:space="0" w:color="000000"/>
              <w:left w:val="single" w:sz="4" w:space="0" w:color="000000"/>
              <w:bottom w:val="single" w:sz="4" w:space="0" w:color="000000"/>
              <w:right w:val="single" w:sz="4" w:space="0" w:color="000000"/>
            </w:tcBorders>
            <w:vAlign w:val="center"/>
          </w:tcPr>
          <w:p w14:paraId="5DDFFC40" w14:textId="77777777" w:rsidR="00502BCE" w:rsidRPr="00DD47DF" w:rsidRDefault="00502BCE" w:rsidP="0095716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4DD1A75" w14:textId="77777777" w:rsidR="00502BCE" w:rsidRPr="00DD47DF" w:rsidRDefault="0053488F" w:rsidP="00957169">
            <w:pPr>
              <w:pStyle w:val="Tabulka"/>
              <w:rPr>
                <w:rFonts w:cs="Calibri"/>
              </w:rPr>
            </w:pPr>
            <w:r>
              <w:rPr>
                <w:rFonts w:cs="Calibri"/>
              </w:rPr>
              <w:t>průběžně</w:t>
            </w:r>
          </w:p>
        </w:tc>
      </w:tr>
      <w:tr w:rsidR="009F5EDB" w:rsidRPr="00DD47DF" w14:paraId="2708D66C"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97A63ED" w14:textId="45A375C7" w:rsidR="009F5EDB" w:rsidRPr="009F5EDB" w:rsidRDefault="009F5EDB" w:rsidP="009F5EDB">
            <w:pPr>
              <w:pStyle w:val="Tabulka"/>
              <w:rPr>
                <w:rFonts w:cs="Calibri"/>
              </w:rPr>
            </w:pPr>
            <w:r w:rsidRPr="009F5EDB">
              <w:rPr>
                <w:rFonts w:cs="Calibri"/>
              </w:rPr>
              <w:t>33508</w:t>
            </w:r>
          </w:p>
        </w:tc>
        <w:tc>
          <w:tcPr>
            <w:tcW w:w="0" w:type="auto"/>
            <w:tcBorders>
              <w:top w:val="single" w:sz="4" w:space="0" w:color="000000"/>
              <w:left w:val="single" w:sz="4" w:space="0" w:color="000000"/>
              <w:bottom w:val="single" w:sz="4" w:space="0" w:color="000000"/>
              <w:right w:val="single" w:sz="4" w:space="0" w:color="000000"/>
            </w:tcBorders>
            <w:vAlign w:val="center"/>
          </w:tcPr>
          <w:p w14:paraId="275858C3" w14:textId="2AEA27BD" w:rsidR="009F5EDB" w:rsidRPr="009F5EDB" w:rsidRDefault="009F5EDB" w:rsidP="009F5EDB">
            <w:pPr>
              <w:pStyle w:val="Tabulka"/>
              <w:jc w:val="left"/>
              <w:rPr>
                <w:rFonts w:cs="Calibri"/>
              </w:rPr>
            </w:pPr>
            <w:r w:rsidRPr="009F5EDB">
              <w:rPr>
                <w:rFonts w:asciiTheme="minorHAnsi" w:hAnsiTheme="minorHAnsi" w:cstheme="minorHAnsi"/>
              </w:rPr>
              <w:t>Délka rekonstruovaných či zmodernizovaných vedení</w:t>
            </w:r>
          </w:p>
        </w:tc>
        <w:tc>
          <w:tcPr>
            <w:tcW w:w="0" w:type="auto"/>
            <w:tcBorders>
              <w:top w:val="single" w:sz="4" w:space="0" w:color="000000"/>
              <w:left w:val="single" w:sz="4" w:space="0" w:color="000000"/>
              <w:bottom w:val="single" w:sz="4" w:space="0" w:color="000000"/>
              <w:right w:val="single" w:sz="4" w:space="0" w:color="000000"/>
            </w:tcBorders>
            <w:vAlign w:val="center"/>
          </w:tcPr>
          <w:p w14:paraId="0351E645" w14:textId="74034C55" w:rsidR="009F5EDB" w:rsidRPr="009F5EDB" w:rsidRDefault="009F5EDB" w:rsidP="009F5EDB">
            <w:pPr>
              <w:pStyle w:val="Tabulka"/>
              <w:rPr>
                <w:rFonts w:cs="Calibri"/>
              </w:rPr>
            </w:pPr>
            <w:r w:rsidRPr="009F5EDB">
              <w:rPr>
                <w:rFonts w:cs="Calibri"/>
              </w:rPr>
              <w:t>km</w:t>
            </w:r>
          </w:p>
        </w:tc>
        <w:tc>
          <w:tcPr>
            <w:tcW w:w="0" w:type="auto"/>
            <w:tcBorders>
              <w:top w:val="single" w:sz="4" w:space="0" w:color="000000"/>
              <w:left w:val="single" w:sz="4" w:space="0" w:color="000000"/>
              <w:bottom w:val="single" w:sz="4" w:space="0" w:color="000000"/>
              <w:right w:val="single" w:sz="4" w:space="0" w:color="000000"/>
            </w:tcBorders>
            <w:vAlign w:val="center"/>
          </w:tcPr>
          <w:p w14:paraId="77FB85BB" w14:textId="3D944E71" w:rsidR="009F5EDB" w:rsidRPr="009F5EDB" w:rsidRDefault="009F5EDB" w:rsidP="009F5EDB">
            <w:pPr>
              <w:pStyle w:val="Tabulka"/>
              <w:rPr>
                <w:rFonts w:cs="Calibri"/>
              </w:rPr>
            </w:pPr>
            <w:r w:rsidRPr="009F5EDB">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07465EA3" w14:textId="7D921EBD" w:rsidR="009F5EDB" w:rsidRPr="009F5EDB" w:rsidRDefault="009F5EDB" w:rsidP="009F5EDB">
            <w:pPr>
              <w:pStyle w:val="Tabulka"/>
              <w:rPr>
                <w:rFonts w:cs="Calibri"/>
              </w:rPr>
            </w:pPr>
            <w:r w:rsidRPr="009F5EDB">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31A93575" w14:textId="69B222C2" w:rsidR="009F5EDB" w:rsidRPr="009F5EDB" w:rsidRDefault="009F5EDB" w:rsidP="009F5EDB">
            <w:pPr>
              <w:pStyle w:val="Tabulka"/>
              <w:rPr>
                <w:rFonts w:cs="Calibri"/>
              </w:rPr>
            </w:pPr>
            <w:r w:rsidRPr="009F5EDB">
              <w:rPr>
                <w:rFonts w:cs="Calibri"/>
              </w:rPr>
              <w:t>388,98</w:t>
            </w:r>
          </w:p>
        </w:tc>
        <w:tc>
          <w:tcPr>
            <w:tcW w:w="0" w:type="auto"/>
            <w:tcBorders>
              <w:top w:val="single" w:sz="4" w:space="0" w:color="000000"/>
              <w:left w:val="single" w:sz="4" w:space="0" w:color="000000"/>
              <w:bottom w:val="single" w:sz="4" w:space="0" w:color="000000"/>
              <w:right w:val="single" w:sz="4" w:space="0" w:color="000000"/>
            </w:tcBorders>
            <w:vAlign w:val="center"/>
          </w:tcPr>
          <w:p w14:paraId="4374A3B8" w14:textId="71EC4E1B" w:rsidR="009F5EDB" w:rsidRPr="009F5EDB" w:rsidRDefault="009F5EDB" w:rsidP="009F5EDB">
            <w:pPr>
              <w:pStyle w:val="Tabulka"/>
              <w:rPr>
                <w:rFonts w:cs="Calibri"/>
              </w:rPr>
            </w:pPr>
            <w:r w:rsidRPr="009F5EDB">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6CB997FE" w14:textId="117D55A7" w:rsidR="009F5EDB" w:rsidRPr="009F5EDB" w:rsidRDefault="009F5EDB" w:rsidP="009F5EDB">
            <w:pPr>
              <w:pStyle w:val="Tabulka"/>
              <w:rPr>
                <w:rFonts w:cs="Calibri"/>
              </w:rPr>
            </w:pPr>
            <w:r w:rsidRPr="009F5EDB">
              <w:rPr>
                <w:rFonts w:cs="Calibri"/>
              </w:rPr>
              <w:t>průběžně</w:t>
            </w:r>
          </w:p>
        </w:tc>
      </w:tr>
      <w:tr w:rsidR="009F5EDB" w:rsidRPr="00DD47DF" w14:paraId="31E4284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4CA6974" w14:textId="104B9441" w:rsidR="009F5EDB" w:rsidRPr="009F5EDB" w:rsidRDefault="009F5EDB" w:rsidP="009F5EDB">
            <w:pPr>
              <w:pStyle w:val="Tabulka"/>
              <w:rPr>
                <w:rFonts w:cs="Calibri"/>
              </w:rPr>
            </w:pPr>
            <w:r w:rsidRPr="009F5EDB">
              <w:rPr>
                <w:rFonts w:cs="Calibri"/>
              </w:rPr>
              <w:t>33509</w:t>
            </w:r>
          </w:p>
        </w:tc>
        <w:tc>
          <w:tcPr>
            <w:tcW w:w="0" w:type="auto"/>
            <w:tcBorders>
              <w:top w:val="single" w:sz="4" w:space="0" w:color="000000"/>
              <w:left w:val="single" w:sz="4" w:space="0" w:color="000000"/>
              <w:bottom w:val="single" w:sz="4" w:space="0" w:color="000000"/>
              <w:right w:val="single" w:sz="4" w:space="0" w:color="000000"/>
            </w:tcBorders>
            <w:vAlign w:val="center"/>
          </w:tcPr>
          <w:p w14:paraId="243C6B79" w14:textId="3E833803" w:rsidR="009F5EDB" w:rsidRPr="009F5EDB" w:rsidRDefault="009F5EDB" w:rsidP="009F5EDB">
            <w:pPr>
              <w:pStyle w:val="Tabulka"/>
              <w:jc w:val="left"/>
              <w:rPr>
                <w:rFonts w:cs="Calibri"/>
              </w:rPr>
            </w:pPr>
            <w:r w:rsidRPr="009F5EDB">
              <w:rPr>
                <w:rFonts w:asciiTheme="minorHAnsi" w:hAnsiTheme="minorHAnsi" w:cstheme="minorHAnsi"/>
              </w:rPr>
              <w:t>Délka nově vybudovaných vedení</w:t>
            </w:r>
          </w:p>
        </w:tc>
        <w:tc>
          <w:tcPr>
            <w:tcW w:w="0" w:type="auto"/>
            <w:tcBorders>
              <w:top w:val="single" w:sz="4" w:space="0" w:color="000000"/>
              <w:left w:val="single" w:sz="4" w:space="0" w:color="000000"/>
              <w:bottom w:val="single" w:sz="4" w:space="0" w:color="000000"/>
              <w:right w:val="single" w:sz="4" w:space="0" w:color="000000"/>
            </w:tcBorders>
            <w:vAlign w:val="center"/>
          </w:tcPr>
          <w:p w14:paraId="3CF3BCC0" w14:textId="4B089FFC" w:rsidR="009F5EDB" w:rsidRPr="009F5EDB" w:rsidRDefault="009F5EDB" w:rsidP="009F5EDB">
            <w:pPr>
              <w:pStyle w:val="Tabulka"/>
              <w:rPr>
                <w:rFonts w:cs="Calibri"/>
              </w:rPr>
            </w:pPr>
            <w:r w:rsidRPr="009F5EDB">
              <w:rPr>
                <w:rFonts w:cs="Calibri"/>
              </w:rPr>
              <w:t>km</w:t>
            </w:r>
          </w:p>
        </w:tc>
        <w:tc>
          <w:tcPr>
            <w:tcW w:w="0" w:type="auto"/>
            <w:tcBorders>
              <w:top w:val="single" w:sz="4" w:space="0" w:color="000000"/>
              <w:left w:val="single" w:sz="4" w:space="0" w:color="000000"/>
              <w:bottom w:val="single" w:sz="4" w:space="0" w:color="000000"/>
              <w:right w:val="single" w:sz="4" w:space="0" w:color="000000"/>
            </w:tcBorders>
            <w:vAlign w:val="center"/>
          </w:tcPr>
          <w:p w14:paraId="6D9CE9A3" w14:textId="24EE58AC" w:rsidR="009F5EDB" w:rsidRPr="009F5EDB" w:rsidRDefault="009F5EDB" w:rsidP="009F5EDB">
            <w:pPr>
              <w:pStyle w:val="Tabulka"/>
              <w:rPr>
                <w:rFonts w:cs="Calibri"/>
              </w:rPr>
            </w:pPr>
            <w:r w:rsidRPr="009F5EDB">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7BC14E4" w14:textId="66CC74F5" w:rsidR="009F5EDB" w:rsidRPr="009F5EDB" w:rsidRDefault="009F5EDB" w:rsidP="009F5EDB">
            <w:pPr>
              <w:pStyle w:val="Tabulka"/>
              <w:rPr>
                <w:rFonts w:cs="Calibri"/>
              </w:rPr>
            </w:pPr>
            <w:r w:rsidRPr="009F5EDB">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57A4046" w14:textId="4CAFB6DE" w:rsidR="009F5EDB" w:rsidRPr="009F5EDB" w:rsidRDefault="009F5EDB" w:rsidP="009F5EDB">
            <w:pPr>
              <w:pStyle w:val="Tabulka"/>
              <w:rPr>
                <w:rFonts w:cs="Calibri"/>
              </w:rPr>
            </w:pPr>
            <w:r w:rsidRPr="009F5EDB">
              <w:rPr>
                <w:rFonts w:cs="Calibri"/>
              </w:rPr>
              <w:t>25</w:t>
            </w:r>
          </w:p>
        </w:tc>
        <w:tc>
          <w:tcPr>
            <w:tcW w:w="0" w:type="auto"/>
            <w:tcBorders>
              <w:top w:val="single" w:sz="4" w:space="0" w:color="000000"/>
              <w:left w:val="single" w:sz="4" w:space="0" w:color="000000"/>
              <w:bottom w:val="single" w:sz="4" w:space="0" w:color="000000"/>
              <w:right w:val="single" w:sz="4" w:space="0" w:color="000000"/>
            </w:tcBorders>
            <w:vAlign w:val="center"/>
          </w:tcPr>
          <w:p w14:paraId="7E00A846" w14:textId="0C0730A7" w:rsidR="009F5EDB" w:rsidRPr="009F5EDB" w:rsidRDefault="009F5EDB" w:rsidP="009F5EDB">
            <w:pPr>
              <w:pStyle w:val="Tabulka"/>
              <w:rPr>
                <w:rFonts w:cs="Calibri"/>
              </w:rPr>
            </w:pPr>
            <w:r w:rsidRPr="009F5EDB">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A448661" w14:textId="0AE22D85" w:rsidR="009F5EDB" w:rsidRPr="009F5EDB" w:rsidRDefault="009F5EDB" w:rsidP="009F5EDB">
            <w:pPr>
              <w:pStyle w:val="Tabulka"/>
              <w:rPr>
                <w:rFonts w:cs="Calibri"/>
              </w:rPr>
            </w:pPr>
            <w:r w:rsidRPr="009F5EDB">
              <w:rPr>
                <w:rFonts w:cs="Calibri"/>
              </w:rPr>
              <w:t>průběžně</w:t>
            </w:r>
          </w:p>
        </w:tc>
      </w:tr>
      <w:tr w:rsidR="009F5EDB" w:rsidRPr="00DD47DF" w14:paraId="5DE2B68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61D26F01" w14:textId="21F8F94C" w:rsidR="009F5EDB" w:rsidRPr="009F5EDB" w:rsidRDefault="009F5EDB" w:rsidP="009F5EDB">
            <w:pPr>
              <w:pStyle w:val="Tabulka"/>
              <w:rPr>
                <w:rFonts w:cs="Calibri"/>
              </w:rPr>
            </w:pPr>
            <w:r w:rsidRPr="009F5EDB">
              <w:rPr>
                <w:rFonts w:cs="Calibri"/>
              </w:rPr>
              <w:t>33504</w:t>
            </w:r>
          </w:p>
        </w:tc>
        <w:tc>
          <w:tcPr>
            <w:tcW w:w="0" w:type="auto"/>
            <w:tcBorders>
              <w:top w:val="single" w:sz="4" w:space="0" w:color="000000"/>
              <w:left w:val="single" w:sz="4" w:space="0" w:color="000000"/>
              <w:bottom w:val="single" w:sz="4" w:space="0" w:color="000000"/>
              <w:right w:val="single" w:sz="4" w:space="0" w:color="000000"/>
            </w:tcBorders>
            <w:vAlign w:val="center"/>
          </w:tcPr>
          <w:p w14:paraId="60F96CAD" w14:textId="67809201" w:rsidR="009F5EDB" w:rsidRPr="009F5EDB" w:rsidRDefault="009F5EDB" w:rsidP="009F5EDB">
            <w:pPr>
              <w:pStyle w:val="Tabulka"/>
              <w:jc w:val="left"/>
              <w:rPr>
                <w:rFonts w:cs="Calibri"/>
              </w:rPr>
            </w:pPr>
            <w:r w:rsidRPr="009F5EDB">
              <w:rPr>
                <w:rFonts w:asciiTheme="minorHAnsi" w:hAnsiTheme="minorHAnsi" w:cstheme="minorHAnsi"/>
              </w:rPr>
              <w:t>Nové sady řídících a komunikačních prvků</w:t>
            </w:r>
          </w:p>
        </w:tc>
        <w:tc>
          <w:tcPr>
            <w:tcW w:w="0" w:type="auto"/>
            <w:tcBorders>
              <w:top w:val="single" w:sz="4" w:space="0" w:color="000000"/>
              <w:left w:val="single" w:sz="4" w:space="0" w:color="000000"/>
              <w:bottom w:val="single" w:sz="4" w:space="0" w:color="000000"/>
              <w:right w:val="single" w:sz="4" w:space="0" w:color="000000"/>
            </w:tcBorders>
            <w:vAlign w:val="center"/>
          </w:tcPr>
          <w:p w14:paraId="5BCB1797" w14:textId="4A6E0F72" w:rsidR="009F5EDB" w:rsidRPr="009F5EDB" w:rsidRDefault="009F5EDB" w:rsidP="009F5EDB">
            <w:pPr>
              <w:pStyle w:val="Tabulka"/>
              <w:rPr>
                <w:rFonts w:cs="Calibri"/>
              </w:rPr>
            </w:pPr>
            <w:r w:rsidRPr="009F5EDB">
              <w:rPr>
                <w:rFonts w:cs="Calibri"/>
              </w:rPr>
              <w:t>sady</w:t>
            </w:r>
          </w:p>
        </w:tc>
        <w:tc>
          <w:tcPr>
            <w:tcW w:w="0" w:type="auto"/>
            <w:tcBorders>
              <w:top w:val="single" w:sz="4" w:space="0" w:color="000000"/>
              <w:left w:val="single" w:sz="4" w:space="0" w:color="000000"/>
              <w:bottom w:val="single" w:sz="4" w:space="0" w:color="000000"/>
              <w:right w:val="single" w:sz="4" w:space="0" w:color="000000"/>
            </w:tcBorders>
            <w:vAlign w:val="center"/>
          </w:tcPr>
          <w:p w14:paraId="1954E788" w14:textId="7B537582" w:rsidR="009F5EDB" w:rsidRPr="009F5EDB" w:rsidRDefault="009F5EDB" w:rsidP="009F5EDB">
            <w:pPr>
              <w:pStyle w:val="Tabulka"/>
              <w:rPr>
                <w:rFonts w:cs="Calibri"/>
              </w:rPr>
            </w:pPr>
            <w:r w:rsidRPr="009F5EDB">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6943008E" w14:textId="4BCFE80C" w:rsidR="009F5EDB" w:rsidRPr="009F5EDB" w:rsidRDefault="009F5EDB" w:rsidP="009F5EDB">
            <w:pPr>
              <w:pStyle w:val="Tabulka"/>
              <w:rPr>
                <w:rFonts w:cs="Calibri"/>
              </w:rPr>
            </w:pPr>
            <w:r w:rsidRPr="009F5EDB">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4A79319C" w14:textId="0205FCE3" w:rsidR="009F5EDB" w:rsidRPr="009F5EDB" w:rsidRDefault="009F5EDB" w:rsidP="009F5EDB">
            <w:pPr>
              <w:pStyle w:val="Tabulka"/>
              <w:rPr>
                <w:rFonts w:cs="Calibri"/>
              </w:rPr>
            </w:pPr>
            <w:r w:rsidRPr="009F5EDB">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26710856" w14:textId="3AC352DA" w:rsidR="009F5EDB" w:rsidRPr="009F5EDB" w:rsidRDefault="009F5EDB" w:rsidP="009F5EDB">
            <w:pPr>
              <w:pStyle w:val="Tabulka"/>
              <w:rPr>
                <w:rFonts w:cs="Calibri"/>
              </w:rPr>
            </w:pPr>
            <w:r w:rsidRPr="009F5EDB">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9599CD6" w14:textId="724E4C7D" w:rsidR="009F5EDB" w:rsidRPr="009F5EDB" w:rsidRDefault="009F5EDB" w:rsidP="009F5EDB">
            <w:pPr>
              <w:pStyle w:val="Tabulka"/>
              <w:rPr>
                <w:rFonts w:cs="Calibri"/>
              </w:rPr>
            </w:pPr>
            <w:r w:rsidRPr="009F5EDB">
              <w:rPr>
                <w:rFonts w:cs="Calibri"/>
              </w:rPr>
              <w:t>průběžně</w:t>
            </w:r>
          </w:p>
        </w:tc>
      </w:tr>
    </w:tbl>
    <w:p w14:paraId="612C6438" w14:textId="77777777" w:rsidR="00B53995" w:rsidRPr="00DD47DF" w:rsidRDefault="00B53995" w:rsidP="00DA3512">
      <w:pPr>
        <w:pStyle w:val="kapitola2A0"/>
        <w:numPr>
          <w:ilvl w:val="2"/>
          <w:numId w:val="68"/>
        </w:numPr>
      </w:pPr>
      <w:bookmarkStart w:id="84" w:name="_Toc129005417"/>
      <w:r w:rsidRPr="00DD47DF">
        <w:t>Sociální inovace, nadnárodní spolupráce a přínos k tematickým cílům 1 až 7</w:t>
      </w:r>
      <w:bookmarkEnd w:id="84"/>
    </w:p>
    <w:p w14:paraId="7F0DB446" w14:textId="77777777" w:rsidR="004126CC" w:rsidRPr="00DD47DF" w:rsidRDefault="006B6307" w:rsidP="008A5FCE">
      <w:pPr>
        <w:pStyle w:val="Standardntext"/>
        <w:sectPr w:rsidR="004126CC" w:rsidRPr="00DD47DF" w:rsidSect="004126CC">
          <w:headerReference w:type="default" r:id="rId37"/>
          <w:footerReference w:type="default" r:id="rId38"/>
          <w:pgSz w:w="11906" w:h="16838"/>
          <w:pgMar w:top="1418" w:right="1276" w:bottom="1276" w:left="1418" w:header="709" w:footer="709" w:gutter="0"/>
          <w:cols w:space="708"/>
          <w:docGrid w:linePitch="272"/>
        </w:sectPr>
      </w:pPr>
      <w:r w:rsidRPr="00DD47DF">
        <w:t>Není relevantní pro OP PIK.</w:t>
      </w:r>
    </w:p>
    <w:p w14:paraId="4BC9CBE7" w14:textId="77777777" w:rsidR="00B53995" w:rsidRPr="00DD47DF" w:rsidRDefault="00B53995" w:rsidP="00DA3512">
      <w:pPr>
        <w:pStyle w:val="kapitola2A0"/>
        <w:numPr>
          <w:ilvl w:val="2"/>
          <w:numId w:val="68"/>
        </w:numPr>
      </w:pPr>
      <w:bookmarkStart w:id="85" w:name="_Toc129005418"/>
      <w:r w:rsidRPr="00DD47DF">
        <w:lastRenderedPageBreak/>
        <w:t>Výkonnostní rámec</w:t>
      </w:r>
      <w:bookmarkEnd w:id="85"/>
    </w:p>
    <w:p w14:paraId="17A03B1B" w14:textId="77777777" w:rsidR="00F7325F" w:rsidRPr="00DD47DF" w:rsidRDefault="00F7325F" w:rsidP="007E38FF">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461"/>
        <w:gridCol w:w="1195"/>
        <w:gridCol w:w="1377"/>
        <w:gridCol w:w="1048"/>
        <w:gridCol w:w="767"/>
        <w:gridCol w:w="1156"/>
        <w:gridCol w:w="1126"/>
        <w:gridCol w:w="2228"/>
        <w:gridCol w:w="997"/>
        <w:gridCol w:w="2021"/>
      </w:tblGrid>
      <w:tr w:rsidR="000E6E04" w:rsidRPr="00DD47DF" w14:paraId="3AC784F6" w14:textId="77777777" w:rsidTr="000E6E04">
        <w:tc>
          <w:tcPr>
            <w:tcW w:w="0" w:type="auto"/>
            <w:shd w:val="clear" w:color="auto" w:fill="B8CCE4"/>
            <w:vAlign w:val="center"/>
          </w:tcPr>
          <w:p w14:paraId="79083AA5" w14:textId="77777777" w:rsidR="000E6E04" w:rsidRPr="00DD47DF" w:rsidRDefault="000E6E04" w:rsidP="00700B4C">
            <w:pPr>
              <w:pStyle w:val="Tabulka"/>
              <w:keepNext/>
              <w:keepLines/>
              <w:rPr>
                <w:rFonts w:cs="Calibri"/>
                <w:b/>
              </w:rPr>
            </w:pPr>
            <w:r w:rsidRPr="00DD47DF">
              <w:rPr>
                <w:rFonts w:cs="Calibri"/>
                <w:b/>
              </w:rPr>
              <w:t>Prioritní osa</w:t>
            </w:r>
          </w:p>
        </w:tc>
        <w:tc>
          <w:tcPr>
            <w:tcW w:w="1500" w:type="dxa"/>
            <w:shd w:val="clear" w:color="auto" w:fill="B8CCE4"/>
            <w:vAlign w:val="center"/>
          </w:tcPr>
          <w:p w14:paraId="4BBEC2DA" w14:textId="77777777" w:rsidR="000E6E04" w:rsidRPr="00DD47DF" w:rsidRDefault="000E6E04" w:rsidP="00700B4C">
            <w:pPr>
              <w:pStyle w:val="Tabulka"/>
              <w:keepNext/>
              <w:keepLines/>
              <w:rPr>
                <w:rFonts w:cs="Calibri"/>
                <w:b/>
              </w:rPr>
            </w:pPr>
            <w:r w:rsidRPr="00DD47DF">
              <w:rPr>
                <w:rFonts w:cs="Calibri"/>
                <w:b/>
              </w:rPr>
              <w:t>Typ ukazatele</w:t>
            </w:r>
          </w:p>
          <w:p w14:paraId="70460939" w14:textId="77777777" w:rsidR="000E6E04" w:rsidRPr="00DD47DF" w:rsidRDefault="000E6E04" w:rsidP="00700B4C">
            <w:pPr>
              <w:pStyle w:val="Tabulka"/>
              <w:keepNext/>
              <w:keepLines/>
              <w:rPr>
                <w:rFonts w:cs="Calibri"/>
                <w:b/>
              </w:rPr>
            </w:pPr>
            <w:r w:rsidRPr="00DD47DF">
              <w:rPr>
                <w:rFonts w:cs="Calibri"/>
                <w:b/>
              </w:rPr>
              <w:t>(klíčový krok provádění, finanční výstup nebo popřípadě ukazatel výsledků)</w:t>
            </w:r>
          </w:p>
        </w:tc>
        <w:tc>
          <w:tcPr>
            <w:tcW w:w="1239" w:type="dxa"/>
            <w:shd w:val="clear" w:color="auto" w:fill="B8CCE4"/>
            <w:vAlign w:val="center"/>
          </w:tcPr>
          <w:p w14:paraId="49DCBC5A" w14:textId="77777777" w:rsidR="000E6E04" w:rsidRPr="00DD47DF" w:rsidRDefault="000E6E04" w:rsidP="00700B4C">
            <w:pPr>
              <w:pStyle w:val="Tabulka"/>
              <w:keepNext/>
              <w:keepLines/>
              <w:rPr>
                <w:rFonts w:cs="Calibri"/>
                <w:b/>
              </w:rPr>
            </w:pPr>
            <w:r w:rsidRPr="00DD47DF">
              <w:rPr>
                <w:rFonts w:cs="Calibri"/>
                <w:b/>
              </w:rPr>
              <w:t>ID</w:t>
            </w:r>
          </w:p>
        </w:tc>
        <w:tc>
          <w:tcPr>
            <w:tcW w:w="0" w:type="auto"/>
            <w:shd w:val="clear" w:color="auto" w:fill="B8CCE4"/>
            <w:tcMar>
              <w:top w:w="0" w:type="dxa"/>
              <w:left w:w="108" w:type="dxa"/>
              <w:bottom w:w="0" w:type="dxa"/>
              <w:right w:w="108" w:type="dxa"/>
            </w:tcMar>
            <w:vAlign w:val="center"/>
          </w:tcPr>
          <w:p w14:paraId="3432B139" w14:textId="77777777" w:rsidR="000E6E04" w:rsidRPr="00DD47DF" w:rsidRDefault="000E6E04" w:rsidP="00700B4C">
            <w:pPr>
              <w:pStyle w:val="Tabulka"/>
              <w:keepNext/>
              <w:keepLines/>
              <w:rPr>
                <w:rFonts w:cs="Calibri"/>
                <w:b/>
              </w:rPr>
            </w:pPr>
            <w:r w:rsidRPr="00DD47DF">
              <w:rPr>
                <w:rFonts w:cs="Calibri"/>
                <w:b/>
              </w:rPr>
              <w:t>Ukazatel nebo klíčový krok provádění</w:t>
            </w:r>
          </w:p>
        </w:tc>
        <w:tc>
          <w:tcPr>
            <w:tcW w:w="0" w:type="auto"/>
            <w:shd w:val="clear" w:color="auto" w:fill="B8CCE4"/>
            <w:tcMar>
              <w:top w:w="0" w:type="dxa"/>
              <w:left w:w="108" w:type="dxa"/>
              <w:bottom w:w="0" w:type="dxa"/>
              <w:right w:w="108" w:type="dxa"/>
            </w:tcMar>
            <w:vAlign w:val="center"/>
          </w:tcPr>
          <w:p w14:paraId="17C59A19" w14:textId="77777777" w:rsidR="000E6E04" w:rsidRPr="00DD47DF" w:rsidRDefault="000E6E04" w:rsidP="00700B4C">
            <w:pPr>
              <w:pStyle w:val="Tabulka"/>
              <w:keepNext/>
              <w:keepLines/>
              <w:rPr>
                <w:rFonts w:cs="Calibri"/>
                <w:b/>
              </w:rPr>
            </w:pPr>
            <w:r w:rsidRPr="00DD47DF">
              <w:rPr>
                <w:rFonts w:cs="Calibri"/>
                <w:b/>
              </w:rPr>
              <w:t>Měrná jednotka (použije-li se)</w:t>
            </w:r>
          </w:p>
        </w:tc>
        <w:tc>
          <w:tcPr>
            <w:tcW w:w="0" w:type="auto"/>
            <w:shd w:val="clear" w:color="auto" w:fill="B8CCE4"/>
            <w:tcMar>
              <w:top w:w="0" w:type="dxa"/>
              <w:left w:w="108" w:type="dxa"/>
              <w:bottom w:w="0" w:type="dxa"/>
              <w:right w:w="108" w:type="dxa"/>
            </w:tcMar>
            <w:vAlign w:val="center"/>
          </w:tcPr>
          <w:p w14:paraId="12B56203" w14:textId="77777777" w:rsidR="000E6E04" w:rsidRPr="00DD47DF" w:rsidRDefault="000E6E04" w:rsidP="00700B4C">
            <w:pPr>
              <w:pStyle w:val="Tabulka"/>
              <w:keepNext/>
              <w:keepLines/>
              <w:rPr>
                <w:rFonts w:cs="Calibri"/>
                <w:b/>
              </w:rPr>
            </w:pPr>
            <w:r w:rsidRPr="00DD47DF">
              <w:rPr>
                <w:rFonts w:cs="Calibri"/>
                <w:b/>
              </w:rPr>
              <w:t>Fond</w:t>
            </w:r>
          </w:p>
        </w:tc>
        <w:tc>
          <w:tcPr>
            <w:tcW w:w="1157" w:type="dxa"/>
            <w:shd w:val="clear" w:color="auto" w:fill="B8CCE4"/>
            <w:tcMar>
              <w:top w:w="0" w:type="dxa"/>
              <w:left w:w="108" w:type="dxa"/>
              <w:bottom w:w="0" w:type="dxa"/>
              <w:right w:w="108" w:type="dxa"/>
            </w:tcMar>
            <w:vAlign w:val="center"/>
          </w:tcPr>
          <w:p w14:paraId="537DD804" w14:textId="77777777" w:rsidR="000E6E04" w:rsidRPr="00DD47DF" w:rsidRDefault="000E6E04" w:rsidP="00700B4C">
            <w:pPr>
              <w:pStyle w:val="Tabulka"/>
              <w:keepNext/>
              <w:keepLines/>
              <w:rPr>
                <w:rFonts w:cs="Calibri"/>
                <w:b/>
              </w:rPr>
            </w:pPr>
            <w:r w:rsidRPr="00DD47DF">
              <w:rPr>
                <w:rFonts w:cs="Calibri"/>
                <w:b/>
              </w:rPr>
              <w:t>Kategorie regionů</w:t>
            </w:r>
          </w:p>
        </w:tc>
        <w:tc>
          <w:tcPr>
            <w:tcW w:w="1159" w:type="dxa"/>
            <w:shd w:val="clear" w:color="auto" w:fill="B8CCE4"/>
            <w:vAlign w:val="center"/>
          </w:tcPr>
          <w:p w14:paraId="1DD503DF" w14:textId="77777777" w:rsidR="000E6E04" w:rsidRPr="00DD47DF" w:rsidRDefault="000E6E04" w:rsidP="00700B4C">
            <w:pPr>
              <w:pStyle w:val="Tabulka"/>
              <w:keepNext/>
              <w:keepLines/>
              <w:rPr>
                <w:rFonts w:cs="Calibri"/>
                <w:b/>
              </w:rPr>
            </w:pPr>
            <w:r w:rsidRPr="00DD47DF">
              <w:rPr>
                <w:rFonts w:cs="Calibri"/>
                <w:b/>
              </w:rPr>
              <w:t>Milník pro rok 2018</w:t>
            </w:r>
          </w:p>
        </w:tc>
        <w:tc>
          <w:tcPr>
            <w:tcW w:w="2361" w:type="dxa"/>
            <w:shd w:val="clear" w:color="auto" w:fill="B8CCE4"/>
            <w:tcMar>
              <w:top w:w="0" w:type="dxa"/>
              <w:left w:w="108" w:type="dxa"/>
              <w:bottom w:w="0" w:type="dxa"/>
              <w:right w:w="108" w:type="dxa"/>
            </w:tcMar>
            <w:vAlign w:val="center"/>
          </w:tcPr>
          <w:p w14:paraId="10024381" w14:textId="77777777" w:rsidR="000E6E04" w:rsidRPr="00DD47DF" w:rsidRDefault="000E6E04" w:rsidP="00700B4C">
            <w:pPr>
              <w:pStyle w:val="Tabulka"/>
              <w:keepNext/>
              <w:keepLines/>
              <w:rPr>
                <w:rFonts w:cs="Calibri"/>
                <w:b/>
              </w:rPr>
            </w:pPr>
            <w:r w:rsidRPr="00DD47DF">
              <w:rPr>
                <w:rFonts w:cs="Calibri"/>
                <w:b/>
              </w:rPr>
              <w:t>Konečný cíl (2023)</w:t>
            </w:r>
          </w:p>
        </w:tc>
        <w:tc>
          <w:tcPr>
            <w:tcW w:w="688" w:type="dxa"/>
            <w:shd w:val="clear" w:color="auto" w:fill="B8CCE4"/>
            <w:vAlign w:val="center"/>
          </w:tcPr>
          <w:p w14:paraId="41E455E6" w14:textId="77777777" w:rsidR="000E6E04" w:rsidRPr="00DD47DF" w:rsidRDefault="000E6E04" w:rsidP="00700B4C">
            <w:pPr>
              <w:pStyle w:val="Tabulka"/>
              <w:keepNext/>
              <w:keepLines/>
              <w:rPr>
                <w:rFonts w:cs="Calibri"/>
                <w:b/>
              </w:rPr>
            </w:pPr>
            <w:r w:rsidRPr="00DD47DF">
              <w:rPr>
                <w:rFonts w:cs="Calibri"/>
                <w:b/>
              </w:rPr>
              <w:t>Zdroj dat</w:t>
            </w:r>
          </w:p>
        </w:tc>
        <w:tc>
          <w:tcPr>
            <w:tcW w:w="2080" w:type="dxa"/>
            <w:shd w:val="clear" w:color="auto" w:fill="B8CCE4"/>
            <w:vAlign w:val="center"/>
          </w:tcPr>
          <w:p w14:paraId="6FC02E92" w14:textId="77777777" w:rsidR="000E6E04" w:rsidRPr="00DD47DF" w:rsidRDefault="000E6E04" w:rsidP="00700B4C">
            <w:pPr>
              <w:pStyle w:val="Tabulka"/>
              <w:keepNext/>
              <w:keepLines/>
              <w:rPr>
                <w:rFonts w:cs="Calibri"/>
                <w:b/>
              </w:rPr>
            </w:pPr>
            <w:r w:rsidRPr="00DD47DF">
              <w:rPr>
                <w:rFonts w:cs="Calibri"/>
                <w:b/>
              </w:rPr>
              <w:t>Popřípadě vysvětlení relevantnosti ukazatele</w:t>
            </w:r>
          </w:p>
        </w:tc>
      </w:tr>
      <w:tr w:rsidR="000E6E04" w:rsidRPr="00DD47DF" w14:paraId="0EED8ADF" w14:textId="77777777" w:rsidTr="000E6E04">
        <w:trPr>
          <w:trHeight w:val="1107"/>
        </w:trPr>
        <w:tc>
          <w:tcPr>
            <w:tcW w:w="0" w:type="auto"/>
            <w:vAlign w:val="center"/>
          </w:tcPr>
          <w:p w14:paraId="134496D4" w14:textId="77777777" w:rsidR="000E6E04" w:rsidRPr="00DD47DF" w:rsidRDefault="000E6E04" w:rsidP="00700B4C">
            <w:pPr>
              <w:pStyle w:val="Tabulka"/>
              <w:rPr>
                <w:rFonts w:cs="Calibri"/>
              </w:rPr>
            </w:pPr>
            <w:r w:rsidRPr="00DD47DF">
              <w:rPr>
                <w:rFonts w:cs="Calibri"/>
              </w:rPr>
              <w:t>PO 3</w:t>
            </w:r>
          </w:p>
        </w:tc>
        <w:tc>
          <w:tcPr>
            <w:tcW w:w="1500" w:type="dxa"/>
            <w:vAlign w:val="center"/>
          </w:tcPr>
          <w:p w14:paraId="495B051A" w14:textId="77777777" w:rsidR="000E6E04" w:rsidRPr="00DD47DF" w:rsidRDefault="000E6E04" w:rsidP="00700B4C">
            <w:pPr>
              <w:pStyle w:val="Tabulka"/>
              <w:rPr>
                <w:rFonts w:cs="Calibri"/>
              </w:rPr>
            </w:pPr>
            <w:r w:rsidRPr="00DD47DF">
              <w:rPr>
                <w:rFonts w:cs="Calibri"/>
              </w:rPr>
              <w:t>finanční</w:t>
            </w:r>
          </w:p>
        </w:tc>
        <w:tc>
          <w:tcPr>
            <w:tcW w:w="1239" w:type="dxa"/>
            <w:vAlign w:val="center"/>
          </w:tcPr>
          <w:p w14:paraId="43DF983A" w14:textId="77777777" w:rsidR="000E6E04" w:rsidRPr="00DD47DF" w:rsidRDefault="000E6E04" w:rsidP="00700B4C">
            <w:pPr>
              <w:pStyle w:val="Tabulka"/>
              <w:rPr>
                <w:rFonts w:cs="Calibri"/>
              </w:rPr>
            </w:pPr>
            <w:r w:rsidRPr="00DD47DF">
              <w:rPr>
                <w:rFonts w:cs="Calibri"/>
              </w:rPr>
              <w:t>FINMT</w:t>
            </w:r>
          </w:p>
        </w:tc>
        <w:tc>
          <w:tcPr>
            <w:tcW w:w="0" w:type="auto"/>
            <w:shd w:val="clear" w:color="auto" w:fill="auto"/>
            <w:tcMar>
              <w:top w:w="0" w:type="dxa"/>
              <w:left w:w="108" w:type="dxa"/>
              <w:bottom w:w="0" w:type="dxa"/>
              <w:right w:w="108" w:type="dxa"/>
            </w:tcMar>
            <w:vAlign w:val="center"/>
          </w:tcPr>
          <w:p w14:paraId="73DFC47B" w14:textId="77777777" w:rsidR="000E6E04" w:rsidRPr="00DD47DF" w:rsidRDefault="000E6E04" w:rsidP="00700B4C">
            <w:pPr>
              <w:pStyle w:val="Tabulka"/>
              <w:rPr>
                <w:rFonts w:cs="Calibri"/>
              </w:rPr>
            </w:pPr>
            <w:r w:rsidRPr="00DD47DF">
              <w:rPr>
                <w:rFonts w:cs="Calibri"/>
              </w:rPr>
              <w:t>Celkové způsobilé certifikované finanční prostředky</w:t>
            </w:r>
          </w:p>
        </w:tc>
        <w:tc>
          <w:tcPr>
            <w:tcW w:w="0" w:type="auto"/>
            <w:shd w:val="clear" w:color="auto" w:fill="auto"/>
            <w:tcMar>
              <w:top w:w="0" w:type="dxa"/>
              <w:left w:w="108" w:type="dxa"/>
              <w:bottom w:w="0" w:type="dxa"/>
              <w:right w:w="108" w:type="dxa"/>
            </w:tcMar>
            <w:vAlign w:val="center"/>
          </w:tcPr>
          <w:p w14:paraId="6A819399" w14:textId="77777777" w:rsidR="000E6E04" w:rsidRPr="00DD47DF" w:rsidRDefault="000E6E04" w:rsidP="00700B4C">
            <w:pPr>
              <w:pStyle w:val="Tabulka"/>
              <w:rPr>
                <w:rFonts w:cs="Calibri"/>
              </w:rPr>
            </w:pPr>
            <w:r w:rsidRPr="00DD47DF">
              <w:rPr>
                <w:rFonts w:cs="Calibri"/>
              </w:rPr>
              <w:t>EUR</w:t>
            </w:r>
          </w:p>
        </w:tc>
        <w:tc>
          <w:tcPr>
            <w:tcW w:w="0" w:type="auto"/>
            <w:shd w:val="clear" w:color="auto" w:fill="auto"/>
            <w:tcMar>
              <w:top w:w="0" w:type="dxa"/>
              <w:left w:w="108" w:type="dxa"/>
              <w:bottom w:w="0" w:type="dxa"/>
              <w:right w:w="108" w:type="dxa"/>
            </w:tcMar>
            <w:vAlign w:val="center"/>
          </w:tcPr>
          <w:p w14:paraId="08084A99" w14:textId="77777777" w:rsidR="000E6E04" w:rsidRPr="00DD47DF" w:rsidRDefault="000E6E04" w:rsidP="00700B4C">
            <w:pPr>
              <w:pStyle w:val="Tabulka"/>
              <w:rPr>
                <w:rFonts w:cs="Calibri"/>
              </w:rPr>
            </w:pPr>
            <w:r w:rsidRPr="00DD47DF">
              <w:rPr>
                <w:rFonts w:cs="Calibri"/>
              </w:rPr>
              <w:t>EFRR</w:t>
            </w:r>
          </w:p>
        </w:tc>
        <w:tc>
          <w:tcPr>
            <w:tcW w:w="1157" w:type="dxa"/>
            <w:shd w:val="clear" w:color="auto" w:fill="auto"/>
            <w:tcMar>
              <w:top w:w="0" w:type="dxa"/>
              <w:left w:w="108" w:type="dxa"/>
              <w:bottom w:w="0" w:type="dxa"/>
              <w:right w:w="108" w:type="dxa"/>
            </w:tcMar>
            <w:vAlign w:val="center"/>
          </w:tcPr>
          <w:p w14:paraId="41228648" w14:textId="77777777" w:rsidR="000E6E04" w:rsidRPr="00DD47DF" w:rsidRDefault="000E6E04" w:rsidP="00700B4C">
            <w:pPr>
              <w:pStyle w:val="Tabulka"/>
              <w:rPr>
                <w:rFonts w:cs="Calibri"/>
              </w:rPr>
            </w:pPr>
            <w:r w:rsidRPr="00DD47DF">
              <w:rPr>
                <w:rFonts w:cs="Calibri"/>
              </w:rPr>
              <w:t>Méně rozvinuté regiony</w:t>
            </w:r>
          </w:p>
        </w:tc>
        <w:tc>
          <w:tcPr>
            <w:tcW w:w="1159" w:type="dxa"/>
            <w:vAlign w:val="center"/>
          </w:tcPr>
          <w:p w14:paraId="6486428F" w14:textId="6B86FDC1" w:rsidR="000E6E04" w:rsidRPr="00DD47DF" w:rsidRDefault="000E6E04" w:rsidP="00700B4C">
            <w:pPr>
              <w:pStyle w:val="Tabulka"/>
              <w:rPr>
                <w:rFonts w:cs="Calibri"/>
              </w:rPr>
            </w:pPr>
            <w:r w:rsidRPr="00DD47DF">
              <w:rPr>
                <w:rFonts w:cs="Calibri"/>
              </w:rPr>
              <w:t>4</w:t>
            </w:r>
            <w:r w:rsidR="00CC653D" w:rsidRPr="00DD47DF">
              <w:rPr>
                <w:rFonts w:cs="Calibri"/>
              </w:rPr>
              <w:t>95</w:t>
            </w:r>
            <w:r w:rsidRPr="00DD47DF">
              <w:rPr>
                <w:rFonts w:cs="Calibri"/>
              </w:rPr>
              <w:t> 000 000</w:t>
            </w:r>
          </w:p>
        </w:tc>
        <w:tc>
          <w:tcPr>
            <w:tcW w:w="2361" w:type="dxa"/>
            <w:shd w:val="clear" w:color="auto" w:fill="auto"/>
            <w:tcMar>
              <w:top w:w="0" w:type="dxa"/>
              <w:left w:w="108" w:type="dxa"/>
              <w:bottom w:w="0" w:type="dxa"/>
              <w:right w:w="108" w:type="dxa"/>
            </w:tcMar>
            <w:vAlign w:val="center"/>
          </w:tcPr>
          <w:p w14:paraId="0DB44FF4" w14:textId="7645838C" w:rsidR="000E6E04" w:rsidRPr="00DD47DF" w:rsidRDefault="00D87D44" w:rsidP="00700B4C">
            <w:pPr>
              <w:pStyle w:val="Tabulka"/>
              <w:rPr>
                <w:rFonts w:cs="Calibri"/>
              </w:rPr>
            </w:pPr>
            <w:r w:rsidRPr="007512D4">
              <w:rPr>
                <w:rFonts w:cs="Calibri"/>
              </w:rPr>
              <w:t>2 372 366 795</w:t>
            </w:r>
          </w:p>
        </w:tc>
        <w:tc>
          <w:tcPr>
            <w:tcW w:w="688" w:type="dxa"/>
            <w:vAlign w:val="center"/>
          </w:tcPr>
          <w:p w14:paraId="596BFB9C" w14:textId="77777777" w:rsidR="000E6E04" w:rsidRPr="00DD47DF" w:rsidRDefault="000E6E04" w:rsidP="00700B4C">
            <w:pPr>
              <w:pStyle w:val="Tabulka"/>
              <w:rPr>
                <w:rFonts w:cs="Calibri"/>
              </w:rPr>
            </w:pPr>
            <w:r w:rsidRPr="00DD47DF">
              <w:rPr>
                <w:rFonts w:cs="Calibri"/>
              </w:rPr>
              <w:t>ŘO</w:t>
            </w:r>
          </w:p>
        </w:tc>
        <w:tc>
          <w:tcPr>
            <w:tcW w:w="2080" w:type="dxa"/>
            <w:vAlign w:val="center"/>
          </w:tcPr>
          <w:p w14:paraId="1EA083D0" w14:textId="77777777" w:rsidR="000E6E04" w:rsidRPr="00DD47DF" w:rsidRDefault="000E6E04" w:rsidP="00700B4C">
            <w:pPr>
              <w:pStyle w:val="Tabulka"/>
              <w:rPr>
                <w:rFonts w:cs="Calibri"/>
              </w:rPr>
            </w:pPr>
            <w:r w:rsidRPr="00DD47DF">
              <w:rPr>
                <w:rFonts w:cs="Calibri"/>
              </w:rPr>
              <w:t>Objem celkových způsobilých výdajů zaslaných do účetního systému certifikačního orgánu a certifikovaných certifikačním orgánem.</w:t>
            </w:r>
          </w:p>
        </w:tc>
      </w:tr>
      <w:tr w:rsidR="000E6E04" w:rsidRPr="00DD47DF" w14:paraId="1FC038D4" w14:textId="77777777" w:rsidTr="000E6E04">
        <w:tc>
          <w:tcPr>
            <w:tcW w:w="0" w:type="auto"/>
            <w:vAlign w:val="center"/>
          </w:tcPr>
          <w:p w14:paraId="49F54B5A" w14:textId="77777777" w:rsidR="000E6E04" w:rsidRPr="00DD47DF" w:rsidRDefault="000E6E04" w:rsidP="00700B4C">
            <w:pPr>
              <w:pStyle w:val="Tabulka"/>
              <w:rPr>
                <w:rFonts w:cs="Calibri"/>
              </w:rPr>
            </w:pPr>
            <w:r w:rsidRPr="00DD47DF">
              <w:rPr>
                <w:rFonts w:cs="Calibri"/>
              </w:rPr>
              <w:t>PO 3</w:t>
            </w:r>
          </w:p>
        </w:tc>
        <w:tc>
          <w:tcPr>
            <w:tcW w:w="1500" w:type="dxa"/>
            <w:vAlign w:val="center"/>
          </w:tcPr>
          <w:p w14:paraId="62589A54" w14:textId="77777777" w:rsidR="000E6E04" w:rsidRPr="00DD47DF" w:rsidRDefault="000E6E04" w:rsidP="00700B4C">
            <w:pPr>
              <w:pStyle w:val="Tabulka"/>
              <w:rPr>
                <w:rFonts w:cs="Calibri"/>
              </w:rPr>
            </w:pPr>
            <w:r w:rsidRPr="00DD47DF">
              <w:rPr>
                <w:rFonts w:cs="Calibri"/>
              </w:rPr>
              <w:t>výstupový</w:t>
            </w:r>
          </w:p>
        </w:tc>
        <w:tc>
          <w:tcPr>
            <w:tcW w:w="1239" w:type="dxa"/>
            <w:vAlign w:val="center"/>
          </w:tcPr>
          <w:p w14:paraId="7C257229" w14:textId="47B020C2" w:rsidR="000E6E04" w:rsidRPr="00DD47DF" w:rsidRDefault="000E6E04" w:rsidP="00700B4C">
            <w:pPr>
              <w:pStyle w:val="Tabulka"/>
              <w:rPr>
                <w:rFonts w:cs="Calibri"/>
              </w:rPr>
            </w:pPr>
            <w:r w:rsidRPr="00DD47DF">
              <w:rPr>
                <w:rFonts w:cs="Calibri"/>
              </w:rPr>
              <w:t>CO 01</w:t>
            </w:r>
          </w:p>
        </w:tc>
        <w:tc>
          <w:tcPr>
            <w:tcW w:w="0" w:type="auto"/>
            <w:shd w:val="clear" w:color="auto" w:fill="auto"/>
            <w:tcMar>
              <w:top w:w="0" w:type="dxa"/>
              <w:left w:w="108" w:type="dxa"/>
              <w:bottom w:w="0" w:type="dxa"/>
              <w:right w:w="108" w:type="dxa"/>
            </w:tcMar>
            <w:vAlign w:val="center"/>
          </w:tcPr>
          <w:p w14:paraId="43999371" w14:textId="77777777" w:rsidR="000E6E04" w:rsidRPr="00DD47DF" w:rsidRDefault="000E6E04" w:rsidP="00700B4C">
            <w:pPr>
              <w:pStyle w:val="Tabulka"/>
              <w:rPr>
                <w:rFonts w:cs="Calibri"/>
              </w:rPr>
            </w:pPr>
            <w:r w:rsidRPr="00DD47DF">
              <w:rPr>
                <w:rFonts w:cs="Calibri"/>
              </w:rPr>
              <w:t>Počet podniků pobírajících podporu</w:t>
            </w:r>
          </w:p>
        </w:tc>
        <w:tc>
          <w:tcPr>
            <w:tcW w:w="0" w:type="auto"/>
            <w:shd w:val="clear" w:color="auto" w:fill="auto"/>
            <w:tcMar>
              <w:top w:w="0" w:type="dxa"/>
              <w:left w:w="108" w:type="dxa"/>
              <w:bottom w:w="0" w:type="dxa"/>
              <w:right w:w="108" w:type="dxa"/>
            </w:tcMar>
            <w:vAlign w:val="center"/>
          </w:tcPr>
          <w:p w14:paraId="75BA3C53" w14:textId="77777777" w:rsidR="000E6E04" w:rsidRPr="00DD47DF" w:rsidRDefault="000E6E04" w:rsidP="00700B4C">
            <w:pPr>
              <w:pStyle w:val="Tabulka"/>
              <w:rPr>
                <w:rFonts w:cs="Calibri"/>
              </w:rPr>
            </w:pPr>
            <w:r w:rsidRPr="00DD47DF">
              <w:rPr>
                <w:rFonts w:cs="Calibri"/>
              </w:rPr>
              <w:t>Podniky</w:t>
            </w:r>
          </w:p>
        </w:tc>
        <w:tc>
          <w:tcPr>
            <w:tcW w:w="0" w:type="auto"/>
            <w:shd w:val="clear" w:color="auto" w:fill="auto"/>
            <w:tcMar>
              <w:top w:w="0" w:type="dxa"/>
              <w:left w:w="108" w:type="dxa"/>
              <w:bottom w:w="0" w:type="dxa"/>
              <w:right w:w="108" w:type="dxa"/>
            </w:tcMar>
            <w:vAlign w:val="center"/>
          </w:tcPr>
          <w:p w14:paraId="04A93A09" w14:textId="77777777" w:rsidR="000E6E04" w:rsidRPr="00DD47DF" w:rsidRDefault="000E6E04" w:rsidP="00700B4C">
            <w:pPr>
              <w:pStyle w:val="Tabulka"/>
              <w:rPr>
                <w:rFonts w:cs="Calibri"/>
              </w:rPr>
            </w:pPr>
            <w:r w:rsidRPr="00DD47DF">
              <w:rPr>
                <w:rFonts w:cs="Calibri"/>
              </w:rPr>
              <w:t>EFRR</w:t>
            </w:r>
          </w:p>
        </w:tc>
        <w:tc>
          <w:tcPr>
            <w:tcW w:w="1157" w:type="dxa"/>
            <w:shd w:val="clear" w:color="auto" w:fill="auto"/>
            <w:tcMar>
              <w:top w:w="0" w:type="dxa"/>
              <w:left w:w="108" w:type="dxa"/>
              <w:bottom w:w="0" w:type="dxa"/>
              <w:right w:w="108" w:type="dxa"/>
            </w:tcMar>
            <w:vAlign w:val="center"/>
          </w:tcPr>
          <w:p w14:paraId="6B2424BD" w14:textId="77777777" w:rsidR="000E6E04" w:rsidRPr="00DD47DF" w:rsidRDefault="000E6E04" w:rsidP="00700B4C">
            <w:pPr>
              <w:pStyle w:val="Tabulka"/>
              <w:rPr>
                <w:rFonts w:cs="Calibri"/>
              </w:rPr>
            </w:pPr>
            <w:r w:rsidRPr="00DD47DF">
              <w:rPr>
                <w:rFonts w:cs="Calibri"/>
              </w:rPr>
              <w:t>Méně rozvinuté regiony</w:t>
            </w:r>
          </w:p>
        </w:tc>
        <w:tc>
          <w:tcPr>
            <w:tcW w:w="1159" w:type="dxa"/>
            <w:vAlign w:val="center"/>
          </w:tcPr>
          <w:p w14:paraId="64A24CB6" w14:textId="77777777" w:rsidR="000E6E04" w:rsidRPr="00DD47DF" w:rsidRDefault="000E6E04" w:rsidP="00700B4C">
            <w:pPr>
              <w:pStyle w:val="Tabulka"/>
              <w:rPr>
                <w:rFonts w:cs="Calibri"/>
              </w:rPr>
            </w:pPr>
            <w:r w:rsidRPr="00DD47DF">
              <w:rPr>
                <w:rFonts w:cs="Calibri"/>
              </w:rPr>
              <w:t>270</w:t>
            </w:r>
          </w:p>
        </w:tc>
        <w:tc>
          <w:tcPr>
            <w:tcW w:w="2361" w:type="dxa"/>
            <w:shd w:val="clear" w:color="auto" w:fill="auto"/>
            <w:tcMar>
              <w:top w:w="0" w:type="dxa"/>
              <w:left w:w="108" w:type="dxa"/>
              <w:bottom w:w="0" w:type="dxa"/>
              <w:right w:w="108" w:type="dxa"/>
            </w:tcMar>
            <w:vAlign w:val="center"/>
          </w:tcPr>
          <w:p w14:paraId="4165CB3E" w14:textId="63D47FED" w:rsidR="000E6E04" w:rsidRPr="00DD47DF" w:rsidRDefault="00D87D44" w:rsidP="00D26AA4">
            <w:pPr>
              <w:pStyle w:val="Tabulka"/>
              <w:rPr>
                <w:rFonts w:cs="Calibri"/>
              </w:rPr>
            </w:pPr>
            <w:r>
              <w:rPr>
                <w:rFonts w:cs="Calibri"/>
              </w:rPr>
              <w:t>3 0</w:t>
            </w:r>
            <w:r w:rsidRPr="009C249D">
              <w:rPr>
                <w:rFonts w:cs="Calibri"/>
              </w:rPr>
              <w:t>68</w:t>
            </w:r>
          </w:p>
        </w:tc>
        <w:tc>
          <w:tcPr>
            <w:tcW w:w="688" w:type="dxa"/>
            <w:vAlign w:val="center"/>
          </w:tcPr>
          <w:p w14:paraId="7932DD4A" w14:textId="77777777" w:rsidR="000E6E04" w:rsidRPr="00DD47DF" w:rsidRDefault="00FC7054" w:rsidP="00700B4C">
            <w:pPr>
              <w:pStyle w:val="Tabulka"/>
              <w:rPr>
                <w:rFonts w:cs="Calibri"/>
              </w:rPr>
            </w:pPr>
            <w:r>
              <w:rPr>
                <w:rFonts w:cs="Calibri"/>
              </w:rPr>
              <w:t>MS2014+</w:t>
            </w:r>
          </w:p>
        </w:tc>
        <w:tc>
          <w:tcPr>
            <w:tcW w:w="2080" w:type="dxa"/>
            <w:vAlign w:val="center"/>
          </w:tcPr>
          <w:p w14:paraId="2F6062EF" w14:textId="5C15088C" w:rsidR="000E6E04" w:rsidRPr="00DD47DF" w:rsidRDefault="000E6E04" w:rsidP="00700B4C">
            <w:pPr>
              <w:pStyle w:val="Tabulka"/>
              <w:rPr>
                <w:rFonts w:cs="Calibri"/>
              </w:rPr>
            </w:pPr>
            <w:r w:rsidRPr="00DD47DF">
              <w:rPr>
                <w:rFonts w:cs="Calibri"/>
              </w:rPr>
              <w:t xml:space="preserve">Indikátor sleduje počet podpořených firem a pokrývá finančně nejobjemnější část intervence v rámci prioritní osy 3. </w:t>
            </w:r>
            <w:r w:rsidR="00FE762D" w:rsidRPr="00FE762D">
              <w:rPr>
                <w:rFonts w:cs="Calibri"/>
              </w:rPr>
              <w:t xml:space="preserve">Vykazování skutečně dosažených hodnot se provádí v souladu s prováděcím </w:t>
            </w:r>
            <w:r w:rsidR="00FE762D" w:rsidRPr="00FE762D">
              <w:rPr>
                <w:rFonts w:cs="Calibri"/>
              </w:rPr>
              <w:lastRenderedPageBreak/>
              <w:t>nařízením (EU) č. 215/2014, v platném znění.</w:t>
            </w:r>
          </w:p>
        </w:tc>
      </w:tr>
    </w:tbl>
    <w:p w14:paraId="2C50D3DD" w14:textId="77777777" w:rsidR="000E6E04" w:rsidRPr="00DD47DF" w:rsidRDefault="000E6E04" w:rsidP="000E6E04">
      <w:pPr>
        <w:pStyle w:val="Titulek"/>
      </w:pPr>
      <w:r w:rsidRPr="00DD47DF">
        <w:lastRenderedPageBreak/>
        <w:t>Další kvalitativní informace o stanovení výkonnostního rámce</w:t>
      </w:r>
    </w:p>
    <w:p w14:paraId="33DC9DA0" w14:textId="77777777" w:rsidR="000E6E04" w:rsidRPr="00DD47DF" w:rsidRDefault="000E6E04" w:rsidP="000E6E04">
      <w:pPr>
        <w:pStyle w:val="Standardntext"/>
      </w:pPr>
      <w:r w:rsidRPr="00DD47DF">
        <w:t>Pro OP PIK byly stanoveny hodnoty milníků pro rok 2018 a 2023 (finanční ukazatele a „certifikované finanční prostředky“, ukazatele výstupů).</w:t>
      </w:r>
    </w:p>
    <w:p w14:paraId="3197E2E2" w14:textId="77777777" w:rsidR="000E6E04" w:rsidRPr="00DD47DF" w:rsidRDefault="000E6E04" w:rsidP="000E6E04">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2AE7D730" w14:textId="77777777" w:rsidR="000E6E04" w:rsidRPr="00DD47DF" w:rsidRDefault="000E6E04" w:rsidP="00DA3512">
      <w:pPr>
        <w:pStyle w:val="Standardntext"/>
        <w:numPr>
          <w:ilvl w:val="0"/>
          <w:numId w:val="86"/>
        </w:numPr>
        <w:rPr>
          <w:strike/>
        </w:rPr>
      </w:pPr>
      <w:r w:rsidRPr="00DD47DF">
        <w:t>Zohledněn je aktuální finanční plán OP PIK;</w:t>
      </w:r>
    </w:p>
    <w:p w14:paraId="1B37132C" w14:textId="77777777" w:rsidR="000E6E04" w:rsidRPr="00DD47DF" w:rsidRDefault="000E6E04" w:rsidP="00DA3512">
      <w:pPr>
        <w:pStyle w:val="Standardntext"/>
        <w:numPr>
          <w:ilvl w:val="0"/>
          <w:numId w:val="86"/>
        </w:numPr>
      </w:pPr>
      <w:r w:rsidRPr="00DD47DF">
        <w:t>Při stanovení milníku bylo v maximální možné míře vycházeno ze zkušeností s OPPI;</w:t>
      </w:r>
    </w:p>
    <w:p w14:paraId="2AE74472" w14:textId="77777777" w:rsidR="000E6E04" w:rsidRPr="00DD47DF" w:rsidRDefault="000E6E04" w:rsidP="00DA3512">
      <w:pPr>
        <w:pStyle w:val="Standardntext"/>
        <w:numPr>
          <w:ilvl w:val="0"/>
          <w:numId w:val="86"/>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p>
    <w:p w14:paraId="05398B81" w14:textId="77777777" w:rsidR="000E6E04" w:rsidRPr="00DD47DF" w:rsidRDefault="000E6E04" w:rsidP="00DA3512">
      <w:pPr>
        <w:pStyle w:val="Standardntext"/>
        <w:numPr>
          <w:ilvl w:val="0"/>
          <w:numId w:val="86"/>
        </w:numPr>
      </w:pPr>
      <w:r w:rsidRPr="00DD47DF">
        <w:t xml:space="preserve">Při možném předpokladu, že projekty budou dvouleté, to znamená, že první z nich ukončí realizaci nejdříve koncem roku 2017 a finanční prostředky tak budou předkládány k certifikaci až v průběhu roku 2018 (u delších projektů však až počátkem roku 2019); </w:t>
      </w:r>
    </w:p>
    <w:p w14:paraId="0BA98F49" w14:textId="77777777" w:rsidR="000E6E04" w:rsidRPr="00DD47DF" w:rsidRDefault="000E6E04" w:rsidP="00DA3512">
      <w:pPr>
        <w:pStyle w:val="Standardntext"/>
        <w:numPr>
          <w:ilvl w:val="0"/>
          <w:numId w:val="86"/>
        </w:numPr>
      </w:pPr>
      <w:r w:rsidRPr="00DD47DF">
        <w:t>Ukazatelé výstupů stanovené ve výkonnostním rámci odpovídají více než 50 % finančního přídělu na prioritu (v souladu se čl. 5 Prováděcího nařízení komise (EU) č. 215/2014);</w:t>
      </w:r>
    </w:p>
    <w:p w14:paraId="02EA9893" w14:textId="77777777" w:rsidR="000E6E04" w:rsidRPr="00DD47DF" w:rsidRDefault="000E6E04" w:rsidP="00DA3512">
      <w:pPr>
        <w:pStyle w:val="Standardntext"/>
        <w:numPr>
          <w:ilvl w:val="0"/>
          <w:numId w:val="86"/>
        </w:numPr>
      </w:pPr>
      <w:r w:rsidRPr="00DD47DF">
        <w:t>Není započítána výkonnostní rezerva stanovená ŘO OP PIK na roky 2014 a 2015;</w:t>
      </w:r>
    </w:p>
    <w:p w14:paraId="7CEBE397" w14:textId="77777777" w:rsidR="000E6E04" w:rsidRPr="00DD47DF" w:rsidRDefault="000E6E04" w:rsidP="00DA3512">
      <w:pPr>
        <w:pStyle w:val="Standardntext"/>
        <w:numPr>
          <w:ilvl w:val="0"/>
          <w:numId w:val="86"/>
        </w:numPr>
      </w:pPr>
      <w:r w:rsidRPr="00DD47DF">
        <w:t>Pravidlo n+3, na základě kterého je nutné vzít v úvahu, že na konci roku 2018 by měla být vyčerpána alokace let 2014, 2015;</w:t>
      </w:r>
    </w:p>
    <w:p w14:paraId="00870DCD" w14:textId="77777777" w:rsidR="000E6E04" w:rsidRPr="00DD47DF" w:rsidRDefault="000E6E04" w:rsidP="00DA3512">
      <w:pPr>
        <w:pStyle w:val="Standardntext"/>
        <w:numPr>
          <w:ilvl w:val="0"/>
          <w:numId w:val="86"/>
        </w:numPr>
        <w:rPr>
          <w:strike/>
        </w:rPr>
      </w:pPr>
      <w:r w:rsidRPr="00DD47DF">
        <w:t>Nové typy aktivit v některých specifických cílech této prioritní osy OP PIK (aktivity v SC 3.3, SC 3.4, SC 3.6);</w:t>
      </w:r>
    </w:p>
    <w:p w14:paraId="582911EA" w14:textId="77777777" w:rsidR="000E6E04" w:rsidRPr="00DD47DF" w:rsidRDefault="000E6E04" w:rsidP="00DA3512">
      <w:pPr>
        <w:pStyle w:val="Standardntext"/>
        <w:numPr>
          <w:ilvl w:val="0"/>
          <w:numId w:val="87"/>
        </w:numPr>
      </w:pPr>
      <w:r w:rsidRPr="00DD47DF">
        <w:t>Využití finančních nástrojů v SC 3.2 a SC 3.5, rizikovým je v tomto případě např. časový rámec pro přípravu projektu, lze tak předpokládat pomalejší rozjezd aktivit;</w:t>
      </w:r>
    </w:p>
    <w:p w14:paraId="3AA130CD" w14:textId="77777777" w:rsidR="000E6E04" w:rsidRPr="00DD47DF" w:rsidRDefault="000E6E04" w:rsidP="00DA3512">
      <w:pPr>
        <w:pStyle w:val="Standardntext"/>
        <w:numPr>
          <w:ilvl w:val="0"/>
          <w:numId w:val="87"/>
        </w:numPr>
      </w:pPr>
      <w:r w:rsidRPr="00DD47DF">
        <w:t>Výše alokace na jednotlivé aktivity SC včetně předpokládané výše veřejné podpory;</w:t>
      </w:r>
    </w:p>
    <w:p w14:paraId="54D9F1E7" w14:textId="77777777" w:rsidR="000E6E04" w:rsidRPr="00DD47DF" w:rsidRDefault="000E6E04" w:rsidP="00DA3512">
      <w:pPr>
        <w:pStyle w:val="Standardntext"/>
        <w:numPr>
          <w:ilvl w:val="0"/>
          <w:numId w:val="87"/>
        </w:numPr>
      </w:pPr>
      <w:r w:rsidRPr="00DD47DF">
        <w:t>Předpokládaná délka projektů v rámci jednotlivých aktivit.</w:t>
      </w:r>
    </w:p>
    <w:p w14:paraId="4822050E" w14:textId="77777777" w:rsidR="000E6E04" w:rsidRPr="00DD47DF" w:rsidRDefault="000E6E04" w:rsidP="00997228">
      <w:pPr>
        <w:pStyle w:val="Standardntext"/>
        <w:ind w:left="720"/>
      </w:pPr>
    </w:p>
    <w:p w14:paraId="5C28D7A1" w14:textId="77777777" w:rsidR="000E6E04" w:rsidRPr="00DD47DF" w:rsidRDefault="000E6E04" w:rsidP="00DA3512">
      <w:pPr>
        <w:pStyle w:val="Standardntext"/>
        <w:numPr>
          <w:ilvl w:val="0"/>
          <w:numId w:val="87"/>
        </w:numPr>
      </w:pPr>
      <w:r w:rsidRPr="00DD47DF">
        <w:rPr>
          <w:i/>
        </w:rPr>
        <w:t>Milník</w:t>
      </w:r>
      <w:r w:rsidRPr="00DD47DF">
        <w:rPr>
          <w:i/>
          <w:vertAlign w:val="superscript"/>
        </w:rPr>
        <w:t>2018 PO3</w:t>
      </w:r>
      <w:r w:rsidRPr="00DD47DF">
        <w:rPr>
          <w:i/>
        </w:rPr>
        <w:t>= (celkové způsobilé výdaje na PO 3 v roce 2014 + celkové způsobilé výdaje na PO 3 v roce 2015) – (10% finančních prostředků ERDF na PO 3 + podíl výkonnostní rezervy za roky 2014 a 2015 na PO 3)</w:t>
      </w:r>
    </w:p>
    <w:p w14:paraId="25E52AC2" w14:textId="77777777" w:rsidR="000E6E04" w:rsidRPr="00DD47DF" w:rsidRDefault="000E6E04" w:rsidP="000E6E04">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63A62433" w14:textId="77777777" w:rsidR="000E6E04" w:rsidRPr="00DD47DF" w:rsidRDefault="000E6E04" w:rsidP="00DA3512">
      <w:pPr>
        <w:pStyle w:val="Standardntext"/>
        <w:numPr>
          <w:ilvl w:val="0"/>
          <w:numId w:val="88"/>
        </w:numPr>
      </w:pPr>
      <w:r w:rsidRPr="00DD47DF">
        <w:t>Klíčovým předpokladem je naplnění stanovených cílů programu v jednotlivých prioritních osách (finanční i věcné plnění);</w:t>
      </w:r>
    </w:p>
    <w:p w14:paraId="77C79C8E" w14:textId="77777777" w:rsidR="000E6E04" w:rsidRPr="00DD47DF" w:rsidRDefault="000E6E04" w:rsidP="00DA3512">
      <w:pPr>
        <w:pStyle w:val="Standardntext"/>
        <w:numPr>
          <w:ilvl w:val="0"/>
          <w:numId w:val="88"/>
        </w:numPr>
      </w:pPr>
      <w:r w:rsidRPr="00DD47DF">
        <w:t xml:space="preserve">Započítána je již i výkonnostní rezerva. </w:t>
      </w:r>
    </w:p>
    <w:p w14:paraId="3FCDE03B" w14:textId="77777777" w:rsidR="000E6E04" w:rsidRPr="00DD47DF" w:rsidRDefault="000E6E04" w:rsidP="000E6E04">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 Nepovinné příloze č. 3.</w:t>
      </w:r>
    </w:p>
    <w:p w14:paraId="58201FF5" w14:textId="77777777" w:rsidR="000E6E04" w:rsidRPr="00DD47DF" w:rsidRDefault="000E6E04" w:rsidP="000E6E04"/>
    <w:p w14:paraId="6376E2C0" w14:textId="77777777" w:rsidR="004126CC" w:rsidRPr="00DD47DF" w:rsidRDefault="004126CC" w:rsidP="000E6E04">
      <w:pPr>
        <w:pStyle w:val="kapitola2A0"/>
        <w:numPr>
          <w:ilvl w:val="0"/>
          <w:numId w:val="0"/>
        </w:numPr>
        <w:ind w:left="720" w:hanging="720"/>
        <w:sectPr w:rsidR="004126CC" w:rsidRPr="00DD47DF" w:rsidSect="004126CC">
          <w:headerReference w:type="default" r:id="rId39"/>
          <w:footerReference w:type="default" r:id="rId40"/>
          <w:pgSz w:w="16838" w:h="11906" w:orient="landscape"/>
          <w:pgMar w:top="1418" w:right="1418" w:bottom="1276" w:left="1276" w:header="709" w:footer="709" w:gutter="0"/>
          <w:cols w:space="708"/>
          <w:docGrid w:linePitch="272"/>
        </w:sectPr>
      </w:pPr>
      <w:bookmarkStart w:id="86" w:name="_Toc364327634"/>
    </w:p>
    <w:p w14:paraId="62E5DD67" w14:textId="77777777" w:rsidR="00B53995" w:rsidRPr="00DD47DF" w:rsidRDefault="00B53995" w:rsidP="00DA3512">
      <w:pPr>
        <w:pStyle w:val="kapitola2A0"/>
        <w:numPr>
          <w:ilvl w:val="2"/>
          <w:numId w:val="68"/>
        </w:numPr>
      </w:pPr>
      <w:bookmarkStart w:id="87" w:name="_Toc129005419"/>
      <w:r w:rsidRPr="00DD47DF">
        <w:lastRenderedPageBreak/>
        <w:t>Kategorie zásahů</w:t>
      </w:r>
      <w:bookmarkEnd w:id="87"/>
    </w:p>
    <w:bookmarkEnd w:id="86"/>
    <w:p w14:paraId="276BA9B6" w14:textId="59B252E9" w:rsidR="00F7325F" w:rsidRPr="00DD47DF" w:rsidRDefault="00F7325F" w:rsidP="007E38FF">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EF7F2D">
        <w:t>10</w:t>
      </w:r>
      <w:r w:rsidR="00F2469F" w:rsidRPr="00DD47DF">
        <w:t>: Kategorie zásahů</w:t>
      </w:r>
      <w:r w:rsidR="006C2096" w:rsidRPr="00DD47DF">
        <w:rPr>
          <w:rStyle w:val="Znakapoznpodarou"/>
        </w:rPr>
        <w:footnoteReference w:id="69"/>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523EB65B" w14:textId="77777777">
        <w:tc>
          <w:tcPr>
            <w:tcW w:w="9326" w:type="dxa"/>
            <w:gridSpan w:val="8"/>
            <w:shd w:val="clear" w:color="auto" w:fill="B8CCE4"/>
            <w:vAlign w:val="center"/>
          </w:tcPr>
          <w:p w14:paraId="685A772B"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719A9478"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26084F54" w14:textId="77777777">
        <w:tc>
          <w:tcPr>
            <w:tcW w:w="2331" w:type="dxa"/>
            <w:gridSpan w:val="2"/>
            <w:shd w:val="clear" w:color="auto" w:fill="B8CCE4"/>
            <w:vAlign w:val="center"/>
          </w:tcPr>
          <w:p w14:paraId="4AE69727" w14:textId="77777777" w:rsidR="000B2315" w:rsidRPr="00DD47DF" w:rsidRDefault="000B2315" w:rsidP="00450475">
            <w:pPr>
              <w:pStyle w:val="Tabulka"/>
              <w:keepNext/>
              <w:keepLines/>
              <w:rPr>
                <w:rFonts w:cs="Calibri"/>
              </w:rPr>
            </w:pPr>
            <w:r w:rsidRPr="00DD47DF">
              <w:rPr>
                <w:rFonts w:cs="Calibri"/>
              </w:rPr>
              <w:t>Tabulka č. 7:</w:t>
            </w:r>
          </w:p>
          <w:p w14:paraId="0B4181B2" w14:textId="77777777" w:rsidR="000B2315" w:rsidRPr="00DD47DF" w:rsidRDefault="000B2315" w:rsidP="00450475">
            <w:pPr>
              <w:pStyle w:val="Tabulka"/>
              <w:keepNext/>
              <w:keepLines/>
              <w:rPr>
                <w:rFonts w:cs="Calibri"/>
              </w:rPr>
            </w:pPr>
            <w:r w:rsidRPr="00DD47DF">
              <w:rPr>
                <w:rFonts w:cs="Calibri"/>
              </w:rPr>
              <w:t>Dimenze 1</w:t>
            </w:r>
          </w:p>
          <w:p w14:paraId="6B194AED"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445C47F4" w14:textId="77777777" w:rsidR="000B2315" w:rsidRPr="00DD47DF" w:rsidRDefault="000B2315" w:rsidP="00450475">
            <w:pPr>
              <w:pStyle w:val="Tabulka"/>
              <w:keepNext/>
              <w:keepLines/>
              <w:rPr>
                <w:rFonts w:cs="Calibri"/>
              </w:rPr>
            </w:pPr>
            <w:r w:rsidRPr="00DD47DF">
              <w:rPr>
                <w:rFonts w:cs="Calibri"/>
              </w:rPr>
              <w:t>Tabulka č. 8:</w:t>
            </w:r>
          </w:p>
          <w:p w14:paraId="23413E2C" w14:textId="77777777" w:rsidR="000B2315" w:rsidRPr="00DD47DF" w:rsidRDefault="000B2315" w:rsidP="00450475">
            <w:pPr>
              <w:pStyle w:val="Tabulka"/>
              <w:keepNext/>
              <w:keepLines/>
              <w:rPr>
                <w:rFonts w:cs="Calibri"/>
              </w:rPr>
            </w:pPr>
            <w:r w:rsidRPr="00DD47DF">
              <w:rPr>
                <w:rFonts w:cs="Calibri"/>
              </w:rPr>
              <w:t>Dimenze 2</w:t>
            </w:r>
          </w:p>
          <w:p w14:paraId="18FAF25B"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6E3054C3" w14:textId="77777777" w:rsidR="000B2315" w:rsidRPr="00DD47DF" w:rsidRDefault="000B2315" w:rsidP="00450475">
            <w:pPr>
              <w:pStyle w:val="Tabulka"/>
              <w:keepNext/>
              <w:keepLines/>
              <w:rPr>
                <w:rFonts w:cs="Calibri"/>
              </w:rPr>
            </w:pPr>
            <w:r w:rsidRPr="00DD47DF">
              <w:rPr>
                <w:rFonts w:cs="Calibri"/>
              </w:rPr>
              <w:t>Tabulka č. 9:</w:t>
            </w:r>
          </w:p>
          <w:p w14:paraId="4F30B686" w14:textId="77777777" w:rsidR="000B2315" w:rsidRPr="00DD47DF" w:rsidRDefault="000B2315" w:rsidP="00450475">
            <w:pPr>
              <w:pStyle w:val="Tabulka"/>
              <w:keepNext/>
              <w:keepLines/>
              <w:rPr>
                <w:rFonts w:cs="Calibri"/>
              </w:rPr>
            </w:pPr>
            <w:r w:rsidRPr="00DD47DF">
              <w:rPr>
                <w:rFonts w:cs="Calibri"/>
              </w:rPr>
              <w:t>Dimenze 3</w:t>
            </w:r>
          </w:p>
          <w:p w14:paraId="1AD70BEC"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46F11D06" w14:textId="77777777" w:rsidR="000B2315" w:rsidRPr="00DD47DF" w:rsidRDefault="000B2315" w:rsidP="00450475">
            <w:pPr>
              <w:pStyle w:val="Tabulka"/>
              <w:keepNext/>
              <w:keepLines/>
              <w:rPr>
                <w:rFonts w:cs="Calibri"/>
              </w:rPr>
            </w:pPr>
            <w:r w:rsidRPr="00DD47DF">
              <w:rPr>
                <w:rFonts w:cs="Calibri"/>
              </w:rPr>
              <w:t>Tabulka č. 10:</w:t>
            </w:r>
          </w:p>
          <w:p w14:paraId="2AF3432D" w14:textId="77777777" w:rsidR="000B2315" w:rsidRPr="00DD47DF" w:rsidRDefault="000B2315" w:rsidP="00450475">
            <w:pPr>
              <w:pStyle w:val="Tabulka"/>
              <w:keepNext/>
              <w:keepLines/>
              <w:rPr>
                <w:rFonts w:cs="Calibri"/>
              </w:rPr>
            </w:pPr>
            <w:r w:rsidRPr="00DD47DF">
              <w:rPr>
                <w:rFonts w:cs="Calibri"/>
              </w:rPr>
              <w:t>Dimenze 4</w:t>
            </w:r>
          </w:p>
          <w:p w14:paraId="5164E093"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0D0FC9BC" w14:textId="77777777">
        <w:tc>
          <w:tcPr>
            <w:tcW w:w="624" w:type="dxa"/>
            <w:shd w:val="clear" w:color="auto" w:fill="DBE5F1"/>
            <w:vAlign w:val="center"/>
          </w:tcPr>
          <w:p w14:paraId="27D820E2"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29725000"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2173D7EF"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742FADAF"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642705D0"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4816E47D"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314866C7"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419BB231" w14:textId="77777777" w:rsidR="000B2315" w:rsidRPr="00DD47DF" w:rsidRDefault="00D16DE9" w:rsidP="00450475">
            <w:pPr>
              <w:pStyle w:val="Tabulka"/>
              <w:keepNext/>
              <w:keepLines/>
              <w:rPr>
                <w:rFonts w:cs="Calibri"/>
              </w:rPr>
            </w:pPr>
            <w:r w:rsidRPr="00DD47DF">
              <w:rPr>
                <w:rFonts w:cs="Calibri"/>
              </w:rPr>
              <w:t>Částka (v EUR)</w:t>
            </w:r>
          </w:p>
        </w:tc>
      </w:tr>
      <w:tr w:rsidR="00E50BE4" w:rsidRPr="00DD47DF" w14:paraId="64CABAED" w14:textId="77777777">
        <w:tc>
          <w:tcPr>
            <w:tcW w:w="624" w:type="dxa"/>
            <w:shd w:val="clear" w:color="auto" w:fill="auto"/>
            <w:vAlign w:val="center"/>
          </w:tcPr>
          <w:p w14:paraId="31BAF329" w14:textId="77777777" w:rsidR="00E50BE4" w:rsidRPr="00DD47DF" w:rsidRDefault="00E50BE4" w:rsidP="00E50BE4">
            <w:pPr>
              <w:pStyle w:val="Tabulka"/>
              <w:rPr>
                <w:rFonts w:cs="Calibri"/>
              </w:rPr>
            </w:pPr>
            <w:r w:rsidRPr="00DD47DF">
              <w:rPr>
                <w:rFonts w:cs="Calibri"/>
              </w:rPr>
              <w:t>003</w:t>
            </w:r>
          </w:p>
        </w:tc>
        <w:tc>
          <w:tcPr>
            <w:tcW w:w="1707" w:type="dxa"/>
            <w:shd w:val="clear" w:color="auto" w:fill="auto"/>
            <w:vAlign w:val="center"/>
          </w:tcPr>
          <w:p w14:paraId="6C0F38C5" w14:textId="24394481" w:rsidR="00E50BE4" w:rsidRPr="00DD47DF" w:rsidRDefault="002439D2" w:rsidP="00E50BE4">
            <w:pPr>
              <w:pStyle w:val="Tabulka"/>
              <w:jc w:val="right"/>
              <w:rPr>
                <w:rFonts w:cs="Calibri"/>
              </w:rPr>
            </w:pPr>
            <w:r w:rsidRPr="002439D2">
              <w:rPr>
                <w:color w:val="000000"/>
              </w:rPr>
              <w:t>9 844 124</w:t>
            </w:r>
          </w:p>
        </w:tc>
        <w:tc>
          <w:tcPr>
            <w:tcW w:w="561" w:type="dxa"/>
            <w:shd w:val="clear" w:color="auto" w:fill="auto"/>
            <w:vAlign w:val="center"/>
          </w:tcPr>
          <w:p w14:paraId="1F01C558" w14:textId="77777777" w:rsidR="00E50BE4" w:rsidRPr="00DD47DF" w:rsidRDefault="00E50BE4" w:rsidP="00E50BE4">
            <w:pPr>
              <w:pStyle w:val="Tabulka"/>
              <w:rPr>
                <w:rFonts w:cs="Calibri"/>
              </w:rPr>
            </w:pPr>
            <w:r w:rsidRPr="00DD47DF">
              <w:rPr>
                <w:rFonts w:cs="Calibri"/>
              </w:rPr>
              <w:t>01</w:t>
            </w:r>
          </w:p>
        </w:tc>
        <w:tc>
          <w:tcPr>
            <w:tcW w:w="1771" w:type="dxa"/>
            <w:shd w:val="clear" w:color="auto" w:fill="auto"/>
            <w:vAlign w:val="center"/>
          </w:tcPr>
          <w:p w14:paraId="21FC8A7A" w14:textId="25A73C9D" w:rsidR="00E50BE4" w:rsidRPr="001B21B6" w:rsidRDefault="00C34737" w:rsidP="00E50BE4">
            <w:pPr>
              <w:pStyle w:val="Tabulka"/>
              <w:jc w:val="right"/>
              <w:rPr>
                <w:rFonts w:cs="Calibri"/>
              </w:rPr>
            </w:pPr>
            <w:r w:rsidRPr="003055DD">
              <w:rPr>
                <w:rFonts w:cs="Calibri"/>
              </w:rPr>
              <w:t>946 469 958</w:t>
            </w:r>
          </w:p>
        </w:tc>
        <w:tc>
          <w:tcPr>
            <w:tcW w:w="639" w:type="dxa"/>
            <w:shd w:val="clear" w:color="auto" w:fill="auto"/>
            <w:vAlign w:val="center"/>
          </w:tcPr>
          <w:p w14:paraId="70592510" w14:textId="77777777" w:rsidR="00E50BE4" w:rsidRPr="00DD47DF" w:rsidRDefault="00E50BE4" w:rsidP="00E50BE4">
            <w:pPr>
              <w:pStyle w:val="Tabulka"/>
              <w:rPr>
                <w:rFonts w:cs="Calibri"/>
              </w:rPr>
            </w:pPr>
            <w:r w:rsidRPr="00DD47DF">
              <w:rPr>
                <w:rFonts w:cs="Calibri"/>
              </w:rPr>
              <w:t>01</w:t>
            </w:r>
          </w:p>
        </w:tc>
        <w:tc>
          <w:tcPr>
            <w:tcW w:w="1692" w:type="dxa"/>
            <w:shd w:val="clear" w:color="auto" w:fill="auto"/>
            <w:vAlign w:val="center"/>
          </w:tcPr>
          <w:p w14:paraId="26EFC03D" w14:textId="32F3D1C5" w:rsidR="00E50BE4" w:rsidRPr="00DD47DF" w:rsidRDefault="00417049" w:rsidP="00E50BE4">
            <w:pPr>
              <w:pStyle w:val="Tabulka"/>
              <w:jc w:val="right"/>
              <w:rPr>
                <w:rFonts w:cs="Calibri"/>
              </w:rPr>
            </w:pPr>
            <w:r w:rsidRPr="009C32B9">
              <w:rPr>
                <w:rFonts w:cs="Calibri"/>
              </w:rPr>
              <w:t>193 752 533</w:t>
            </w:r>
          </w:p>
        </w:tc>
        <w:tc>
          <w:tcPr>
            <w:tcW w:w="576" w:type="dxa"/>
            <w:shd w:val="clear" w:color="auto" w:fill="auto"/>
            <w:vAlign w:val="center"/>
          </w:tcPr>
          <w:p w14:paraId="56AEAD84" w14:textId="77777777" w:rsidR="00E50BE4" w:rsidRPr="00DD47DF" w:rsidRDefault="00E50BE4" w:rsidP="00E50BE4">
            <w:pPr>
              <w:pStyle w:val="Tabulka"/>
              <w:rPr>
                <w:rFonts w:cs="Calibri"/>
              </w:rPr>
            </w:pPr>
            <w:r w:rsidRPr="00DD47DF">
              <w:rPr>
                <w:rFonts w:cs="Calibri"/>
              </w:rPr>
              <w:t>01</w:t>
            </w:r>
          </w:p>
        </w:tc>
        <w:tc>
          <w:tcPr>
            <w:tcW w:w="1756" w:type="dxa"/>
            <w:shd w:val="clear" w:color="auto" w:fill="auto"/>
            <w:vAlign w:val="center"/>
          </w:tcPr>
          <w:p w14:paraId="06437421" w14:textId="30E4B6AB" w:rsidR="00E50BE4" w:rsidRPr="00DD47DF" w:rsidRDefault="00417049" w:rsidP="00E50BE4">
            <w:pPr>
              <w:pStyle w:val="Tabulka"/>
              <w:jc w:val="right"/>
              <w:rPr>
                <w:rFonts w:cs="Calibri"/>
              </w:rPr>
            </w:pPr>
            <w:r w:rsidRPr="00AB0D43">
              <w:rPr>
                <w:rFonts w:cs="Calibri"/>
              </w:rPr>
              <w:t>6 739 562</w:t>
            </w:r>
          </w:p>
        </w:tc>
      </w:tr>
      <w:tr w:rsidR="00E50BE4" w:rsidRPr="00DD47DF" w14:paraId="608D730D" w14:textId="77777777">
        <w:tc>
          <w:tcPr>
            <w:tcW w:w="624" w:type="dxa"/>
            <w:shd w:val="clear" w:color="auto" w:fill="auto"/>
            <w:vAlign w:val="center"/>
          </w:tcPr>
          <w:p w14:paraId="507204FE" w14:textId="77777777" w:rsidR="00E50BE4" w:rsidRPr="00DD47DF" w:rsidRDefault="00E50BE4" w:rsidP="00E50BE4">
            <w:pPr>
              <w:pStyle w:val="Tabulka"/>
              <w:rPr>
                <w:rFonts w:cs="Calibri"/>
              </w:rPr>
            </w:pPr>
            <w:r w:rsidRPr="00DD47DF">
              <w:rPr>
                <w:rFonts w:cs="Calibri"/>
              </w:rPr>
              <w:t>005</w:t>
            </w:r>
          </w:p>
        </w:tc>
        <w:tc>
          <w:tcPr>
            <w:tcW w:w="1707" w:type="dxa"/>
            <w:shd w:val="clear" w:color="auto" w:fill="auto"/>
            <w:vAlign w:val="center"/>
          </w:tcPr>
          <w:p w14:paraId="41365785" w14:textId="7FA422BD" w:rsidR="00E50BE4" w:rsidRPr="00DD47DF" w:rsidRDefault="00321EB3" w:rsidP="00E50BE4">
            <w:pPr>
              <w:pStyle w:val="Tabulka"/>
              <w:jc w:val="right"/>
              <w:rPr>
                <w:rFonts w:cs="Calibri"/>
              </w:rPr>
            </w:pPr>
            <w:r w:rsidRPr="00700E39">
              <w:rPr>
                <w:color w:val="000000"/>
              </w:rPr>
              <w:t>158 533 699</w:t>
            </w:r>
          </w:p>
        </w:tc>
        <w:tc>
          <w:tcPr>
            <w:tcW w:w="561" w:type="dxa"/>
            <w:shd w:val="clear" w:color="auto" w:fill="auto"/>
            <w:vAlign w:val="center"/>
          </w:tcPr>
          <w:p w14:paraId="5CC85B96" w14:textId="77777777" w:rsidR="00E50BE4" w:rsidRPr="00DD47DF" w:rsidRDefault="00E50BE4" w:rsidP="00E50BE4">
            <w:pPr>
              <w:pStyle w:val="Tabulka"/>
              <w:rPr>
                <w:rFonts w:cs="Calibri"/>
              </w:rPr>
            </w:pPr>
            <w:r w:rsidRPr="00DD47DF">
              <w:rPr>
                <w:rFonts w:cs="Calibri"/>
              </w:rPr>
              <w:t>04</w:t>
            </w:r>
          </w:p>
        </w:tc>
        <w:tc>
          <w:tcPr>
            <w:tcW w:w="1771" w:type="dxa"/>
            <w:shd w:val="clear" w:color="auto" w:fill="auto"/>
            <w:vAlign w:val="center"/>
          </w:tcPr>
          <w:p w14:paraId="0D6E7445" w14:textId="1BCD1952" w:rsidR="00E50BE4" w:rsidRPr="001B21B6" w:rsidRDefault="00C34737" w:rsidP="00E50BE4">
            <w:pPr>
              <w:pStyle w:val="Tabulka"/>
              <w:jc w:val="right"/>
              <w:rPr>
                <w:rFonts w:cs="Calibri"/>
              </w:rPr>
            </w:pPr>
            <w:r w:rsidRPr="003055DD">
              <w:rPr>
                <w:rFonts w:cs="Calibri"/>
              </w:rPr>
              <w:t>13 021 818</w:t>
            </w:r>
          </w:p>
        </w:tc>
        <w:tc>
          <w:tcPr>
            <w:tcW w:w="639" w:type="dxa"/>
            <w:shd w:val="clear" w:color="auto" w:fill="auto"/>
            <w:vAlign w:val="center"/>
          </w:tcPr>
          <w:p w14:paraId="616F2852" w14:textId="77777777" w:rsidR="00E50BE4" w:rsidRPr="00DD47DF" w:rsidRDefault="00E50BE4" w:rsidP="00E50BE4">
            <w:pPr>
              <w:pStyle w:val="Tabulka"/>
              <w:rPr>
                <w:rFonts w:cs="Calibri"/>
              </w:rPr>
            </w:pPr>
            <w:r w:rsidRPr="00DD47DF">
              <w:rPr>
                <w:rFonts w:cs="Calibri"/>
              </w:rPr>
              <w:t>02</w:t>
            </w:r>
          </w:p>
        </w:tc>
        <w:tc>
          <w:tcPr>
            <w:tcW w:w="1692" w:type="dxa"/>
            <w:shd w:val="clear" w:color="auto" w:fill="auto"/>
            <w:vAlign w:val="center"/>
          </w:tcPr>
          <w:p w14:paraId="006AC6E8" w14:textId="335AE956" w:rsidR="00E50BE4" w:rsidRPr="00DD47DF" w:rsidRDefault="00417049" w:rsidP="00E50BE4">
            <w:pPr>
              <w:pStyle w:val="Tabulka"/>
              <w:jc w:val="right"/>
              <w:rPr>
                <w:rFonts w:cs="Calibri"/>
              </w:rPr>
            </w:pPr>
            <w:r w:rsidRPr="009C32B9">
              <w:rPr>
                <w:rFonts w:cs="Calibri"/>
              </w:rPr>
              <w:t>448 101 592</w:t>
            </w:r>
          </w:p>
        </w:tc>
        <w:tc>
          <w:tcPr>
            <w:tcW w:w="576" w:type="dxa"/>
            <w:shd w:val="clear" w:color="auto" w:fill="auto"/>
            <w:vAlign w:val="center"/>
          </w:tcPr>
          <w:p w14:paraId="1B5D6217" w14:textId="77777777" w:rsidR="00E50BE4" w:rsidRPr="00DD47DF" w:rsidRDefault="00E50BE4" w:rsidP="00E50BE4">
            <w:pPr>
              <w:pStyle w:val="Tabulka"/>
              <w:rPr>
                <w:rFonts w:cs="Calibri"/>
              </w:rPr>
            </w:pPr>
            <w:r w:rsidRPr="00DD47DF">
              <w:rPr>
                <w:rFonts w:cs="Calibri"/>
              </w:rPr>
              <w:t>07</w:t>
            </w:r>
          </w:p>
        </w:tc>
        <w:tc>
          <w:tcPr>
            <w:tcW w:w="1756" w:type="dxa"/>
            <w:shd w:val="clear" w:color="auto" w:fill="auto"/>
            <w:vAlign w:val="center"/>
          </w:tcPr>
          <w:p w14:paraId="6888BB7C" w14:textId="41B6617B" w:rsidR="00E50BE4" w:rsidRPr="00DD47DF" w:rsidRDefault="00417049" w:rsidP="00E50BE4">
            <w:pPr>
              <w:pStyle w:val="Tabulka"/>
              <w:jc w:val="right"/>
              <w:rPr>
                <w:rFonts w:cs="Calibri"/>
              </w:rPr>
            </w:pPr>
            <w:r w:rsidRPr="00AB0D43">
              <w:rPr>
                <w:rFonts w:cs="Calibri"/>
              </w:rPr>
              <w:t>954 824 736</w:t>
            </w:r>
          </w:p>
        </w:tc>
      </w:tr>
      <w:tr w:rsidR="008B0D1E" w:rsidRPr="00DD47DF" w14:paraId="06C3A5ED" w14:textId="77777777">
        <w:tc>
          <w:tcPr>
            <w:tcW w:w="624" w:type="dxa"/>
            <w:shd w:val="clear" w:color="auto" w:fill="auto"/>
            <w:vAlign w:val="center"/>
          </w:tcPr>
          <w:p w14:paraId="2D83AA91" w14:textId="4109F09B" w:rsidR="008B0D1E" w:rsidRPr="00DD47DF" w:rsidRDefault="008B0D1E" w:rsidP="008B0D1E">
            <w:pPr>
              <w:pStyle w:val="Tabulka"/>
              <w:rPr>
                <w:rFonts w:cs="Calibri"/>
              </w:rPr>
            </w:pPr>
            <w:r>
              <w:rPr>
                <w:rFonts w:cs="Calibri"/>
              </w:rPr>
              <w:t>009</w:t>
            </w:r>
          </w:p>
        </w:tc>
        <w:tc>
          <w:tcPr>
            <w:tcW w:w="1707" w:type="dxa"/>
            <w:shd w:val="clear" w:color="auto" w:fill="auto"/>
            <w:vAlign w:val="center"/>
          </w:tcPr>
          <w:p w14:paraId="2F334548" w14:textId="146B61A1" w:rsidR="008B0D1E" w:rsidRPr="00DD47DF" w:rsidRDefault="002439D2" w:rsidP="008B0D1E">
            <w:pPr>
              <w:pStyle w:val="Tabulka"/>
              <w:jc w:val="right"/>
              <w:rPr>
                <w:rFonts w:cs="Calibri"/>
              </w:rPr>
            </w:pPr>
            <w:r w:rsidRPr="002439D2">
              <w:rPr>
                <w:rFonts w:cs="Calibri"/>
              </w:rPr>
              <w:t>1 714 460</w:t>
            </w:r>
          </w:p>
        </w:tc>
        <w:tc>
          <w:tcPr>
            <w:tcW w:w="561" w:type="dxa"/>
            <w:shd w:val="clear" w:color="auto" w:fill="auto"/>
            <w:vAlign w:val="center"/>
          </w:tcPr>
          <w:p w14:paraId="5CF5B55E" w14:textId="77777777" w:rsidR="008B0D1E" w:rsidRPr="00DD47DF" w:rsidRDefault="008B0D1E" w:rsidP="008B0D1E">
            <w:pPr>
              <w:pStyle w:val="Tabulka"/>
              <w:rPr>
                <w:rFonts w:cs="Calibri"/>
              </w:rPr>
            </w:pPr>
            <w:r w:rsidRPr="00DD47DF">
              <w:rPr>
                <w:rFonts w:cs="Calibri"/>
              </w:rPr>
              <w:t>06</w:t>
            </w:r>
          </w:p>
        </w:tc>
        <w:tc>
          <w:tcPr>
            <w:tcW w:w="1771" w:type="dxa"/>
            <w:shd w:val="clear" w:color="auto" w:fill="auto"/>
            <w:vAlign w:val="center"/>
          </w:tcPr>
          <w:p w14:paraId="593BCBA9" w14:textId="265120CE" w:rsidR="008B0D1E" w:rsidRPr="001B21B6" w:rsidRDefault="00C34737" w:rsidP="008B0D1E">
            <w:pPr>
              <w:pStyle w:val="Tabulka"/>
              <w:jc w:val="right"/>
              <w:rPr>
                <w:rFonts w:cs="Calibri"/>
              </w:rPr>
            </w:pPr>
            <w:r w:rsidRPr="003055DD">
              <w:rPr>
                <w:rFonts w:cs="Calibri"/>
              </w:rPr>
              <w:t>2</w:t>
            </w:r>
            <w:r>
              <w:rPr>
                <w:rFonts w:cs="Calibri"/>
              </w:rPr>
              <w:t xml:space="preserve"> </w:t>
            </w:r>
            <w:r w:rsidRPr="003055DD">
              <w:rPr>
                <w:rFonts w:cs="Calibri"/>
              </w:rPr>
              <w:t>072</w:t>
            </w:r>
            <w:r>
              <w:rPr>
                <w:rFonts w:cs="Calibri"/>
              </w:rPr>
              <w:t xml:space="preserve"> </w:t>
            </w:r>
            <w:r w:rsidRPr="003055DD">
              <w:rPr>
                <w:rFonts w:cs="Calibri"/>
              </w:rPr>
              <w:t>522</w:t>
            </w:r>
          </w:p>
        </w:tc>
        <w:tc>
          <w:tcPr>
            <w:tcW w:w="639" w:type="dxa"/>
            <w:shd w:val="clear" w:color="auto" w:fill="auto"/>
            <w:vAlign w:val="center"/>
          </w:tcPr>
          <w:p w14:paraId="6600FD8A" w14:textId="77777777" w:rsidR="008B0D1E" w:rsidRPr="00DD47DF" w:rsidRDefault="008B0D1E" w:rsidP="008B0D1E">
            <w:pPr>
              <w:pStyle w:val="Tabulka"/>
              <w:rPr>
                <w:rFonts w:cs="Calibri"/>
              </w:rPr>
            </w:pPr>
            <w:r w:rsidRPr="00DD47DF">
              <w:rPr>
                <w:rFonts w:cs="Calibri"/>
              </w:rPr>
              <w:t>03</w:t>
            </w:r>
          </w:p>
        </w:tc>
        <w:tc>
          <w:tcPr>
            <w:tcW w:w="1692" w:type="dxa"/>
            <w:shd w:val="clear" w:color="auto" w:fill="auto"/>
            <w:vAlign w:val="center"/>
          </w:tcPr>
          <w:p w14:paraId="4F0B8D98" w14:textId="38E8C13D" w:rsidR="008B0D1E" w:rsidRPr="00DD47DF" w:rsidRDefault="00417049" w:rsidP="008B0D1E">
            <w:pPr>
              <w:pStyle w:val="Tabulka"/>
              <w:jc w:val="right"/>
              <w:rPr>
                <w:rFonts w:cs="Calibri"/>
              </w:rPr>
            </w:pPr>
            <w:r w:rsidRPr="009C32B9">
              <w:rPr>
                <w:rFonts w:cs="Calibri"/>
              </w:rPr>
              <w:t>319 710 173</w:t>
            </w:r>
          </w:p>
        </w:tc>
        <w:tc>
          <w:tcPr>
            <w:tcW w:w="576" w:type="dxa"/>
            <w:shd w:val="clear" w:color="auto" w:fill="auto"/>
            <w:vAlign w:val="center"/>
          </w:tcPr>
          <w:p w14:paraId="0943E0BB" w14:textId="77777777" w:rsidR="008B0D1E" w:rsidRPr="00DD47DF" w:rsidRDefault="008B0D1E" w:rsidP="008B0D1E">
            <w:pPr>
              <w:pStyle w:val="Tabulka"/>
              <w:rPr>
                <w:rFonts w:cs="Calibri"/>
              </w:rPr>
            </w:pPr>
          </w:p>
        </w:tc>
        <w:tc>
          <w:tcPr>
            <w:tcW w:w="1756" w:type="dxa"/>
            <w:shd w:val="clear" w:color="auto" w:fill="auto"/>
            <w:vAlign w:val="center"/>
          </w:tcPr>
          <w:p w14:paraId="0C11179D" w14:textId="77777777" w:rsidR="008B0D1E" w:rsidRPr="00DD47DF" w:rsidRDefault="008B0D1E" w:rsidP="008B0D1E">
            <w:pPr>
              <w:pStyle w:val="Tabulka"/>
              <w:jc w:val="right"/>
              <w:rPr>
                <w:rFonts w:cs="Calibri"/>
              </w:rPr>
            </w:pPr>
          </w:p>
        </w:tc>
      </w:tr>
      <w:tr w:rsidR="008B0D1E" w:rsidRPr="00DD47DF" w14:paraId="52542408" w14:textId="77777777">
        <w:tc>
          <w:tcPr>
            <w:tcW w:w="624" w:type="dxa"/>
            <w:shd w:val="clear" w:color="auto" w:fill="auto"/>
            <w:vAlign w:val="center"/>
          </w:tcPr>
          <w:p w14:paraId="1AC117F1" w14:textId="46F2B0B2" w:rsidR="008B0D1E" w:rsidRPr="00DD47DF" w:rsidRDefault="008B0D1E" w:rsidP="008B0D1E">
            <w:pPr>
              <w:pStyle w:val="Tabulka"/>
              <w:rPr>
                <w:rFonts w:cs="Calibri"/>
              </w:rPr>
            </w:pPr>
            <w:r>
              <w:rPr>
                <w:rFonts w:cs="Calibri"/>
              </w:rPr>
              <w:t>010</w:t>
            </w:r>
          </w:p>
        </w:tc>
        <w:tc>
          <w:tcPr>
            <w:tcW w:w="1707" w:type="dxa"/>
            <w:shd w:val="clear" w:color="auto" w:fill="auto"/>
            <w:vAlign w:val="center"/>
          </w:tcPr>
          <w:p w14:paraId="7CC03DC8" w14:textId="544A0C63" w:rsidR="008B0D1E" w:rsidRPr="008B0D1E" w:rsidRDefault="00417049" w:rsidP="008B0D1E">
            <w:pPr>
              <w:pStyle w:val="Tabulka"/>
              <w:jc w:val="right"/>
              <w:rPr>
                <w:rFonts w:cs="Calibri"/>
              </w:rPr>
            </w:pPr>
            <w:r w:rsidRPr="00030373">
              <w:rPr>
                <w:rFonts w:cs="Calibri"/>
              </w:rPr>
              <w:t>51 625 830</w:t>
            </w:r>
          </w:p>
        </w:tc>
        <w:tc>
          <w:tcPr>
            <w:tcW w:w="561" w:type="dxa"/>
            <w:shd w:val="clear" w:color="auto" w:fill="auto"/>
            <w:vAlign w:val="center"/>
          </w:tcPr>
          <w:p w14:paraId="760F1B90" w14:textId="77777777" w:rsidR="008B0D1E" w:rsidRPr="00DD47DF" w:rsidRDefault="008B0D1E" w:rsidP="008B0D1E">
            <w:pPr>
              <w:pStyle w:val="Tabulka"/>
              <w:rPr>
                <w:rFonts w:cs="Calibri"/>
              </w:rPr>
            </w:pPr>
          </w:p>
        </w:tc>
        <w:tc>
          <w:tcPr>
            <w:tcW w:w="1771" w:type="dxa"/>
            <w:shd w:val="clear" w:color="auto" w:fill="auto"/>
            <w:vAlign w:val="center"/>
          </w:tcPr>
          <w:p w14:paraId="3CA15188" w14:textId="77777777" w:rsidR="008B0D1E" w:rsidRPr="00DD47DF" w:rsidRDefault="008B0D1E" w:rsidP="008B0D1E">
            <w:pPr>
              <w:pStyle w:val="Tabulka"/>
              <w:jc w:val="right"/>
              <w:rPr>
                <w:rFonts w:cs="Calibri"/>
              </w:rPr>
            </w:pPr>
          </w:p>
        </w:tc>
        <w:tc>
          <w:tcPr>
            <w:tcW w:w="639" w:type="dxa"/>
            <w:shd w:val="clear" w:color="auto" w:fill="auto"/>
            <w:vAlign w:val="center"/>
          </w:tcPr>
          <w:p w14:paraId="13C1AFBE" w14:textId="77777777" w:rsidR="008B0D1E" w:rsidRPr="00DD47DF" w:rsidRDefault="008B0D1E" w:rsidP="008B0D1E">
            <w:pPr>
              <w:pStyle w:val="Tabulka"/>
              <w:rPr>
                <w:rFonts w:cs="Calibri"/>
              </w:rPr>
            </w:pPr>
          </w:p>
        </w:tc>
        <w:tc>
          <w:tcPr>
            <w:tcW w:w="1692" w:type="dxa"/>
            <w:shd w:val="clear" w:color="auto" w:fill="auto"/>
            <w:vAlign w:val="center"/>
          </w:tcPr>
          <w:p w14:paraId="087FBDA1" w14:textId="77777777" w:rsidR="008B0D1E" w:rsidRPr="00DD47DF" w:rsidRDefault="008B0D1E" w:rsidP="008B0D1E">
            <w:pPr>
              <w:pStyle w:val="Tabulka"/>
              <w:jc w:val="right"/>
              <w:rPr>
                <w:rFonts w:cs="Calibri"/>
              </w:rPr>
            </w:pPr>
          </w:p>
        </w:tc>
        <w:tc>
          <w:tcPr>
            <w:tcW w:w="576" w:type="dxa"/>
            <w:shd w:val="clear" w:color="auto" w:fill="auto"/>
            <w:vAlign w:val="center"/>
          </w:tcPr>
          <w:p w14:paraId="279A8668" w14:textId="77777777" w:rsidR="008B0D1E" w:rsidRPr="00DD47DF" w:rsidRDefault="008B0D1E" w:rsidP="008B0D1E">
            <w:pPr>
              <w:pStyle w:val="Tabulka"/>
              <w:rPr>
                <w:rFonts w:cs="Calibri"/>
              </w:rPr>
            </w:pPr>
          </w:p>
        </w:tc>
        <w:tc>
          <w:tcPr>
            <w:tcW w:w="1756" w:type="dxa"/>
            <w:shd w:val="clear" w:color="auto" w:fill="auto"/>
            <w:vAlign w:val="center"/>
          </w:tcPr>
          <w:p w14:paraId="6E23111B" w14:textId="77777777" w:rsidR="008B0D1E" w:rsidRPr="00DD47DF" w:rsidRDefault="008B0D1E" w:rsidP="008B0D1E">
            <w:pPr>
              <w:pStyle w:val="Tabulka"/>
              <w:jc w:val="right"/>
              <w:rPr>
                <w:rFonts w:cs="Calibri"/>
              </w:rPr>
            </w:pPr>
          </w:p>
        </w:tc>
      </w:tr>
      <w:tr w:rsidR="008B0D1E" w:rsidRPr="00DD47DF" w14:paraId="4E6859EF" w14:textId="77777777">
        <w:tc>
          <w:tcPr>
            <w:tcW w:w="624" w:type="dxa"/>
            <w:shd w:val="clear" w:color="auto" w:fill="auto"/>
            <w:vAlign w:val="center"/>
          </w:tcPr>
          <w:p w14:paraId="00F71E0D" w14:textId="13C74A7C" w:rsidR="008B0D1E" w:rsidRPr="00DD47DF" w:rsidRDefault="008B0D1E" w:rsidP="008B0D1E">
            <w:pPr>
              <w:pStyle w:val="Tabulka"/>
              <w:rPr>
                <w:rFonts w:cs="Calibri"/>
              </w:rPr>
            </w:pPr>
            <w:r w:rsidRPr="00DD47DF">
              <w:rPr>
                <w:rFonts w:cs="Calibri"/>
              </w:rPr>
              <w:t>011</w:t>
            </w:r>
          </w:p>
        </w:tc>
        <w:tc>
          <w:tcPr>
            <w:tcW w:w="1707" w:type="dxa"/>
            <w:shd w:val="clear" w:color="auto" w:fill="auto"/>
            <w:vAlign w:val="center"/>
          </w:tcPr>
          <w:p w14:paraId="234895B7" w14:textId="366267CA" w:rsidR="008B0D1E" w:rsidRPr="00DD47DF" w:rsidRDefault="002439D2" w:rsidP="008B0D1E">
            <w:pPr>
              <w:pStyle w:val="Tabulka"/>
              <w:jc w:val="right"/>
              <w:rPr>
                <w:rFonts w:cs="Calibri"/>
              </w:rPr>
            </w:pPr>
            <w:r w:rsidRPr="002439D2">
              <w:rPr>
                <w:rFonts w:cs="Calibri"/>
              </w:rPr>
              <w:t>20 744 951</w:t>
            </w:r>
          </w:p>
        </w:tc>
        <w:tc>
          <w:tcPr>
            <w:tcW w:w="561" w:type="dxa"/>
            <w:shd w:val="clear" w:color="auto" w:fill="auto"/>
            <w:vAlign w:val="center"/>
          </w:tcPr>
          <w:p w14:paraId="32A461C7" w14:textId="77777777" w:rsidR="008B0D1E" w:rsidRPr="00DD47DF" w:rsidRDefault="008B0D1E" w:rsidP="008B0D1E">
            <w:pPr>
              <w:pStyle w:val="Tabulka"/>
              <w:rPr>
                <w:rFonts w:cs="Calibri"/>
              </w:rPr>
            </w:pPr>
          </w:p>
        </w:tc>
        <w:tc>
          <w:tcPr>
            <w:tcW w:w="1771" w:type="dxa"/>
            <w:shd w:val="clear" w:color="auto" w:fill="auto"/>
            <w:vAlign w:val="center"/>
          </w:tcPr>
          <w:p w14:paraId="6747DB88" w14:textId="77777777" w:rsidR="008B0D1E" w:rsidRPr="00DD47DF" w:rsidRDefault="008B0D1E" w:rsidP="008B0D1E">
            <w:pPr>
              <w:pStyle w:val="Tabulka"/>
              <w:jc w:val="right"/>
              <w:rPr>
                <w:rFonts w:cs="Calibri"/>
              </w:rPr>
            </w:pPr>
          </w:p>
        </w:tc>
        <w:tc>
          <w:tcPr>
            <w:tcW w:w="639" w:type="dxa"/>
            <w:shd w:val="clear" w:color="auto" w:fill="auto"/>
            <w:vAlign w:val="center"/>
          </w:tcPr>
          <w:p w14:paraId="4ABDD67F" w14:textId="77777777" w:rsidR="008B0D1E" w:rsidRPr="00DD47DF" w:rsidRDefault="008B0D1E" w:rsidP="008B0D1E">
            <w:pPr>
              <w:pStyle w:val="Tabulka"/>
              <w:rPr>
                <w:rFonts w:cs="Calibri"/>
              </w:rPr>
            </w:pPr>
          </w:p>
        </w:tc>
        <w:tc>
          <w:tcPr>
            <w:tcW w:w="1692" w:type="dxa"/>
            <w:shd w:val="clear" w:color="auto" w:fill="auto"/>
            <w:vAlign w:val="center"/>
          </w:tcPr>
          <w:p w14:paraId="6FDA9F73" w14:textId="77777777" w:rsidR="008B0D1E" w:rsidRPr="00DD47DF" w:rsidRDefault="008B0D1E" w:rsidP="008B0D1E">
            <w:pPr>
              <w:pStyle w:val="Tabulka"/>
              <w:jc w:val="right"/>
              <w:rPr>
                <w:rFonts w:cs="Calibri"/>
              </w:rPr>
            </w:pPr>
          </w:p>
        </w:tc>
        <w:tc>
          <w:tcPr>
            <w:tcW w:w="576" w:type="dxa"/>
            <w:shd w:val="clear" w:color="auto" w:fill="auto"/>
            <w:vAlign w:val="center"/>
          </w:tcPr>
          <w:p w14:paraId="3123EC66" w14:textId="77777777" w:rsidR="008B0D1E" w:rsidRPr="00DD47DF" w:rsidRDefault="008B0D1E" w:rsidP="008B0D1E">
            <w:pPr>
              <w:pStyle w:val="Tabulka"/>
              <w:rPr>
                <w:rFonts w:cs="Calibri"/>
              </w:rPr>
            </w:pPr>
          </w:p>
        </w:tc>
        <w:tc>
          <w:tcPr>
            <w:tcW w:w="1756" w:type="dxa"/>
            <w:shd w:val="clear" w:color="auto" w:fill="auto"/>
            <w:vAlign w:val="center"/>
          </w:tcPr>
          <w:p w14:paraId="4A30D501" w14:textId="77777777" w:rsidR="008B0D1E" w:rsidRPr="00DD47DF" w:rsidRDefault="008B0D1E" w:rsidP="008B0D1E">
            <w:pPr>
              <w:pStyle w:val="Tabulka"/>
              <w:jc w:val="right"/>
              <w:rPr>
                <w:rFonts w:cs="Calibri"/>
              </w:rPr>
            </w:pPr>
          </w:p>
        </w:tc>
      </w:tr>
      <w:tr w:rsidR="008B0D1E" w:rsidRPr="00DD47DF" w14:paraId="02C310E7" w14:textId="77777777">
        <w:tc>
          <w:tcPr>
            <w:tcW w:w="624" w:type="dxa"/>
            <w:shd w:val="clear" w:color="auto" w:fill="auto"/>
            <w:vAlign w:val="center"/>
          </w:tcPr>
          <w:p w14:paraId="144F061C" w14:textId="798E253F" w:rsidR="008B0D1E" w:rsidRPr="00DD47DF" w:rsidRDefault="008B0D1E" w:rsidP="008B0D1E">
            <w:pPr>
              <w:pStyle w:val="Tabulka"/>
              <w:rPr>
                <w:rFonts w:cs="Calibri"/>
              </w:rPr>
            </w:pPr>
            <w:r w:rsidRPr="00DD47DF">
              <w:rPr>
                <w:rFonts w:cs="Calibri"/>
              </w:rPr>
              <w:t>012</w:t>
            </w:r>
          </w:p>
        </w:tc>
        <w:tc>
          <w:tcPr>
            <w:tcW w:w="1707" w:type="dxa"/>
            <w:shd w:val="clear" w:color="auto" w:fill="auto"/>
            <w:vAlign w:val="center"/>
          </w:tcPr>
          <w:p w14:paraId="36AA234F" w14:textId="012DEC86" w:rsidR="008B0D1E" w:rsidRPr="00DD47DF" w:rsidRDefault="002439D2" w:rsidP="008B0D1E">
            <w:pPr>
              <w:pStyle w:val="Tabulka"/>
              <w:jc w:val="right"/>
              <w:rPr>
                <w:rFonts w:cs="Calibri"/>
              </w:rPr>
            </w:pPr>
            <w:r w:rsidRPr="002439D2">
              <w:rPr>
                <w:rFonts w:cs="Calibri"/>
              </w:rPr>
              <w:t>10 972 535</w:t>
            </w:r>
          </w:p>
        </w:tc>
        <w:tc>
          <w:tcPr>
            <w:tcW w:w="561" w:type="dxa"/>
            <w:shd w:val="clear" w:color="auto" w:fill="auto"/>
            <w:vAlign w:val="center"/>
          </w:tcPr>
          <w:p w14:paraId="38195DF3" w14:textId="77777777" w:rsidR="008B0D1E" w:rsidRPr="00DD47DF" w:rsidRDefault="008B0D1E" w:rsidP="008B0D1E">
            <w:pPr>
              <w:pStyle w:val="Tabulka"/>
              <w:rPr>
                <w:rFonts w:cs="Calibri"/>
              </w:rPr>
            </w:pPr>
          </w:p>
        </w:tc>
        <w:tc>
          <w:tcPr>
            <w:tcW w:w="1771" w:type="dxa"/>
            <w:shd w:val="clear" w:color="auto" w:fill="auto"/>
            <w:vAlign w:val="center"/>
          </w:tcPr>
          <w:p w14:paraId="4035FB5C" w14:textId="77777777" w:rsidR="008B0D1E" w:rsidRPr="00DD47DF" w:rsidRDefault="008B0D1E" w:rsidP="008B0D1E">
            <w:pPr>
              <w:pStyle w:val="Tabulka"/>
              <w:jc w:val="right"/>
              <w:rPr>
                <w:rFonts w:cs="Calibri"/>
              </w:rPr>
            </w:pPr>
          </w:p>
        </w:tc>
        <w:tc>
          <w:tcPr>
            <w:tcW w:w="639" w:type="dxa"/>
            <w:shd w:val="clear" w:color="auto" w:fill="auto"/>
            <w:vAlign w:val="center"/>
          </w:tcPr>
          <w:p w14:paraId="71F8C838" w14:textId="77777777" w:rsidR="008B0D1E" w:rsidRPr="00DD47DF" w:rsidRDefault="008B0D1E" w:rsidP="008B0D1E">
            <w:pPr>
              <w:pStyle w:val="Tabulka"/>
              <w:rPr>
                <w:rFonts w:cs="Calibri"/>
              </w:rPr>
            </w:pPr>
          </w:p>
        </w:tc>
        <w:tc>
          <w:tcPr>
            <w:tcW w:w="1692" w:type="dxa"/>
            <w:shd w:val="clear" w:color="auto" w:fill="auto"/>
            <w:vAlign w:val="center"/>
          </w:tcPr>
          <w:p w14:paraId="7025F757" w14:textId="77777777" w:rsidR="008B0D1E" w:rsidRPr="00DD47DF" w:rsidRDefault="008B0D1E" w:rsidP="008B0D1E">
            <w:pPr>
              <w:pStyle w:val="Tabulka"/>
              <w:jc w:val="right"/>
              <w:rPr>
                <w:rFonts w:cs="Calibri"/>
              </w:rPr>
            </w:pPr>
          </w:p>
        </w:tc>
        <w:tc>
          <w:tcPr>
            <w:tcW w:w="576" w:type="dxa"/>
            <w:shd w:val="clear" w:color="auto" w:fill="auto"/>
            <w:vAlign w:val="center"/>
          </w:tcPr>
          <w:p w14:paraId="7B8EAD21" w14:textId="77777777" w:rsidR="008B0D1E" w:rsidRPr="00DD47DF" w:rsidRDefault="008B0D1E" w:rsidP="008B0D1E">
            <w:pPr>
              <w:pStyle w:val="Tabulka"/>
              <w:rPr>
                <w:rFonts w:cs="Calibri"/>
              </w:rPr>
            </w:pPr>
          </w:p>
        </w:tc>
        <w:tc>
          <w:tcPr>
            <w:tcW w:w="1756" w:type="dxa"/>
            <w:shd w:val="clear" w:color="auto" w:fill="auto"/>
            <w:vAlign w:val="center"/>
          </w:tcPr>
          <w:p w14:paraId="2B94B3D1" w14:textId="77777777" w:rsidR="008B0D1E" w:rsidRPr="00DD47DF" w:rsidRDefault="008B0D1E" w:rsidP="008B0D1E">
            <w:pPr>
              <w:pStyle w:val="Tabulka"/>
              <w:jc w:val="right"/>
              <w:rPr>
                <w:rFonts w:cs="Calibri"/>
              </w:rPr>
            </w:pPr>
          </w:p>
        </w:tc>
      </w:tr>
      <w:tr w:rsidR="008B0D1E" w:rsidRPr="00DD47DF" w14:paraId="1CCBE6EB" w14:textId="77777777">
        <w:tc>
          <w:tcPr>
            <w:tcW w:w="624" w:type="dxa"/>
            <w:shd w:val="clear" w:color="auto" w:fill="auto"/>
            <w:vAlign w:val="center"/>
          </w:tcPr>
          <w:p w14:paraId="106C1555" w14:textId="40854529" w:rsidR="008B0D1E" w:rsidRPr="00DD47DF" w:rsidRDefault="008B0D1E" w:rsidP="008B0D1E">
            <w:pPr>
              <w:pStyle w:val="Tabulka"/>
              <w:rPr>
                <w:rFonts w:cs="Calibri"/>
              </w:rPr>
            </w:pPr>
            <w:r w:rsidRPr="00DD47DF">
              <w:rPr>
                <w:rFonts w:cs="Calibri"/>
              </w:rPr>
              <w:t>015</w:t>
            </w:r>
          </w:p>
        </w:tc>
        <w:tc>
          <w:tcPr>
            <w:tcW w:w="1707" w:type="dxa"/>
            <w:shd w:val="clear" w:color="auto" w:fill="auto"/>
            <w:vAlign w:val="center"/>
          </w:tcPr>
          <w:p w14:paraId="1D7B2631" w14:textId="59D776E4" w:rsidR="008B0D1E" w:rsidRPr="00DD47DF" w:rsidRDefault="002439D2" w:rsidP="008B0D1E">
            <w:pPr>
              <w:pStyle w:val="Tabulka"/>
              <w:jc w:val="right"/>
              <w:rPr>
                <w:rFonts w:cs="Calibri"/>
              </w:rPr>
            </w:pPr>
            <w:r w:rsidRPr="002439D2">
              <w:rPr>
                <w:rFonts w:cs="Calibri"/>
              </w:rPr>
              <w:t>6 195 139</w:t>
            </w:r>
          </w:p>
        </w:tc>
        <w:tc>
          <w:tcPr>
            <w:tcW w:w="561" w:type="dxa"/>
            <w:shd w:val="clear" w:color="auto" w:fill="auto"/>
            <w:vAlign w:val="center"/>
          </w:tcPr>
          <w:p w14:paraId="1874D4C9" w14:textId="77777777" w:rsidR="008B0D1E" w:rsidRPr="00DD47DF" w:rsidRDefault="008B0D1E" w:rsidP="008B0D1E">
            <w:pPr>
              <w:pStyle w:val="Tabulka"/>
              <w:rPr>
                <w:rFonts w:cs="Calibri"/>
              </w:rPr>
            </w:pPr>
          </w:p>
        </w:tc>
        <w:tc>
          <w:tcPr>
            <w:tcW w:w="1771" w:type="dxa"/>
            <w:shd w:val="clear" w:color="auto" w:fill="auto"/>
            <w:vAlign w:val="center"/>
          </w:tcPr>
          <w:p w14:paraId="5513D239" w14:textId="77777777" w:rsidR="008B0D1E" w:rsidRPr="00DD47DF" w:rsidRDefault="008B0D1E" w:rsidP="008B0D1E">
            <w:pPr>
              <w:pStyle w:val="Tabulka"/>
              <w:jc w:val="right"/>
              <w:rPr>
                <w:rFonts w:cs="Calibri"/>
              </w:rPr>
            </w:pPr>
          </w:p>
        </w:tc>
        <w:tc>
          <w:tcPr>
            <w:tcW w:w="639" w:type="dxa"/>
            <w:shd w:val="clear" w:color="auto" w:fill="auto"/>
            <w:vAlign w:val="center"/>
          </w:tcPr>
          <w:p w14:paraId="7474BF2D" w14:textId="77777777" w:rsidR="008B0D1E" w:rsidRPr="00DD47DF" w:rsidRDefault="008B0D1E" w:rsidP="008B0D1E">
            <w:pPr>
              <w:pStyle w:val="Tabulka"/>
              <w:rPr>
                <w:rFonts w:cs="Calibri"/>
              </w:rPr>
            </w:pPr>
          </w:p>
        </w:tc>
        <w:tc>
          <w:tcPr>
            <w:tcW w:w="1692" w:type="dxa"/>
            <w:shd w:val="clear" w:color="auto" w:fill="auto"/>
            <w:vAlign w:val="center"/>
          </w:tcPr>
          <w:p w14:paraId="3DD725D2" w14:textId="77777777" w:rsidR="008B0D1E" w:rsidRPr="00DD47DF" w:rsidRDefault="008B0D1E" w:rsidP="008B0D1E">
            <w:pPr>
              <w:pStyle w:val="Tabulka"/>
              <w:jc w:val="right"/>
              <w:rPr>
                <w:rFonts w:cs="Calibri"/>
              </w:rPr>
            </w:pPr>
          </w:p>
        </w:tc>
        <w:tc>
          <w:tcPr>
            <w:tcW w:w="576" w:type="dxa"/>
            <w:shd w:val="clear" w:color="auto" w:fill="auto"/>
            <w:vAlign w:val="center"/>
          </w:tcPr>
          <w:p w14:paraId="01D2C887" w14:textId="77777777" w:rsidR="008B0D1E" w:rsidRPr="00DD47DF" w:rsidRDefault="008B0D1E" w:rsidP="008B0D1E">
            <w:pPr>
              <w:pStyle w:val="Tabulka"/>
              <w:rPr>
                <w:rFonts w:cs="Calibri"/>
              </w:rPr>
            </w:pPr>
          </w:p>
        </w:tc>
        <w:tc>
          <w:tcPr>
            <w:tcW w:w="1756" w:type="dxa"/>
            <w:shd w:val="clear" w:color="auto" w:fill="auto"/>
            <w:vAlign w:val="center"/>
          </w:tcPr>
          <w:p w14:paraId="0E63915A" w14:textId="77777777" w:rsidR="008B0D1E" w:rsidRPr="00DD47DF" w:rsidRDefault="008B0D1E" w:rsidP="008B0D1E">
            <w:pPr>
              <w:pStyle w:val="Tabulka"/>
              <w:jc w:val="right"/>
              <w:rPr>
                <w:rFonts w:cs="Calibri"/>
              </w:rPr>
            </w:pPr>
          </w:p>
        </w:tc>
      </w:tr>
      <w:tr w:rsidR="008B0D1E" w:rsidRPr="00DD47DF" w14:paraId="4071B0D4" w14:textId="77777777">
        <w:tc>
          <w:tcPr>
            <w:tcW w:w="624" w:type="dxa"/>
            <w:shd w:val="clear" w:color="auto" w:fill="auto"/>
            <w:vAlign w:val="center"/>
          </w:tcPr>
          <w:p w14:paraId="556678D9" w14:textId="481B6AB4" w:rsidR="008B0D1E" w:rsidRPr="00DD47DF" w:rsidRDefault="008B0D1E" w:rsidP="008B0D1E">
            <w:pPr>
              <w:pStyle w:val="Tabulka"/>
              <w:rPr>
                <w:rFonts w:cs="Calibri"/>
              </w:rPr>
            </w:pPr>
            <w:r w:rsidRPr="00DD47DF">
              <w:rPr>
                <w:rFonts w:cs="Calibri"/>
              </w:rPr>
              <w:t>016</w:t>
            </w:r>
          </w:p>
        </w:tc>
        <w:tc>
          <w:tcPr>
            <w:tcW w:w="1707" w:type="dxa"/>
            <w:shd w:val="clear" w:color="auto" w:fill="auto"/>
            <w:vAlign w:val="center"/>
          </w:tcPr>
          <w:p w14:paraId="5736EE81" w14:textId="37CA19E4" w:rsidR="008B0D1E" w:rsidRPr="00DD47DF" w:rsidRDefault="00417049" w:rsidP="008B0D1E">
            <w:pPr>
              <w:pStyle w:val="Tabulka"/>
              <w:jc w:val="right"/>
              <w:rPr>
                <w:rFonts w:cs="Calibri"/>
              </w:rPr>
            </w:pPr>
            <w:r w:rsidRPr="006179FC">
              <w:rPr>
                <w:rFonts w:cs="Calibri"/>
              </w:rPr>
              <w:t>99 823 673</w:t>
            </w:r>
          </w:p>
        </w:tc>
        <w:tc>
          <w:tcPr>
            <w:tcW w:w="561" w:type="dxa"/>
            <w:shd w:val="clear" w:color="auto" w:fill="auto"/>
            <w:vAlign w:val="center"/>
          </w:tcPr>
          <w:p w14:paraId="7168A440" w14:textId="77777777" w:rsidR="008B0D1E" w:rsidRPr="00DD47DF" w:rsidRDefault="008B0D1E" w:rsidP="008B0D1E">
            <w:pPr>
              <w:pStyle w:val="Tabulka"/>
              <w:rPr>
                <w:rFonts w:cs="Calibri"/>
              </w:rPr>
            </w:pPr>
          </w:p>
        </w:tc>
        <w:tc>
          <w:tcPr>
            <w:tcW w:w="1771" w:type="dxa"/>
            <w:shd w:val="clear" w:color="auto" w:fill="auto"/>
            <w:vAlign w:val="center"/>
          </w:tcPr>
          <w:p w14:paraId="56721FD6" w14:textId="77777777" w:rsidR="008B0D1E" w:rsidRPr="00DD47DF" w:rsidRDefault="008B0D1E" w:rsidP="008B0D1E">
            <w:pPr>
              <w:pStyle w:val="Tabulka"/>
              <w:jc w:val="right"/>
              <w:rPr>
                <w:rFonts w:cs="Calibri"/>
              </w:rPr>
            </w:pPr>
          </w:p>
        </w:tc>
        <w:tc>
          <w:tcPr>
            <w:tcW w:w="639" w:type="dxa"/>
            <w:shd w:val="clear" w:color="auto" w:fill="auto"/>
            <w:vAlign w:val="center"/>
          </w:tcPr>
          <w:p w14:paraId="733C46DB" w14:textId="77777777" w:rsidR="008B0D1E" w:rsidRPr="00DD47DF" w:rsidRDefault="008B0D1E" w:rsidP="008B0D1E">
            <w:pPr>
              <w:pStyle w:val="Tabulka"/>
              <w:rPr>
                <w:rFonts w:cs="Calibri"/>
              </w:rPr>
            </w:pPr>
          </w:p>
        </w:tc>
        <w:tc>
          <w:tcPr>
            <w:tcW w:w="1692" w:type="dxa"/>
            <w:shd w:val="clear" w:color="auto" w:fill="auto"/>
            <w:vAlign w:val="center"/>
          </w:tcPr>
          <w:p w14:paraId="6A7731E6" w14:textId="77777777" w:rsidR="008B0D1E" w:rsidRPr="00DD47DF" w:rsidRDefault="008B0D1E" w:rsidP="008B0D1E">
            <w:pPr>
              <w:pStyle w:val="Tabulka"/>
              <w:jc w:val="right"/>
              <w:rPr>
                <w:rFonts w:cs="Calibri"/>
              </w:rPr>
            </w:pPr>
          </w:p>
        </w:tc>
        <w:tc>
          <w:tcPr>
            <w:tcW w:w="576" w:type="dxa"/>
            <w:shd w:val="clear" w:color="auto" w:fill="auto"/>
            <w:vAlign w:val="center"/>
          </w:tcPr>
          <w:p w14:paraId="79C22595" w14:textId="77777777" w:rsidR="008B0D1E" w:rsidRPr="00DD47DF" w:rsidRDefault="008B0D1E" w:rsidP="008B0D1E">
            <w:pPr>
              <w:pStyle w:val="Tabulka"/>
              <w:rPr>
                <w:rFonts w:cs="Calibri"/>
              </w:rPr>
            </w:pPr>
          </w:p>
        </w:tc>
        <w:tc>
          <w:tcPr>
            <w:tcW w:w="1756" w:type="dxa"/>
            <w:shd w:val="clear" w:color="auto" w:fill="auto"/>
            <w:vAlign w:val="center"/>
          </w:tcPr>
          <w:p w14:paraId="2828CDF3" w14:textId="77777777" w:rsidR="008B0D1E" w:rsidRPr="00DD47DF" w:rsidRDefault="008B0D1E" w:rsidP="008B0D1E">
            <w:pPr>
              <w:pStyle w:val="Tabulka"/>
              <w:jc w:val="right"/>
              <w:rPr>
                <w:rFonts w:cs="Calibri"/>
              </w:rPr>
            </w:pPr>
          </w:p>
        </w:tc>
      </w:tr>
      <w:tr w:rsidR="008B0D1E" w:rsidRPr="00DD47DF" w14:paraId="59EC7E5B" w14:textId="77777777">
        <w:tc>
          <w:tcPr>
            <w:tcW w:w="624" w:type="dxa"/>
            <w:shd w:val="clear" w:color="auto" w:fill="auto"/>
            <w:vAlign w:val="center"/>
          </w:tcPr>
          <w:p w14:paraId="64998EC7" w14:textId="54C111EC" w:rsidR="008B0D1E" w:rsidRPr="00DD47DF" w:rsidRDefault="008B0D1E" w:rsidP="008B0D1E">
            <w:pPr>
              <w:pStyle w:val="Tabulka"/>
              <w:rPr>
                <w:rFonts w:cs="Calibri"/>
              </w:rPr>
            </w:pPr>
            <w:r w:rsidRPr="00DD47DF">
              <w:rPr>
                <w:rFonts w:cs="Calibri"/>
              </w:rPr>
              <w:t>068</w:t>
            </w:r>
          </w:p>
        </w:tc>
        <w:tc>
          <w:tcPr>
            <w:tcW w:w="1707" w:type="dxa"/>
            <w:shd w:val="clear" w:color="auto" w:fill="auto"/>
            <w:vAlign w:val="center"/>
          </w:tcPr>
          <w:p w14:paraId="7207595B" w14:textId="1FC5AD19" w:rsidR="008B0D1E" w:rsidRPr="00DD47DF" w:rsidRDefault="002439D2" w:rsidP="008B0D1E">
            <w:pPr>
              <w:pStyle w:val="Tabulka"/>
              <w:jc w:val="right"/>
              <w:rPr>
                <w:rFonts w:cs="Calibri"/>
              </w:rPr>
            </w:pPr>
            <w:r w:rsidRPr="002439D2">
              <w:rPr>
                <w:rFonts w:cs="Calibri"/>
              </w:rPr>
              <w:t>228 933 707</w:t>
            </w:r>
          </w:p>
        </w:tc>
        <w:tc>
          <w:tcPr>
            <w:tcW w:w="561" w:type="dxa"/>
            <w:shd w:val="clear" w:color="auto" w:fill="auto"/>
            <w:vAlign w:val="center"/>
          </w:tcPr>
          <w:p w14:paraId="1EFBFBEF" w14:textId="77777777" w:rsidR="008B0D1E" w:rsidRPr="00DD47DF" w:rsidRDefault="008B0D1E" w:rsidP="008B0D1E">
            <w:pPr>
              <w:pStyle w:val="Tabulka"/>
              <w:rPr>
                <w:rFonts w:cs="Calibri"/>
              </w:rPr>
            </w:pPr>
          </w:p>
        </w:tc>
        <w:tc>
          <w:tcPr>
            <w:tcW w:w="1771" w:type="dxa"/>
            <w:shd w:val="clear" w:color="auto" w:fill="auto"/>
            <w:vAlign w:val="center"/>
          </w:tcPr>
          <w:p w14:paraId="43FCCDAD" w14:textId="77777777" w:rsidR="008B0D1E" w:rsidRPr="00DD47DF" w:rsidRDefault="008B0D1E" w:rsidP="008B0D1E">
            <w:pPr>
              <w:pStyle w:val="Tabulka"/>
              <w:jc w:val="right"/>
              <w:rPr>
                <w:rFonts w:cs="Calibri"/>
              </w:rPr>
            </w:pPr>
          </w:p>
        </w:tc>
        <w:tc>
          <w:tcPr>
            <w:tcW w:w="639" w:type="dxa"/>
            <w:shd w:val="clear" w:color="auto" w:fill="auto"/>
            <w:vAlign w:val="center"/>
          </w:tcPr>
          <w:p w14:paraId="546B351F" w14:textId="77777777" w:rsidR="008B0D1E" w:rsidRPr="00DD47DF" w:rsidRDefault="008B0D1E" w:rsidP="008B0D1E">
            <w:pPr>
              <w:pStyle w:val="Tabulka"/>
              <w:rPr>
                <w:rFonts w:cs="Calibri"/>
              </w:rPr>
            </w:pPr>
          </w:p>
        </w:tc>
        <w:tc>
          <w:tcPr>
            <w:tcW w:w="1692" w:type="dxa"/>
            <w:shd w:val="clear" w:color="auto" w:fill="auto"/>
            <w:vAlign w:val="center"/>
          </w:tcPr>
          <w:p w14:paraId="2FE1C6D8" w14:textId="77777777" w:rsidR="008B0D1E" w:rsidRPr="00DD47DF" w:rsidRDefault="008B0D1E" w:rsidP="008B0D1E">
            <w:pPr>
              <w:pStyle w:val="Tabulka"/>
              <w:jc w:val="right"/>
              <w:rPr>
                <w:rFonts w:cs="Calibri"/>
              </w:rPr>
            </w:pPr>
          </w:p>
        </w:tc>
        <w:tc>
          <w:tcPr>
            <w:tcW w:w="576" w:type="dxa"/>
            <w:shd w:val="clear" w:color="auto" w:fill="auto"/>
            <w:vAlign w:val="center"/>
          </w:tcPr>
          <w:p w14:paraId="03962B7B" w14:textId="77777777" w:rsidR="008B0D1E" w:rsidRPr="00DD47DF" w:rsidRDefault="008B0D1E" w:rsidP="008B0D1E">
            <w:pPr>
              <w:pStyle w:val="Tabulka"/>
              <w:rPr>
                <w:rFonts w:cs="Calibri"/>
              </w:rPr>
            </w:pPr>
          </w:p>
        </w:tc>
        <w:tc>
          <w:tcPr>
            <w:tcW w:w="1756" w:type="dxa"/>
            <w:shd w:val="clear" w:color="auto" w:fill="auto"/>
            <w:vAlign w:val="center"/>
          </w:tcPr>
          <w:p w14:paraId="330ECD73" w14:textId="77777777" w:rsidR="008B0D1E" w:rsidRPr="00DD47DF" w:rsidRDefault="008B0D1E" w:rsidP="008B0D1E">
            <w:pPr>
              <w:pStyle w:val="Tabulka"/>
              <w:jc w:val="right"/>
              <w:rPr>
                <w:rFonts w:cs="Calibri"/>
              </w:rPr>
            </w:pPr>
          </w:p>
        </w:tc>
      </w:tr>
      <w:tr w:rsidR="008B0D1E" w:rsidRPr="00DD47DF" w14:paraId="017CBB11" w14:textId="77777777">
        <w:tc>
          <w:tcPr>
            <w:tcW w:w="624" w:type="dxa"/>
            <w:shd w:val="clear" w:color="auto" w:fill="auto"/>
            <w:vAlign w:val="center"/>
          </w:tcPr>
          <w:p w14:paraId="77B466F7" w14:textId="676193AB" w:rsidR="008B0D1E" w:rsidRPr="00DD47DF" w:rsidRDefault="008B0D1E" w:rsidP="008B0D1E">
            <w:pPr>
              <w:pStyle w:val="Tabulka"/>
              <w:rPr>
                <w:rFonts w:cs="Calibri"/>
              </w:rPr>
            </w:pPr>
            <w:r w:rsidRPr="00DD47DF">
              <w:rPr>
                <w:rFonts w:cs="Calibri"/>
              </w:rPr>
              <w:t>069</w:t>
            </w:r>
          </w:p>
        </w:tc>
        <w:tc>
          <w:tcPr>
            <w:tcW w:w="1707" w:type="dxa"/>
            <w:shd w:val="clear" w:color="auto" w:fill="auto"/>
            <w:vAlign w:val="center"/>
          </w:tcPr>
          <w:p w14:paraId="5EDF142E" w14:textId="7D8E68B4" w:rsidR="008B0D1E" w:rsidRPr="001A705B" w:rsidRDefault="002439D2" w:rsidP="008B0D1E">
            <w:pPr>
              <w:pStyle w:val="Tabulka"/>
              <w:jc w:val="right"/>
              <w:rPr>
                <w:rFonts w:cs="Calibri"/>
              </w:rPr>
            </w:pPr>
            <w:r w:rsidRPr="002439D2">
              <w:rPr>
                <w:color w:val="000000"/>
              </w:rPr>
              <w:t>44 775 621</w:t>
            </w:r>
          </w:p>
        </w:tc>
        <w:tc>
          <w:tcPr>
            <w:tcW w:w="561" w:type="dxa"/>
            <w:shd w:val="clear" w:color="auto" w:fill="auto"/>
            <w:vAlign w:val="center"/>
          </w:tcPr>
          <w:p w14:paraId="2F160BB1" w14:textId="77777777" w:rsidR="008B0D1E" w:rsidRPr="00DD47DF" w:rsidRDefault="008B0D1E" w:rsidP="008B0D1E">
            <w:pPr>
              <w:pStyle w:val="Tabulka"/>
              <w:rPr>
                <w:rFonts w:cs="Calibri"/>
              </w:rPr>
            </w:pPr>
          </w:p>
        </w:tc>
        <w:tc>
          <w:tcPr>
            <w:tcW w:w="1771" w:type="dxa"/>
            <w:shd w:val="clear" w:color="auto" w:fill="auto"/>
            <w:vAlign w:val="center"/>
          </w:tcPr>
          <w:p w14:paraId="7BCB5D1D" w14:textId="77777777" w:rsidR="008B0D1E" w:rsidRPr="00DD47DF" w:rsidRDefault="008B0D1E" w:rsidP="008B0D1E">
            <w:pPr>
              <w:pStyle w:val="Tabulka"/>
              <w:jc w:val="right"/>
              <w:rPr>
                <w:rFonts w:cs="Calibri"/>
              </w:rPr>
            </w:pPr>
          </w:p>
        </w:tc>
        <w:tc>
          <w:tcPr>
            <w:tcW w:w="639" w:type="dxa"/>
            <w:shd w:val="clear" w:color="auto" w:fill="auto"/>
            <w:vAlign w:val="center"/>
          </w:tcPr>
          <w:p w14:paraId="43C01D3E" w14:textId="77777777" w:rsidR="008B0D1E" w:rsidRPr="00DD47DF" w:rsidRDefault="008B0D1E" w:rsidP="008B0D1E">
            <w:pPr>
              <w:pStyle w:val="Tabulka"/>
              <w:rPr>
                <w:rFonts w:cs="Calibri"/>
              </w:rPr>
            </w:pPr>
          </w:p>
        </w:tc>
        <w:tc>
          <w:tcPr>
            <w:tcW w:w="1692" w:type="dxa"/>
            <w:shd w:val="clear" w:color="auto" w:fill="auto"/>
            <w:vAlign w:val="center"/>
          </w:tcPr>
          <w:p w14:paraId="3C2EA92B" w14:textId="77777777" w:rsidR="008B0D1E" w:rsidRPr="00DD47DF" w:rsidRDefault="008B0D1E" w:rsidP="008B0D1E">
            <w:pPr>
              <w:pStyle w:val="Tabulka"/>
              <w:jc w:val="right"/>
              <w:rPr>
                <w:rFonts w:cs="Calibri"/>
              </w:rPr>
            </w:pPr>
          </w:p>
        </w:tc>
        <w:tc>
          <w:tcPr>
            <w:tcW w:w="576" w:type="dxa"/>
            <w:shd w:val="clear" w:color="auto" w:fill="auto"/>
            <w:vAlign w:val="center"/>
          </w:tcPr>
          <w:p w14:paraId="651CA1B3" w14:textId="77777777" w:rsidR="008B0D1E" w:rsidRPr="00DD47DF" w:rsidRDefault="008B0D1E" w:rsidP="008B0D1E">
            <w:pPr>
              <w:pStyle w:val="Tabulka"/>
              <w:rPr>
                <w:rFonts w:cs="Calibri"/>
              </w:rPr>
            </w:pPr>
          </w:p>
        </w:tc>
        <w:tc>
          <w:tcPr>
            <w:tcW w:w="1756" w:type="dxa"/>
            <w:shd w:val="clear" w:color="auto" w:fill="auto"/>
            <w:vAlign w:val="center"/>
          </w:tcPr>
          <w:p w14:paraId="16742A05" w14:textId="77777777" w:rsidR="008B0D1E" w:rsidRPr="00DD47DF" w:rsidRDefault="008B0D1E" w:rsidP="008B0D1E">
            <w:pPr>
              <w:pStyle w:val="Tabulka"/>
              <w:jc w:val="right"/>
              <w:rPr>
                <w:rFonts w:cs="Calibri"/>
              </w:rPr>
            </w:pPr>
          </w:p>
        </w:tc>
      </w:tr>
      <w:tr w:rsidR="008B0D1E" w:rsidRPr="00DD47DF" w14:paraId="5A10C8CF" w14:textId="77777777">
        <w:tc>
          <w:tcPr>
            <w:tcW w:w="624" w:type="dxa"/>
            <w:shd w:val="clear" w:color="auto" w:fill="auto"/>
            <w:vAlign w:val="center"/>
          </w:tcPr>
          <w:p w14:paraId="292125F6" w14:textId="12F41022" w:rsidR="008B0D1E" w:rsidRPr="00DD47DF" w:rsidRDefault="008B0D1E" w:rsidP="008B0D1E">
            <w:pPr>
              <w:pStyle w:val="Tabulka"/>
              <w:rPr>
                <w:rFonts w:cs="Calibri"/>
              </w:rPr>
            </w:pPr>
            <w:r w:rsidRPr="00DD47DF">
              <w:rPr>
                <w:rFonts w:cs="Calibri"/>
              </w:rPr>
              <w:t>070</w:t>
            </w:r>
          </w:p>
        </w:tc>
        <w:tc>
          <w:tcPr>
            <w:tcW w:w="1707" w:type="dxa"/>
            <w:shd w:val="clear" w:color="auto" w:fill="auto"/>
            <w:vAlign w:val="center"/>
          </w:tcPr>
          <w:p w14:paraId="77BA1D57" w14:textId="5B53AC50" w:rsidR="008B0D1E" w:rsidRPr="001A705B" w:rsidRDefault="002439D2" w:rsidP="008B0D1E">
            <w:pPr>
              <w:pStyle w:val="Tabulka"/>
              <w:jc w:val="right"/>
              <w:rPr>
                <w:rFonts w:cs="Calibri"/>
              </w:rPr>
            </w:pPr>
            <w:r w:rsidRPr="002439D2">
              <w:rPr>
                <w:rFonts w:cs="Calibri"/>
              </w:rPr>
              <w:t>328 400 559</w:t>
            </w:r>
          </w:p>
        </w:tc>
        <w:tc>
          <w:tcPr>
            <w:tcW w:w="561" w:type="dxa"/>
            <w:shd w:val="clear" w:color="auto" w:fill="auto"/>
            <w:vAlign w:val="center"/>
          </w:tcPr>
          <w:p w14:paraId="3A04892E" w14:textId="77777777" w:rsidR="008B0D1E" w:rsidRPr="00DD47DF" w:rsidRDefault="008B0D1E" w:rsidP="008B0D1E">
            <w:pPr>
              <w:pStyle w:val="Tabulka"/>
              <w:rPr>
                <w:rFonts w:cs="Calibri"/>
              </w:rPr>
            </w:pPr>
          </w:p>
        </w:tc>
        <w:tc>
          <w:tcPr>
            <w:tcW w:w="1771" w:type="dxa"/>
            <w:shd w:val="clear" w:color="auto" w:fill="auto"/>
            <w:vAlign w:val="center"/>
          </w:tcPr>
          <w:p w14:paraId="5B0F819A" w14:textId="77777777" w:rsidR="008B0D1E" w:rsidRPr="00DD47DF" w:rsidRDefault="008B0D1E" w:rsidP="008B0D1E">
            <w:pPr>
              <w:pStyle w:val="Tabulka"/>
              <w:jc w:val="right"/>
              <w:rPr>
                <w:rFonts w:cs="Calibri"/>
              </w:rPr>
            </w:pPr>
          </w:p>
        </w:tc>
        <w:tc>
          <w:tcPr>
            <w:tcW w:w="639" w:type="dxa"/>
            <w:shd w:val="clear" w:color="auto" w:fill="auto"/>
            <w:vAlign w:val="center"/>
          </w:tcPr>
          <w:p w14:paraId="7CEBCD41" w14:textId="77777777" w:rsidR="008B0D1E" w:rsidRPr="00DD47DF" w:rsidRDefault="008B0D1E" w:rsidP="008B0D1E">
            <w:pPr>
              <w:pStyle w:val="Tabulka"/>
              <w:rPr>
                <w:rFonts w:cs="Calibri"/>
              </w:rPr>
            </w:pPr>
          </w:p>
        </w:tc>
        <w:tc>
          <w:tcPr>
            <w:tcW w:w="1692" w:type="dxa"/>
            <w:shd w:val="clear" w:color="auto" w:fill="auto"/>
            <w:vAlign w:val="center"/>
          </w:tcPr>
          <w:p w14:paraId="7D2E2E6C" w14:textId="77777777" w:rsidR="008B0D1E" w:rsidRPr="00DD47DF" w:rsidRDefault="008B0D1E" w:rsidP="008B0D1E">
            <w:pPr>
              <w:pStyle w:val="Tabulka"/>
              <w:jc w:val="right"/>
              <w:rPr>
                <w:rFonts w:cs="Calibri"/>
              </w:rPr>
            </w:pPr>
          </w:p>
        </w:tc>
        <w:tc>
          <w:tcPr>
            <w:tcW w:w="576" w:type="dxa"/>
            <w:shd w:val="clear" w:color="auto" w:fill="auto"/>
            <w:vAlign w:val="center"/>
          </w:tcPr>
          <w:p w14:paraId="6FB7D028" w14:textId="77777777" w:rsidR="008B0D1E" w:rsidRPr="00DD47DF" w:rsidRDefault="008B0D1E" w:rsidP="008B0D1E">
            <w:pPr>
              <w:pStyle w:val="Tabulka"/>
              <w:rPr>
                <w:rFonts w:cs="Calibri"/>
              </w:rPr>
            </w:pPr>
          </w:p>
        </w:tc>
        <w:tc>
          <w:tcPr>
            <w:tcW w:w="1756" w:type="dxa"/>
            <w:shd w:val="clear" w:color="auto" w:fill="auto"/>
            <w:vAlign w:val="center"/>
          </w:tcPr>
          <w:p w14:paraId="79B97029" w14:textId="77777777" w:rsidR="008B0D1E" w:rsidRPr="00DD47DF" w:rsidRDefault="008B0D1E" w:rsidP="008B0D1E">
            <w:pPr>
              <w:pStyle w:val="Tabulka"/>
              <w:jc w:val="right"/>
              <w:rPr>
                <w:rFonts w:cs="Calibri"/>
              </w:rPr>
            </w:pPr>
          </w:p>
        </w:tc>
      </w:tr>
    </w:tbl>
    <w:p w14:paraId="60B85122" w14:textId="77777777" w:rsidR="00B53995" w:rsidRPr="00DD47DF" w:rsidRDefault="00B53995" w:rsidP="00DA3512">
      <w:pPr>
        <w:pStyle w:val="kapitola2A0"/>
        <w:numPr>
          <w:ilvl w:val="2"/>
          <w:numId w:val="68"/>
        </w:numPr>
      </w:pPr>
      <w:bookmarkStart w:id="88" w:name="_Toc351464403"/>
      <w:bookmarkStart w:id="89" w:name="_Toc129005420"/>
      <w:r w:rsidRPr="00DD47DF">
        <w:t>Přehled plánovaného využití technické pomoci, je-li to nutné, včetně opatření na posílení správní kapacity orgánů zapojených do řízení a kontroly programů a příjemců (použije-li se)</w:t>
      </w:r>
      <w:bookmarkEnd w:id="89"/>
    </w:p>
    <w:p w14:paraId="1A0D6AA8" w14:textId="77777777" w:rsidR="000373F5" w:rsidRPr="00DD47DF" w:rsidRDefault="006F58B4" w:rsidP="000373F5">
      <w:pPr>
        <w:pStyle w:val="Standardntext"/>
        <w:rPr>
          <w:color w:val="FF0000"/>
        </w:rPr>
      </w:pPr>
      <w:r w:rsidRPr="00DD47DF">
        <w:t>Není relevantní pro OP PIK.</w:t>
      </w:r>
    </w:p>
    <w:p w14:paraId="0FC178B0" w14:textId="77777777" w:rsidR="001B7120" w:rsidRPr="00DD47DF" w:rsidRDefault="001B7120" w:rsidP="001B7120">
      <w:pPr>
        <w:pStyle w:val="Standardntext"/>
        <w:rPr>
          <w:color w:val="FF0000"/>
        </w:rPr>
      </w:pPr>
      <w:r w:rsidRPr="00DD47DF">
        <w:rPr>
          <w:color w:val="FF0000"/>
        </w:rPr>
        <w:br w:type="page"/>
      </w:r>
    </w:p>
    <w:p w14:paraId="0C3FC09F" w14:textId="77777777" w:rsidR="00B53995" w:rsidRPr="00DD47DF" w:rsidRDefault="00B53995" w:rsidP="005F43DF">
      <w:pPr>
        <w:pStyle w:val="kapitola2A0"/>
        <w:numPr>
          <w:ilvl w:val="2"/>
          <w:numId w:val="25"/>
        </w:numPr>
      </w:pPr>
      <w:bookmarkStart w:id="90" w:name="_Toc351464405"/>
      <w:bookmarkStart w:id="91" w:name="_Toc129005421"/>
      <w:bookmarkEnd w:id="88"/>
      <w:r w:rsidRPr="00DD47DF">
        <w:lastRenderedPageBreak/>
        <w:t>PRIORITNÍ OSA 4: Rozvoj vysokorychlostních přístupových sítí k internetu a informačních a komunikačních technologií</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B53995" w:rsidRPr="00DD47DF" w14:paraId="37110E0E" w14:textId="77777777">
        <w:tc>
          <w:tcPr>
            <w:tcW w:w="4736" w:type="pct"/>
            <w:shd w:val="clear" w:color="auto" w:fill="auto"/>
            <w:vAlign w:val="center"/>
          </w:tcPr>
          <w:p w14:paraId="04CD4E96" w14:textId="77777777" w:rsidR="00B53995" w:rsidRPr="00DD47DF" w:rsidRDefault="00B53995" w:rsidP="00B53995">
            <w:pPr>
              <w:pStyle w:val="Tabulka"/>
              <w:jc w:val="left"/>
              <w:rPr>
                <w:rFonts w:cs="Calibri"/>
              </w:rPr>
            </w:pPr>
            <w:r w:rsidRPr="00DD47DF">
              <w:rPr>
                <w:rFonts w:cs="Calibri"/>
              </w:rPr>
              <w:t>Celá prioritní osa bude realizována výhradně prostřednictvím finančních nástrojů</w:t>
            </w:r>
          </w:p>
        </w:tc>
        <w:tc>
          <w:tcPr>
            <w:tcW w:w="264" w:type="pct"/>
            <w:shd w:val="clear" w:color="auto" w:fill="auto"/>
            <w:vAlign w:val="center"/>
          </w:tcPr>
          <w:p w14:paraId="534C7428"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r w:rsidR="00B53995" w:rsidRPr="00DD47DF" w14:paraId="2F53514F" w14:textId="77777777">
        <w:tc>
          <w:tcPr>
            <w:tcW w:w="4736" w:type="pct"/>
            <w:shd w:val="clear" w:color="auto" w:fill="auto"/>
            <w:vAlign w:val="center"/>
          </w:tcPr>
          <w:p w14:paraId="2454FBAA" w14:textId="77777777" w:rsidR="00B53995" w:rsidRPr="00DD47DF" w:rsidRDefault="00B53995" w:rsidP="00B53995">
            <w:pPr>
              <w:pStyle w:val="Tabulka"/>
              <w:jc w:val="left"/>
              <w:rPr>
                <w:rFonts w:cs="Calibri"/>
              </w:rPr>
            </w:pPr>
            <w:r w:rsidRPr="00DD47DF">
              <w:rPr>
                <w:rFonts w:cs="Calibri"/>
              </w:rPr>
              <w:t>Celá prioritní osa bude realizována výhradně prostřednictvím finančních nástrojů zřízených na úrovni Unie</w:t>
            </w:r>
          </w:p>
        </w:tc>
        <w:tc>
          <w:tcPr>
            <w:tcW w:w="264" w:type="pct"/>
            <w:shd w:val="clear" w:color="auto" w:fill="auto"/>
            <w:vAlign w:val="center"/>
          </w:tcPr>
          <w:p w14:paraId="6B4774A8"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r w:rsidR="00B53995" w:rsidRPr="00DD47DF" w14:paraId="220501FA" w14:textId="77777777">
        <w:tc>
          <w:tcPr>
            <w:tcW w:w="4736" w:type="pct"/>
            <w:shd w:val="clear" w:color="auto" w:fill="auto"/>
            <w:vAlign w:val="center"/>
          </w:tcPr>
          <w:p w14:paraId="2A631C57" w14:textId="77777777" w:rsidR="00B53995" w:rsidRPr="00DD47DF" w:rsidRDefault="00B53995" w:rsidP="00B53995">
            <w:pPr>
              <w:pStyle w:val="Tabulka"/>
              <w:jc w:val="left"/>
              <w:rPr>
                <w:rFonts w:cs="Calibri"/>
              </w:rPr>
            </w:pPr>
            <w:r w:rsidRPr="00DD47DF">
              <w:rPr>
                <w:rFonts w:cs="Calibri"/>
              </w:rPr>
              <w:t>Celá prioritní osa bude realizována výhradně prostřednictvím komunitně vedeného místního rozvoje</w:t>
            </w:r>
          </w:p>
        </w:tc>
        <w:tc>
          <w:tcPr>
            <w:tcW w:w="264" w:type="pct"/>
            <w:shd w:val="clear" w:color="auto" w:fill="auto"/>
            <w:vAlign w:val="center"/>
          </w:tcPr>
          <w:p w14:paraId="37430AE0" w14:textId="77777777" w:rsidR="00B53995" w:rsidRPr="00DD47DF" w:rsidRDefault="002756E7" w:rsidP="00B53995">
            <w:pPr>
              <w:pStyle w:val="Tabulka"/>
              <w:rPr>
                <w:rFonts w:cs="Calibri"/>
              </w:rPr>
            </w:pPr>
            <w:r w:rsidRPr="00DD47DF">
              <w:rPr>
                <w:rFonts w:cs="Calibri"/>
              </w:rPr>
              <w:fldChar w:fldCharType="begin">
                <w:ffData>
                  <w:name w:val="Check1"/>
                  <w:enabled/>
                  <w:calcOnExit w:val="0"/>
                  <w:checkBox>
                    <w:sizeAuto/>
                    <w:default w:val="0"/>
                  </w:checkBox>
                </w:ffData>
              </w:fldChar>
            </w:r>
            <w:r w:rsidR="00B53995" w:rsidRPr="00DD47DF">
              <w:rPr>
                <w:rFonts w:cs="Calibri"/>
              </w:rPr>
              <w:instrText xml:space="preserve"> FORMCHECKBOX </w:instrText>
            </w:r>
            <w:r w:rsidR="00013622">
              <w:rPr>
                <w:rFonts w:cs="Calibri"/>
              </w:rPr>
            </w:r>
            <w:r w:rsidR="00013622">
              <w:rPr>
                <w:rFonts w:cs="Calibri"/>
              </w:rPr>
              <w:fldChar w:fldCharType="separate"/>
            </w:r>
            <w:r w:rsidRPr="00DD47DF">
              <w:rPr>
                <w:rFonts w:cs="Calibri"/>
              </w:rPr>
              <w:fldChar w:fldCharType="end"/>
            </w:r>
          </w:p>
        </w:tc>
      </w:tr>
    </w:tbl>
    <w:p w14:paraId="35299C0D" w14:textId="77777777" w:rsidR="00B53995" w:rsidRPr="00DD47DF" w:rsidRDefault="00B53995" w:rsidP="005F43DF">
      <w:pPr>
        <w:pStyle w:val="kapitola2A0"/>
        <w:numPr>
          <w:ilvl w:val="2"/>
          <w:numId w:val="25"/>
        </w:numPr>
      </w:pPr>
      <w:bookmarkStart w:id="92" w:name="_Toc129005422"/>
      <w:r w:rsidRPr="00DD47DF">
        <w:t>Odůvodnění pro vytvoření prioritní osy, která zahrnuje více než jednu kategorii regionů nebo více než jeden tematický cíl či fond (použije-li se)</w:t>
      </w:r>
      <w:bookmarkEnd w:id="92"/>
    </w:p>
    <w:p w14:paraId="18547C76" w14:textId="77777777" w:rsidR="00B53995" w:rsidRPr="00DD47DF" w:rsidRDefault="00B53995" w:rsidP="00B53995">
      <w:pPr>
        <w:pStyle w:val="Standardntext"/>
      </w:pPr>
      <w:r w:rsidRPr="00DD47DF">
        <w:t>Není relevantní pro OP PIK.</w:t>
      </w:r>
    </w:p>
    <w:p w14:paraId="7C377742" w14:textId="77777777" w:rsidR="00B53995" w:rsidRPr="00DD47DF" w:rsidRDefault="00B53995" w:rsidP="005F43DF">
      <w:pPr>
        <w:pStyle w:val="kapitola2A0"/>
        <w:numPr>
          <w:ilvl w:val="2"/>
          <w:numId w:val="25"/>
        </w:numPr>
      </w:pPr>
      <w:bookmarkStart w:id="93" w:name="_Toc129005423"/>
      <w:r w:rsidRPr="00DD47DF">
        <w:t>Fond, kategorie regionů a základ pro výpočet podpory Unie</w:t>
      </w:r>
      <w:bookmarkEnd w:id="93"/>
    </w:p>
    <w:p w14:paraId="76E7083F" w14:textId="77777777" w:rsidR="00B53995" w:rsidRPr="00DD47DF" w:rsidRDefault="00B53995" w:rsidP="00B53995">
      <w:pPr>
        <w:pStyle w:val="Standardntext"/>
      </w:pPr>
      <w:r w:rsidRPr="00DD47DF">
        <w:t>Fond: Evropský fond pro regionální rozvoj</w:t>
      </w:r>
    </w:p>
    <w:p w14:paraId="18346109" w14:textId="77777777" w:rsidR="00B53995" w:rsidRPr="00DD47DF" w:rsidRDefault="00B53995" w:rsidP="00B53995">
      <w:pPr>
        <w:pStyle w:val="Standardntext"/>
      </w:pPr>
      <w:r w:rsidRPr="00DD47DF">
        <w:t>Kategorie regionů: Méně rozvinuté regiony</w:t>
      </w:r>
    </w:p>
    <w:p w14:paraId="2C7B4B65" w14:textId="77777777" w:rsidR="00B53995" w:rsidRPr="00DD47DF" w:rsidRDefault="008668C8" w:rsidP="00B53995">
      <w:pPr>
        <w:pStyle w:val="Standardntext"/>
      </w:pPr>
      <w:r w:rsidRPr="00DD47DF">
        <w:t xml:space="preserve">Základ pro výpočet: </w:t>
      </w:r>
      <w:r w:rsidR="009B6147" w:rsidRPr="00DD47DF">
        <w:t>celkové způsobilé výdaje</w:t>
      </w:r>
    </w:p>
    <w:p w14:paraId="11083337" w14:textId="77777777" w:rsidR="00B53995" w:rsidRPr="00DD47DF" w:rsidRDefault="00B53995" w:rsidP="005F43DF">
      <w:pPr>
        <w:pStyle w:val="kapitola2A0"/>
        <w:numPr>
          <w:ilvl w:val="2"/>
          <w:numId w:val="25"/>
        </w:numPr>
      </w:pPr>
      <w:bookmarkStart w:id="94" w:name="_Toc129005424"/>
      <w:r w:rsidRPr="00DD47DF">
        <w:t>INVESTIČNÍ PRIORITA 1 prioritní osy 4: Rozšiřování širokopásmového připojení a zavádění vysokorychlostních sítí a podpora zavádění vznikajících technologií a sítí pro digitální hospodářství</w:t>
      </w:r>
      <w:bookmarkEnd w:id="94"/>
    </w:p>
    <w:p w14:paraId="02A19070" w14:textId="77777777" w:rsidR="00150199" w:rsidRPr="00DD47DF" w:rsidRDefault="008C7D72" w:rsidP="005F43DF">
      <w:pPr>
        <w:pStyle w:val="kapitola2A0"/>
        <w:numPr>
          <w:ilvl w:val="2"/>
          <w:numId w:val="25"/>
        </w:numPr>
      </w:pPr>
      <w:bookmarkStart w:id="95" w:name="_Toc129005425"/>
      <w:r w:rsidRPr="00DD47DF">
        <w:t>Specifické cíle odpovídající investiční prioritě a očekávané výsledky</w:t>
      </w:r>
      <w:bookmarkEnd w:id="95"/>
    </w:p>
    <w:p w14:paraId="0B2EC8CC" w14:textId="77777777" w:rsidR="00150199" w:rsidRPr="00DD47DF" w:rsidRDefault="00150199" w:rsidP="00396141">
      <w:pPr>
        <w:pStyle w:val="Modrnadpis"/>
      </w:pPr>
      <w:r w:rsidRPr="00DD47DF">
        <w:t xml:space="preserve">SPECIFICKÝ CÍL </w:t>
      </w:r>
      <w:r w:rsidR="00C71E6F" w:rsidRPr="00DD47DF">
        <w:t>4.</w:t>
      </w:r>
      <w:r w:rsidRPr="00DD47DF">
        <w:t>1: Zvětš</w:t>
      </w:r>
      <w:r w:rsidR="00771951" w:rsidRPr="00DD47DF">
        <w:t xml:space="preserve">it </w:t>
      </w:r>
      <w:r w:rsidRPr="00DD47DF">
        <w:t xml:space="preserve">pokrytí vysokorychlostním přístupem k internetu </w:t>
      </w:r>
    </w:p>
    <w:bookmarkEnd w:id="90"/>
    <w:p w14:paraId="1CD9DEC1" w14:textId="77777777" w:rsidR="00FF3BA2" w:rsidRPr="00DD47DF" w:rsidRDefault="00FF3BA2" w:rsidP="009836D4">
      <w:pPr>
        <w:pStyle w:val="Standardntext"/>
      </w:pPr>
      <w:r w:rsidRPr="00DD47DF">
        <w:t xml:space="preserve">Sítě pro vysokorychlostní přístup k internetu </w:t>
      </w:r>
      <w:r w:rsidR="003F0354" w:rsidRPr="00DD47DF">
        <w:t>umožňující přenosovou rychlost alespoň 30 Mbit/s</w:t>
      </w:r>
      <w:r w:rsidRPr="00DD47DF">
        <w:t xml:space="preserve"> patří mezi základní infrastrukturu státu a jsou významným komunikačním prostředkem moderního hospodářství, nepostradatelným nástrojem znalostní společnosti, v níž se uskutečňuje dělba práce a která se orientuje na produkci služeb s</w:t>
      </w:r>
      <w:r w:rsidR="007408D9" w:rsidRPr="00DD47DF">
        <w:t> </w:t>
      </w:r>
      <w:r w:rsidRPr="00DD47DF">
        <w:t>vysokou</w:t>
      </w:r>
      <w:r w:rsidR="007408D9" w:rsidRPr="00DD47DF">
        <w:t xml:space="preserve"> přidanou</w:t>
      </w:r>
      <w:r w:rsidRPr="00DD47DF">
        <w:t xml:space="preserve"> hodnotou. </w:t>
      </w:r>
      <w:r w:rsidR="00FF329A" w:rsidRPr="00DD47DF">
        <w:t>Hlavním cílem je růst konkurenceschopnosti ekonomiky založený</w:t>
      </w:r>
      <w:r w:rsidR="002449A8" w:rsidRPr="00DD47DF">
        <w:t xml:space="preserve"> na</w:t>
      </w:r>
      <w:r w:rsidR="00FF329A" w:rsidRPr="00DD47DF">
        <w:t xml:space="preserve"> moderních vysokorychlostních přístupových sítí k internetu.</w:t>
      </w:r>
    </w:p>
    <w:p w14:paraId="6D4355C3" w14:textId="77777777" w:rsidR="003F4488" w:rsidRPr="00DD47DF" w:rsidRDefault="003508A9" w:rsidP="00396141">
      <w:pPr>
        <w:pStyle w:val="Modrnadpis"/>
      </w:pPr>
      <w:r w:rsidRPr="00DD47DF">
        <w:t>Výsledky, kterých chce ČR dosáhnout s podporou Unie</w:t>
      </w:r>
    </w:p>
    <w:p w14:paraId="4B3E0B9E" w14:textId="34065AB2" w:rsidR="00B94C32" w:rsidRPr="00DD47DF" w:rsidRDefault="00DF1FBB" w:rsidP="00FB3387">
      <w:pPr>
        <w:pStyle w:val="Standardntext"/>
        <w:numPr>
          <w:ilvl w:val="0"/>
          <w:numId w:val="36"/>
        </w:numPr>
        <w:rPr>
          <w:sz w:val="20"/>
          <w:szCs w:val="20"/>
        </w:rPr>
      </w:pPr>
      <w:r w:rsidRPr="00DD47DF">
        <w:t>V</w:t>
      </w:r>
      <w:r w:rsidR="00B94C32" w:rsidRPr="00DD47DF">
        <w:t>ybudování dostatečně rozvinuté a dostupné technologické základny v ČR v podobě adekvátní infrastruktury umožňující vysokorychlostní přístup k internetu</w:t>
      </w:r>
      <w:r w:rsidR="00B94C32" w:rsidRPr="00DD47DF">
        <w:rPr>
          <w:color w:val="000000"/>
        </w:rPr>
        <w:t xml:space="preserve"> na území bez stávající možnosti přístupu k vysokorychlostnímu internetu nebo s možností </w:t>
      </w:r>
      <w:r w:rsidR="003F0354" w:rsidRPr="00DD47DF">
        <w:rPr>
          <w:color w:val="000000"/>
        </w:rPr>
        <w:t xml:space="preserve">vysokorychlostního </w:t>
      </w:r>
      <w:r w:rsidR="00B94C32" w:rsidRPr="00DD47DF">
        <w:rPr>
          <w:color w:val="000000"/>
        </w:rPr>
        <w:t>přístupu k internetu prostřednictvím pouze jednoho poskytovatele</w:t>
      </w:r>
      <w:r w:rsidRPr="00DD47DF">
        <w:rPr>
          <w:color w:val="000000"/>
        </w:rPr>
        <w:t>.</w:t>
      </w:r>
    </w:p>
    <w:p w14:paraId="265092AD" w14:textId="77777777" w:rsidR="003F4488" w:rsidRPr="00DD47DF" w:rsidRDefault="00DF1FBB" w:rsidP="00FB3387">
      <w:pPr>
        <w:pStyle w:val="Standardntext"/>
        <w:numPr>
          <w:ilvl w:val="0"/>
          <w:numId w:val="36"/>
        </w:numPr>
        <w:rPr>
          <w:sz w:val="20"/>
          <w:szCs w:val="20"/>
        </w:rPr>
      </w:pPr>
      <w:r w:rsidRPr="00DD47DF">
        <w:rPr>
          <w:color w:val="000000"/>
        </w:rPr>
        <w:t>Z</w:t>
      </w:r>
      <w:r w:rsidR="00B94C32" w:rsidRPr="00DD47DF">
        <w:t>lepšení parametrů této infrastruktury jako jsou rychlost, kapacita a bezpečnost</w:t>
      </w:r>
      <w:r w:rsidR="00DC56C8" w:rsidRPr="00DD47DF">
        <w:t>.</w:t>
      </w:r>
    </w:p>
    <w:p w14:paraId="7C17CE5C" w14:textId="77777777" w:rsidR="005C4BA0" w:rsidRPr="00DD47DF" w:rsidRDefault="00847094" w:rsidP="00FB3387">
      <w:pPr>
        <w:pStyle w:val="Standardntext"/>
        <w:numPr>
          <w:ilvl w:val="0"/>
          <w:numId w:val="36"/>
        </w:numPr>
        <w:rPr>
          <w:color w:val="000000"/>
        </w:rPr>
      </w:pPr>
      <w:r w:rsidRPr="00DD47DF">
        <w:lastRenderedPageBreak/>
        <w:t>Usnadnění rozvoje podnikání a</w:t>
      </w:r>
      <w:r w:rsidR="005C4BA0" w:rsidRPr="00DD47DF">
        <w:t xml:space="preserve"> přístupu ke službám státu </w:t>
      </w:r>
      <w:r w:rsidR="00DC56C8" w:rsidRPr="00DD47DF">
        <w:t>jak pro obyvatelstvo, tak pro podnikatelský sektor. S tím souvisí</w:t>
      </w:r>
      <w:r w:rsidR="005C4BA0" w:rsidRPr="00DD47DF">
        <w:t xml:space="preserve"> </w:t>
      </w:r>
      <w:r w:rsidR="005C4BA0" w:rsidRPr="00DD47DF">
        <w:rPr>
          <w:color w:val="000000"/>
        </w:rPr>
        <w:t xml:space="preserve">růst </w:t>
      </w:r>
      <w:r w:rsidRPr="00DD47DF">
        <w:rPr>
          <w:color w:val="000000"/>
        </w:rPr>
        <w:t>hrubého domácího produktu</w:t>
      </w:r>
      <w:r w:rsidR="00DC56C8" w:rsidRPr="00DD47DF">
        <w:rPr>
          <w:rStyle w:val="Znakapoznpodarou"/>
          <w:color w:val="000000"/>
        </w:rPr>
        <w:footnoteReference w:id="70"/>
      </w:r>
      <w:r w:rsidR="005C4BA0" w:rsidRPr="00DD47DF">
        <w:rPr>
          <w:color w:val="000000"/>
        </w:rPr>
        <w:t xml:space="preserve"> a </w:t>
      </w:r>
      <w:r w:rsidRPr="00DD47DF">
        <w:rPr>
          <w:color w:val="000000"/>
        </w:rPr>
        <w:t xml:space="preserve">zvyšování </w:t>
      </w:r>
      <w:r w:rsidR="005C4BA0" w:rsidRPr="00DD47DF">
        <w:rPr>
          <w:color w:val="000000"/>
        </w:rPr>
        <w:t>zaměstnanosti</w:t>
      </w:r>
      <w:r w:rsidR="00DC56C8" w:rsidRPr="00DD47DF">
        <w:rPr>
          <w:rStyle w:val="Znakapoznpodarou"/>
          <w:color w:val="000000"/>
        </w:rPr>
        <w:footnoteReference w:id="71"/>
      </w:r>
      <w:r w:rsidR="005C4BA0" w:rsidRPr="00DD47DF">
        <w:rPr>
          <w:color w:val="000000"/>
        </w:rPr>
        <w:t xml:space="preserve"> v</w:t>
      </w:r>
      <w:r w:rsidRPr="00DD47DF">
        <w:rPr>
          <w:color w:val="000000"/>
        </w:rPr>
        <w:t> ekonomice jako celku</w:t>
      </w:r>
      <w:r w:rsidR="005C4BA0" w:rsidRPr="00DD47DF">
        <w:rPr>
          <w:color w:val="000000"/>
        </w:rPr>
        <w:t>.</w:t>
      </w:r>
    </w:p>
    <w:p w14:paraId="3854A59F" w14:textId="77777777" w:rsidR="00847094" w:rsidRPr="00DD47DF" w:rsidRDefault="00847094" w:rsidP="00FB3387">
      <w:pPr>
        <w:pStyle w:val="Standardntext"/>
        <w:numPr>
          <w:ilvl w:val="0"/>
          <w:numId w:val="36"/>
        </w:numPr>
        <w:rPr>
          <w:color w:val="000000"/>
        </w:rPr>
      </w:pPr>
      <w:r w:rsidRPr="00DD47DF">
        <w:t>Rozšíření nabídky</w:t>
      </w:r>
      <w:r w:rsidR="006C3009" w:rsidRPr="00DD47DF">
        <w:t xml:space="preserve"> moderních a pokrokových</w:t>
      </w:r>
      <w:r w:rsidRPr="00DD47DF">
        <w:t xml:space="preserve"> digitálních služeb </w:t>
      </w:r>
      <w:r w:rsidR="006C3009" w:rsidRPr="00DD47DF">
        <w:t xml:space="preserve">a aplikací </w:t>
      </w:r>
      <w:r w:rsidRPr="00DD47DF">
        <w:t xml:space="preserve">např. v oblasti komunikace, zábavy, obchodování, vzdělávání, zdravotnictví </w:t>
      </w:r>
      <w:r w:rsidR="006C3009" w:rsidRPr="00DD47DF">
        <w:t>nebo</w:t>
      </w:r>
      <w:r w:rsidRPr="00DD47DF">
        <w:t xml:space="preserve"> přístupu k zaměstnání.</w:t>
      </w:r>
    </w:p>
    <w:p w14:paraId="22628487" w14:textId="77777777" w:rsidR="00A6030D" w:rsidRPr="00DD47DF" w:rsidRDefault="00DF1FBB" w:rsidP="00FB3387">
      <w:pPr>
        <w:pStyle w:val="Standardntext"/>
        <w:numPr>
          <w:ilvl w:val="0"/>
          <w:numId w:val="36"/>
        </w:numPr>
        <w:rPr>
          <w:color w:val="000000"/>
        </w:rPr>
      </w:pPr>
      <w:r w:rsidRPr="00DD47DF">
        <w:rPr>
          <w:color w:val="000000"/>
        </w:rPr>
        <w:t>P</w:t>
      </w:r>
      <w:r w:rsidR="00B94C32" w:rsidRPr="00DD47DF">
        <w:rPr>
          <w:color w:val="000000"/>
        </w:rPr>
        <w:t>řekonání tzv. „digitální propasti“</w:t>
      </w:r>
      <w:r w:rsidR="008A5FCE" w:rsidRPr="00DD47DF">
        <w:rPr>
          <w:color w:val="000000"/>
        </w:rPr>
        <w:t xml:space="preserve"> </w:t>
      </w:r>
      <w:r w:rsidR="008A5FCE" w:rsidRPr="00DD47DF">
        <w:t>mezi městskými a venkovskými oblastmi</w:t>
      </w:r>
      <w:r w:rsidR="00B94C32" w:rsidRPr="00DD47DF">
        <w:rPr>
          <w:color w:val="000000"/>
        </w:rPr>
        <w:t xml:space="preserve"> z hledis</w:t>
      </w:r>
      <w:r w:rsidR="00127389" w:rsidRPr="00DD47DF">
        <w:rPr>
          <w:color w:val="000000"/>
        </w:rPr>
        <w:t>e</w:t>
      </w:r>
      <w:r w:rsidR="00B94C32" w:rsidRPr="00DD47DF">
        <w:rPr>
          <w:color w:val="000000"/>
        </w:rPr>
        <w:t>k</w:t>
      </w:r>
      <w:r w:rsidR="008A5FCE" w:rsidRPr="00DD47DF">
        <w:t>, ve kterých nelze soukromé investice na komerční bázi očekávat</w:t>
      </w:r>
      <w:r w:rsidR="00B94C32" w:rsidRPr="00DD47DF">
        <w:rPr>
          <w:color w:val="000000"/>
        </w:rPr>
        <w:t xml:space="preserve">. </w:t>
      </w:r>
      <w:r w:rsidR="008A5FCE" w:rsidRPr="00DD47DF">
        <w:rPr>
          <w:color w:val="000000"/>
        </w:rPr>
        <w:t>Výsledkem bude</w:t>
      </w:r>
      <w:r w:rsidR="00847094" w:rsidRPr="00DD47DF">
        <w:rPr>
          <w:color w:val="000000"/>
        </w:rPr>
        <w:t xml:space="preserve"> z</w:t>
      </w:r>
      <w:r w:rsidR="00A6030D" w:rsidRPr="00DD47DF">
        <w:t xml:space="preserve">výšení konkurenceschopnosti periferních regionů, které bude </w:t>
      </w:r>
      <w:r w:rsidR="008A5FCE" w:rsidRPr="00DD47DF">
        <w:t xml:space="preserve">současně </w:t>
      </w:r>
      <w:r w:rsidR="00A6030D" w:rsidRPr="00DD47DF">
        <w:t>působit jako prevence proti přemísťování hospodářské činnosti.</w:t>
      </w:r>
    </w:p>
    <w:p w14:paraId="3882F8A0" w14:textId="77777777" w:rsidR="00DF1FBB" w:rsidRPr="00DD47DF" w:rsidRDefault="001D7C5F" w:rsidP="00FB3387">
      <w:pPr>
        <w:pStyle w:val="Standardntext"/>
        <w:numPr>
          <w:ilvl w:val="0"/>
          <w:numId w:val="36"/>
        </w:numPr>
        <w:rPr>
          <w:color w:val="000000"/>
        </w:rPr>
      </w:pPr>
      <w:r w:rsidRPr="00DD47DF">
        <w:rPr>
          <w:color w:val="000000"/>
        </w:rPr>
        <w:t>Zvýšení dostupnosti ICT pro všechny bez ohledu na lokalitu, sociální postavení nebo zdravotní postižení a dále podpora celoživotního vzdělávání za účelem posílení digitální gramotnosti a snazší</w:t>
      </w:r>
      <w:r w:rsidR="00DF1FBB" w:rsidRPr="00DD47DF">
        <w:rPr>
          <w:color w:val="000000"/>
        </w:rPr>
        <w:t xml:space="preserve"> začlenění </w:t>
      </w:r>
      <w:r w:rsidR="008D79C2" w:rsidRPr="00DD47DF">
        <w:rPr>
          <w:color w:val="000000"/>
        </w:rPr>
        <w:t>se</w:t>
      </w:r>
      <w:r w:rsidR="00DF1FBB" w:rsidRPr="00DD47DF">
        <w:rPr>
          <w:color w:val="000000"/>
        </w:rPr>
        <w:t xml:space="preserve"> do informační společnosti.</w:t>
      </w:r>
    </w:p>
    <w:p w14:paraId="1388D3D7" w14:textId="77777777" w:rsidR="00150199" w:rsidRPr="00DD47DF" w:rsidRDefault="00150199" w:rsidP="00EA74FF">
      <w:pPr>
        <w:pStyle w:val="Titulek"/>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217"/>
        <w:gridCol w:w="973"/>
        <w:gridCol w:w="1171"/>
        <w:gridCol w:w="979"/>
        <w:gridCol w:w="912"/>
        <w:gridCol w:w="1021"/>
        <w:gridCol w:w="1263"/>
        <w:gridCol w:w="1126"/>
      </w:tblGrid>
      <w:tr w:rsidR="00E84B36" w:rsidRPr="00DD47DF" w14:paraId="49D0C3BD" w14:textId="77777777">
        <w:trPr>
          <w:trHeight w:hRule="exact" w:val="146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3339E0D" w14:textId="77777777" w:rsidR="00CF739D" w:rsidRPr="00DD47DF" w:rsidRDefault="00CF739D" w:rsidP="00EA74FF">
            <w:pPr>
              <w:pStyle w:val="Tabulka"/>
              <w:rPr>
                <w:rFonts w:cs="Calibri"/>
                <w:b/>
                <w:bCs/>
              </w:rPr>
            </w:pPr>
            <w:r w:rsidRPr="00DD47DF">
              <w:rPr>
                <w:rFonts w:cs="Calibri"/>
                <w:b/>
                <w:bCs/>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6E42FC03" w14:textId="77777777" w:rsidR="00CF739D" w:rsidRPr="00DD47DF" w:rsidRDefault="00CF739D" w:rsidP="00EA74FF">
            <w:pPr>
              <w:pStyle w:val="Tabulka"/>
              <w:rPr>
                <w:rFonts w:cs="Calibri"/>
                <w:b/>
                <w:bCs/>
              </w:rPr>
            </w:pPr>
            <w:r w:rsidRPr="00DD47DF">
              <w:rPr>
                <w:rFonts w:cs="Calibri"/>
                <w:b/>
                <w:bCs/>
              </w:rPr>
              <w:t>Ukazatel</w:t>
            </w:r>
          </w:p>
        </w:tc>
        <w:tc>
          <w:tcPr>
            <w:tcW w:w="97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ACAEE23" w14:textId="77777777" w:rsidR="00CF739D" w:rsidRPr="00DD47DF" w:rsidRDefault="00CF739D" w:rsidP="00E84B36">
            <w:pPr>
              <w:pStyle w:val="Tabulka"/>
              <w:rPr>
                <w:rFonts w:cs="Calibri"/>
                <w:b/>
                <w:bCs/>
              </w:rPr>
            </w:pPr>
            <w:r w:rsidRPr="00DD47DF">
              <w:rPr>
                <w:rFonts w:cs="Calibri"/>
                <w:b/>
                <w:bCs/>
              </w:rPr>
              <w:t>Měrná</w:t>
            </w:r>
            <w:r w:rsidR="00E84B36" w:rsidRPr="00DD47DF">
              <w:rPr>
                <w:rFonts w:cs="Calibri"/>
                <w:b/>
                <w:bCs/>
              </w:rPr>
              <w:t xml:space="preserve"> </w:t>
            </w:r>
            <w:r w:rsidRPr="00DD47DF">
              <w:rPr>
                <w:rFonts w:cs="Calibri"/>
                <w:b/>
                <w:bCs/>
              </w:rPr>
              <w:t>jednotka</w:t>
            </w:r>
          </w:p>
        </w:tc>
        <w:tc>
          <w:tcPr>
            <w:tcW w:w="11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61E869C" w14:textId="77777777" w:rsidR="00CF739D" w:rsidRPr="00DD47DF" w:rsidRDefault="00CF739D" w:rsidP="00EA74FF">
            <w:pPr>
              <w:pStyle w:val="Tabulka"/>
              <w:rPr>
                <w:rFonts w:cs="Calibri"/>
                <w:b/>
                <w:bCs/>
              </w:rPr>
            </w:pPr>
            <w:r w:rsidRPr="00DD47DF">
              <w:rPr>
                <w:rFonts w:cs="Calibri"/>
                <w:b/>
                <w:bCs/>
              </w:rPr>
              <w:t>Kategorie regionů (je-li relevantní)</w:t>
            </w:r>
          </w:p>
        </w:tc>
        <w:tc>
          <w:tcPr>
            <w:tcW w:w="97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C1EFCF8" w14:textId="77777777" w:rsidR="00CF739D" w:rsidRPr="00DD47DF" w:rsidRDefault="004B0854" w:rsidP="00EA74FF">
            <w:pPr>
              <w:pStyle w:val="Tabulka"/>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BDB77F5" w14:textId="77777777" w:rsidR="00CF739D" w:rsidRPr="00DD47DF" w:rsidRDefault="004B0854" w:rsidP="004B0854">
            <w:pPr>
              <w:pStyle w:val="Tabulka"/>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D95BEE1" w14:textId="77777777" w:rsidR="00CF739D" w:rsidRPr="00DD47DF" w:rsidRDefault="00CF739D" w:rsidP="00EA74FF">
            <w:pPr>
              <w:pStyle w:val="Tabulka"/>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C8A585" w14:textId="77777777" w:rsidR="00CF739D" w:rsidRPr="00DD47DF" w:rsidRDefault="00CF739D" w:rsidP="00EA74FF">
            <w:pPr>
              <w:pStyle w:val="Tabulka"/>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828263" w14:textId="77777777" w:rsidR="00CF739D" w:rsidRPr="00DD47DF" w:rsidRDefault="00CF739D" w:rsidP="00EA74FF">
            <w:pPr>
              <w:pStyle w:val="Tabulka"/>
              <w:rPr>
                <w:rFonts w:cs="Calibri"/>
                <w:b/>
                <w:bCs/>
              </w:rPr>
            </w:pPr>
            <w:r w:rsidRPr="00DD47DF">
              <w:rPr>
                <w:rFonts w:cs="Calibri"/>
                <w:b/>
                <w:bCs/>
              </w:rPr>
              <w:t>Četnost podávání zpráv</w:t>
            </w:r>
          </w:p>
        </w:tc>
      </w:tr>
      <w:tr w:rsidR="00E84B36" w:rsidRPr="00DD47DF" w14:paraId="3F1F9382" w14:textId="77777777" w:rsidTr="002921B0">
        <w:trPr>
          <w:trHeight w:hRule="exact" w:val="1325"/>
        </w:trPr>
        <w:tc>
          <w:tcPr>
            <w:tcW w:w="0" w:type="auto"/>
            <w:tcBorders>
              <w:top w:val="single" w:sz="4" w:space="0" w:color="000000"/>
              <w:left w:val="single" w:sz="4" w:space="0" w:color="000000"/>
              <w:bottom w:val="single" w:sz="4" w:space="0" w:color="000000"/>
              <w:right w:val="single" w:sz="4" w:space="0" w:color="000000"/>
            </w:tcBorders>
            <w:vAlign w:val="center"/>
          </w:tcPr>
          <w:p w14:paraId="68F21734" w14:textId="77777777" w:rsidR="00D24A13" w:rsidRPr="00DD47DF" w:rsidRDefault="00686830" w:rsidP="00EA74FF">
            <w:pPr>
              <w:pStyle w:val="Tabulka"/>
              <w:rPr>
                <w:rFonts w:cs="Calibri"/>
              </w:rPr>
            </w:pPr>
            <w:r w:rsidRPr="00DD47DF">
              <w:rPr>
                <w:rFonts w:cs="Calibri"/>
              </w:rPr>
              <w:t>30200</w:t>
            </w:r>
          </w:p>
        </w:tc>
        <w:tc>
          <w:tcPr>
            <w:tcW w:w="0" w:type="auto"/>
            <w:tcBorders>
              <w:top w:val="single" w:sz="4" w:space="0" w:color="000000"/>
              <w:left w:val="single" w:sz="4" w:space="0" w:color="000000"/>
              <w:bottom w:val="single" w:sz="4" w:space="0" w:color="000000"/>
              <w:right w:val="single" w:sz="4" w:space="0" w:color="000000"/>
            </w:tcBorders>
            <w:vAlign w:val="center"/>
          </w:tcPr>
          <w:p w14:paraId="2A711529" w14:textId="77777777" w:rsidR="00D24A13" w:rsidRPr="00DD47DF" w:rsidRDefault="002921B0" w:rsidP="00EA74FF">
            <w:pPr>
              <w:pStyle w:val="Tabulka"/>
              <w:jc w:val="left"/>
              <w:rPr>
                <w:rFonts w:cs="Calibri"/>
              </w:rPr>
            </w:pPr>
            <w:r w:rsidRPr="002921B0">
              <w:rPr>
                <w:rFonts w:cs="Calibri"/>
              </w:rPr>
              <w:t>Míra pokrytí sítí nové generace (NGA)</w:t>
            </w:r>
          </w:p>
        </w:tc>
        <w:tc>
          <w:tcPr>
            <w:tcW w:w="973" w:type="dxa"/>
            <w:tcBorders>
              <w:top w:val="single" w:sz="4" w:space="0" w:color="000000"/>
              <w:left w:val="single" w:sz="4" w:space="0" w:color="000000"/>
              <w:bottom w:val="single" w:sz="4" w:space="0" w:color="000000"/>
              <w:right w:val="single" w:sz="4" w:space="0" w:color="000000"/>
            </w:tcBorders>
            <w:vAlign w:val="center"/>
          </w:tcPr>
          <w:p w14:paraId="4F45959E" w14:textId="77777777" w:rsidR="00D24A13" w:rsidRPr="00DD47DF" w:rsidRDefault="00B3144E" w:rsidP="00EA74FF">
            <w:pPr>
              <w:pStyle w:val="Tabulka"/>
              <w:rPr>
                <w:rFonts w:cs="Calibri"/>
              </w:rPr>
            </w:pPr>
            <w:r w:rsidRPr="00DD47DF">
              <w:rPr>
                <w:rFonts w:cs="Calibri"/>
              </w:rPr>
              <w:t>%</w:t>
            </w:r>
          </w:p>
        </w:tc>
        <w:tc>
          <w:tcPr>
            <w:tcW w:w="1171" w:type="dxa"/>
            <w:tcBorders>
              <w:top w:val="single" w:sz="4" w:space="0" w:color="000000"/>
              <w:left w:val="single" w:sz="4" w:space="0" w:color="000000"/>
              <w:bottom w:val="single" w:sz="4" w:space="0" w:color="000000"/>
              <w:right w:val="single" w:sz="4" w:space="0" w:color="000000"/>
            </w:tcBorders>
            <w:vAlign w:val="center"/>
          </w:tcPr>
          <w:p w14:paraId="3B89B26E" w14:textId="77777777" w:rsidR="00D24A13" w:rsidRPr="00DD47DF" w:rsidRDefault="002B3F69" w:rsidP="00EA74FF">
            <w:pPr>
              <w:pStyle w:val="Tabulka"/>
              <w:rPr>
                <w:rFonts w:cs="Calibri"/>
              </w:rPr>
            </w:pPr>
            <w:r w:rsidRPr="00DD47DF">
              <w:rPr>
                <w:rFonts w:cs="Calibri"/>
              </w:rPr>
              <w:t>Méně rozvinuté regiony</w:t>
            </w:r>
          </w:p>
        </w:tc>
        <w:tc>
          <w:tcPr>
            <w:tcW w:w="979" w:type="dxa"/>
            <w:tcBorders>
              <w:top w:val="single" w:sz="4" w:space="0" w:color="000000"/>
              <w:left w:val="single" w:sz="4" w:space="0" w:color="000000"/>
              <w:bottom w:val="single" w:sz="4" w:space="0" w:color="000000"/>
              <w:right w:val="single" w:sz="4" w:space="0" w:color="000000"/>
            </w:tcBorders>
            <w:vAlign w:val="center"/>
          </w:tcPr>
          <w:p w14:paraId="2C8EEC3F" w14:textId="77777777" w:rsidR="00D24A13" w:rsidRPr="00DD47DF" w:rsidRDefault="00740BF8" w:rsidP="00EA74FF">
            <w:pPr>
              <w:pStyle w:val="Tabulka"/>
              <w:rPr>
                <w:rFonts w:cs="Calibri"/>
              </w:rPr>
            </w:pPr>
            <w:r>
              <w:rPr>
                <w:rFonts w:cs="Calibri"/>
              </w:rPr>
              <w:t>64</w:t>
            </w:r>
          </w:p>
        </w:tc>
        <w:tc>
          <w:tcPr>
            <w:tcW w:w="0" w:type="auto"/>
            <w:tcBorders>
              <w:top w:val="single" w:sz="4" w:space="0" w:color="000000"/>
              <w:left w:val="single" w:sz="4" w:space="0" w:color="000000"/>
              <w:bottom w:val="single" w:sz="4" w:space="0" w:color="000000"/>
              <w:right w:val="single" w:sz="4" w:space="0" w:color="000000"/>
            </w:tcBorders>
            <w:vAlign w:val="center"/>
          </w:tcPr>
          <w:p w14:paraId="0209EEE7" w14:textId="77777777" w:rsidR="00D24A13" w:rsidRPr="00DD47DF" w:rsidRDefault="00740BF8" w:rsidP="00EA74FF">
            <w:pPr>
              <w:pStyle w:val="Tabulka"/>
              <w:rPr>
                <w:rFonts w:cs="Calibri"/>
              </w:rPr>
            </w:pPr>
            <w:r>
              <w:rPr>
                <w:rFonts w:cs="Calibri"/>
              </w:rPr>
              <w:t>2013</w:t>
            </w:r>
          </w:p>
        </w:tc>
        <w:tc>
          <w:tcPr>
            <w:tcW w:w="0" w:type="auto"/>
            <w:tcBorders>
              <w:top w:val="single" w:sz="4" w:space="0" w:color="000000"/>
              <w:left w:val="single" w:sz="4" w:space="0" w:color="000000"/>
              <w:bottom w:val="single" w:sz="4" w:space="0" w:color="000000"/>
              <w:right w:val="single" w:sz="4" w:space="0" w:color="000000"/>
            </w:tcBorders>
            <w:vAlign w:val="center"/>
          </w:tcPr>
          <w:p w14:paraId="521EC85E" w14:textId="77777777" w:rsidR="00D24A13" w:rsidRPr="00DD47DF" w:rsidRDefault="00235E7F" w:rsidP="00947572">
            <w:pPr>
              <w:pStyle w:val="Tabulka"/>
              <w:rPr>
                <w:rFonts w:cs="Calibri"/>
              </w:rPr>
            </w:pPr>
            <w:r w:rsidRPr="00DD47DF">
              <w:rPr>
                <w:rFonts w:cs="Calibri"/>
              </w:rPr>
              <w:t>77</w:t>
            </w:r>
          </w:p>
        </w:tc>
        <w:tc>
          <w:tcPr>
            <w:tcW w:w="0" w:type="auto"/>
            <w:tcBorders>
              <w:top w:val="single" w:sz="4" w:space="0" w:color="000000"/>
              <w:left w:val="single" w:sz="4" w:space="0" w:color="000000"/>
              <w:bottom w:val="single" w:sz="4" w:space="0" w:color="000000"/>
              <w:right w:val="single" w:sz="4" w:space="0" w:color="000000"/>
            </w:tcBorders>
            <w:vAlign w:val="center"/>
          </w:tcPr>
          <w:p w14:paraId="01F99DB0" w14:textId="77777777" w:rsidR="00D24A13" w:rsidRPr="00DD47DF" w:rsidRDefault="00B3144E" w:rsidP="00EA74FF">
            <w:pPr>
              <w:pStyle w:val="Tabulka"/>
              <w:rPr>
                <w:rFonts w:cs="Calibri"/>
              </w:rPr>
            </w:pPr>
            <w:r w:rsidRPr="00DD47DF">
              <w:rPr>
                <w:rFonts w:cs="Calibri"/>
              </w:rPr>
              <w:t>Digital Agenda Scoreboard</w:t>
            </w:r>
          </w:p>
        </w:tc>
        <w:tc>
          <w:tcPr>
            <w:tcW w:w="0" w:type="auto"/>
            <w:tcBorders>
              <w:top w:val="single" w:sz="4" w:space="0" w:color="000000"/>
              <w:left w:val="single" w:sz="4" w:space="0" w:color="000000"/>
              <w:bottom w:val="single" w:sz="4" w:space="0" w:color="000000"/>
              <w:right w:val="single" w:sz="4" w:space="0" w:color="000000"/>
            </w:tcBorders>
            <w:vAlign w:val="center"/>
          </w:tcPr>
          <w:p w14:paraId="602323C1" w14:textId="77777777" w:rsidR="00D24A13" w:rsidRPr="00DD47DF" w:rsidRDefault="00B3144E" w:rsidP="00EA74FF">
            <w:pPr>
              <w:pStyle w:val="Tabulka"/>
              <w:rPr>
                <w:rFonts w:cs="Calibri"/>
              </w:rPr>
            </w:pPr>
            <w:r w:rsidRPr="00DD47DF">
              <w:rPr>
                <w:rFonts w:cs="Calibri"/>
              </w:rPr>
              <w:t>ročně</w:t>
            </w:r>
          </w:p>
        </w:tc>
      </w:tr>
    </w:tbl>
    <w:p w14:paraId="396ABE64" w14:textId="77777777" w:rsidR="00150199" w:rsidRPr="00DD47DF" w:rsidRDefault="001B2E5C" w:rsidP="005F43DF">
      <w:pPr>
        <w:pStyle w:val="kapitola2A0"/>
        <w:numPr>
          <w:ilvl w:val="2"/>
          <w:numId w:val="25"/>
        </w:numPr>
      </w:pPr>
      <w:bookmarkStart w:id="96" w:name="_Toc129005426"/>
      <w:r w:rsidRPr="00DD47DF">
        <w:t>Opatření, jež má být podpořeno v rámci investiční priority</w:t>
      </w:r>
      <w:bookmarkEnd w:id="96"/>
    </w:p>
    <w:p w14:paraId="4F16C5D7" w14:textId="77777777" w:rsidR="00150199" w:rsidRPr="00DD47DF" w:rsidRDefault="00D479AF" w:rsidP="005F43DF">
      <w:pPr>
        <w:pStyle w:val="Nadpis5"/>
        <w:numPr>
          <w:ilvl w:val="4"/>
          <w:numId w:val="26"/>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37B095D5" w14:textId="77777777" w:rsidR="00150199" w:rsidRPr="00DD47DF" w:rsidRDefault="000A2EB4" w:rsidP="00FF329A">
      <w:pPr>
        <w:pStyle w:val="Standardntext"/>
        <w:rPr>
          <w:b/>
        </w:rPr>
      </w:pPr>
      <w:r w:rsidRPr="00DD47DF">
        <w:rPr>
          <w:b/>
        </w:rPr>
        <w:t>Aktivity pro tento specifický cíl:</w:t>
      </w:r>
    </w:p>
    <w:p w14:paraId="0C70E639" w14:textId="77777777" w:rsidR="00150199" w:rsidRPr="00DD47DF" w:rsidRDefault="001E5FB8" w:rsidP="005F43DF">
      <w:pPr>
        <w:pStyle w:val="Standardntext"/>
        <w:numPr>
          <w:ilvl w:val="0"/>
          <w:numId w:val="28"/>
        </w:numPr>
        <w:ind w:left="714" w:hanging="357"/>
      </w:pPr>
      <w:r w:rsidRPr="00DD47DF">
        <w:t>M</w:t>
      </w:r>
      <w:r w:rsidR="00150199" w:rsidRPr="00DD47DF">
        <w:t xml:space="preserve">odernizace resp. rozšiřování stávající infrastruktury pro vysokorychlostní přístup k internetu využitím optických prvků s cílem umožnit vysokorychlostní přístup k internetu přenosovou rychlostí </w:t>
      </w:r>
      <w:r w:rsidR="003F0354" w:rsidRPr="00DD47DF">
        <w:t xml:space="preserve">alespoň </w:t>
      </w:r>
      <w:r w:rsidR="00150199" w:rsidRPr="00DD47DF">
        <w:t>30 Mbit/s,</w:t>
      </w:r>
    </w:p>
    <w:p w14:paraId="623CC404" w14:textId="77777777" w:rsidR="00150199" w:rsidRPr="00DD47DF" w:rsidRDefault="00450475" w:rsidP="005F43DF">
      <w:pPr>
        <w:pStyle w:val="Standardntext"/>
        <w:numPr>
          <w:ilvl w:val="0"/>
          <w:numId w:val="28"/>
        </w:numPr>
        <w:ind w:left="714" w:hanging="357"/>
      </w:pPr>
      <w:r w:rsidRPr="00DD47DF">
        <w:t xml:space="preserve">zřizování nových sítí sestávajících z části nebo plně z optických vedení pro vysokorychlostní přístup k internetu umožňující přenosovou rychlost alespoň 30 Mbit/s; </w:t>
      </w:r>
      <w:r w:rsidRPr="00DD47DF">
        <w:lastRenderedPageBreak/>
        <w:t>v případě zřizování nových sítí s pevným připojením do jednotlivých domácností musí tato síť umožnit přenosovou rychlost až 100 Mbit/s,</w:t>
      </w:r>
    </w:p>
    <w:p w14:paraId="6508202A" w14:textId="77777777" w:rsidR="001F0DB6" w:rsidRDefault="00450475" w:rsidP="005F43DF">
      <w:pPr>
        <w:pStyle w:val="Standardntext"/>
        <w:numPr>
          <w:ilvl w:val="0"/>
          <w:numId w:val="28"/>
        </w:numPr>
      </w:pPr>
      <w:r w:rsidRPr="00DD47DF">
        <w:t>vytváření pasivní infrastruktury pro vysokorychlostní přístup k internetu zejména v lokalitách předpokládaného budoucího stavebního rozvoje, přičemž tato aktivita může být podpořena pouze v kombinaci s jednou z předchozích dvou aktivit</w:t>
      </w:r>
      <w:r w:rsidR="001F0DB6">
        <w:t>,</w:t>
      </w:r>
    </w:p>
    <w:p w14:paraId="5038A6D8" w14:textId="3C5F8417" w:rsidR="00150199" w:rsidRPr="00DD47DF" w:rsidRDefault="001F0DB6" w:rsidP="005F43DF">
      <w:pPr>
        <w:pStyle w:val="Standardntext"/>
        <w:numPr>
          <w:ilvl w:val="0"/>
          <w:numId w:val="28"/>
        </w:numPr>
      </w:pPr>
      <w:r>
        <w:rPr>
          <w:szCs w:val="22"/>
        </w:rPr>
        <w:t>p</w:t>
      </w:r>
      <w:r w:rsidRPr="00343373">
        <w:rPr>
          <w:szCs w:val="22"/>
        </w:rPr>
        <w:t>ořízení digitálních technických map (např. investice do SW, HW koncových a ostatních zařízení s funkčností digitálních map přímo souvisejících, zajištění sběru dat pro digitální technické mapy, včetně služeb expertního poradenství pro návrh a implementaci).</w:t>
      </w:r>
    </w:p>
    <w:p w14:paraId="28657AB2" w14:textId="4092A8AB" w:rsidR="00BA1C22" w:rsidRPr="00DD47DF" w:rsidRDefault="00EE6BCB" w:rsidP="00BA1C22">
      <w:pPr>
        <w:pStyle w:val="Standardntext"/>
        <w:rPr>
          <w:bCs/>
        </w:rPr>
      </w:pPr>
      <w:r w:rsidRPr="00DD47DF">
        <w:rPr>
          <w:bCs/>
        </w:rPr>
        <w:t>Výstupem tohoto specifického cíle</w:t>
      </w:r>
      <w:r w:rsidR="004F2EB2" w:rsidRPr="00DD47DF">
        <w:rPr>
          <w:bCs/>
        </w:rPr>
        <w:t xml:space="preserve"> </w:t>
      </w:r>
      <w:r w:rsidRPr="00DD47DF">
        <w:rPr>
          <w:bCs/>
        </w:rPr>
        <w:t>budou</w:t>
      </w:r>
      <w:r w:rsidR="004F2EB2" w:rsidRPr="00DD47DF">
        <w:rPr>
          <w:bCs/>
        </w:rPr>
        <w:t xml:space="preserve"> projekty, jejichž účelem bude zavedení internetové konektivity do oblastí bez vysokorychlostní internetové infrastruktury (tzv. bílých míst) z nejbližšího, resp. nejvhodnějšího, přístupového bodu o relevantní kapacitě.</w:t>
      </w:r>
      <w:r w:rsidR="003F0354" w:rsidRPr="00DD47DF">
        <w:rPr>
          <w:bCs/>
        </w:rPr>
        <w:t xml:space="preserve"> Při rozhodování o podpoře jednotlivých projektů zajišťujících vybudování infrastruktury splňující požadavky na kvalitu služby přístupu k internetu bude vždy respektován</w:t>
      </w:r>
      <w:r w:rsidR="00450475" w:rsidRPr="00DD47DF">
        <w:rPr>
          <w:bCs/>
        </w:rPr>
        <w:t xml:space="preserve"> princip technologické neutrality</w:t>
      </w:r>
      <w:r w:rsidR="00B832D3" w:rsidRPr="00DD47DF">
        <w:rPr>
          <w:bCs/>
        </w:rPr>
        <w:t xml:space="preserve">. </w:t>
      </w:r>
      <w:r w:rsidR="003F0354" w:rsidRPr="00DD47DF">
        <w:rPr>
          <w:bCs/>
        </w:rPr>
        <w:t xml:space="preserve">Tento princip zajistí nediskriminační výběr nejefektivnějších projektů zejména u tzv. poslední míle vysokorychlostních sítí elektronických komunikací bez ohledu na využitý druh infrastruktury nebo technologie v případě, že zajistí poskytování služby v dostatečné kvalitě. </w:t>
      </w:r>
      <w:r w:rsidR="004F2EB2" w:rsidRPr="00DD47DF">
        <w:rPr>
          <w:bCs/>
        </w:rPr>
        <w:t xml:space="preserve">V konečném důsledku se </w:t>
      </w:r>
      <w:r w:rsidR="00B832D3" w:rsidRPr="00DD47DF">
        <w:rPr>
          <w:bCs/>
        </w:rPr>
        <w:t xml:space="preserve">však </w:t>
      </w:r>
      <w:r w:rsidR="004F2EB2" w:rsidRPr="00DD47DF">
        <w:rPr>
          <w:bCs/>
        </w:rPr>
        <w:t xml:space="preserve">musí v předmětné oblasti zvýšit počet domácností, které budou mít možnost vysokorychlostního přístupu k internetu o rychlosti </w:t>
      </w:r>
      <w:r w:rsidR="003F0354" w:rsidRPr="00DD47DF">
        <w:rPr>
          <w:bCs/>
        </w:rPr>
        <w:t xml:space="preserve">alespoň </w:t>
      </w:r>
      <w:r w:rsidR="004F2EB2" w:rsidRPr="00DD47DF">
        <w:rPr>
          <w:bCs/>
        </w:rPr>
        <w:t>30 Mbit/s.</w:t>
      </w:r>
    </w:p>
    <w:p w14:paraId="5820CA6A" w14:textId="29E87E44" w:rsidR="0034716C" w:rsidRPr="00DD47DF" w:rsidRDefault="0034716C" w:rsidP="0023153A">
      <w:pPr>
        <w:pStyle w:val="Standardntext"/>
        <w:rPr>
          <w:bCs/>
        </w:rPr>
      </w:pPr>
      <w:r w:rsidRPr="00DD47DF">
        <w:rPr>
          <w:bCs/>
        </w:rPr>
        <w:t xml:space="preserve">Z důvodu vysoké nákladnosti stavebních prací se bude podporovat budování i tzv. pasivní infrastruktury, která </w:t>
      </w:r>
      <w:r w:rsidR="003F0354" w:rsidRPr="00DD47DF">
        <w:rPr>
          <w:bCs/>
        </w:rPr>
        <w:t xml:space="preserve">sama o sobě </w:t>
      </w:r>
      <w:r w:rsidRPr="00DD47DF">
        <w:rPr>
          <w:bCs/>
        </w:rPr>
        <w:t xml:space="preserve">bezprostředně neumožní poskytovat službu vysokorychlostního přístupu k internetu, </w:t>
      </w:r>
      <w:r w:rsidR="003F0354" w:rsidRPr="00DD47DF">
        <w:rPr>
          <w:bCs/>
        </w:rPr>
        <w:t>ale je nezbytným předpokladem budování vlastní síťové infrastruktury zejména v případě sítě sestávajících zčásti nebo zcela z optických vedení</w:t>
      </w:r>
      <w:r w:rsidRPr="00DD47DF">
        <w:rPr>
          <w:bCs/>
        </w:rPr>
        <w:t>.</w:t>
      </w:r>
      <w:r w:rsidR="003F0354" w:rsidRPr="00DD47DF">
        <w:t xml:space="preserve"> </w:t>
      </w:r>
      <w:r w:rsidR="003F0354" w:rsidRPr="00DD47DF">
        <w:rPr>
          <w:bCs/>
        </w:rPr>
        <w:t>Nezbytnou podmínkou pro rozhodnutí o podpoře je v takovém případě následné zajištění dostupnosti služby vysokorychlostního přístupu k internetu požadované kvality. Povinné sdílené pasivní infrastruktury současně umožní snížení nákladů na budování sítí dalšími subjekty a podpoří rozvoj konkurence v oblasti poskytování služeb</w:t>
      </w:r>
      <w:r w:rsidRPr="00DD47DF">
        <w:rPr>
          <w:bCs/>
        </w:rPr>
        <w:t>.</w:t>
      </w:r>
      <w:r w:rsidR="00847E7E">
        <w:rPr>
          <w:bCs/>
        </w:rPr>
        <w:t xml:space="preserve"> </w:t>
      </w:r>
      <w:r w:rsidR="00847E7E" w:rsidRPr="00847E7E">
        <w:rPr>
          <w:bCs/>
        </w:rPr>
        <w:t xml:space="preserve">V Rámci těchto </w:t>
      </w:r>
      <w:r w:rsidR="00181944">
        <w:rPr>
          <w:bCs/>
        </w:rPr>
        <w:t>aktivit</w:t>
      </w:r>
      <w:r w:rsidR="00181944" w:rsidRPr="00847E7E">
        <w:rPr>
          <w:bCs/>
        </w:rPr>
        <w:t xml:space="preserve"> </w:t>
      </w:r>
      <w:r w:rsidR="00847E7E" w:rsidRPr="00847E7E">
        <w:rPr>
          <w:bCs/>
        </w:rPr>
        <w:t xml:space="preserve">budou také podporovány </w:t>
      </w:r>
      <w:r w:rsidR="00181944">
        <w:rPr>
          <w:bCs/>
        </w:rPr>
        <w:t>projekty</w:t>
      </w:r>
      <w:r w:rsidR="00181944" w:rsidRPr="00847E7E">
        <w:rPr>
          <w:bCs/>
        </w:rPr>
        <w:t xml:space="preserve"> </w:t>
      </w:r>
      <w:r w:rsidR="00847E7E" w:rsidRPr="00847E7E">
        <w:rPr>
          <w:bCs/>
        </w:rPr>
        <w:t>na realizaci tzv. Digitálních technických map.</w:t>
      </w:r>
      <w:r w:rsidR="00181944">
        <w:rPr>
          <w:bCs/>
        </w:rPr>
        <w:t xml:space="preserve"> </w:t>
      </w:r>
      <w:r w:rsidR="00181944" w:rsidRPr="00181944">
        <w:rPr>
          <w:szCs w:val="22"/>
          <w:lang w:eastAsia="x-none"/>
        </w:rPr>
        <w:t>Tyto projekty umožní například mapování dopravní a technické infrastruktury, včetně základní prostorové situace. Přispěje se tím ke zjednodušení a zrychlení přípravy, umisťování a povolování staveb.</w:t>
      </w:r>
      <w:r w:rsidR="00847E7E" w:rsidRPr="00847E7E">
        <w:rPr>
          <w:bCs/>
        </w:rPr>
        <w:t xml:space="preserve"> </w:t>
      </w:r>
      <w:r w:rsidR="00181944" w:rsidRPr="00181944">
        <w:rPr>
          <w:bCs/>
        </w:rPr>
        <w:t>Jedním z cílů</w:t>
      </w:r>
      <w:r w:rsidR="00847E7E" w:rsidRPr="00847E7E">
        <w:rPr>
          <w:bCs/>
        </w:rPr>
        <w:t xml:space="preserve"> aktivity Digitálních map je </w:t>
      </w:r>
      <w:r w:rsidR="00181944" w:rsidRPr="00181944">
        <w:rPr>
          <w:szCs w:val="22"/>
          <w:lang w:eastAsia="x-none"/>
        </w:rPr>
        <w:t>mimo jiné</w:t>
      </w:r>
      <w:r w:rsidR="00181944" w:rsidRPr="00181944">
        <w:rPr>
          <w:bCs/>
        </w:rPr>
        <w:t xml:space="preserve"> </w:t>
      </w:r>
      <w:r w:rsidR="00847E7E" w:rsidRPr="00847E7E">
        <w:rPr>
          <w:bCs/>
        </w:rPr>
        <w:t>usnadnit a podpořit zavádění vysokorychlostních sítí podporou společného využívání existující infrastruktury a zefektivnit budování nové NGA infrastruktury, aby bylo možné tyto sítě zavádět s nižšími náklady.</w:t>
      </w:r>
    </w:p>
    <w:p w14:paraId="7D0236D8" w14:textId="77777777" w:rsidR="00AF178F" w:rsidRPr="00DD47DF" w:rsidRDefault="00AF178F" w:rsidP="00BA1C22">
      <w:pPr>
        <w:pStyle w:val="Standardntext"/>
        <w:rPr>
          <w:bCs/>
        </w:rPr>
      </w:pPr>
      <w:r w:rsidRPr="00DD47DF">
        <w:rPr>
          <w:bCs/>
        </w:rPr>
        <w:t xml:space="preserve">Aktivity SC 4.1 </w:t>
      </w:r>
      <w:r w:rsidR="00E46D4E" w:rsidRPr="00DD47DF">
        <w:rPr>
          <w:bCs/>
        </w:rPr>
        <w:t xml:space="preserve">vycházejí z potřeb zohledněných v Národní RIS3 strategii a </w:t>
      </w:r>
      <w:r w:rsidRPr="00DD47DF">
        <w:rPr>
          <w:bCs/>
        </w:rPr>
        <w:t xml:space="preserve">mají přímou vazbu na tento strategický cíl Národní </w:t>
      </w:r>
      <w:r w:rsidR="002B0AB0" w:rsidRPr="00DD47DF">
        <w:rPr>
          <w:bCs/>
        </w:rPr>
        <w:t>RI</w:t>
      </w:r>
      <w:r w:rsidRPr="00DD47DF">
        <w:rPr>
          <w:bCs/>
        </w:rPr>
        <w:t>S3 strategie: „</w:t>
      </w:r>
      <w:r w:rsidR="00B600B5" w:rsidRPr="00DD47DF">
        <w:rPr>
          <w:bCs/>
        </w:rPr>
        <w:t>Rozvoj Infrastruktury v ICT</w:t>
      </w:r>
      <w:r w:rsidRPr="00DD47DF">
        <w:rPr>
          <w:bCs/>
        </w:rPr>
        <w:t>“.</w:t>
      </w:r>
      <w:r w:rsidR="00CA3052" w:rsidRPr="00DD47DF">
        <w:rPr>
          <w:bCs/>
        </w:rPr>
        <w:t xml:space="preserve"> Jde především o vzájemnou provázanost s typovými aktivitami</w:t>
      </w:r>
      <w:r w:rsidR="00752DD2" w:rsidRPr="00DD47DF">
        <w:rPr>
          <w:bCs/>
        </w:rPr>
        <w:t>/projekty/operacemi specifického cíle E3.3</w:t>
      </w:r>
      <w:r w:rsidR="00CA3052" w:rsidRPr="00DD47DF">
        <w:rPr>
          <w:bCs/>
        </w:rPr>
        <w:t xml:space="preserve"> „</w:t>
      </w:r>
      <w:r w:rsidR="00752DD2" w:rsidRPr="00DD47DF">
        <w:rPr>
          <w:bCs/>
        </w:rPr>
        <w:t>Zvýšení dostupnosti infrastruktury</w:t>
      </w:r>
      <w:r w:rsidR="00CA3052" w:rsidRPr="00DD47DF">
        <w:rPr>
          <w:bCs/>
        </w:rPr>
        <w:t xml:space="preserve">“ Národní </w:t>
      </w:r>
      <w:r w:rsidR="002B0AB0" w:rsidRPr="00DD47DF">
        <w:rPr>
          <w:bCs/>
        </w:rPr>
        <w:t>RI</w:t>
      </w:r>
      <w:r w:rsidR="00CA3052" w:rsidRPr="00DD47DF">
        <w:rPr>
          <w:bCs/>
        </w:rPr>
        <w:t>S3 strategie.</w:t>
      </w:r>
    </w:p>
    <w:p w14:paraId="58FF03B7" w14:textId="599A4AE3" w:rsidR="00150199" w:rsidRPr="00DD47DF" w:rsidRDefault="00150199" w:rsidP="006155A8">
      <w:pPr>
        <w:pStyle w:val="Standardntext"/>
      </w:pPr>
      <w:r w:rsidRPr="00DD47DF">
        <w:rPr>
          <w:b/>
          <w:bCs/>
        </w:rPr>
        <w:t>Hlavní cílová skupina:</w:t>
      </w:r>
      <w:r w:rsidRPr="00DD47DF">
        <w:rPr>
          <w:bCs/>
        </w:rPr>
        <w:t xml:space="preserve"> </w:t>
      </w:r>
      <w:r w:rsidRPr="00DD47DF">
        <w:t>Obyvatelé</w:t>
      </w:r>
      <w:r w:rsidR="0068667C" w:rsidRPr="00DD47DF">
        <w:t xml:space="preserve"> a podnikatelé</w:t>
      </w:r>
      <w:r w:rsidRPr="00DD47DF">
        <w:t xml:space="preserve">, kteří nemají možnost využívat vysokorychlostní přístup k internetu o rychlosti </w:t>
      </w:r>
      <w:r w:rsidR="0023153A" w:rsidRPr="00DD47DF">
        <w:t xml:space="preserve">alespoň </w:t>
      </w:r>
      <w:r w:rsidRPr="00DD47DF">
        <w:t>30 Mbit/s.</w:t>
      </w:r>
    </w:p>
    <w:p w14:paraId="4A3E5813" w14:textId="1FC2F085" w:rsidR="00150199" w:rsidRPr="00DD47DF" w:rsidRDefault="00150199" w:rsidP="006155A8">
      <w:pPr>
        <w:pStyle w:val="Standardntext"/>
      </w:pPr>
      <w:r w:rsidRPr="00DD47DF">
        <w:rPr>
          <w:b/>
          <w:bCs/>
        </w:rPr>
        <w:t xml:space="preserve">Cílové území: </w:t>
      </w:r>
      <w:r w:rsidR="00EA72D6" w:rsidRPr="00DD47DF">
        <w:rPr>
          <w:bCs/>
        </w:rPr>
        <w:t>Prioritně</w:t>
      </w:r>
      <w:r w:rsidR="00EA72D6" w:rsidRPr="00DD47DF">
        <w:rPr>
          <w:b/>
          <w:bCs/>
        </w:rPr>
        <w:t xml:space="preserve"> </w:t>
      </w:r>
      <w:r w:rsidR="00792328" w:rsidRPr="00DD47DF">
        <w:t>oblasti, ve</w:t>
      </w:r>
      <w:r w:rsidRPr="00DD47DF">
        <w:t xml:space="preserve"> kter</w:t>
      </w:r>
      <w:r w:rsidR="00792328" w:rsidRPr="00DD47DF">
        <w:t>ých</w:t>
      </w:r>
      <w:r w:rsidRPr="00DD47DF">
        <w:t xml:space="preserve"> neexistuje žádný provozovatel sítě pro vysokorychlostní přístup k internetu umožňující zajišťování služ</w:t>
      </w:r>
      <w:r w:rsidR="00792328" w:rsidRPr="00DD47DF">
        <w:t>by reálnou rychlostí alespoň 30 </w:t>
      </w:r>
      <w:r w:rsidRPr="00DD47DF">
        <w:t xml:space="preserve">Mbit/s a není pravděpodobné, že by v ní do tří let nějaký poskytovatel vybudoval </w:t>
      </w:r>
      <w:r w:rsidRPr="00DD47DF">
        <w:lastRenderedPageBreak/>
        <w:t xml:space="preserve">infrastrukturu pro poskytování této služby. </w:t>
      </w:r>
      <w:r w:rsidR="004F2EB2" w:rsidRPr="00DD47DF">
        <w:t>Výjimečně</w:t>
      </w:r>
      <w:r w:rsidR="004F2EB2" w:rsidRPr="00DD47DF">
        <w:rPr>
          <w:rStyle w:val="Znakapoznpodarou"/>
        </w:rPr>
        <w:footnoteReference w:id="72"/>
      </w:r>
      <w:r w:rsidR="004F2EB2" w:rsidRPr="00DD47DF">
        <w:t xml:space="preserve"> a pouze v odůvodněných případech na základě předem stanovených kritériích bude možné poskytnout podporu i v</w:t>
      </w:r>
      <w:r w:rsidR="00792328" w:rsidRPr="00DD47DF">
        <w:t> </w:t>
      </w:r>
      <w:r w:rsidR="004F2EB2" w:rsidRPr="00DD47DF">
        <w:t>oblastech</w:t>
      </w:r>
      <w:r w:rsidR="00792328" w:rsidRPr="00DD47DF">
        <w:t>, ve kterých</w:t>
      </w:r>
      <w:r w:rsidRPr="00DD47DF">
        <w:t xml:space="preserve"> existuje jeden provozovatel sítě vysokorychlostního přístupu k internetu zajišťující poskytování služby reálnou rychlostí alespoň 30 Mbit/s a není pravděpodobné, že by v ní do tří let jiný podnikatel vybudoval infrastrukturu pro poskytování této služby.</w:t>
      </w:r>
      <w:r w:rsidR="00847E7E">
        <w:t xml:space="preserve"> </w:t>
      </w:r>
      <w:r w:rsidR="00847E7E" w:rsidRPr="00847E7E">
        <w:t>V případě pořizování digitálních technických map půjde o celé území ČR mimo NUTS II Praha.</w:t>
      </w:r>
    </w:p>
    <w:p w14:paraId="54C5AD83" w14:textId="1F4D79F4" w:rsidR="00150199" w:rsidRPr="00DD47DF" w:rsidRDefault="00150199" w:rsidP="006155A8">
      <w:pPr>
        <w:pStyle w:val="Standardntext"/>
        <w:rPr>
          <w:bCs/>
        </w:rPr>
      </w:pPr>
      <w:r w:rsidRPr="00DD47DF">
        <w:rPr>
          <w:b/>
          <w:bCs/>
        </w:rPr>
        <w:t>Typy příjemců:</w:t>
      </w:r>
      <w:r w:rsidR="00300004" w:rsidRPr="00DD47DF">
        <w:t xml:space="preserve"> </w:t>
      </w:r>
      <w:r w:rsidR="00AC26AB" w:rsidRPr="00DD47DF">
        <w:t>Podnikatelé v elektronických komunikacích</w:t>
      </w:r>
      <w:r w:rsidR="000704E9" w:rsidRPr="00DD47DF">
        <w:t xml:space="preserve"> </w:t>
      </w:r>
      <w:r w:rsidR="004F2EB2" w:rsidRPr="00DD47DF">
        <w:rPr>
          <w:bCs/>
        </w:rPr>
        <w:t xml:space="preserve">bez ohledu na velikost. </w:t>
      </w:r>
      <w:r w:rsidR="006B6624" w:rsidRPr="00700E39">
        <w:rPr>
          <w:bCs/>
        </w:rPr>
        <w:t>Obce, kraje a jim podřízené či jimi zřízené organizace.</w:t>
      </w:r>
      <w:r w:rsidR="003E3234">
        <w:rPr>
          <w:bCs/>
        </w:rPr>
        <w:t xml:space="preserve"> </w:t>
      </w:r>
      <w:r w:rsidR="004F2EB2" w:rsidRPr="00DD47DF">
        <w:rPr>
          <w:bCs/>
        </w:rPr>
        <w:t>Podporovány budou tudíž i velké podniky</w:t>
      </w:r>
      <w:r w:rsidR="00093576" w:rsidRPr="00DD47DF">
        <w:rPr>
          <w:bCs/>
        </w:rPr>
        <w:t xml:space="preserve"> </w:t>
      </w:r>
      <w:r w:rsidR="00093576" w:rsidRPr="00DD47DF">
        <w:t>(</w:t>
      </w:r>
      <w:r w:rsidR="00450475" w:rsidRPr="00DD47DF">
        <w:t>po</w:t>
      </w:r>
      <w:r w:rsidR="00093576" w:rsidRPr="00DD47DF">
        <w:t>dle čl. 3 odst. 1 nařízení o EFRR)</w:t>
      </w:r>
      <w:r w:rsidR="004F2EB2" w:rsidRPr="00DD47DF">
        <w:rPr>
          <w:bCs/>
        </w:rPr>
        <w:t xml:space="preserve">, neboť celospolečenské přínosy a související pozitivní multiplikační efekty v rámci podpory rozšiřování všeobecné dostupnosti vysokorychlostního přístupu k internetu </w:t>
      </w:r>
      <w:r w:rsidR="0023153A" w:rsidRPr="00DD47DF">
        <w:rPr>
          <w:bCs/>
        </w:rPr>
        <w:t>jednoznač</w:t>
      </w:r>
      <w:r w:rsidR="004F2EB2" w:rsidRPr="00DD47DF">
        <w:rPr>
          <w:bCs/>
        </w:rPr>
        <w:t>ně převažují nad případnými negativními důsledky, které by mohly vzniknout podporováním velkých podniků.</w:t>
      </w:r>
      <w:r w:rsidR="00792328" w:rsidRPr="00DD47DF">
        <w:rPr>
          <w:bCs/>
        </w:rPr>
        <w:t xml:space="preserve"> </w:t>
      </w:r>
      <w:r w:rsidR="00B26853" w:rsidRPr="00DD47DF">
        <w:rPr>
          <w:bCs/>
        </w:rPr>
        <w:t>Tyto aktivity musí zároveň být v souladu i s politikou vlády ČR vztahující se k zavádění vysokorychlostního</w:t>
      </w:r>
      <w:r w:rsidR="002702C1" w:rsidRPr="00DD47DF">
        <w:rPr>
          <w:bCs/>
        </w:rPr>
        <w:t xml:space="preserve"> přístupu k</w:t>
      </w:r>
      <w:r w:rsidR="00B26853" w:rsidRPr="00DD47DF">
        <w:rPr>
          <w:bCs/>
        </w:rPr>
        <w:t xml:space="preserve"> internetu a jejím formám (kdy vláda preferuje především budování přístupových sítí nové generace – NGA, při současném respektování zásady technologické neutrality), tudíž ze soutěže projektů nelze vylučovat ani příslušné státní podniky prosazující tyto vládní priority. </w:t>
      </w:r>
      <w:r w:rsidR="00C3120C" w:rsidRPr="00C3120C">
        <w:rPr>
          <w:bCs/>
        </w:rPr>
        <w:t>V rámci aktivity „Pořízení digitálních technických map“ budou také mimo výše zmíněných příjemci, státní organizace, státní podnik, organizační složky státu a příspěvkové organizace organizačních složek státu.</w:t>
      </w:r>
      <w:r w:rsidR="00847E7E">
        <w:rPr>
          <w:bCs/>
        </w:rPr>
        <w:t xml:space="preserve"> </w:t>
      </w:r>
      <w:r w:rsidR="00D42274" w:rsidRPr="00DD47DF">
        <w:rPr>
          <w:bCs/>
        </w:rPr>
        <w:t xml:space="preserve">Rozumí se rovněž, že </w:t>
      </w:r>
      <w:r w:rsidR="00450475" w:rsidRPr="00DD47DF">
        <w:rPr>
          <w:bCs/>
        </w:rPr>
        <w:t xml:space="preserve">s ohledem na </w:t>
      </w:r>
      <w:r w:rsidR="00D42274" w:rsidRPr="00DD47DF">
        <w:rPr>
          <w:bCs/>
        </w:rPr>
        <w:t>vysoké investiční nároky na výstavbu sítí a</w:t>
      </w:r>
      <w:r w:rsidR="0023153A" w:rsidRPr="00DD47DF">
        <w:rPr>
          <w:bCs/>
        </w:rPr>
        <w:t xml:space="preserve"> na</w:t>
      </w:r>
      <w:r w:rsidR="00D42274" w:rsidRPr="00DD47DF">
        <w:rPr>
          <w:bCs/>
        </w:rPr>
        <w:t xml:space="preserve"> nutnost tyto náklady předfinancovat, a dále s ohlede</w:t>
      </w:r>
      <w:r w:rsidR="00450475" w:rsidRPr="00DD47DF">
        <w:rPr>
          <w:bCs/>
        </w:rPr>
        <w:t xml:space="preserve">m na značnou technologickou a </w:t>
      </w:r>
      <w:r w:rsidR="00D42274" w:rsidRPr="00DD47DF">
        <w:rPr>
          <w:bCs/>
        </w:rPr>
        <w:t>procesní náročnost zajištění provozu podpořených sítí a v neposlední řadě i s ohledem na zajištění udržitelnosti projektu</w:t>
      </w:r>
      <w:r w:rsidR="00450475" w:rsidRPr="00DD47DF">
        <w:rPr>
          <w:bCs/>
        </w:rPr>
        <w:t>,</w:t>
      </w:r>
      <w:r w:rsidR="00D42274" w:rsidRPr="00DD47DF">
        <w:rPr>
          <w:bCs/>
        </w:rPr>
        <w:t xml:space="preserve"> nebude možné </w:t>
      </w:r>
      <w:r w:rsidR="00450475" w:rsidRPr="00DD47DF">
        <w:rPr>
          <w:bCs/>
        </w:rPr>
        <w:t xml:space="preserve">takové investice </w:t>
      </w:r>
      <w:r w:rsidR="00D42274" w:rsidRPr="00DD47DF">
        <w:rPr>
          <w:bCs/>
        </w:rPr>
        <w:t xml:space="preserve">vygenerovat bez významné participace velkých podniků. </w:t>
      </w:r>
      <w:r w:rsidR="0023153A" w:rsidRPr="00DD47DF">
        <w:rPr>
          <w:bCs/>
        </w:rPr>
        <w:t xml:space="preserve">Budování finančně náročných vysokorychlostních sítí velkými podniky v kombinaci s povinným umožněním přístupu do těchto sítí ostatním zájemcům o poskytování služeb přístupu k internetu o požadovaných rychlostech zakládá předpoklad následného vstupu nových subjektů na trh a budoucího rozvoje konkurenčního prostředí při maximálním využití realizovaných investic. </w:t>
      </w:r>
      <w:r w:rsidR="00D42274" w:rsidRPr="00DD47DF">
        <w:rPr>
          <w:bCs/>
        </w:rPr>
        <w:t xml:space="preserve">S ohledem na současnou praxi budování sítí lze však předpokládat výrazné zapojení malých a středních </w:t>
      </w:r>
      <w:r w:rsidR="00333BB8" w:rsidRPr="00DD47DF">
        <w:rPr>
          <w:bCs/>
        </w:rPr>
        <w:t xml:space="preserve">podniků </w:t>
      </w:r>
      <w:r w:rsidR="00D42274" w:rsidRPr="00DD47DF">
        <w:rPr>
          <w:bCs/>
        </w:rPr>
        <w:t>na straně zhotovitelů přípravn</w:t>
      </w:r>
      <w:r w:rsidR="00450475" w:rsidRPr="00DD47DF">
        <w:rPr>
          <w:bCs/>
        </w:rPr>
        <w:t>ých, výkopových a stavebních pra</w:t>
      </w:r>
      <w:r w:rsidR="00D42274" w:rsidRPr="00DD47DF">
        <w:rPr>
          <w:bCs/>
        </w:rPr>
        <w:t xml:space="preserve">cí, které </w:t>
      </w:r>
      <w:r w:rsidR="00450475" w:rsidRPr="00DD47DF">
        <w:rPr>
          <w:bCs/>
        </w:rPr>
        <w:t xml:space="preserve">budou </w:t>
      </w:r>
      <w:r w:rsidR="00D42274" w:rsidRPr="00DD47DF">
        <w:rPr>
          <w:bCs/>
        </w:rPr>
        <w:t>tvořit výraznou položku v nákladech podpořených projektů. Vybudovaná infrastruktura pro vysokorychlostní přístup k internetu rovněž významně podpoří poptávku po produktech a službách malých a středních podniků.</w:t>
      </w:r>
    </w:p>
    <w:p w14:paraId="3E9E67E9" w14:textId="77777777" w:rsidR="00150199" w:rsidRPr="00DD47DF" w:rsidRDefault="00BA6461" w:rsidP="005F43DF">
      <w:pPr>
        <w:pStyle w:val="Nadpis5"/>
        <w:numPr>
          <w:ilvl w:val="4"/>
          <w:numId w:val="26"/>
        </w:numPr>
      </w:pPr>
      <w:r w:rsidRPr="00DD47DF">
        <w:t>Hlavní zásady pro výběr operací</w:t>
      </w:r>
    </w:p>
    <w:p w14:paraId="5E053002" w14:textId="77777777" w:rsidR="00B45C7F" w:rsidRPr="00DD47DF" w:rsidRDefault="00FE3385" w:rsidP="00963119">
      <w:pPr>
        <w:pStyle w:val="Standardntext"/>
      </w:pPr>
      <w:r w:rsidRPr="00DD47DF">
        <w:t>Společné obecné zásady pro výběr operací pro všechny investiční priority celého OP PIK jsou uvedeny v prioritní ose 1 v oddíle 2.A.6.2.</w:t>
      </w:r>
    </w:p>
    <w:p w14:paraId="080F98D1" w14:textId="77777777" w:rsidR="00D42004" w:rsidRPr="00DD47DF" w:rsidRDefault="00D42004" w:rsidP="00D42004">
      <w:pPr>
        <w:pStyle w:val="Standardntext"/>
      </w:pPr>
      <w:r w:rsidRPr="00DD47DF">
        <w:t>V rámci výběru a hodnocení projektů budou posuzována především následující kritéria:</w:t>
      </w:r>
    </w:p>
    <w:p w14:paraId="59664677" w14:textId="13170FF3" w:rsidR="00D42004" w:rsidRPr="00DD47DF" w:rsidRDefault="00D42004" w:rsidP="00FC4433">
      <w:pPr>
        <w:pStyle w:val="Standardntext"/>
        <w:numPr>
          <w:ilvl w:val="0"/>
          <w:numId w:val="43"/>
        </w:numPr>
      </w:pPr>
      <w:r w:rsidRPr="00DD47DF">
        <w:t xml:space="preserve">Kvalita a potřebnost </w:t>
      </w:r>
      <w:r w:rsidR="00B45C7F" w:rsidRPr="00DD47DF">
        <w:t xml:space="preserve">projektu s ohledem na </w:t>
      </w:r>
      <w:r w:rsidR="0023153A" w:rsidRPr="00DD47DF">
        <w:t>jeho</w:t>
      </w:r>
      <w:r w:rsidR="00B45C7F" w:rsidRPr="00DD47DF">
        <w:t xml:space="preserve"> potenciál ve specifických územích (tzn. z hlediska identifikace bílých míst</w:t>
      </w:r>
      <w:r w:rsidR="00000B35" w:rsidRPr="00000B35">
        <w:t xml:space="preserve"> a míst pro identifikaci technické infrastruktury prostřednictvím digitálních map</w:t>
      </w:r>
      <w:r w:rsidR="00E9464F">
        <w:t>)</w:t>
      </w:r>
      <w:r w:rsidRPr="00DD47DF">
        <w:t>.</w:t>
      </w:r>
    </w:p>
    <w:p w14:paraId="43AA3A71" w14:textId="77777777" w:rsidR="00F00EF8" w:rsidRPr="00DD47DF" w:rsidRDefault="00F00EF8" w:rsidP="00FB3387">
      <w:pPr>
        <w:pStyle w:val="Standardntext"/>
        <w:numPr>
          <w:ilvl w:val="0"/>
          <w:numId w:val="43"/>
        </w:numPr>
      </w:pPr>
      <w:r w:rsidRPr="00DD47DF">
        <w:rPr>
          <w:bCs/>
        </w:rPr>
        <w:t>Žadatel o podporu předloží podnikatelský záměr, který bude obsahovat základní informace o lokalitě, kapitálovou náročnost investiční pří</w:t>
      </w:r>
      <w:r w:rsidR="00712D59" w:rsidRPr="00DD47DF">
        <w:rPr>
          <w:bCs/>
        </w:rPr>
        <w:t>ležitosti, technicko-</w:t>
      </w:r>
      <w:r w:rsidR="00712D59" w:rsidRPr="00DD47DF">
        <w:rPr>
          <w:bCs/>
        </w:rPr>
        <w:lastRenderedPageBreak/>
        <w:t>organizační</w:t>
      </w:r>
      <w:r w:rsidRPr="00DD47DF">
        <w:rPr>
          <w:bCs/>
        </w:rPr>
        <w:t>, obchodní a finanční zajištění realizace.</w:t>
      </w:r>
      <w:r w:rsidR="00712D59" w:rsidRPr="00DD47DF">
        <w:rPr>
          <w:bCs/>
        </w:rPr>
        <w:t xml:space="preserve"> V projektu musí být </w:t>
      </w:r>
      <w:r w:rsidR="0030164D" w:rsidRPr="00DD47DF">
        <w:rPr>
          <w:bCs/>
        </w:rPr>
        <w:t xml:space="preserve">rovněž </w:t>
      </w:r>
      <w:r w:rsidR="00712D59" w:rsidRPr="00DD47DF">
        <w:rPr>
          <w:bCs/>
        </w:rPr>
        <w:t>popsán přístup</w:t>
      </w:r>
      <w:r w:rsidR="0030164D" w:rsidRPr="00DD47DF">
        <w:rPr>
          <w:bCs/>
        </w:rPr>
        <w:t xml:space="preserve"> k síti na velkoobchodní úrovni.</w:t>
      </w:r>
    </w:p>
    <w:p w14:paraId="7490DA83" w14:textId="77777777" w:rsidR="00D42004" w:rsidRPr="00DD47DF" w:rsidRDefault="00D42004" w:rsidP="00FB3387">
      <w:pPr>
        <w:pStyle w:val="Standardntext"/>
        <w:numPr>
          <w:ilvl w:val="0"/>
          <w:numId w:val="43"/>
        </w:numPr>
      </w:pPr>
      <w:r w:rsidRPr="00DD47DF">
        <w:t>Soulad projektu s</w:t>
      </w:r>
      <w:r w:rsidR="00BA4E72" w:rsidRPr="00DD47DF">
        <w:t xml:space="preserve"> </w:t>
      </w:r>
      <w:r w:rsidRPr="00DD47DF">
        <w:t>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 </w:t>
      </w:r>
    </w:p>
    <w:p w14:paraId="741BCF25" w14:textId="77777777" w:rsidR="00AC3FC6" w:rsidRPr="00DD47DF" w:rsidRDefault="00AC3FC6" w:rsidP="00FB3387">
      <w:pPr>
        <w:pStyle w:val="Standardntext"/>
        <w:numPr>
          <w:ilvl w:val="0"/>
          <w:numId w:val="43"/>
        </w:numPr>
      </w:pPr>
      <w:r w:rsidRPr="00DD47DF">
        <w:t>Soulad projektu s prioritami RIS3.</w:t>
      </w:r>
    </w:p>
    <w:p w14:paraId="69E6AC82" w14:textId="77777777" w:rsidR="00D42004" w:rsidRPr="00DD47DF" w:rsidRDefault="00D42004"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5174F0FC"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0E4DD3C2" w14:textId="77777777" w:rsidR="00150199" w:rsidRPr="00DD47DF" w:rsidRDefault="00BA6461" w:rsidP="005F43DF">
      <w:pPr>
        <w:pStyle w:val="Nadpis5"/>
        <w:numPr>
          <w:ilvl w:val="4"/>
          <w:numId w:val="26"/>
        </w:numPr>
        <w:rPr>
          <w:rFonts w:cs="Calibri"/>
        </w:rPr>
      </w:pPr>
      <w:r w:rsidRPr="00DD47DF">
        <w:t>Plánované využití finančních nástrojů (použije-li se)</w:t>
      </w:r>
    </w:p>
    <w:p w14:paraId="5AC175A5" w14:textId="77777777" w:rsidR="00150199" w:rsidRPr="00DD47DF" w:rsidRDefault="000373F5" w:rsidP="002A4D1D">
      <w:pPr>
        <w:pStyle w:val="Standardntext"/>
      </w:pPr>
      <w:r w:rsidRPr="00DD47DF">
        <w:t xml:space="preserve">Řídící orgán </w:t>
      </w:r>
      <w:r w:rsidR="00EC6418" w:rsidRPr="00DD47DF">
        <w:t xml:space="preserve">posoudí možnosti </w:t>
      </w:r>
      <w:r w:rsidRPr="00DD47DF">
        <w:t>využití finančních nástrojů v této investiční prioritě</w:t>
      </w:r>
      <w:r w:rsidR="00EC6418" w:rsidRPr="00DD47DF">
        <w:t xml:space="preserve"> OP PIK na základě výsledků </w:t>
      </w:r>
      <w:r w:rsidRPr="00DD47DF">
        <w:t xml:space="preserve">předběžného </w:t>
      </w:r>
      <w:r w:rsidR="00EC6418" w:rsidRPr="00DD47DF">
        <w:t xml:space="preserve">vyhodnocení provedeného </w:t>
      </w:r>
      <w:r w:rsidRPr="00DD47DF">
        <w:t>dle čl. 37 odst. 2 obecného nařízení, případně jeho revize podle čl. 37 odst. 2 písm. g) obecného nařízení.</w:t>
      </w:r>
    </w:p>
    <w:p w14:paraId="4ACB0F4F" w14:textId="77777777" w:rsidR="00150199" w:rsidRPr="00DD47DF" w:rsidRDefault="00BA6461" w:rsidP="005F43DF">
      <w:pPr>
        <w:pStyle w:val="Nadpis5"/>
        <w:numPr>
          <w:ilvl w:val="4"/>
          <w:numId w:val="26"/>
        </w:numPr>
      </w:pPr>
      <w:r w:rsidRPr="00DD47DF">
        <w:t>Plánované využití velkých projektů (použije-li se)</w:t>
      </w:r>
    </w:p>
    <w:p w14:paraId="6B1737C4" w14:textId="77777777" w:rsidR="002A4D1D" w:rsidRPr="00DD47DF" w:rsidRDefault="002A4D1D" w:rsidP="002A4D1D">
      <w:pPr>
        <w:pStyle w:val="Standardntext"/>
      </w:pPr>
      <w:r w:rsidRPr="00DD47DF">
        <w:t xml:space="preserve">Velké projekty ve smyslu čl. </w:t>
      </w:r>
      <w:r w:rsidR="008F52F8" w:rsidRPr="00DD47DF">
        <w:t>10</w:t>
      </w:r>
      <w:r w:rsidRPr="00DD47DF">
        <w:t>0 obecného nařízení nejsou plánovány.</w:t>
      </w:r>
    </w:p>
    <w:p w14:paraId="74C353E2" w14:textId="77777777" w:rsidR="00150199" w:rsidRPr="00DD47DF" w:rsidRDefault="00BA6461" w:rsidP="005F43DF">
      <w:pPr>
        <w:pStyle w:val="Nadpis5"/>
        <w:numPr>
          <w:ilvl w:val="4"/>
          <w:numId w:val="26"/>
        </w:numPr>
      </w:pPr>
      <w:r w:rsidRPr="00DD47DF">
        <w:t>Ukazatele výstupů podle investiční priority a případně podle kategorie regionů</w:t>
      </w:r>
    </w:p>
    <w:p w14:paraId="047604B5" w14:textId="77777777" w:rsidR="00150199" w:rsidRPr="00DD47DF" w:rsidRDefault="00150199" w:rsidP="004126CC">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457"/>
        <w:gridCol w:w="2635"/>
        <w:gridCol w:w="1196"/>
        <w:gridCol w:w="665"/>
        <w:gridCol w:w="1201"/>
        <w:gridCol w:w="974"/>
        <w:gridCol w:w="1033"/>
        <w:gridCol w:w="1165"/>
      </w:tblGrid>
      <w:tr w:rsidR="001B2E5C" w:rsidRPr="00DD47DF" w14:paraId="1829C5DA" w14:textId="77777777">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3E9F541E" w14:textId="77777777" w:rsidR="001B2E5C" w:rsidRPr="00DD47DF" w:rsidRDefault="001B2E5C" w:rsidP="004126CC">
            <w:pPr>
              <w:pStyle w:val="Tabulka"/>
              <w:keepNext/>
              <w:keepLines/>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16ADDDE" w14:textId="77777777" w:rsidR="001B2E5C" w:rsidRPr="00DD47DF" w:rsidRDefault="001B2E5C" w:rsidP="004126CC">
            <w:pPr>
              <w:pStyle w:val="Tabulka"/>
              <w:keepNext/>
              <w:keepLines/>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BCE2E64" w14:textId="77777777" w:rsidR="001B2E5C" w:rsidRPr="00DD47DF" w:rsidRDefault="001B2E5C" w:rsidP="004126CC">
            <w:pPr>
              <w:pStyle w:val="Tabulka"/>
              <w:keepNext/>
              <w:keepLines/>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FD69AA1" w14:textId="77777777" w:rsidR="001B2E5C" w:rsidRPr="00DD47DF" w:rsidRDefault="001B2E5C" w:rsidP="004126CC">
            <w:pPr>
              <w:pStyle w:val="Tabulka"/>
              <w:keepNext/>
              <w:keepLines/>
              <w:rPr>
                <w:rFonts w:cs="Calibri"/>
                <w:b/>
              </w:rPr>
            </w:pPr>
            <w:r w:rsidRPr="00DD47DF">
              <w:rPr>
                <w:rFonts w:cs="Calibri"/>
                <w:b/>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6F6F1DF" w14:textId="77777777" w:rsidR="001B2E5C" w:rsidRPr="00DD47DF" w:rsidRDefault="001B2E5C" w:rsidP="004126CC">
            <w:pPr>
              <w:pStyle w:val="Tabulka"/>
              <w:keepNext/>
              <w:keepLines/>
              <w:rPr>
                <w:rFonts w:cs="Calibri"/>
                <w:b/>
              </w:rPr>
            </w:pPr>
            <w:r w:rsidRPr="00DD47DF">
              <w:rPr>
                <w:rFonts w:cs="Calibri"/>
                <w:b/>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5AA9DA9E" w14:textId="77777777" w:rsidR="001B2E5C" w:rsidRPr="00DD47DF" w:rsidRDefault="001B2E5C" w:rsidP="004126CC">
            <w:pPr>
              <w:pStyle w:val="Tabulka"/>
              <w:keepNext/>
              <w:keepLines/>
              <w:rPr>
                <w:rFonts w:cs="Calibri"/>
                <w:b/>
              </w:rPr>
            </w:pPr>
            <w:r w:rsidRPr="00DD47DF">
              <w:rPr>
                <w:rFonts w:cs="Calibri"/>
                <w:b/>
              </w:rPr>
              <w:t>Cílová hodnota</w:t>
            </w:r>
          </w:p>
          <w:p w14:paraId="4134BABC" w14:textId="77777777" w:rsidR="001B2E5C" w:rsidRPr="00DD47DF" w:rsidRDefault="001B2E5C" w:rsidP="004126CC">
            <w:pPr>
              <w:pStyle w:val="Tabulka"/>
              <w:keepNext/>
              <w:keepLines/>
              <w:rPr>
                <w:rFonts w:cs="Calibri"/>
                <w:b/>
              </w:rPr>
            </w:pPr>
            <w:r w:rsidRPr="00DD47DF">
              <w:rPr>
                <w:rFonts w:cs="Calibri"/>
                <w:b/>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EECA83F" w14:textId="77777777" w:rsidR="001B2E5C" w:rsidRPr="00DD47DF" w:rsidRDefault="001B2E5C" w:rsidP="004126CC">
            <w:pPr>
              <w:pStyle w:val="Tabulka"/>
              <w:keepNext/>
              <w:keepLines/>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7FF4C94" w14:textId="77777777" w:rsidR="001B2E5C" w:rsidRPr="00DD47DF" w:rsidRDefault="001B2E5C" w:rsidP="004126CC">
            <w:pPr>
              <w:pStyle w:val="Tabulka"/>
              <w:keepNext/>
              <w:keepLines/>
              <w:rPr>
                <w:rFonts w:cs="Calibri"/>
                <w:b/>
              </w:rPr>
            </w:pPr>
            <w:r w:rsidRPr="00DD47DF">
              <w:rPr>
                <w:rFonts w:cs="Calibri"/>
                <w:b/>
              </w:rPr>
              <w:t>Četnost podávání zpráv</w:t>
            </w:r>
          </w:p>
        </w:tc>
      </w:tr>
      <w:tr w:rsidR="002B3F69" w:rsidRPr="00DD47DF" w14:paraId="3E468787"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597E7E2" w14:textId="4AE58173" w:rsidR="002B3F69" w:rsidRPr="00DD47DF" w:rsidRDefault="00C75691" w:rsidP="004126CC">
            <w:pPr>
              <w:pStyle w:val="Tabulka"/>
              <w:keepNext/>
              <w:keepLines/>
              <w:rPr>
                <w:rFonts w:cs="Calibri"/>
              </w:rPr>
            </w:pPr>
            <w:r w:rsidRPr="00DD47DF">
              <w:rPr>
                <w:rFonts w:cs="Calibri"/>
              </w:rPr>
              <w:t xml:space="preserve">CO </w:t>
            </w:r>
            <w:r w:rsidR="00981056" w:rsidRPr="00DD47DF">
              <w:rPr>
                <w:rFonts w:cs="Calibri"/>
              </w:rPr>
              <w:t>0</w:t>
            </w:r>
            <w:r w:rsidR="002B3F6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7FA7789A" w14:textId="77777777" w:rsidR="002B3F69" w:rsidRPr="00DD47DF" w:rsidRDefault="007D6298" w:rsidP="004126CC">
            <w:pPr>
              <w:pStyle w:val="Tabulka"/>
              <w:keepNext/>
              <w:keepLines/>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56CAB24A" w14:textId="77777777" w:rsidR="002B3F69" w:rsidRPr="00DD47DF" w:rsidRDefault="002B3F69" w:rsidP="004126CC">
            <w:pPr>
              <w:pStyle w:val="Tabulka"/>
              <w:keepNext/>
              <w:keepLines/>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3926B4F3" w14:textId="77777777" w:rsidR="002B3F69" w:rsidRPr="00DD47DF" w:rsidRDefault="002B3F69" w:rsidP="004126CC">
            <w:pPr>
              <w:pStyle w:val="Tabulka"/>
              <w:keepNext/>
              <w:keepLines/>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1CF88F9E" w14:textId="77777777" w:rsidR="002B3F69" w:rsidRPr="00DD47DF" w:rsidRDefault="002B3F69" w:rsidP="004126CC">
            <w:pPr>
              <w:pStyle w:val="Tabulka"/>
              <w:keepNext/>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06AA62DD" w14:textId="5740C9CC" w:rsidR="002B3F69" w:rsidRPr="00DD47DF" w:rsidRDefault="00D1112B" w:rsidP="00333BB8">
            <w:pPr>
              <w:pStyle w:val="Tabulka"/>
              <w:keepNext/>
              <w:keepLines/>
              <w:rPr>
                <w:rFonts w:cs="Calibri"/>
              </w:rPr>
            </w:pPr>
            <w:r>
              <w:rPr>
                <w:rFonts w:cs="Calibri"/>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519F702E" w14:textId="77777777" w:rsidR="002B3F69" w:rsidRPr="00DD47DF" w:rsidRDefault="00FC7054" w:rsidP="004126CC">
            <w:pPr>
              <w:pStyle w:val="Tabulka"/>
              <w:keepNext/>
              <w:keepLines/>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C9F81E1" w14:textId="77777777" w:rsidR="002B3F69" w:rsidRPr="00DD47DF" w:rsidRDefault="00FC7054" w:rsidP="004126CC">
            <w:pPr>
              <w:pStyle w:val="Tabulka"/>
              <w:keepNext/>
              <w:keepLines/>
              <w:rPr>
                <w:rFonts w:cs="Calibri"/>
              </w:rPr>
            </w:pPr>
            <w:r>
              <w:rPr>
                <w:rFonts w:cs="Calibri"/>
              </w:rPr>
              <w:t>průběžně</w:t>
            </w:r>
          </w:p>
        </w:tc>
      </w:tr>
      <w:tr w:rsidR="002B3F69" w:rsidRPr="00DD47DF" w14:paraId="30720D20"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2CA2A60" w14:textId="61A403D9" w:rsidR="002B3F69" w:rsidRPr="00DD47DF" w:rsidRDefault="00C75691" w:rsidP="00F00D3E">
            <w:pPr>
              <w:pStyle w:val="Tabulka"/>
              <w:rPr>
                <w:rFonts w:cs="Calibri"/>
              </w:rPr>
            </w:pPr>
            <w:r w:rsidRPr="00DD47DF">
              <w:rPr>
                <w:rFonts w:cs="Calibri"/>
              </w:rPr>
              <w:t xml:space="preserve">CO </w:t>
            </w:r>
            <w:r w:rsidR="00981056"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0C860AC" w14:textId="77777777" w:rsidR="002B3F69" w:rsidRPr="00DD47DF" w:rsidRDefault="002B3F69" w:rsidP="00F00D3E">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72315802" w14:textId="77777777" w:rsidR="002B3F69" w:rsidRPr="00DD47DF" w:rsidRDefault="002B3F69" w:rsidP="00F00D3E">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6A0A4766" w14:textId="77777777" w:rsidR="002B3F69" w:rsidRPr="00DD47DF" w:rsidRDefault="002B3F69" w:rsidP="00F00D3E">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27620BDE" w14:textId="77777777" w:rsidR="002B3F69" w:rsidRPr="00DD47DF" w:rsidRDefault="002B3F69" w:rsidP="00F00D3E">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776E0821" w14:textId="6B8A81CE" w:rsidR="002B3F69" w:rsidRPr="00DD47DF" w:rsidRDefault="00D1112B" w:rsidP="00F00D3E">
            <w:pPr>
              <w:pStyle w:val="Tabulka"/>
              <w:rPr>
                <w:rFonts w:cs="Calibri"/>
              </w:rPr>
            </w:pPr>
            <w:r>
              <w:rPr>
                <w:rFonts w:cs="Calibri"/>
              </w:rPr>
              <w:t>22</w:t>
            </w:r>
          </w:p>
        </w:tc>
        <w:tc>
          <w:tcPr>
            <w:tcW w:w="0" w:type="auto"/>
            <w:tcBorders>
              <w:top w:val="single" w:sz="4" w:space="0" w:color="000000"/>
              <w:left w:val="single" w:sz="4" w:space="0" w:color="000000"/>
              <w:bottom w:val="single" w:sz="4" w:space="0" w:color="000000"/>
              <w:right w:val="single" w:sz="4" w:space="0" w:color="000000"/>
            </w:tcBorders>
            <w:vAlign w:val="center"/>
          </w:tcPr>
          <w:p w14:paraId="533ADAF0" w14:textId="77777777" w:rsidR="002B3F69" w:rsidRPr="00DD47DF" w:rsidRDefault="00934A97" w:rsidP="00F00D3E">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13EE1A42" w14:textId="77777777" w:rsidR="002B3F69" w:rsidRPr="00DD47DF" w:rsidRDefault="00934A97" w:rsidP="00F00D3E">
            <w:pPr>
              <w:pStyle w:val="Tabulka"/>
              <w:rPr>
                <w:rFonts w:cs="Calibri"/>
              </w:rPr>
            </w:pPr>
            <w:r>
              <w:rPr>
                <w:rFonts w:cs="Calibri"/>
              </w:rPr>
              <w:t>průběžně</w:t>
            </w:r>
          </w:p>
        </w:tc>
      </w:tr>
      <w:tr w:rsidR="00B75479" w:rsidRPr="00DD47DF" w14:paraId="03DE388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26E527A" w14:textId="6C348B53" w:rsidR="00B75479" w:rsidRPr="00DD47DF" w:rsidRDefault="00C75691" w:rsidP="008F41A1">
            <w:pPr>
              <w:pStyle w:val="Tabulka"/>
              <w:rPr>
                <w:rFonts w:cs="Calibri"/>
              </w:rPr>
            </w:pPr>
            <w:r w:rsidRPr="00DD47DF">
              <w:rPr>
                <w:rFonts w:cs="Calibri"/>
              </w:rPr>
              <w:t xml:space="preserve">CO </w:t>
            </w:r>
            <w:r w:rsidR="00B75479" w:rsidRPr="00DD47DF">
              <w:rPr>
                <w:rFonts w:cs="Calibri"/>
              </w:rPr>
              <w:t>10</w:t>
            </w:r>
          </w:p>
        </w:tc>
        <w:tc>
          <w:tcPr>
            <w:tcW w:w="0" w:type="auto"/>
            <w:tcBorders>
              <w:top w:val="single" w:sz="4" w:space="0" w:color="000000"/>
              <w:left w:val="single" w:sz="4" w:space="0" w:color="000000"/>
              <w:bottom w:val="single" w:sz="4" w:space="0" w:color="000000"/>
              <w:right w:val="single" w:sz="4" w:space="0" w:color="000000"/>
            </w:tcBorders>
            <w:vAlign w:val="center"/>
          </w:tcPr>
          <w:p w14:paraId="7D5EE197" w14:textId="77777777" w:rsidR="00B75479" w:rsidRPr="00DD47DF" w:rsidRDefault="00B75479" w:rsidP="008F41A1">
            <w:pPr>
              <w:pStyle w:val="Tabulka"/>
              <w:jc w:val="left"/>
              <w:rPr>
                <w:rFonts w:cs="Calibri"/>
              </w:rPr>
            </w:pPr>
            <w:r w:rsidRPr="00DD47DF">
              <w:rPr>
                <w:rFonts w:cs="Calibri"/>
              </w:rPr>
              <w:t>Domácnosti, které mají nově přístup k širokopásmovým sítím s přenosovou rychlostí nejméně 30 Mb/s</w:t>
            </w:r>
          </w:p>
        </w:tc>
        <w:tc>
          <w:tcPr>
            <w:tcW w:w="0" w:type="auto"/>
            <w:tcBorders>
              <w:top w:val="single" w:sz="4" w:space="0" w:color="000000"/>
              <w:left w:val="single" w:sz="4" w:space="0" w:color="000000"/>
              <w:bottom w:val="single" w:sz="4" w:space="0" w:color="000000"/>
              <w:right w:val="single" w:sz="4" w:space="0" w:color="000000"/>
            </w:tcBorders>
            <w:vAlign w:val="center"/>
          </w:tcPr>
          <w:p w14:paraId="3C0164CD" w14:textId="77777777" w:rsidR="00B75479" w:rsidRPr="00DD47DF" w:rsidRDefault="00B75479" w:rsidP="008F41A1">
            <w:pPr>
              <w:pStyle w:val="Tabulka"/>
              <w:rPr>
                <w:rFonts w:cs="Calibri"/>
              </w:rPr>
            </w:pPr>
            <w:r w:rsidRPr="00DD47DF">
              <w:rPr>
                <w:rFonts w:cs="Calibri"/>
              </w:rPr>
              <w:t>domácnosti</w:t>
            </w:r>
          </w:p>
        </w:tc>
        <w:tc>
          <w:tcPr>
            <w:tcW w:w="0" w:type="auto"/>
            <w:tcBorders>
              <w:top w:val="single" w:sz="4" w:space="0" w:color="000000"/>
              <w:left w:val="single" w:sz="4" w:space="0" w:color="000000"/>
              <w:bottom w:val="single" w:sz="4" w:space="0" w:color="000000"/>
              <w:right w:val="single" w:sz="4" w:space="0" w:color="000000"/>
            </w:tcBorders>
            <w:vAlign w:val="center"/>
          </w:tcPr>
          <w:p w14:paraId="1C84EB8F" w14:textId="77777777" w:rsidR="00B75479" w:rsidRPr="00DD47DF" w:rsidRDefault="00B75479" w:rsidP="00F00D3E">
            <w:pPr>
              <w:pStyle w:val="Tabulka"/>
              <w:rPr>
                <w:rFonts w:cs="Calibri"/>
              </w:rPr>
            </w:pPr>
            <w:r w:rsidRPr="00DD47DF">
              <w:rPr>
                <w:rFonts w:cs="Calibri"/>
              </w:rPr>
              <w:t>EFRR</w:t>
            </w:r>
          </w:p>
        </w:tc>
        <w:tc>
          <w:tcPr>
            <w:tcW w:w="0" w:type="auto"/>
            <w:tcBorders>
              <w:top w:val="single" w:sz="4" w:space="0" w:color="000000"/>
              <w:left w:val="single" w:sz="4" w:space="0" w:color="000000"/>
              <w:bottom w:val="single" w:sz="4" w:space="0" w:color="000000"/>
              <w:right w:val="single" w:sz="4" w:space="0" w:color="000000"/>
            </w:tcBorders>
            <w:vAlign w:val="center"/>
          </w:tcPr>
          <w:p w14:paraId="324D93AF" w14:textId="77777777" w:rsidR="00B75479" w:rsidRPr="00DD47DF" w:rsidRDefault="00B75479" w:rsidP="00F00D3E">
            <w:pPr>
              <w:pStyle w:val="Tabulka"/>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5276608" w14:textId="7A7DA5D6" w:rsidR="00B75479" w:rsidRPr="00DD47DF" w:rsidRDefault="00D1112B" w:rsidP="00BD0A09">
            <w:pPr>
              <w:pStyle w:val="Tabulka"/>
              <w:rPr>
                <w:rFonts w:cs="Calibri"/>
              </w:rPr>
            </w:pPr>
            <w:r>
              <w:rPr>
                <w:rFonts w:cs="Calibri"/>
              </w:rPr>
              <w:t>24 320</w:t>
            </w:r>
          </w:p>
        </w:tc>
        <w:tc>
          <w:tcPr>
            <w:tcW w:w="0" w:type="auto"/>
            <w:tcBorders>
              <w:top w:val="single" w:sz="4" w:space="0" w:color="000000"/>
              <w:left w:val="single" w:sz="4" w:space="0" w:color="000000"/>
              <w:bottom w:val="single" w:sz="4" w:space="0" w:color="000000"/>
              <w:right w:val="single" w:sz="4" w:space="0" w:color="000000"/>
            </w:tcBorders>
            <w:vAlign w:val="center"/>
          </w:tcPr>
          <w:p w14:paraId="3382295B" w14:textId="77777777" w:rsidR="00B75479" w:rsidRPr="00DD47DF" w:rsidRDefault="00B75479" w:rsidP="00D33A09">
            <w:pPr>
              <w:pStyle w:val="Tabulka"/>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237969D8" w14:textId="77777777" w:rsidR="00B75479" w:rsidRPr="00DD47DF" w:rsidRDefault="00743EBF" w:rsidP="008F41A1">
            <w:pPr>
              <w:pStyle w:val="Tabulka"/>
              <w:rPr>
                <w:rFonts w:cs="Calibri"/>
              </w:rPr>
            </w:pPr>
            <w:r>
              <w:rPr>
                <w:rFonts w:cs="Calibri"/>
              </w:rPr>
              <w:t>průběžně</w:t>
            </w:r>
          </w:p>
        </w:tc>
      </w:tr>
    </w:tbl>
    <w:p w14:paraId="7F2B10DE" w14:textId="77777777" w:rsidR="00B53995" w:rsidRPr="00DD47DF" w:rsidRDefault="00B53995" w:rsidP="00DA3512">
      <w:pPr>
        <w:pStyle w:val="kapitola2A0"/>
        <w:numPr>
          <w:ilvl w:val="2"/>
          <w:numId w:val="69"/>
        </w:numPr>
      </w:pPr>
      <w:bookmarkStart w:id="97" w:name="_Toc129005427"/>
      <w:r w:rsidRPr="00DD47DF">
        <w:lastRenderedPageBreak/>
        <w:t>INVESTIČNÍ PRIORITA 2 prioritní osy 4: Vyvíjení produktů a služeb v oblasti IKT, elektronický obchod a zvyšování poptávky po IKT</w:t>
      </w:r>
      <w:bookmarkEnd w:id="97"/>
    </w:p>
    <w:p w14:paraId="32330A96" w14:textId="77777777" w:rsidR="002E1C78" w:rsidRPr="00DD47DF" w:rsidRDefault="008C7D72" w:rsidP="00DA3512">
      <w:pPr>
        <w:pStyle w:val="kapitola2A0"/>
        <w:numPr>
          <w:ilvl w:val="2"/>
          <w:numId w:val="69"/>
        </w:numPr>
      </w:pPr>
      <w:bookmarkStart w:id="98" w:name="_Toc129005428"/>
      <w:r w:rsidRPr="00DD47DF">
        <w:t>Specifické cíle odpovídající investiční prioritě a očekávané výsledky</w:t>
      </w:r>
      <w:bookmarkEnd w:id="98"/>
    </w:p>
    <w:p w14:paraId="6B29F2BB" w14:textId="77777777" w:rsidR="00BA3276" w:rsidRPr="00DD47DF" w:rsidRDefault="002E1C78" w:rsidP="00BA3276">
      <w:pPr>
        <w:pStyle w:val="Modrnadpis"/>
      </w:pPr>
      <w:r w:rsidRPr="00DD47DF">
        <w:t xml:space="preserve">SPECIFICKÝ CÍL </w:t>
      </w:r>
      <w:r w:rsidR="006F258E" w:rsidRPr="00DD47DF">
        <w:t>4.</w:t>
      </w:r>
      <w:r w:rsidRPr="00DD47DF">
        <w:t xml:space="preserve">2: </w:t>
      </w:r>
      <w:r w:rsidR="00CE3F25" w:rsidRPr="00DD47DF">
        <w:t>Zvýšit využití potenciálu ICT sektoru pro konkurenceschopnost ekonomiky</w:t>
      </w:r>
    </w:p>
    <w:p w14:paraId="4351F2C2" w14:textId="77777777" w:rsidR="00396DB9" w:rsidRPr="00DD47DF" w:rsidRDefault="00396DB9" w:rsidP="00116A3E">
      <w:pPr>
        <w:pStyle w:val="Standardntext"/>
      </w:pPr>
      <w:r w:rsidRPr="00DD47DF">
        <w:t>Sofistikované produkty v oblasti ICT a související služby jsou prvky základního významu, které horizontálně prostupují všechny obory lidské činnosti</w:t>
      </w:r>
      <w:r w:rsidR="00320CEA" w:rsidRPr="00DD47DF">
        <w:t>,</w:t>
      </w:r>
      <w:r w:rsidRPr="00DD47DF">
        <w:t xml:space="preserve"> a bez nich</w:t>
      </w:r>
      <w:r w:rsidR="00320CEA" w:rsidRPr="00DD47DF">
        <w:t>ž</w:t>
      </w:r>
      <w:r w:rsidRPr="00DD47DF">
        <w:t xml:space="preserve"> nelze efektivně realizovat podnikatelské záměry</w:t>
      </w:r>
      <w:r w:rsidR="00320CEA" w:rsidRPr="00DD47DF">
        <w:t>,</w:t>
      </w:r>
      <w:r w:rsidRPr="00DD47DF">
        <w:t xml:space="preserve"> ani zvyšovat kvalitu života společnosti. Český I</w:t>
      </w:r>
      <w:r w:rsidR="00320CEA" w:rsidRPr="00DD47DF">
        <w:t>C</w:t>
      </w:r>
      <w:r w:rsidRPr="00DD47DF">
        <w:t xml:space="preserve">T sektor má velký, dosud ne zcela využitý potenciál, který bude za pomoci tohoto specifického cíle přeměněn ve hmatatelné výsledky. Hlavním cílem je růst konkurenceschopnosti založený na vyvíjení a využívání vysoce inovativních </w:t>
      </w:r>
      <w:r w:rsidR="00320CEA" w:rsidRPr="00DD47DF">
        <w:t>ICT</w:t>
      </w:r>
      <w:r w:rsidRPr="00DD47DF">
        <w:t>.</w:t>
      </w:r>
    </w:p>
    <w:p w14:paraId="39DADC03" w14:textId="77777777" w:rsidR="003F4488" w:rsidRPr="00DD47DF" w:rsidRDefault="003508A9" w:rsidP="00396141">
      <w:pPr>
        <w:pStyle w:val="Modrnadpis"/>
      </w:pPr>
      <w:r w:rsidRPr="00DD47DF">
        <w:t>Výsledky, kterých chce ČR dosáhnout s podporou Unie</w:t>
      </w:r>
    </w:p>
    <w:p w14:paraId="1C372945" w14:textId="77777777" w:rsidR="0025663C" w:rsidRPr="00DD47DF" w:rsidRDefault="0006102D" w:rsidP="00FB3387">
      <w:pPr>
        <w:pStyle w:val="Standardntext"/>
        <w:numPr>
          <w:ilvl w:val="0"/>
          <w:numId w:val="37"/>
        </w:numPr>
      </w:pPr>
      <w:r w:rsidRPr="00DD47DF">
        <w:t>Rozšíření a zvýšení nabídky nových informačních systémů, ICT řešení a vysoce sofistikovaných ICT nástrojů, cloudových řešení a služeb a nových softwarových produktů a služeb, moderních a pokrokových digitálních služeb a aplikací např. v oblasti komunikace, zábavy, obchodování, vzdělávání, zdravotnictví nebo přístupu k zaměstnání</w:t>
      </w:r>
      <w:r w:rsidR="00333BB8" w:rsidRPr="00DD47DF">
        <w:t>, a tím naplnění potenciálu, kterým ČR v tomto sektoru disponuje</w:t>
      </w:r>
      <w:r w:rsidRPr="00DD47DF">
        <w:t>.</w:t>
      </w:r>
      <w:r w:rsidR="0025663C" w:rsidRPr="00DD47DF">
        <w:t xml:space="preserve"> Očekávanou změnou je zvýšení nabídky ICT řešení, sdílených služeb a služeb datových center</w:t>
      </w:r>
      <w:r w:rsidR="00002278" w:rsidRPr="00DD47DF">
        <w:t xml:space="preserve">. Podpora </w:t>
      </w:r>
      <w:r w:rsidR="00936B63" w:rsidRPr="00DD47DF">
        <w:t xml:space="preserve">je </w:t>
      </w:r>
      <w:r w:rsidR="00002278" w:rsidRPr="00DD47DF">
        <w:t xml:space="preserve">tedy </w:t>
      </w:r>
      <w:r w:rsidR="00936B63" w:rsidRPr="00DD47DF">
        <w:t>orientována</w:t>
      </w:r>
      <w:r w:rsidR="00002278" w:rsidRPr="00DD47DF">
        <w:t xml:space="preserve"> na nabídkovou stranu</w:t>
      </w:r>
      <w:r w:rsidR="00936B63" w:rsidRPr="00DD47DF">
        <w:t xml:space="preserve"> tzn. na ICT firmy, které vytvářejí vlastní ICT řešení. Smyslem tohoto </w:t>
      </w:r>
      <w:r w:rsidR="0023153A" w:rsidRPr="00DD47DF">
        <w:t>specifického cíle</w:t>
      </w:r>
      <w:r w:rsidR="00936B63" w:rsidRPr="00DD47DF">
        <w:t xml:space="preserve"> není prosté vybavení podniků hardwarem či softwarem.</w:t>
      </w:r>
      <w:r w:rsidR="00002278" w:rsidRPr="00DD47DF">
        <w:t xml:space="preserve"> Zákazníci, tj. podnikatelské subjekty a obyvatelé využívající IT, budou tato řešení a služby poptávat, což v konečném důsledku povede ke snížení jejich nákladů a zvýšení konkurenceschopnosti.</w:t>
      </w:r>
    </w:p>
    <w:p w14:paraId="0B370F2A" w14:textId="77777777" w:rsidR="00396141" w:rsidRPr="00DD47DF" w:rsidRDefault="00396141" w:rsidP="00FB3387">
      <w:pPr>
        <w:pStyle w:val="Standardntext"/>
        <w:numPr>
          <w:ilvl w:val="0"/>
          <w:numId w:val="37"/>
        </w:numPr>
      </w:pPr>
      <w:r w:rsidRPr="00DD47DF">
        <w:t xml:space="preserve">Lepší uplatnění produktů českých IT </w:t>
      </w:r>
      <w:r w:rsidR="00594BD9" w:rsidRPr="00DD47DF">
        <w:t>podniků</w:t>
      </w:r>
      <w:r w:rsidRPr="00DD47DF">
        <w:t xml:space="preserve"> na globálním trhu. Specifický cíl pomůže českým </w:t>
      </w:r>
      <w:r w:rsidR="00594BD9" w:rsidRPr="00DD47DF">
        <w:t>podnikům</w:t>
      </w:r>
      <w:r w:rsidRPr="00DD47DF">
        <w:t xml:space="preserve"> dostat se do povědomí zahraničních zákazníků jako dodavatelé kvalitních ICT řešení</w:t>
      </w:r>
      <w:r w:rsidR="003F2CA2" w:rsidRPr="00DD47DF">
        <w:t xml:space="preserve"> například v oblastech vývoje aplikací pro mobilní zařízení, bezpečnosti dat, sociálních sítí a dalších</w:t>
      </w:r>
      <w:r w:rsidRPr="00DD47DF">
        <w:t>.</w:t>
      </w:r>
    </w:p>
    <w:p w14:paraId="5A4D8297" w14:textId="77777777" w:rsidR="00396141" w:rsidRPr="00DD47DF" w:rsidRDefault="001F7140" w:rsidP="00FB3387">
      <w:pPr>
        <w:pStyle w:val="Standardntext"/>
        <w:numPr>
          <w:ilvl w:val="0"/>
          <w:numId w:val="37"/>
        </w:numPr>
      </w:pPr>
      <w:r w:rsidRPr="00DD47DF">
        <w:t>Vývojem nových ICT řešení dojde sekundárně k r</w:t>
      </w:r>
      <w:r w:rsidR="00396141" w:rsidRPr="00DD47DF">
        <w:t>ozvoj</w:t>
      </w:r>
      <w:r w:rsidRPr="00DD47DF">
        <w:t>i</w:t>
      </w:r>
      <w:r w:rsidR="00396141" w:rsidRPr="00DD47DF">
        <w:t xml:space="preserve"> znalostí a dovedností IT odborníků</w:t>
      </w:r>
      <w:r w:rsidRPr="00DD47DF">
        <w:t>, kteří tak budou schopni pružně reagovat na velmi dynamicky se vyvíjející trendy v tomto odvětví</w:t>
      </w:r>
      <w:r w:rsidR="00396141" w:rsidRPr="00DD47DF">
        <w:t>.</w:t>
      </w:r>
      <w:r w:rsidR="00F719E9" w:rsidRPr="00DD47DF">
        <w:t xml:space="preserve"> Obecně potom </w:t>
      </w:r>
      <w:r w:rsidRPr="00DD47DF">
        <w:t xml:space="preserve">dojde k </w:t>
      </w:r>
      <w:r w:rsidR="00396DB9" w:rsidRPr="00DD47DF">
        <w:t>rozvoj</w:t>
      </w:r>
      <w:r w:rsidRPr="00DD47DF">
        <w:t>i</w:t>
      </w:r>
      <w:r w:rsidR="00396DB9" w:rsidRPr="00DD47DF">
        <w:t xml:space="preserve"> lidských zdrojů, zejména </w:t>
      </w:r>
      <w:r w:rsidRPr="00DD47DF">
        <w:t>s ohledem na jejich mobilitu, což přispěje ke</w:t>
      </w:r>
      <w:r w:rsidR="00F719E9" w:rsidRPr="00DD47DF">
        <w:t xml:space="preserve"> tvorb</w:t>
      </w:r>
      <w:r w:rsidRPr="00DD47DF">
        <w:t>ě</w:t>
      </w:r>
      <w:r w:rsidR="00F719E9" w:rsidRPr="00DD47DF">
        <w:t xml:space="preserve"> vysoce kvalifikovaných pracovních míst v sektoru služeb.</w:t>
      </w:r>
    </w:p>
    <w:p w14:paraId="6A97CDDE" w14:textId="77777777" w:rsidR="00F719E9" w:rsidRPr="00DD47DF" w:rsidRDefault="00F95834" w:rsidP="00FB3387">
      <w:pPr>
        <w:pStyle w:val="Standardntext"/>
        <w:numPr>
          <w:ilvl w:val="0"/>
          <w:numId w:val="37"/>
        </w:numPr>
      </w:pPr>
      <w:r w:rsidRPr="00DD47DF">
        <w:t>Prostřednictvím sdílených služeb přispět</w:t>
      </w:r>
      <w:r w:rsidR="00F719E9" w:rsidRPr="00DD47DF">
        <w:t xml:space="preserve"> ke snižování </w:t>
      </w:r>
      <w:r w:rsidR="00396DB9" w:rsidRPr="00DD47DF">
        <w:t xml:space="preserve">investičních nákladů a </w:t>
      </w:r>
      <w:r w:rsidR="00F719E9" w:rsidRPr="00DD47DF">
        <w:t>nákladovosti procesů a zvyšování efektivity činností v podnicích, a tím ke zvyšování jejich konkurenceschopnosti.</w:t>
      </w:r>
      <w:r w:rsidR="00396DB9" w:rsidRPr="00DD47DF">
        <w:t xml:space="preserve"> Dojde k úsporám z rozsahu, kdy sdílené služby mohou být nabízeny a poskytovány více uživatelům současně.</w:t>
      </w:r>
    </w:p>
    <w:p w14:paraId="5CC1B6E2" w14:textId="77777777" w:rsidR="00396141" w:rsidRPr="00DD47DF" w:rsidRDefault="00396141" w:rsidP="00FB3387">
      <w:pPr>
        <w:pStyle w:val="Standardntext"/>
        <w:numPr>
          <w:ilvl w:val="0"/>
          <w:numId w:val="37"/>
        </w:numPr>
      </w:pPr>
      <w:r w:rsidRPr="00DD47DF">
        <w:t xml:space="preserve">V oblasti sdílených služeb specifický cíl </w:t>
      </w:r>
      <w:r w:rsidR="00F719E9" w:rsidRPr="00DD47DF">
        <w:t xml:space="preserve">rovněž </w:t>
      </w:r>
      <w:r w:rsidRPr="00DD47DF">
        <w:t>přispěje k potvrzení pozice Č</w:t>
      </w:r>
      <w:r w:rsidR="0023153A" w:rsidRPr="00DD47DF">
        <w:t>R</w:t>
      </w:r>
      <w:r w:rsidRPr="00DD47DF">
        <w:t xml:space="preserve"> jako ideální lokace pro umístění velkých center sdílených služeb a budování datových center.</w:t>
      </w:r>
    </w:p>
    <w:p w14:paraId="0E91D1E6" w14:textId="77777777" w:rsidR="00116A3E" w:rsidRPr="00DD47DF" w:rsidRDefault="00116A3E" w:rsidP="00FB3387">
      <w:pPr>
        <w:pStyle w:val="Standardntext"/>
        <w:numPr>
          <w:ilvl w:val="0"/>
          <w:numId w:val="37"/>
        </w:numPr>
      </w:pPr>
      <w:r w:rsidRPr="00DD47DF">
        <w:t>Rozvoj informační a znalostní společnosti.</w:t>
      </w:r>
    </w:p>
    <w:p w14:paraId="0B2E1736" w14:textId="77777777" w:rsidR="002E1C78" w:rsidRPr="00DD47DF" w:rsidRDefault="002E1C78" w:rsidP="00B22DB8">
      <w:pPr>
        <w:pStyle w:val="Titulek"/>
        <w:keepNext/>
        <w:keepLines/>
        <w:rPr>
          <w:rFonts w:cs="Calibri"/>
        </w:rPr>
      </w:pPr>
      <w:r w:rsidRPr="00DD47DF">
        <w:rPr>
          <w:rFonts w:cs="Calibri"/>
        </w:rPr>
        <w:lastRenderedPageBreak/>
        <w:t xml:space="preserve">Tabulka </w:t>
      </w:r>
      <w:r w:rsidR="002756E7" w:rsidRPr="00DD47DF">
        <w:rPr>
          <w:rFonts w:cs="Calibri"/>
        </w:rPr>
        <w:fldChar w:fldCharType="begin"/>
      </w:r>
      <w:r w:rsidRPr="00DD47DF">
        <w:rPr>
          <w:rFonts w:cs="Calibri"/>
        </w:rPr>
        <w:instrText xml:space="preserve"> SEQ Tabulka \* ARABIC \r3 </w:instrText>
      </w:r>
      <w:r w:rsidR="002756E7" w:rsidRPr="00DD47DF">
        <w:rPr>
          <w:rFonts w:cs="Calibri"/>
        </w:rPr>
        <w:fldChar w:fldCharType="separate"/>
      </w:r>
      <w:r w:rsidR="00117847">
        <w:rPr>
          <w:rFonts w:cs="Calibri"/>
          <w:noProof/>
        </w:rPr>
        <w:t>3</w:t>
      </w:r>
      <w:r w:rsidR="002756E7" w:rsidRPr="00DD47DF">
        <w:rPr>
          <w:rFonts w:cs="Calibri"/>
        </w:rPr>
        <w:fldChar w:fldCharType="end"/>
      </w:r>
      <w:r w:rsidRPr="00DD47DF">
        <w:rPr>
          <w:rFonts w:cs="Calibri"/>
        </w:rPr>
        <w:t xml:space="preserve">: </w:t>
      </w:r>
      <w:r w:rsidR="00CF739D" w:rsidRPr="00DD47DF">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257"/>
        <w:gridCol w:w="993"/>
        <w:gridCol w:w="1194"/>
        <w:gridCol w:w="1053"/>
        <w:gridCol w:w="952"/>
        <w:gridCol w:w="1156"/>
        <w:gridCol w:w="790"/>
        <w:gridCol w:w="1267"/>
      </w:tblGrid>
      <w:tr w:rsidR="00CF739D" w:rsidRPr="00DD47DF" w14:paraId="1343856A" w14:textId="77777777">
        <w:trPr>
          <w:trHeight w:hRule="exact" w:val="148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23D1E01" w14:textId="77777777" w:rsidR="00CF739D" w:rsidRPr="00DD47DF" w:rsidRDefault="00CF739D" w:rsidP="00B22DB8">
            <w:pPr>
              <w:pStyle w:val="Tabulka"/>
              <w:keepNext/>
              <w:keepLines/>
              <w:rPr>
                <w:rFonts w:cs="Calibri"/>
                <w:b/>
                <w:bCs/>
              </w:rPr>
            </w:pPr>
            <w:r w:rsidRPr="00DD47DF">
              <w:rPr>
                <w:rFonts w:cs="Calibri"/>
                <w:b/>
                <w:bCs/>
              </w:rPr>
              <w:t>ID</w:t>
            </w:r>
          </w:p>
        </w:tc>
        <w:tc>
          <w:tcPr>
            <w:tcW w:w="125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7DB4C65B" w14:textId="77777777" w:rsidR="00CF739D" w:rsidRPr="00DD47DF" w:rsidRDefault="00CF739D" w:rsidP="00B22DB8">
            <w:pPr>
              <w:pStyle w:val="Tabulka"/>
              <w:keepNext/>
              <w:keepLines/>
              <w:rPr>
                <w:rFonts w:cs="Calibri"/>
                <w:b/>
                <w:bCs/>
              </w:rPr>
            </w:pPr>
            <w:r w:rsidRPr="00DD47DF">
              <w:rPr>
                <w:rFonts w:cs="Calibri"/>
                <w:b/>
                <w:bCs/>
              </w:rPr>
              <w:t>Ukazatel</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B2A8188" w14:textId="77777777" w:rsidR="00CF739D" w:rsidRPr="00DD47DF" w:rsidRDefault="00CF739D" w:rsidP="00B22DB8">
            <w:pPr>
              <w:pStyle w:val="Tabulka"/>
              <w:keepNext/>
              <w:keepLines/>
              <w:rPr>
                <w:rFonts w:cs="Calibri"/>
                <w:b/>
                <w:bCs/>
              </w:rPr>
            </w:pPr>
            <w:r w:rsidRPr="00DD47DF">
              <w:rPr>
                <w:rFonts w:cs="Calibri"/>
                <w:b/>
                <w:bCs/>
              </w:rPr>
              <w:t>Měrná</w:t>
            </w:r>
          </w:p>
          <w:p w14:paraId="48B7FB2C" w14:textId="77777777" w:rsidR="00CF739D" w:rsidRPr="00DD47DF" w:rsidRDefault="00CF739D" w:rsidP="00B22DB8">
            <w:pPr>
              <w:pStyle w:val="Tabulka"/>
              <w:keepNext/>
              <w:keepLines/>
              <w:rPr>
                <w:rFonts w:cs="Calibri"/>
                <w:b/>
                <w:bCs/>
              </w:rPr>
            </w:pPr>
            <w:r w:rsidRPr="00DD47DF">
              <w:rPr>
                <w:rFonts w:cs="Calibri"/>
                <w:b/>
                <w:bCs/>
              </w:rPr>
              <w:t>jednotka</w:t>
            </w:r>
          </w:p>
        </w:tc>
        <w:tc>
          <w:tcPr>
            <w:tcW w:w="119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52BACBC" w14:textId="77777777" w:rsidR="00CF739D" w:rsidRPr="00DD47DF" w:rsidRDefault="00CF739D" w:rsidP="00B22DB8">
            <w:pPr>
              <w:pStyle w:val="Tabulka"/>
              <w:keepNext/>
              <w:keepLines/>
              <w:rPr>
                <w:rFonts w:cs="Calibri"/>
                <w:b/>
                <w:bCs/>
              </w:rPr>
            </w:pPr>
            <w:r w:rsidRPr="00DD47DF">
              <w:rPr>
                <w:rFonts w:cs="Calibri"/>
                <w:b/>
                <w:bCs/>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78E9BC4" w14:textId="77777777" w:rsidR="00CF739D" w:rsidRPr="00DD47DF" w:rsidRDefault="004B0854" w:rsidP="00B22DB8">
            <w:pPr>
              <w:pStyle w:val="Tabulka"/>
              <w:keepNext/>
              <w:keepLines/>
              <w:rPr>
                <w:rFonts w:cs="Calibri"/>
                <w:b/>
                <w:bCs/>
              </w:rPr>
            </w:pPr>
            <w:r w:rsidRPr="00DD47DF">
              <w:rPr>
                <w:rFonts w:cs="Calibri"/>
                <w:b/>
                <w:bCs/>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04FA5E29" w14:textId="77777777" w:rsidR="00CF739D" w:rsidRPr="00DD47DF" w:rsidRDefault="004B0854" w:rsidP="004B0854">
            <w:pPr>
              <w:pStyle w:val="Tabulka"/>
              <w:keepNext/>
              <w:keepLines/>
              <w:rPr>
                <w:rFonts w:cs="Calibri"/>
                <w:b/>
                <w:bCs/>
              </w:rPr>
            </w:pPr>
            <w:r w:rsidRPr="00DD47DF">
              <w:rPr>
                <w:rFonts w:cs="Calibri"/>
                <w:b/>
                <w:bCs/>
              </w:rPr>
              <w:t xml:space="preserve">Výchozí </w:t>
            </w:r>
            <w:r w:rsidR="00CF739D" w:rsidRPr="00DD47DF">
              <w:rPr>
                <w:rFonts w:cs="Calibri"/>
                <w:b/>
                <w:bCs/>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3FB07F7" w14:textId="77777777" w:rsidR="00CF739D" w:rsidRPr="00DD47DF" w:rsidRDefault="00CF739D" w:rsidP="00B22DB8">
            <w:pPr>
              <w:pStyle w:val="Tabulka"/>
              <w:keepNext/>
              <w:keepLines/>
              <w:rPr>
                <w:rFonts w:cs="Calibri"/>
                <w:b/>
                <w:bCs/>
              </w:rPr>
            </w:pPr>
            <w:r w:rsidRPr="00DD47DF">
              <w:rPr>
                <w:rFonts w:cs="Calibri"/>
                <w:b/>
                <w:bCs/>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6D43A2" w14:textId="77777777" w:rsidR="00CF739D" w:rsidRPr="00DD47DF" w:rsidRDefault="00CF739D" w:rsidP="00B22DB8">
            <w:pPr>
              <w:pStyle w:val="Tabulka"/>
              <w:keepNext/>
              <w:keepLines/>
              <w:rPr>
                <w:rFonts w:cs="Calibri"/>
                <w:b/>
                <w:bCs/>
              </w:rPr>
            </w:pPr>
            <w:r w:rsidRPr="00DD47DF">
              <w:rPr>
                <w:rFonts w:cs="Calibri"/>
                <w:b/>
                <w:bCs/>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AC85A79" w14:textId="77777777" w:rsidR="00CF739D" w:rsidRPr="00DD47DF" w:rsidRDefault="00CF739D" w:rsidP="00B22DB8">
            <w:pPr>
              <w:pStyle w:val="Tabulka"/>
              <w:keepNext/>
              <w:keepLines/>
              <w:rPr>
                <w:rFonts w:cs="Calibri"/>
                <w:b/>
                <w:bCs/>
              </w:rPr>
            </w:pPr>
            <w:r w:rsidRPr="00DD47DF">
              <w:rPr>
                <w:rFonts w:cs="Calibri"/>
                <w:b/>
                <w:bCs/>
              </w:rPr>
              <w:t>Četnost podávání zpráv</w:t>
            </w:r>
          </w:p>
        </w:tc>
      </w:tr>
      <w:tr w:rsidR="002E1C78" w:rsidRPr="00DD47DF" w14:paraId="7D61D145" w14:textId="77777777" w:rsidTr="00A556B6">
        <w:trPr>
          <w:trHeight w:hRule="exact" w:val="1400"/>
        </w:trPr>
        <w:tc>
          <w:tcPr>
            <w:tcW w:w="0" w:type="auto"/>
            <w:tcBorders>
              <w:top w:val="single" w:sz="4" w:space="0" w:color="000000"/>
              <w:left w:val="single" w:sz="4" w:space="0" w:color="000000"/>
              <w:bottom w:val="single" w:sz="4" w:space="0" w:color="000000"/>
              <w:right w:val="single" w:sz="4" w:space="0" w:color="000000"/>
            </w:tcBorders>
            <w:vAlign w:val="center"/>
          </w:tcPr>
          <w:p w14:paraId="2061E27D" w14:textId="77777777" w:rsidR="002E1C78" w:rsidRPr="00DD47DF" w:rsidRDefault="00FA2A8A" w:rsidP="006F258E">
            <w:pPr>
              <w:pStyle w:val="Tabulka"/>
              <w:keepLines/>
              <w:rPr>
                <w:rFonts w:cs="Calibri"/>
              </w:rPr>
            </w:pPr>
            <w:r w:rsidRPr="00DD47DF">
              <w:rPr>
                <w:rFonts w:cs="Calibri"/>
              </w:rPr>
              <w:t>30002</w:t>
            </w:r>
          </w:p>
        </w:tc>
        <w:tc>
          <w:tcPr>
            <w:tcW w:w="1257" w:type="dxa"/>
            <w:tcBorders>
              <w:top w:val="single" w:sz="4" w:space="0" w:color="000000"/>
              <w:left w:val="single" w:sz="4" w:space="0" w:color="000000"/>
              <w:bottom w:val="single" w:sz="4" w:space="0" w:color="000000"/>
              <w:right w:val="single" w:sz="4" w:space="0" w:color="000000"/>
            </w:tcBorders>
            <w:vAlign w:val="center"/>
          </w:tcPr>
          <w:p w14:paraId="663AAAFA" w14:textId="77777777" w:rsidR="002E1C78" w:rsidRPr="00DD47DF" w:rsidRDefault="001B36DC" w:rsidP="006F258E">
            <w:pPr>
              <w:pStyle w:val="Tabulka"/>
              <w:keepLines/>
              <w:jc w:val="left"/>
              <w:rPr>
                <w:rFonts w:cs="Calibri"/>
              </w:rPr>
            </w:pPr>
            <w:r w:rsidRPr="00DD47DF">
              <w:rPr>
                <w:rFonts w:cs="Calibri"/>
              </w:rPr>
              <w:t>Přidaná hodnota IT služeb jako podíl na HDP</w:t>
            </w:r>
          </w:p>
        </w:tc>
        <w:tc>
          <w:tcPr>
            <w:tcW w:w="993" w:type="dxa"/>
            <w:tcBorders>
              <w:top w:val="single" w:sz="4" w:space="0" w:color="000000"/>
              <w:left w:val="single" w:sz="4" w:space="0" w:color="000000"/>
              <w:bottom w:val="single" w:sz="4" w:space="0" w:color="000000"/>
              <w:right w:val="single" w:sz="4" w:space="0" w:color="000000"/>
            </w:tcBorders>
            <w:vAlign w:val="center"/>
          </w:tcPr>
          <w:p w14:paraId="73BE234A" w14:textId="77777777" w:rsidR="002E1C78" w:rsidRPr="00DD47DF" w:rsidRDefault="001B36DC" w:rsidP="006F258E">
            <w:pPr>
              <w:pStyle w:val="Tabulka"/>
              <w:keepLines/>
              <w:rPr>
                <w:rFonts w:cs="Calibri"/>
                <w:vertAlign w:val="superscript"/>
              </w:rPr>
            </w:pPr>
            <w:r w:rsidRPr="00DD47DF">
              <w:rPr>
                <w:rFonts w:cs="Calibri"/>
                <w:vertAlign w:val="superscript"/>
              </w:rPr>
              <w:t>%</w:t>
            </w:r>
          </w:p>
        </w:tc>
        <w:tc>
          <w:tcPr>
            <w:tcW w:w="1194" w:type="dxa"/>
            <w:tcBorders>
              <w:top w:val="single" w:sz="4" w:space="0" w:color="000000"/>
              <w:left w:val="single" w:sz="4" w:space="0" w:color="000000"/>
              <w:bottom w:val="single" w:sz="4" w:space="0" w:color="000000"/>
              <w:right w:val="single" w:sz="4" w:space="0" w:color="000000"/>
            </w:tcBorders>
            <w:vAlign w:val="center"/>
          </w:tcPr>
          <w:p w14:paraId="605CD25B" w14:textId="77777777" w:rsidR="002E1C78" w:rsidRPr="00DD47DF" w:rsidRDefault="002B3F69" w:rsidP="006F258E">
            <w:pPr>
              <w:pStyle w:val="Tabulka"/>
              <w:keepLines/>
              <w:rPr>
                <w:rFonts w:cs="Calibri"/>
              </w:rPr>
            </w:pPr>
            <w:r w:rsidRPr="00DD47DF">
              <w:rPr>
                <w:rFonts w:cs="Calibri"/>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14:paraId="63FECC4A" w14:textId="77777777" w:rsidR="002E1C78" w:rsidRPr="00DD47DF" w:rsidRDefault="001B36DC" w:rsidP="006F258E">
            <w:pPr>
              <w:pStyle w:val="Tabulka"/>
              <w:keepLines/>
              <w:rPr>
                <w:rFonts w:cs="Calibri"/>
              </w:rPr>
            </w:pPr>
            <w:r w:rsidRPr="00DD47DF">
              <w:rPr>
                <w:rFonts w:cs="Calibri"/>
              </w:rPr>
              <w:t>2,09</w:t>
            </w:r>
          </w:p>
        </w:tc>
        <w:tc>
          <w:tcPr>
            <w:tcW w:w="0" w:type="auto"/>
            <w:tcBorders>
              <w:top w:val="single" w:sz="4" w:space="0" w:color="000000"/>
              <w:left w:val="single" w:sz="4" w:space="0" w:color="000000"/>
              <w:bottom w:val="single" w:sz="4" w:space="0" w:color="000000"/>
              <w:right w:val="single" w:sz="4" w:space="0" w:color="000000"/>
            </w:tcBorders>
            <w:vAlign w:val="center"/>
          </w:tcPr>
          <w:p w14:paraId="40F02DEA" w14:textId="77777777" w:rsidR="002E1C78" w:rsidRPr="00DD47DF" w:rsidRDefault="001B36DC" w:rsidP="006F258E">
            <w:pPr>
              <w:pStyle w:val="Tabulka"/>
              <w:keepLines/>
              <w:rPr>
                <w:rFonts w:cs="Calibri"/>
              </w:rPr>
            </w:pPr>
            <w:r w:rsidRPr="00DD47DF">
              <w:rPr>
                <w:rFonts w:cs="Calibri"/>
              </w:rPr>
              <w:t>2012</w:t>
            </w:r>
          </w:p>
        </w:tc>
        <w:tc>
          <w:tcPr>
            <w:tcW w:w="0" w:type="auto"/>
            <w:tcBorders>
              <w:top w:val="single" w:sz="4" w:space="0" w:color="000000"/>
              <w:left w:val="single" w:sz="4" w:space="0" w:color="000000"/>
              <w:bottom w:val="single" w:sz="4" w:space="0" w:color="000000"/>
              <w:right w:val="single" w:sz="4" w:space="0" w:color="000000"/>
            </w:tcBorders>
            <w:vAlign w:val="center"/>
          </w:tcPr>
          <w:p w14:paraId="591E4D96" w14:textId="77777777" w:rsidR="002E1C78" w:rsidRPr="00DD47DF" w:rsidRDefault="004E3102" w:rsidP="006F258E">
            <w:pPr>
              <w:pStyle w:val="Tabulka"/>
              <w:keepLines/>
              <w:rPr>
                <w:rFonts w:cs="Calibri"/>
              </w:rPr>
            </w:pPr>
            <w:r w:rsidRPr="00DD47DF">
              <w:rPr>
                <w:rFonts w:cs="Calibri"/>
              </w:rPr>
              <w:t>2,3 – 2,5</w:t>
            </w:r>
            <w:r w:rsidR="00247F68" w:rsidRPr="00DD47DF">
              <w:rPr>
                <w:rStyle w:val="Znakapoznpodarou"/>
                <w:rFonts w:cs="Calibri"/>
              </w:rPr>
              <w:footnoteReference w:id="73"/>
            </w:r>
          </w:p>
        </w:tc>
        <w:tc>
          <w:tcPr>
            <w:tcW w:w="0" w:type="auto"/>
            <w:tcBorders>
              <w:top w:val="single" w:sz="4" w:space="0" w:color="000000"/>
              <w:left w:val="single" w:sz="4" w:space="0" w:color="000000"/>
              <w:bottom w:val="single" w:sz="4" w:space="0" w:color="000000"/>
              <w:right w:val="single" w:sz="4" w:space="0" w:color="000000"/>
            </w:tcBorders>
            <w:vAlign w:val="center"/>
          </w:tcPr>
          <w:p w14:paraId="7A935CB0" w14:textId="77777777" w:rsidR="002E1C78" w:rsidRPr="00DD47DF" w:rsidRDefault="001B36DC" w:rsidP="002B3F69">
            <w:pPr>
              <w:pStyle w:val="Tabulka"/>
              <w:keepLines/>
              <w:rPr>
                <w:rFonts w:cs="Calibri"/>
              </w:rPr>
            </w:pPr>
            <w:r w:rsidRPr="00DD47DF">
              <w:rPr>
                <w:rFonts w:cs="Calibri"/>
              </w:rPr>
              <w:t>ČSÚ</w:t>
            </w:r>
          </w:p>
        </w:tc>
        <w:tc>
          <w:tcPr>
            <w:tcW w:w="0" w:type="auto"/>
            <w:tcBorders>
              <w:top w:val="single" w:sz="4" w:space="0" w:color="000000"/>
              <w:left w:val="single" w:sz="4" w:space="0" w:color="000000"/>
              <w:bottom w:val="single" w:sz="4" w:space="0" w:color="000000"/>
              <w:right w:val="single" w:sz="4" w:space="0" w:color="000000"/>
            </w:tcBorders>
            <w:vAlign w:val="center"/>
          </w:tcPr>
          <w:p w14:paraId="0257CD0B" w14:textId="77777777" w:rsidR="002E1C78" w:rsidRPr="00DD47DF" w:rsidRDefault="001B36DC" w:rsidP="006F258E">
            <w:pPr>
              <w:pStyle w:val="Tabulka"/>
              <w:keepLines/>
              <w:rPr>
                <w:rFonts w:cs="Calibri"/>
              </w:rPr>
            </w:pPr>
            <w:r w:rsidRPr="00DD47DF">
              <w:rPr>
                <w:rFonts w:cs="Calibri"/>
              </w:rPr>
              <w:t>ročně</w:t>
            </w:r>
          </w:p>
        </w:tc>
      </w:tr>
    </w:tbl>
    <w:p w14:paraId="2CA63FB4" w14:textId="77777777" w:rsidR="002E1C78" w:rsidRPr="00DD47DF" w:rsidRDefault="001B2E5C" w:rsidP="00DA3512">
      <w:pPr>
        <w:pStyle w:val="kapitola2A0"/>
        <w:numPr>
          <w:ilvl w:val="2"/>
          <w:numId w:val="69"/>
        </w:numPr>
      </w:pPr>
      <w:bookmarkStart w:id="99" w:name="_Toc129005429"/>
      <w:r w:rsidRPr="00DD47DF">
        <w:t>Opatření, jež má být podpořeno v rámci investiční priority</w:t>
      </w:r>
      <w:bookmarkEnd w:id="99"/>
    </w:p>
    <w:p w14:paraId="00E69BB6" w14:textId="77777777" w:rsidR="002E1C78" w:rsidRPr="00DD47DF" w:rsidRDefault="00D479AF" w:rsidP="005F43DF">
      <w:pPr>
        <w:pStyle w:val="Nadpis5"/>
        <w:numPr>
          <w:ilvl w:val="4"/>
          <w:numId w:val="27"/>
        </w:numPr>
      </w:pPr>
      <w:r w:rsidRPr="00DD47DF">
        <w:t>Popis typů a příkladů opatření, která mají být podporována, a jejich očekávaný přínos k plnění specifických cílů, případně včetně určení hlavních cílových skupin, konkrétních cílových území a druhů příjemců</w:t>
      </w:r>
    </w:p>
    <w:p w14:paraId="29F034E3" w14:textId="77777777" w:rsidR="002E1C78" w:rsidRPr="00DD47DF" w:rsidRDefault="000A2EB4" w:rsidP="00DF4F92">
      <w:pPr>
        <w:pStyle w:val="Standardntext"/>
        <w:rPr>
          <w:b/>
        </w:rPr>
      </w:pPr>
      <w:r w:rsidRPr="00DD47DF">
        <w:rPr>
          <w:b/>
        </w:rPr>
        <w:t>Aktivity pro tento specifický cíl:</w:t>
      </w:r>
    </w:p>
    <w:p w14:paraId="7F29C2E7" w14:textId="77777777" w:rsidR="002E1C78" w:rsidRPr="00DD47DF" w:rsidRDefault="001E5FB8" w:rsidP="00FB3387">
      <w:pPr>
        <w:pStyle w:val="Standardntext"/>
        <w:numPr>
          <w:ilvl w:val="0"/>
          <w:numId w:val="42"/>
        </w:numPr>
      </w:pPr>
      <w:r w:rsidRPr="00DD47DF">
        <w:t>T</w:t>
      </w:r>
      <w:r w:rsidR="002E1C78" w:rsidRPr="00DD47DF">
        <w:t>vorba nových</w:t>
      </w:r>
      <w:r w:rsidR="005644D4" w:rsidRPr="00DD47DF">
        <w:t xml:space="preserve"> sofistikovaných</w:t>
      </w:r>
      <w:r w:rsidR="002E1C78" w:rsidRPr="00DD47DF">
        <w:t xml:space="preserve"> ICT řešení</w:t>
      </w:r>
      <w:r w:rsidR="0048615E" w:rsidRPr="00DD47DF">
        <w:t xml:space="preserve"> </w:t>
      </w:r>
      <w:r w:rsidR="0048615E" w:rsidRPr="00DD47DF">
        <w:rPr>
          <w:lang w:eastAsia="en-US"/>
        </w:rPr>
        <w:t>(zejména ERP systémy, CRM systémy, platební a karetní systémy, bezpečnost dat, personální systémy, B2B systémy, B2C systémy, IS pro neziskový a státní sektor, power management, procesně orientované webové aplikace, řešení pro mobilní zařízení, Business Intelligence řešení, softwarové simulace, cloud computing)</w:t>
      </w:r>
      <w:r w:rsidR="002E1C78" w:rsidRPr="00DD47DF">
        <w:t>,</w:t>
      </w:r>
      <w:r w:rsidR="0092409F" w:rsidRPr="00DD47DF">
        <w:t xml:space="preserve"> tzn. tvorba moderních a pokrokových digitálních služeb a aplikací např. v oblasti komunikace, zábavy, obchodování, vzdělávání, </w:t>
      </w:r>
      <w:r w:rsidR="0023153A" w:rsidRPr="00DD47DF">
        <w:t>zdravotnictví, přístupu k zaměstnání nebo i v oblasti kulturních a kreativních průmyslů</w:t>
      </w:r>
      <w:r w:rsidR="0092409F" w:rsidRPr="00DD47DF">
        <w:t>,</w:t>
      </w:r>
    </w:p>
    <w:p w14:paraId="0027067B" w14:textId="59B87EC6" w:rsidR="002E1C78" w:rsidRDefault="002E1C78" w:rsidP="00FB3387">
      <w:pPr>
        <w:pStyle w:val="Standardntext"/>
        <w:numPr>
          <w:ilvl w:val="0"/>
          <w:numId w:val="42"/>
        </w:numPr>
      </w:pPr>
      <w:r w:rsidRPr="00DD47DF">
        <w:t>poskytování sofistikovaných sdíle</w:t>
      </w:r>
      <w:r w:rsidR="00320CEA" w:rsidRPr="00DD47DF">
        <w:t>ných služeb</w:t>
      </w:r>
      <w:r w:rsidR="003F2CA2" w:rsidRPr="00DD47DF">
        <w:t xml:space="preserve"> (služeb s vysokou přidanou hodnotou)</w:t>
      </w:r>
      <w:r w:rsidR="00320CEA" w:rsidRPr="00DD47DF">
        <w:t xml:space="preserve">, včetně </w:t>
      </w:r>
      <w:r w:rsidRPr="00DD47DF">
        <w:t>budování a modernizace Datových center splňujících kritéria energetické účinnosti</w:t>
      </w:r>
      <w:r w:rsidR="00983FA3">
        <w:t>,</w:t>
      </w:r>
    </w:p>
    <w:p w14:paraId="2ECC0212" w14:textId="417B3BBC" w:rsidR="00983FA3" w:rsidRPr="00DD47DF" w:rsidRDefault="00983FA3" w:rsidP="00FB3387">
      <w:pPr>
        <w:pStyle w:val="Standardntext"/>
        <w:numPr>
          <w:ilvl w:val="0"/>
          <w:numId w:val="42"/>
        </w:numPr>
      </w:pPr>
      <w:r w:rsidRPr="00700E39">
        <w:t>Pořízení ICT produktů a služeb (např. investice do SW, HW a ostatních strojů a zařízení s ICT přímo souvisejících, anebo využívání ICT řešení poskytovaných formou služeb včetně služeb expertního poradenství pro návrh, implementaci a řízení ICT v organizaci včetně provázaných procesů)</w:t>
      </w:r>
      <w:r>
        <w:t>.</w:t>
      </w:r>
    </w:p>
    <w:p w14:paraId="74303D6D" w14:textId="77777777" w:rsidR="001648B3" w:rsidRPr="00DD47DF" w:rsidRDefault="001648B3" w:rsidP="00FA0BCA">
      <w:pPr>
        <w:pStyle w:val="Standardntext"/>
        <w:rPr>
          <w:bCs/>
        </w:rPr>
      </w:pPr>
      <w:r w:rsidRPr="00DD47DF">
        <w:rPr>
          <w:bCs/>
        </w:rPr>
        <w:t xml:space="preserve">Podporou těchto aktivit bude zachována kontinuita s programem podpory </w:t>
      </w:r>
      <w:r w:rsidR="00084401" w:rsidRPr="00DD47DF">
        <w:rPr>
          <w:bCs/>
        </w:rPr>
        <w:t xml:space="preserve">OPPI </w:t>
      </w:r>
      <w:r w:rsidRPr="00DD47DF">
        <w:rPr>
          <w:bCs/>
          <w:i/>
        </w:rPr>
        <w:t>ICT a strategické služby</w:t>
      </w:r>
      <w:r w:rsidRPr="00DD47DF">
        <w:rPr>
          <w:bCs/>
        </w:rPr>
        <w:t xml:space="preserve"> realizovaném v programovacím období 2007</w:t>
      </w:r>
      <w:r w:rsidR="00EF4894" w:rsidRPr="00DD47DF">
        <w:rPr>
          <w:bCs/>
        </w:rPr>
        <w:t xml:space="preserve"> </w:t>
      </w:r>
      <w:r w:rsidRPr="00DD47DF">
        <w:rPr>
          <w:bCs/>
        </w:rPr>
        <w:t>-</w:t>
      </w:r>
      <w:r w:rsidR="00EF4894" w:rsidRPr="00DD47DF">
        <w:rPr>
          <w:bCs/>
        </w:rPr>
        <w:t xml:space="preserve"> 20</w:t>
      </w:r>
      <w:r w:rsidRPr="00DD47DF">
        <w:rPr>
          <w:bCs/>
        </w:rPr>
        <w:t xml:space="preserve">13, ve kterém byla podporována jak tvorba ICT řešení, tak centra sdílených služeb. Byly realizovány projekty, které přinesly unikátní řešení a vytvořily velký počet vysoce kvalifikovaných pracovních míst. </w:t>
      </w:r>
      <w:r w:rsidR="00BA3276" w:rsidRPr="00DD47DF">
        <w:rPr>
          <w:bCs/>
        </w:rPr>
        <w:t>V návaznosti na zkušenosti z realizace OPPI</w:t>
      </w:r>
      <w:r w:rsidR="00084401" w:rsidRPr="00DD47DF">
        <w:rPr>
          <w:bCs/>
        </w:rPr>
        <w:t xml:space="preserve"> </w:t>
      </w:r>
      <w:r w:rsidRPr="00DD47DF">
        <w:rPr>
          <w:bCs/>
        </w:rPr>
        <w:t xml:space="preserve">bude právě tento specifický cíl </w:t>
      </w:r>
      <w:r w:rsidR="00084401" w:rsidRPr="00DD47DF">
        <w:rPr>
          <w:bCs/>
        </w:rPr>
        <w:t xml:space="preserve">OP PIK </w:t>
      </w:r>
      <w:r w:rsidRPr="00DD47DF">
        <w:rPr>
          <w:bCs/>
        </w:rPr>
        <w:t xml:space="preserve">zaměřen </w:t>
      </w:r>
      <w:r w:rsidR="00084401" w:rsidRPr="00DD47DF">
        <w:rPr>
          <w:bCs/>
        </w:rPr>
        <w:t xml:space="preserve">na </w:t>
      </w:r>
      <w:r w:rsidRPr="00DD47DF">
        <w:rPr>
          <w:bCs/>
        </w:rPr>
        <w:t xml:space="preserve">tvorbu ICT řešení a </w:t>
      </w:r>
      <w:r w:rsidR="003F2CA2" w:rsidRPr="00DD47DF">
        <w:rPr>
          <w:bCs/>
        </w:rPr>
        <w:t xml:space="preserve">center </w:t>
      </w:r>
      <w:r w:rsidRPr="00DD47DF">
        <w:rPr>
          <w:bCs/>
        </w:rPr>
        <w:t>sdílených služeb s velkým důrazem na současné trendy, mezi které patří mimo jiné cloudová řešení, prostřednictvím kterých bude rovněž stimulována poptávka po cloudových službách, jejichž využívání v</w:t>
      </w:r>
      <w:r w:rsidR="00BA4E72" w:rsidRPr="00DD47DF">
        <w:rPr>
          <w:bCs/>
        </w:rPr>
        <w:t xml:space="preserve"> </w:t>
      </w:r>
      <w:r w:rsidRPr="00DD47DF">
        <w:rPr>
          <w:bCs/>
        </w:rPr>
        <w:t>důsledku povede ke snižování nákladů konečných uživatelů.</w:t>
      </w:r>
    </w:p>
    <w:p w14:paraId="79B166E5" w14:textId="77777777" w:rsidR="009E6C87" w:rsidRPr="00DD47DF" w:rsidRDefault="00F975FD" w:rsidP="00FA0BCA">
      <w:pPr>
        <w:pStyle w:val="Standardntext"/>
      </w:pPr>
      <w:r w:rsidRPr="00DD47DF">
        <w:rPr>
          <w:bCs/>
        </w:rPr>
        <w:lastRenderedPageBreak/>
        <w:t>V případě tvorby</w:t>
      </w:r>
      <w:r w:rsidR="00504D07" w:rsidRPr="00DD47DF">
        <w:t xml:space="preserve"> nových sofistikovaných ICT ř</w:t>
      </w:r>
      <w:r w:rsidRPr="00DD47DF">
        <w:t>ešení jde</w:t>
      </w:r>
      <w:r w:rsidRPr="00DD47DF">
        <w:rPr>
          <w:szCs w:val="22"/>
        </w:rPr>
        <w:t xml:space="preserve"> o taková ICT řešení, která jsou svým zaměřením jedinečná a vyplňují mezeru na trhu, případně pokrývají určitou potřebu. Podporována budou taková řešení, která mají vysokou přidanou hodnotu. Například lze uvést typově zavádění </w:t>
      </w:r>
      <w:r w:rsidR="0076364D" w:rsidRPr="00DD47DF">
        <w:rPr>
          <w:szCs w:val="22"/>
        </w:rPr>
        <w:t xml:space="preserve">nových </w:t>
      </w:r>
      <w:r w:rsidRPr="00DD47DF">
        <w:rPr>
          <w:szCs w:val="22"/>
        </w:rPr>
        <w:t>ICT nástrojů</w:t>
      </w:r>
      <w:r w:rsidR="0076364D" w:rsidRPr="00DD47DF">
        <w:rPr>
          <w:szCs w:val="22"/>
        </w:rPr>
        <w:t xml:space="preserve"> či</w:t>
      </w:r>
      <w:r w:rsidRPr="00DD47DF">
        <w:rPr>
          <w:szCs w:val="22"/>
        </w:rPr>
        <w:t xml:space="preserve"> trendů zejména v návaznosti na sociální sítě, podpora bezpečnosti dat, vývoj pro mobilní zařízení, zavádění open standardů, podpora interoperability apod.</w:t>
      </w:r>
      <w:r w:rsidR="00411D73" w:rsidRPr="00DD47DF">
        <w:rPr>
          <w:szCs w:val="22"/>
        </w:rPr>
        <w:t xml:space="preserve"> </w:t>
      </w:r>
      <w:r w:rsidR="009E6C87" w:rsidRPr="00DD47DF">
        <w:rPr>
          <w:szCs w:val="22"/>
        </w:rPr>
        <w:t>Výstupe</w:t>
      </w:r>
      <w:r w:rsidR="009E6C87" w:rsidRPr="00DD47DF">
        <w:t>m projektu bude sofistikované ICT řešení definované v projektové žádosti, což přispěje k naplnění výsledku tohot</w:t>
      </w:r>
      <w:r w:rsidR="001F59E8" w:rsidRPr="00DD47DF">
        <w:t>o specifického cíle spočívající</w:t>
      </w:r>
      <w:r w:rsidR="009E6C87" w:rsidRPr="00DD47DF">
        <w:t xml:space="preserve">ho </w:t>
      </w:r>
      <w:r w:rsidR="005F74B6" w:rsidRPr="00DD47DF">
        <w:t>v</w:t>
      </w:r>
      <w:r w:rsidR="00FD3F3A" w:rsidRPr="00DD47DF">
        <w:t> růstu přidané hodnoty IT služeb</w:t>
      </w:r>
      <w:r w:rsidR="005F74B6" w:rsidRPr="00DD47DF">
        <w:t xml:space="preserve"> </w:t>
      </w:r>
      <w:r w:rsidR="00FD3F3A" w:rsidRPr="00DD47DF">
        <w:t xml:space="preserve">na HDP, což může dále ovlivňovat </w:t>
      </w:r>
      <w:r w:rsidR="009E6C87" w:rsidRPr="00DD47DF">
        <w:t>nabídk</w:t>
      </w:r>
      <w:r w:rsidR="00FD3F3A" w:rsidRPr="00DD47DF">
        <w:t>u</w:t>
      </w:r>
      <w:r w:rsidR="009E6C87" w:rsidRPr="00DD47DF">
        <w:t xml:space="preserve"> nových informačních systémů, ICT řešení a vysoce sofistikovaných ICT nástrojů, nových softwarových produktů a služeb.</w:t>
      </w:r>
      <w:r w:rsidR="00586901" w:rsidRPr="00DD47DF">
        <w:t xml:space="preserve"> V rámci tohoto specifického cíle budou podporovány i projekty na vývoj ICT řešení a softwaru pro zemědělské podniky </w:t>
      </w:r>
      <w:r w:rsidR="008A2746" w:rsidRPr="00DD47DF">
        <w:t xml:space="preserve">specializující se na výrobu položek obsažených </w:t>
      </w:r>
      <w:r w:rsidR="00DE2376" w:rsidRPr="00DD47DF">
        <w:t>(v</w:t>
      </w:r>
      <w:r w:rsidR="004038F0" w:rsidRPr="00DD47DF">
        <w:t xml:space="preserve"> dodatku Smlouvy (o EU)</w:t>
      </w:r>
      <w:r w:rsidR="00586901" w:rsidRPr="00DD47DF">
        <w:t>).</w:t>
      </w:r>
    </w:p>
    <w:p w14:paraId="25C567CA" w14:textId="77777777" w:rsidR="006F7785" w:rsidRPr="00DD47DF" w:rsidRDefault="00411D73" w:rsidP="00FA0BCA">
      <w:pPr>
        <w:pStyle w:val="Standardntext"/>
      </w:pPr>
      <w:r w:rsidRPr="00DD47DF">
        <w:t xml:space="preserve">Pokud jde o poskytování sofistikovaných sdílených služeb, jedná se o podporu center sdílených služeb poskytujících služby v oblasti IT, účetnictví, financí atp. Tyto činnosti centra sdílených služeb přebírají buď od mateřské společnosti, nebo od zákazníků. Za sdílenou službu je považováno i poskytování služeb datového centra. </w:t>
      </w:r>
      <w:r w:rsidR="009E6C87" w:rsidRPr="00DD47DF">
        <w:rPr>
          <w:bCs/>
        </w:rPr>
        <w:t>Oblast</w:t>
      </w:r>
      <w:r w:rsidR="004F45C9" w:rsidRPr="00DD47DF">
        <w:rPr>
          <w:bCs/>
        </w:rPr>
        <w:t xml:space="preserve"> poskytování sofistikovaných </w:t>
      </w:r>
      <w:r w:rsidR="00961FFB" w:rsidRPr="00DD47DF">
        <w:rPr>
          <w:bCs/>
        </w:rPr>
        <w:t xml:space="preserve">sdílených služeb </w:t>
      </w:r>
      <w:r w:rsidR="009E6C87" w:rsidRPr="00DD47DF">
        <w:rPr>
          <w:bCs/>
        </w:rPr>
        <w:t>bude pro účely implementace ro</w:t>
      </w:r>
      <w:r w:rsidR="001F59E8" w:rsidRPr="00DD47DF">
        <w:rPr>
          <w:bCs/>
        </w:rPr>
        <w:t>z</w:t>
      </w:r>
      <w:r w:rsidR="009E6C87" w:rsidRPr="00DD47DF">
        <w:rPr>
          <w:bCs/>
        </w:rPr>
        <w:t>členěna</w:t>
      </w:r>
      <w:r w:rsidR="00961FFB" w:rsidRPr="00DD47DF">
        <w:rPr>
          <w:bCs/>
        </w:rPr>
        <w:t xml:space="preserve"> na aktivity mířící do oblasti poskytování sdílených služeb a do obl</w:t>
      </w:r>
      <w:r w:rsidR="009E6C87" w:rsidRPr="00DD47DF">
        <w:rPr>
          <w:bCs/>
        </w:rPr>
        <w:t xml:space="preserve">asti budování datových center. </w:t>
      </w:r>
      <w:r w:rsidR="007954D2" w:rsidRPr="00DD47DF">
        <w:t>Výstupem projektu bude fungující centrum sdílených služeb</w:t>
      </w:r>
      <w:r w:rsidR="005F74B6" w:rsidRPr="00DD47DF">
        <w:t>, jehož výsledky se promítnou ve střednědobém horizontu ekonomickými přínosy a nově vytvořenými pracovními místy.</w:t>
      </w:r>
      <w:r w:rsidR="00F95834" w:rsidRPr="00DD47DF">
        <w:t xml:space="preserve"> Převážně budou podporována centra sdílených služeb s přeshraničním přesahem.</w:t>
      </w:r>
    </w:p>
    <w:p w14:paraId="212B68F5" w14:textId="77777777" w:rsidR="007F002C" w:rsidRPr="00DD47DF" w:rsidRDefault="007F002C" w:rsidP="00FA0BCA">
      <w:pPr>
        <w:pStyle w:val="Standardntext"/>
      </w:pPr>
      <w:r w:rsidRPr="00DD47DF">
        <w:t xml:space="preserve">V případě výstavby a rozšíření datových center </w:t>
      </w:r>
      <w:r w:rsidR="00AC4311" w:rsidRPr="00DD47DF">
        <w:t>bude v</w:t>
      </w:r>
      <w:r w:rsidRPr="00DD47DF">
        <w:t xml:space="preserve">ýstupem projektu datové centrum připravené poskytovat služby, což přispěje k naplňování výše </w:t>
      </w:r>
      <w:r w:rsidR="005F74B6" w:rsidRPr="00DD47DF">
        <w:t>stanoven</w:t>
      </w:r>
      <w:r w:rsidRPr="00DD47DF">
        <w:t>ých výsledků specifického cíle.</w:t>
      </w:r>
    </w:p>
    <w:p w14:paraId="196637CD" w14:textId="77777777" w:rsidR="00AF178F" w:rsidRPr="00DD47DF" w:rsidRDefault="00AF178F" w:rsidP="00FA0BCA">
      <w:pPr>
        <w:pStyle w:val="Standardntext"/>
      </w:pPr>
      <w:r w:rsidRPr="00DD47DF">
        <w:t xml:space="preserve">Aktivity SC 4.2 </w:t>
      </w:r>
      <w:r w:rsidR="00E46D4E" w:rsidRPr="00DD47DF">
        <w:t xml:space="preserve">vycházejí z potřeb zohledněných v Národní RIS3 strategii a </w:t>
      </w:r>
      <w:r w:rsidRPr="00DD47DF">
        <w:t xml:space="preserve">mají přímou vazbu na tento strategický cíl Národní </w:t>
      </w:r>
      <w:r w:rsidR="002B0AB0" w:rsidRPr="00DD47DF">
        <w:t>RI</w:t>
      </w:r>
      <w:r w:rsidRPr="00DD47DF">
        <w:t>S3 strategie: „</w:t>
      </w:r>
      <w:r w:rsidR="003D640D" w:rsidRPr="00DD47DF">
        <w:t>Rozvoj eBusinessu a ICT v podnikání</w:t>
      </w:r>
      <w:r w:rsidRPr="00DD47DF">
        <w:t>“.</w:t>
      </w:r>
      <w:r w:rsidR="004C7346" w:rsidRPr="00DD47DF">
        <w:t xml:space="preserve"> Jde především o vzájemnou provázanost s typovými aktivitami/projekty/operacemi specifického cíle E2.1 „Vyšší využívání ICT v podnikání“ Národní </w:t>
      </w:r>
      <w:r w:rsidR="002B0AB0" w:rsidRPr="00DD47DF">
        <w:t>RI</w:t>
      </w:r>
      <w:r w:rsidR="004C7346" w:rsidRPr="00DD47DF">
        <w:t>S3 strategie.</w:t>
      </w:r>
    </w:p>
    <w:p w14:paraId="0177812D" w14:textId="77777777" w:rsidR="002E1C78" w:rsidRPr="00DD47DF" w:rsidRDefault="002E1C78" w:rsidP="00FA0BCA">
      <w:pPr>
        <w:pStyle w:val="Standardntext"/>
      </w:pPr>
      <w:r w:rsidRPr="00DD47DF">
        <w:rPr>
          <w:b/>
          <w:bCs/>
        </w:rPr>
        <w:t xml:space="preserve">Hlavní cílová skupina: </w:t>
      </w:r>
      <w:r w:rsidRPr="00DD47DF">
        <w:t>Podnikatelské subjekty a obyvatelé využívající IT.</w:t>
      </w:r>
    </w:p>
    <w:p w14:paraId="60A35CAF" w14:textId="77777777" w:rsidR="002E1C78" w:rsidRPr="00DD47DF" w:rsidRDefault="002E1C78" w:rsidP="00FA0BCA">
      <w:pPr>
        <w:pStyle w:val="Standardntext"/>
      </w:pPr>
      <w:r w:rsidRPr="00DD47DF">
        <w:rPr>
          <w:b/>
          <w:bCs/>
        </w:rPr>
        <w:t xml:space="preserve">Cílové území: </w:t>
      </w:r>
      <w:r w:rsidRPr="00DD47DF">
        <w:t>Území České republiky, mimo území hl. m. Prahy.</w:t>
      </w:r>
      <w:r w:rsidR="00015039" w:rsidRPr="00DD47DF">
        <w:t xml:space="preserve"> Z hlediska územní dimenze </w:t>
      </w:r>
      <w:r w:rsidR="00A46CD6" w:rsidRPr="00DD47DF">
        <w:t>bude tento specifický cíl zaměřen na rozvojová území</w:t>
      </w:r>
      <w:r w:rsidR="00015039" w:rsidRPr="00DD47DF">
        <w:t>.</w:t>
      </w:r>
    </w:p>
    <w:p w14:paraId="76278E66" w14:textId="77777777" w:rsidR="002E1C78" w:rsidRPr="00DD47DF" w:rsidRDefault="002E1C78" w:rsidP="00FA0BCA">
      <w:pPr>
        <w:pStyle w:val="Standardntext"/>
        <w:rPr>
          <w:bCs/>
        </w:rPr>
      </w:pPr>
      <w:r w:rsidRPr="00DD47DF">
        <w:rPr>
          <w:b/>
          <w:bCs/>
        </w:rPr>
        <w:t xml:space="preserve">Typy příjemců: </w:t>
      </w:r>
      <w:r w:rsidRPr="00DD47DF">
        <w:t>Podnikatelské subjekty (malé, střední a velké podniky)</w:t>
      </w:r>
      <w:r w:rsidR="007B1F50" w:rsidRPr="00DD47DF">
        <w:t xml:space="preserve">, zemědělští podnikatelé s výstupem projektu mimo seznam uvedený v Příloze I. Smlouvy (o EU) v oblasti ICT. </w:t>
      </w:r>
      <w:r w:rsidR="00124401" w:rsidRPr="00DD47DF">
        <w:t>V případě velkých podniků budou podporovány projekty, jejichž realizace v konečném důsledku povede ke snižování nákladů MSP</w:t>
      </w:r>
      <w:r w:rsidR="00093576" w:rsidRPr="00DD47DF">
        <w:t xml:space="preserve"> (dle čl. 3 odst. 1 písm. b</w:t>
      </w:r>
      <w:r w:rsidR="0044254C" w:rsidRPr="00DD47DF">
        <w:t>)</w:t>
      </w:r>
      <w:r w:rsidR="00093576" w:rsidRPr="00DD47DF">
        <w:t xml:space="preserve"> nařízení o EFRR)</w:t>
      </w:r>
      <w:r w:rsidR="00124401" w:rsidRPr="00DD47DF">
        <w:t>. Realizace takovýchto projektů je společensky účelná bez ohledu na velikost příjemce dotace. Tyto projekty však budou tvořit minoritní část tohoto specifického cíle.</w:t>
      </w:r>
    </w:p>
    <w:p w14:paraId="668EC8C7" w14:textId="77777777" w:rsidR="002E1C78" w:rsidRPr="00DD47DF" w:rsidRDefault="00BA6461" w:rsidP="005F43DF">
      <w:pPr>
        <w:pStyle w:val="Nadpis5"/>
        <w:numPr>
          <w:ilvl w:val="4"/>
          <w:numId w:val="27"/>
        </w:numPr>
      </w:pPr>
      <w:r w:rsidRPr="00DD47DF">
        <w:t>Hlavní zásady pro výběr operací</w:t>
      </w:r>
    </w:p>
    <w:p w14:paraId="0EB95F86" w14:textId="77777777" w:rsidR="00B45C7F" w:rsidRPr="00DD47DF" w:rsidRDefault="00FE3385" w:rsidP="00963119">
      <w:pPr>
        <w:pStyle w:val="Standardntext"/>
      </w:pPr>
      <w:r w:rsidRPr="00DD47DF">
        <w:t>Společné obecné zásady pro výběr operací pro všechny investiční priority celého OP PIK jsou uvedeny v prioritní ose 1 v oddíle 2.A.6.2.</w:t>
      </w:r>
    </w:p>
    <w:p w14:paraId="78925A5D" w14:textId="77777777" w:rsidR="00D42004" w:rsidRPr="00DD47DF" w:rsidRDefault="00D42004" w:rsidP="00D42004">
      <w:pPr>
        <w:pStyle w:val="Standardntext"/>
      </w:pPr>
      <w:r w:rsidRPr="00DD47DF">
        <w:t>V rámci výběru a hodnocení projektů budou posuzována především následující kritéria:</w:t>
      </w:r>
    </w:p>
    <w:p w14:paraId="21A194F4" w14:textId="77777777" w:rsidR="00D42004" w:rsidRPr="00DD47DF" w:rsidRDefault="00D42004" w:rsidP="00FB3387">
      <w:pPr>
        <w:pStyle w:val="Standardntext"/>
        <w:numPr>
          <w:ilvl w:val="0"/>
          <w:numId w:val="43"/>
        </w:numPr>
      </w:pPr>
      <w:r w:rsidRPr="00DD47DF">
        <w:t xml:space="preserve">Kvalita a potřebnost projektu s ohledem </w:t>
      </w:r>
      <w:r w:rsidR="00B45C7F" w:rsidRPr="00DD47DF">
        <w:t>na rozvoj lidského kapitálu v této oblasti</w:t>
      </w:r>
      <w:r w:rsidRPr="00DD47DF">
        <w:t>.</w:t>
      </w:r>
    </w:p>
    <w:p w14:paraId="4EDC0F29" w14:textId="77777777" w:rsidR="00D42004" w:rsidRPr="00DD47DF" w:rsidRDefault="00D42004" w:rsidP="00FB3387">
      <w:pPr>
        <w:pStyle w:val="Standardntext"/>
        <w:numPr>
          <w:ilvl w:val="0"/>
          <w:numId w:val="43"/>
        </w:numPr>
      </w:pPr>
      <w:r w:rsidRPr="00DD47DF">
        <w:t>Soulad projektu s</w:t>
      </w:r>
      <w:r w:rsidR="00BA4E72" w:rsidRPr="00DD47DF">
        <w:t xml:space="preserve"> </w:t>
      </w:r>
      <w:r w:rsidRPr="00DD47DF">
        <w:t>územní dimenzí této investiční priority</w:t>
      </w:r>
      <w:r w:rsidR="00C63CF5" w:rsidRPr="00DD47DF">
        <w:t xml:space="preserve"> (viz </w:t>
      </w:r>
      <w:r w:rsidR="00C63CF5" w:rsidRPr="00DD47DF">
        <w:rPr>
          <w:i/>
        </w:rPr>
        <w:t>Cílové území</w:t>
      </w:r>
      <w:r w:rsidR="00C63CF5" w:rsidRPr="00DD47DF">
        <w:t xml:space="preserve"> v oddíle 2.A.6.1 a dále oddíl 4)</w:t>
      </w:r>
      <w:r w:rsidRPr="00DD47DF">
        <w:t>.</w:t>
      </w:r>
    </w:p>
    <w:p w14:paraId="6B3E6C69" w14:textId="77777777" w:rsidR="00AC3FC6" w:rsidRPr="00DD47DF" w:rsidRDefault="00AC3FC6" w:rsidP="00FB3387">
      <w:pPr>
        <w:pStyle w:val="Standardntext"/>
        <w:numPr>
          <w:ilvl w:val="0"/>
          <w:numId w:val="43"/>
        </w:numPr>
      </w:pPr>
      <w:r w:rsidRPr="00DD47DF">
        <w:lastRenderedPageBreak/>
        <w:t>Soulad projektu s prioritami RIS3.</w:t>
      </w:r>
    </w:p>
    <w:p w14:paraId="54D1F426" w14:textId="77777777" w:rsidR="00D42004" w:rsidRPr="00DD47DF" w:rsidRDefault="00D42004" w:rsidP="00FB3387">
      <w:pPr>
        <w:pStyle w:val="Standardntext"/>
        <w:numPr>
          <w:ilvl w:val="0"/>
          <w:numId w:val="43"/>
        </w:numPr>
      </w:pPr>
      <w:r w:rsidRPr="00DD47DF">
        <w:t xml:space="preserve">Soulad projektu s horizontálními principy, mezi něž patří udržitelný rozvoj, rovné příležitosti a ochrana před diskriminací. Projekt, který bude v rozporu s těmito principy, nebude v rámci OP PIK podpořen (blíže viz oddíl 11). </w:t>
      </w:r>
    </w:p>
    <w:p w14:paraId="15904753" w14:textId="77777777" w:rsidR="00192F36" w:rsidRPr="00DD47DF" w:rsidRDefault="00192F36" w:rsidP="00FB3387">
      <w:pPr>
        <w:pStyle w:val="Standardntext"/>
        <w:numPr>
          <w:ilvl w:val="0"/>
          <w:numId w:val="43"/>
        </w:numPr>
      </w:pPr>
      <w:r w:rsidRPr="00DD47DF">
        <w:t>S ohledem na zásadu transparentnosti a s cílem zabránit potenciálnímu střetu zájmů budou žadatelé povinni v přiměřeném rozsahu zveřejnit svoji strukturu vlastnických vztahů v souladu s metodickými pokyny k finančním tokům, a to buď během podání projektové žádosti, nebo při výběrovém procesu. Projekty nebo žadatelé z těchto projektů, kteří nebudou moci zveřejnit strukturu vlastnických vztahů nebo u nichž dojde ke střetu zájmů, nebudou moci obdržet podporu z operačního programu.</w:t>
      </w:r>
    </w:p>
    <w:p w14:paraId="5B0CF5BF" w14:textId="77777777" w:rsidR="002E1C78" w:rsidRPr="00DD47DF" w:rsidRDefault="00BA6461" w:rsidP="005F43DF">
      <w:pPr>
        <w:pStyle w:val="Nadpis5"/>
        <w:numPr>
          <w:ilvl w:val="4"/>
          <w:numId w:val="27"/>
        </w:numPr>
        <w:rPr>
          <w:rFonts w:cs="Calibri"/>
        </w:rPr>
      </w:pPr>
      <w:r w:rsidRPr="00DD47DF">
        <w:t>Plánované využití finančních nástrojů (použije-li se)</w:t>
      </w:r>
    </w:p>
    <w:p w14:paraId="1B3C7BE0" w14:textId="77777777" w:rsidR="00896EDF" w:rsidRPr="00DD47DF" w:rsidRDefault="00C15D3F" w:rsidP="00896EDF">
      <w:pPr>
        <w:pStyle w:val="Standardntext"/>
      </w:pPr>
      <w:r w:rsidRPr="00DD47DF">
        <w:t xml:space="preserve">Řídící orgán </w:t>
      </w:r>
      <w:r w:rsidR="00782086" w:rsidRPr="00DD47DF">
        <w:t xml:space="preserve">posoudí možnosti </w:t>
      </w:r>
      <w:r w:rsidRPr="00DD47DF">
        <w:t>využití finančních nástrojů v této investiční prioritě</w:t>
      </w:r>
      <w:r w:rsidR="00782086" w:rsidRPr="00DD47DF">
        <w:t xml:space="preserve"> OP PIK na základě výsledků </w:t>
      </w:r>
      <w:r w:rsidRPr="00DD47DF">
        <w:t xml:space="preserve">předběžného </w:t>
      </w:r>
      <w:r w:rsidR="00782086" w:rsidRPr="00DD47DF">
        <w:t xml:space="preserve">vyhodnocení provedeného </w:t>
      </w:r>
      <w:r w:rsidRPr="00DD47DF">
        <w:t>dle čl. 37 odst. 2 obecného nařízení, případně jeho revize podle čl. 37 odst. 2 písm. g) obecného nařízení.</w:t>
      </w:r>
    </w:p>
    <w:p w14:paraId="7A6911E5" w14:textId="77777777" w:rsidR="002E1C78" w:rsidRPr="00DD47DF" w:rsidRDefault="00BA6461" w:rsidP="00A556B6">
      <w:pPr>
        <w:pStyle w:val="Nadpis5"/>
        <w:numPr>
          <w:ilvl w:val="4"/>
          <w:numId w:val="27"/>
        </w:numPr>
      </w:pPr>
      <w:r w:rsidRPr="00DD47DF">
        <w:t>Plánované využití velkých projektů (použije-li se)</w:t>
      </w:r>
    </w:p>
    <w:p w14:paraId="2BE07002" w14:textId="77777777" w:rsidR="002A4D1D" w:rsidRPr="00DD47DF" w:rsidRDefault="002A4D1D" w:rsidP="00A556B6">
      <w:pPr>
        <w:pStyle w:val="Standardntext"/>
        <w:keepNext/>
        <w:keepLines/>
      </w:pPr>
      <w:r w:rsidRPr="00DD47DF">
        <w:t xml:space="preserve">Velké projekty ve smyslu čl. </w:t>
      </w:r>
      <w:r w:rsidR="008F52F8" w:rsidRPr="00DD47DF">
        <w:t>10</w:t>
      </w:r>
      <w:r w:rsidRPr="00DD47DF">
        <w:t>0 obecného nařízení nejsou plánovány.</w:t>
      </w:r>
    </w:p>
    <w:p w14:paraId="5C35D344" w14:textId="77777777" w:rsidR="002E1C78" w:rsidRPr="00DD47DF" w:rsidRDefault="00BA6461" w:rsidP="00C56486">
      <w:pPr>
        <w:pStyle w:val="Nadpis5"/>
        <w:numPr>
          <w:ilvl w:val="4"/>
          <w:numId w:val="27"/>
        </w:numPr>
      </w:pPr>
      <w:r w:rsidRPr="00DD47DF">
        <w:t>Ukazatele výstupů podle investiční priority a případně podle kategorie regionů</w:t>
      </w:r>
    </w:p>
    <w:p w14:paraId="17F6D00A" w14:textId="77777777" w:rsidR="002E1C78" w:rsidRPr="00DD47DF" w:rsidRDefault="002E1C78" w:rsidP="00C56486">
      <w:pPr>
        <w:pStyle w:val="Titulek"/>
        <w:keepNext/>
        <w:keepLines/>
        <w:rPr>
          <w:rFonts w:cs="Calibri"/>
        </w:rPr>
      </w:pPr>
      <w:r w:rsidRPr="00DD47DF">
        <w:rPr>
          <w:rFonts w:cs="Calibri"/>
        </w:rPr>
        <w:t xml:space="preserve">Tabulka </w:t>
      </w:r>
      <w:r w:rsidR="002756E7" w:rsidRPr="00DD47DF">
        <w:rPr>
          <w:rFonts w:cs="Calibri"/>
        </w:rPr>
        <w:fldChar w:fldCharType="begin"/>
      </w:r>
      <w:r w:rsidRPr="00DD47DF">
        <w:rPr>
          <w:rFonts w:cs="Calibri"/>
        </w:rPr>
        <w:instrText xml:space="preserve"> SEQ Tabulka \* ARABIC \r5 </w:instrText>
      </w:r>
      <w:r w:rsidR="002756E7" w:rsidRPr="00DD47DF">
        <w:rPr>
          <w:rFonts w:cs="Calibri"/>
        </w:rPr>
        <w:fldChar w:fldCharType="separate"/>
      </w:r>
      <w:r w:rsidR="00117847">
        <w:rPr>
          <w:rFonts w:cs="Calibri"/>
          <w:noProof/>
        </w:rPr>
        <w:t>5</w:t>
      </w:r>
      <w:r w:rsidR="002756E7" w:rsidRPr="00DD47DF">
        <w:rPr>
          <w:rFonts w:cs="Calibri"/>
        </w:rPr>
        <w:fldChar w:fldCharType="end"/>
      </w:r>
      <w:r w:rsidRPr="00DD47DF">
        <w:rPr>
          <w:rFonts w:cs="Calibri"/>
        </w:rPr>
        <w:t xml:space="preserve">: </w:t>
      </w:r>
      <w:r w:rsidR="001B2E5C" w:rsidRPr="00DD47DF">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669"/>
        <w:gridCol w:w="2279"/>
        <w:gridCol w:w="1045"/>
        <w:gridCol w:w="665"/>
        <w:gridCol w:w="1073"/>
        <w:gridCol w:w="1418"/>
        <w:gridCol w:w="997"/>
        <w:gridCol w:w="1180"/>
      </w:tblGrid>
      <w:tr w:rsidR="001B2E5C" w:rsidRPr="00DD47DF" w14:paraId="7C2466B7" w14:textId="77777777">
        <w:trPr>
          <w:trHeight w:hRule="exact" w:val="1185"/>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297DE88" w14:textId="77777777" w:rsidR="001B2E5C" w:rsidRPr="00DD47DF" w:rsidRDefault="001B2E5C" w:rsidP="00B22DB8">
            <w:pPr>
              <w:pStyle w:val="Tabulka"/>
              <w:rPr>
                <w:rFonts w:cs="Calibri"/>
                <w:b/>
              </w:rPr>
            </w:pPr>
            <w:r w:rsidRPr="00DD47DF">
              <w:rPr>
                <w:rFonts w:cs="Calibri"/>
                <w:b/>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4740EB83" w14:textId="77777777" w:rsidR="001B2E5C" w:rsidRPr="00DD47DF" w:rsidRDefault="001B2E5C" w:rsidP="00B22DB8">
            <w:pPr>
              <w:pStyle w:val="Tabulka"/>
              <w:rPr>
                <w:rFonts w:cs="Calibri"/>
                <w:b/>
              </w:rPr>
            </w:pPr>
            <w:r w:rsidRPr="00DD47DF">
              <w:rPr>
                <w:rFonts w:cs="Calibri"/>
                <w:b/>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2097CDD8" w14:textId="77777777" w:rsidR="001B2E5C" w:rsidRPr="00DD47DF" w:rsidRDefault="001B2E5C" w:rsidP="00B22DB8">
            <w:pPr>
              <w:pStyle w:val="Tabulka"/>
              <w:rPr>
                <w:rFonts w:cs="Calibri"/>
                <w:b/>
              </w:rPr>
            </w:pPr>
            <w:r w:rsidRPr="00DD47DF">
              <w:rPr>
                <w:rFonts w:cs="Calibri"/>
                <w:b/>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7AC0955B" w14:textId="77777777" w:rsidR="001B2E5C" w:rsidRPr="00DD47DF" w:rsidRDefault="001B2E5C" w:rsidP="00B22DB8">
            <w:pPr>
              <w:pStyle w:val="Tabulka"/>
              <w:rPr>
                <w:rFonts w:cs="Calibri"/>
                <w:b/>
              </w:rPr>
            </w:pPr>
            <w:r w:rsidRPr="00DD47DF">
              <w:rPr>
                <w:rFonts w:cs="Calibri"/>
                <w:b/>
              </w:rPr>
              <w:t>Fond</w:t>
            </w:r>
          </w:p>
        </w:tc>
        <w:tc>
          <w:tcPr>
            <w:tcW w:w="107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92EC59C" w14:textId="77777777" w:rsidR="001B2E5C" w:rsidRPr="00DD47DF" w:rsidRDefault="001B2E5C" w:rsidP="00B22DB8">
            <w:pPr>
              <w:pStyle w:val="Tabulka"/>
              <w:rPr>
                <w:rFonts w:cs="Calibri"/>
                <w:b/>
              </w:rPr>
            </w:pPr>
            <w:r w:rsidRPr="00DD47DF">
              <w:rPr>
                <w:rFonts w:cs="Calibri"/>
                <w:b/>
              </w:rPr>
              <w:t>Kategorie regionu</w:t>
            </w:r>
          </w:p>
        </w:tc>
        <w:tc>
          <w:tcPr>
            <w:tcW w:w="141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25FCDC3" w14:textId="77777777" w:rsidR="001B2E5C" w:rsidRPr="00DD47DF" w:rsidRDefault="001B2E5C" w:rsidP="00B22DB8">
            <w:pPr>
              <w:pStyle w:val="Tabulka"/>
              <w:rPr>
                <w:rFonts w:cs="Calibri"/>
                <w:b/>
              </w:rPr>
            </w:pPr>
            <w:r w:rsidRPr="00DD47DF">
              <w:rPr>
                <w:rFonts w:cs="Calibri"/>
                <w:b/>
              </w:rPr>
              <w:t>Cílová hodnota</w:t>
            </w:r>
          </w:p>
          <w:p w14:paraId="50656E62" w14:textId="77777777" w:rsidR="001B2E5C" w:rsidRPr="00DD47DF" w:rsidRDefault="001B2E5C" w:rsidP="00B22DB8">
            <w:pPr>
              <w:pStyle w:val="Tabulka"/>
              <w:rPr>
                <w:rFonts w:cs="Calibri"/>
                <w:b/>
              </w:rPr>
            </w:pPr>
            <w:r w:rsidRPr="00DD47DF">
              <w:rPr>
                <w:rFonts w:cs="Calibri"/>
                <w:b/>
              </w:rPr>
              <w:t>(2023)</w:t>
            </w:r>
          </w:p>
        </w:tc>
        <w:tc>
          <w:tcPr>
            <w:tcW w:w="71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E487673" w14:textId="77777777" w:rsidR="001B2E5C" w:rsidRPr="00DD47DF" w:rsidRDefault="001B2E5C" w:rsidP="00B22DB8">
            <w:pPr>
              <w:pStyle w:val="Tabulka"/>
              <w:rPr>
                <w:rFonts w:cs="Calibri"/>
                <w:b/>
              </w:rPr>
            </w:pPr>
            <w:r w:rsidRPr="00DD47DF">
              <w:rPr>
                <w:rFonts w:cs="Calibri"/>
                <w:b/>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14:paraId="1CF4F33F" w14:textId="77777777" w:rsidR="001B2E5C" w:rsidRPr="00DD47DF" w:rsidRDefault="001B2E5C" w:rsidP="00B22DB8">
            <w:pPr>
              <w:pStyle w:val="Tabulka"/>
              <w:rPr>
                <w:rFonts w:cs="Calibri"/>
                <w:b/>
              </w:rPr>
            </w:pPr>
            <w:r w:rsidRPr="00DD47DF">
              <w:rPr>
                <w:rFonts w:cs="Calibri"/>
                <w:b/>
              </w:rPr>
              <w:t>Četnost podávání zpráv</w:t>
            </w:r>
          </w:p>
        </w:tc>
      </w:tr>
      <w:tr w:rsidR="002B3F69" w:rsidRPr="00DD47DF" w14:paraId="142F335B"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1B85687A" w14:textId="75FD0D66"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1</w:t>
            </w:r>
          </w:p>
        </w:tc>
        <w:tc>
          <w:tcPr>
            <w:tcW w:w="0" w:type="auto"/>
            <w:tcBorders>
              <w:top w:val="single" w:sz="4" w:space="0" w:color="000000"/>
              <w:left w:val="single" w:sz="4" w:space="0" w:color="000000"/>
              <w:bottom w:val="single" w:sz="4" w:space="0" w:color="000000"/>
              <w:right w:val="single" w:sz="4" w:space="0" w:color="000000"/>
            </w:tcBorders>
            <w:vAlign w:val="center"/>
          </w:tcPr>
          <w:p w14:paraId="6805DCAC" w14:textId="77777777" w:rsidR="002B3F69" w:rsidRPr="00DD47DF" w:rsidRDefault="007D6298" w:rsidP="00B22DB8">
            <w:pPr>
              <w:pStyle w:val="Tabulka"/>
              <w:jc w:val="left"/>
              <w:rPr>
                <w:rFonts w:cs="Calibri"/>
              </w:rPr>
            </w:pPr>
            <w:r w:rsidRPr="00DD47DF">
              <w:rPr>
                <w:rFonts w:cs="Calibri"/>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14:paraId="43EF8FD8" w14:textId="77777777" w:rsidR="002B3F69" w:rsidRPr="00DD47DF" w:rsidRDefault="002B3F69" w:rsidP="00B22DB8">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586E37BF"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175D71E8"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76E78AC0" w14:textId="54D9E10A" w:rsidR="002B3F69" w:rsidRPr="00DD47DF" w:rsidRDefault="00AA0D66" w:rsidP="00B22DB8">
            <w:pPr>
              <w:pStyle w:val="Tabulka"/>
              <w:rPr>
                <w:rFonts w:cs="Calibri"/>
              </w:rPr>
            </w:pPr>
            <w:r>
              <w:rPr>
                <w:rFonts w:cs="Calibri"/>
              </w:rPr>
              <w:t>440</w:t>
            </w:r>
          </w:p>
        </w:tc>
        <w:tc>
          <w:tcPr>
            <w:tcW w:w="715" w:type="dxa"/>
            <w:tcBorders>
              <w:top w:val="single" w:sz="4" w:space="0" w:color="000000"/>
              <w:left w:val="single" w:sz="4" w:space="0" w:color="000000"/>
              <w:bottom w:val="single" w:sz="4" w:space="0" w:color="000000"/>
              <w:right w:val="single" w:sz="4" w:space="0" w:color="000000"/>
            </w:tcBorders>
            <w:vAlign w:val="center"/>
          </w:tcPr>
          <w:p w14:paraId="2BC2CDCE" w14:textId="77777777" w:rsidR="002B3F69" w:rsidRPr="00DD47DF" w:rsidRDefault="00FC7054"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6B5E1A98" w14:textId="77777777" w:rsidR="002B3F69" w:rsidRPr="00DD47DF" w:rsidRDefault="00FC7054" w:rsidP="00B22DB8">
            <w:pPr>
              <w:pStyle w:val="Tabulka"/>
              <w:rPr>
                <w:rFonts w:cs="Calibri"/>
              </w:rPr>
            </w:pPr>
            <w:r>
              <w:rPr>
                <w:rFonts w:cs="Calibri"/>
              </w:rPr>
              <w:t>průběžně</w:t>
            </w:r>
          </w:p>
        </w:tc>
      </w:tr>
      <w:tr w:rsidR="002B3F69" w:rsidRPr="00DD47DF" w14:paraId="764117CE"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1D1E087" w14:textId="07F80A0E"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2</w:t>
            </w:r>
          </w:p>
        </w:tc>
        <w:tc>
          <w:tcPr>
            <w:tcW w:w="0" w:type="auto"/>
            <w:tcBorders>
              <w:top w:val="single" w:sz="4" w:space="0" w:color="000000"/>
              <w:left w:val="single" w:sz="4" w:space="0" w:color="000000"/>
              <w:bottom w:val="single" w:sz="4" w:space="0" w:color="000000"/>
              <w:right w:val="single" w:sz="4" w:space="0" w:color="000000"/>
            </w:tcBorders>
            <w:vAlign w:val="center"/>
          </w:tcPr>
          <w:p w14:paraId="1B9F9D45" w14:textId="77777777" w:rsidR="002B3F69" w:rsidRPr="00DD47DF" w:rsidRDefault="002B3F69" w:rsidP="00B22DB8">
            <w:pPr>
              <w:pStyle w:val="Tabulka"/>
              <w:jc w:val="left"/>
              <w:rPr>
                <w:rFonts w:cs="Calibri"/>
              </w:rPr>
            </w:pPr>
            <w:r w:rsidRPr="00DD47DF">
              <w:rPr>
                <w:rFonts w:cs="Calibri"/>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55612E37" w14:textId="77777777" w:rsidR="002B3F69" w:rsidRPr="00DD47DF" w:rsidRDefault="002B3F69" w:rsidP="00B22DB8">
            <w:pPr>
              <w:pStyle w:val="Tabulka"/>
              <w:rPr>
                <w:rFonts w:cs="Calibri"/>
              </w:rPr>
            </w:pPr>
            <w:r w:rsidRPr="00DD47DF">
              <w:rPr>
                <w:rFonts w:cs="Calibri"/>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14:paraId="0C36DF22"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01AC517"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0E07BD81" w14:textId="459B1413" w:rsidR="002B3F69" w:rsidRPr="00DD47DF" w:rsidRDefault="00AA0D66" w:rsidP="00B22DB8">
            <w:pPr>
              <w:pStyle w:val="Tabulka"/>
              <w:rPr>
                <w:rFonts w:cs="Calibri"/>
              </w:rPr>
            </w:pPr>
            <w:r>
              <w:rPr>
                <w:rFonts w:cs="Calibri"/>
              </w:rPr>
              <w:t>440</w:t>
            </w:r>
          </w:p>
        </w:tc>
        <w:tc>
          <w:tcPr>
            <w:tcW w:w="715" w:type="dxa"/>
            <w:tcBorders>
              <w:top w:val="single" w:sz="4" w:space="0" w:color="000000"/>
              <w:left w:val="single" w:sz="4" w:space="0" w:color="000000"/>
              <w:bottom w:val="single" w:sz="4" w:space="0" w:color="000000"/>
              <w:right w:val="single" w:sz="4" w:space="0" w:color="000000"/>
            </w:tcBorders>
            <w:vAlign w:val="center"/>
          </w:tcPr>
          <w:p w14:paraId="59FDAF8A" w14:textId="77777777" w:rsidR="002B3F69" w:rsidRPr="00DD47DF" w:rsidRDefault="00934A97"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74442B61" w14:textId="77777777" w:rsidR="002B3F69" w:rsidRPr="00DD47DF" w:rsidRDefault="00934A97" w:rsidP="00B22DB8">
            <w:pPr>
              <w:pStyle w:val="Tabulka"/>
              <w:rPr>
                <w:rFonts w:cs="Calibri"/>
              </w:rPr>
            </w:pPr>
            <w:r>
              <w:rPr>
                <w:rFonts w:cs="Calibri"/>
              </w:rPr>
              <w:t>průběžně</w:t>
            </w:r>
          </w:p>
        </w:tc>
      </w:tr>
      <w:tr w:rsidR="002B3F69" w:rsidRPr="00DD47DF" w14:paraId="27F70D70"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3A3B2582" w14:textId="51A66246" w:rsidR="002B3F69" w:rsidRPr="00DD47DF" w:rsidRDefault="00C75691" w:rsidP="00B22DB8">
            <w:pPr>
              <w:pStyle w:val="Tabulka"/>
              <w:rPr>
                <w:rFonts w:cs="Calibri"/>
              </w:rPr>
            </w:pPr>
            <w:r w:rsidRPr="00DD47DF">
              <w:rPr>
                <w:rFonts w:cs="Calibri"/>
              </w:rPr>
              <w:t xml:space="preserve">CO </w:t>
            </w:r>
            <w:r w:rsidR="001F250D" w:rsidRPr="00DD47DF">
              <w:rPr>
                <w:rFonts w:cs="Calibri"/>
              </w:rPr>
              <w:t>0</w:t>
            </w:r>
            <w:r w:rsidR="002B3F69" w:rsidRPr="00DD47DF">
              <w:rPr>
                <w:rFonts w:cs="Calibri"/>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0A1AC6D2" w14:textId="77777777" w:rsidR="002B3F69" w:rsidRPr="00DD47DF" w:rsidRDefault="00892451" w:rsidP="00B22DB8">
            <w:pPr>
              <w:pStyle w:val="Tabulka"/>
              <w:jc w:val="left"/>
              <w:rPr>
                <w:rFonts w:cs="Calibri"/>
              </w:rPr>
            </w:pPr>
            <w:r w:rsidRPr="00892451">
              <w:rPr>
                <w:rFonts w:cs="Calibri"/>
              </w:rPr>
              <w:t>Soukromé investice odpovídající veřejné podpoře podniků (granty)</w:t>
            </w:r>
          </w:p>
        </w:tc>
        <w:tc>
          <w:tcPr>
            <w:tcW w:w="0" w:type="auto"/>
            <w:tcBorders>
              <w:top w:val="single" w:sz="4" w:space="0" w:color="000000"/>
              <w:left w:val="single" w:sz="4" w:space="0" w:color="000000"/>
              <w:bottom w:val="single" w:sz="4" w:space="0" w:color="000000"/>
              <w:right w:val="single" w:sz="4" w:space="0" w:color="000000"/>
            </w:tcBorders>
            <w:vAlign w:val="center"/>
          </w:tcPr>
          <w:p w14:paraId="404A0A8E" w14:textId="77777777" w:rsidR="002B3F69" w:rsidRPr="00DD47DF" w:rsidRDefault="002B3F69" w:rsidP="00B22DB8">
            <w:pPr>
              <w:pStyle w:val="Tabulka"/>
              <w:rPr>
                <w:rFonts w:cs="Calibri"/>
              </w:rPr>
            </w:pPr>
            <w:r w:rsidRPr="00DD47DF">
              <w:rPr>
                <w:rFonts w:cs="Calibri"/>
              </w:rPr>
              <w:t>EUR</w:t>
            </w:r>
          </w:p>
        </w:tc>
        <w:tc>
          <w:tcPr>
            <w:tcW w:w="0" w:type="auto"/>
            <w:tcBorders>
              <w:top w:val="single" w:sz="4" w:space="0" w:color="000000"/>
              <w:left w:val="single" w:sz="4" w:space="0" w:color="000000"/>
              <w:bottom w:val="single" w:sz="4" w:space="0" w:color="000000"/>
              <w:right w:val="single" w:sz="4" w:space="0" w:color="000000"/>
            </w:tcBorders>
            <w:vAlign w:val="center"/>
          </w:tcPr>
          <w:p w14:paraId="7383C020" w14:textId="77777777" w:rsidR="002B3F69" w:rsidRPr="00DD47DF" w:rsidRDefault="002B3F69"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206E83F6" w14:textId="77777777" w:rsidR="002B3F69" w:rsidRPr="00DD47DF" w:rsidRDefault="002B3F69"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4AC9436B" w14:textId="77777777" w:rsidR="002B3F69" w:rsidRPr="00DD47DF" w:rsidRDefault="00FD71ED" w:rsidP="00B22DB8">
            <w:pPr>
              <w:pStyle w:val="Tabulka"/>
              <w:rPr>
                <w:rFonts w:cs="Calibri"/>
              </w:rPr>
            </w:pPr>
            <w:r w:rsidRPr="00DD47DF">
              <w:rPr>
                <w:rFonts w:cs="Calibri"/>
              </w:rPr>
              <w:t>330</w:t>
            </w:r>
            <w:r w:rsidR="00BC5A68" w:rsidRPr="00DD47DF">
              <w:rPr>
                <w:rFonts w:cs="Calibri"/>
              </w:rPr>
              <w:t> 000 000</w:t>
            </w:r>
          </w:p>
        </w:tc>
        <w:tc>
          <w:tcPr>
            <w:tcW w:w="715" w:type="dxa"/>
            <w:tcBorders>
              <w:top w:val="single" w:sz="4" w:space="0" w:color="000000"/>
              <w:left w:val="single" w:sz="4" w:space="0" w:color="000000"/>
              <w:bottom w:val="single" w:sz="4" w:space="0" w:color="000000"/>
              <w:right w:val="single" w:sz="4" w:space="0" w:color="000000"/>
            </w:tcBorders>
            <w:vAlign w:val="center"/>
          </w:tcPr>
          <w:p w14:paraId="262C2B8D" w14:textId="77777777" w:rsidR="002B3F69" w:rsidRPr="00DD47DF" w:rsidRDefault="00800418" w:rsidP="00B22DB8">
            <w:pPr>
              <w:pStyle w:val="Tabulka"/>
              <w:rPr>
                <w:rFonts w:cs="Calibri"/>
              </w:rPr>
            </w:pPr>
            <w:r>
              <w:rPr>
                <w:rFonts w:cs="Calibri"/>
              </w:rPr>
              <w:t>MS2014+</w:t>
            </w:r>
          </w:p>
        </w:tc>
        <w:tc>
          <w:tcPr>
            <w:tcW w:w="0" w:type="auto"/>
            <w:tcBorders>
              <w:top w:val="single" w:sz="4" w:space="0" w:color="000000"/>
              <w:left w:val="single" w:sz="4" w:space="0" w:color="000000"/>
              <w:bottom w:val="single" w:sz="4" w:space="0" w:color="000000"/>
              <w:right w:val="single" w:sz="4" w:space="0" w:color="000000"/>
            </w:tcBorders>
            <w:vAlign w:val="center"/>
          </w:tcPr>
          <w:p w14:paraId="078F853C" w14:textId="77777777" w:rsidR="002B3F69" w:rsidRPr="00DD47DF" w:rsidRDefault="00934A97" w:rsidP="00B22DB8">
            <w:pPr>
              <w:pStyle w:val="Tabulka"/>
              <w:rPr>
                <w:rFonts w:cs="Calibri"/>
              </w:rPr>
            </w:pPr>
            <w:r>
              <w:rPr>
                <w:rFonts w:cs="Calibri"/>
              </w:rPr>
              <w:t>průběžně</w:t>
            </w:r>
          </w:p>
        </w:tc>
      </w:tr>
      <w:tr w:rsidR="001B36DC" w:rsidRPr="00DD47DF" w14:paraId="20D053E6" w14:textId="7777777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4BCB55D5" w14:textId="7714F131" w:rsidR="001B36DC" w:rsidRPr="00DD47DF" w:rsidRDefault="00C75691" w:rsidP="008F41A1">
            <w:pPr>
              <w:pStyle w:val="Tabulka"/>
              <w:keepLines/>
              <w:rPr>
                <w:rFonts w:cs="Calibri"/>
              </w:rPr>
            </w:pPr>
            <w:r w:rsidRPr="00DD47DF">
              <w:rPr>
                <w:rFonts w:cs="Calibri"/>
              </w:rPr>
              <w:t xml:space="preserve">CO </w:t>
            </w:r>
            <w:r w:rsidR="001F250D" w:rsidRPr="00DD47DF">
              <w:rPr>
                <w:rFonts w:cs="Calibri"/>
              </w:rPr>
              <w:t>0</w:t>
            </w:r>
            <w:r w:rsidR="001B36DC" w:rsidRPr="00DD47DF">
              <w:rPr>
                <w:rFonts w:cs="Calibri"/>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2A8A58B" w14:textId="77777777" w:rsidR="001B36DC" w:rsidRPr="00DD47DF" w:rsidRDefault="001B36DC" w:rsidP="008F41A1">
            <w:pPr>
              <w:pStyle w:val="Tabulka"/>
              <w:keepLines/>
              <w:jc w:val="left"/>
              <w:rPr>
                <w:rFonts w:cs="Calibri"/>
              </w:rPr>
            </w:pPr>
            <w:r w:rsidRPr="00DD47DF">
              <w:rPr>
                <w:rFonts w:cs="Calibri"/>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14:paraId="2AE3A52E" w14:textId="77777777" w:rsidR="001B36DC" w:rsidRPr="00DD47DF" w:rsidRDefault="001B36DC" w:rsidP="008F41A1">
            <w:pPr>
              <w:pStyle w:val="Tabulka"/>
              <w:keepLines/>
              <w:rPr>
                <w:rFonts w:cs="Calibri"/>
                <w:vertAlign w:val="superscript"/>
              </w:rPr>
            </w:pPr>
            <w:r w:rsidRPr="00DD47DF">
              <w:rPr>
                <w:rFonts w:cs="Calibri"/>
              </w:rPr>
              <w:t>FTE</w:t>
            </w:r>
          </w:p>
        </w:tc>
        <w:tc>
          <w:tcPr>
            <w:tcW w:w="0" w:type="auto"/>
            <w:tcBorders>
              <w:top w:val="single" w:sz="4" w:space="0" w:color="000000"/>
              <w:left w:val="single" w:sz="4" w:space="0" w:color="000000"/>
              <w:bottom w:val="single" w:sz="4" w:space="0" w:color="000000"/>
              <w:right w:val="single" w:sz="4" w:space="0" w:color="000000"/>
            </w:tcBorders>
            <w:vAlign w:val="center"/>
          </w:tcPr>
          <w:p w14:paraId="7A44ADD3" w14:textId="77777777" w:rsidR="001B36DC" w:rsidRPr="00DD47DF" w:rsidRDefault="001B36DC"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7CD68DF" w14:textId="77777777" w:rsidR="001B36DC" w:rsidRPr="00DD47DF" w:rsidRDefault="001B36DC"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5E3CF82B" w14:textId="63314D20" w:rsidR="001B36DC" w:rsidRPr="00DD47DF" w:rsidRDefault="00AA0D66" w:rsidP="00922F9B">
            <w:pPr>
              <w:pStyle w:val="Tabulka"/>
              <w:rPr>
                <w:rFonts w:cs="Calibri"/>
              </w:rPr>
            </w:pPr>
            <w:r>
              <w:rPr>
                <w:rFonts w:cs="Calibri"/>
              </w:rPr>
              <w:t xml:space="preserve">2 </w:t>
            </w:r>
            <w:r w:rsidR="00922F9B">
              <w:rPr>
                <w:rFonts w:cs="Calibri"/>
              </w:rPr>
              <w:t>700</w:t>
            </w:r>
          </w:p>
        </w:tc>
        <w:tc>
          <w:tcPr>
            <w:tcW w:w="715" w:type="dxa"/>
            <w:tcBorders>
              <w:top w:val="single" w:sz="4" w:space="0" w:color="000000"/>
              <w:left w:val="single" w:sz="4" w:space="0" w:color="000000"/>
              <w:bottom w:val="single" w:sz="4" w:space="0" w:color="000000"/>
              <w:right w:val="single" w:sz="4" w:space="0" w:color="000000"/>
            </w:tcBorders>
            <w:vAlign w:val="center"/>
          </w:tcPr>
          <w:p w14:paraId="64097C8F" w14:textId="77777777" w:rsidR="001B36DC" w:rsidRPr="00DD47DF" w:rsidRDefault="001B36DC"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5AFC6C37" w14:textId="77777777" w:rsidR="001B36DC" w:rsidRPr="00DD47DF" w:rsidRDefault="00025DD4" w:rsidP="008F41A1">
            <w:pPr>
              <w:pStyle w:val="Tabulka"/>
              <w:keepLines/>
              <w:rPr>
                <w:rFonts w:cs="Calibri"/>
              </w:rPr>
            </w:pPr>
            <w:r>
              <w:rPr>
                <w:rFonts w:cs="Calibri"/>
              </w:rPr>
              <w:t>průběžně</w:t>
            </w:r>
          </w:p>
        </w:tc>
      </w:tr>
      <w:tr w:rsidR="00B30324" w:rsidRPr="00DD47DF" w14:paraId="018D81E9" w14:textId="77777777" w:rsidTr="00466CFC">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732F50D4" w14:textId="77777777" w:rsidR="00B30324" w:rsidRPr="00DD47DF" w:rsidDel="00C75691" w:rsidRDefault="00D4415B" w:rsidP="008F41A1">
            <w:pPr>
              <w:pStyle w:val="Tabulka"/>
              <w:keepLines/>
              <w:rPr>
                <w:rFonts w:cs="Calibri"/>
              </w:rPr>
            </w:pPr>
            <w:r w:rsidRPr="00DD47DF">
              <w:rPr>
                <w:rFonts w:cs="Calibri"/>
              </w:rPr>
              <w:t>30801</w:t>
            </w:r>
          </w:p>
        </w:tc>
        <w:tc>
          <w:tcPr>
            <w:tcW w:w="0" w:type="auto"/>
            <w:tcBorders>
              <w:top w:val="single" w:sz="4" w:space="0" w:color="000000"/>
              <w:left w:val="single" w:sz="4" w:space="0" w:color="000000"/>
              <w:bottom w:val="single" w:sz="4" w:space="0" w:color="000000"/>
              <w:right w:val="single" w:sz="4" w:space="0" w:color="000000"/>
            </w:tcBorders>
            <w:vAlign w:val="center"/>
          </w:tcPr>
          <w:p w14:paraId="793CD0A5" w14:textId="77777777" w:rsidR="00B30324" w:rsidRPr="00DD47DF" w:rsidRDefault="00B30324" w:rsidP="008F41A1">
            <w:pPr>
              <w:pStyle w:val="Tabulka"/>
              <w:keepLines/>
              <w:jc w:val="left"/>
              <w:rPr>
                <w:rFonts w:cs="Calibri"/>
              </w:rPr>
            </w:pPr>
            <w:r w:rsidRPr="00DD47DF">
              <w:rPr>
                <w:rFonts w:cs="Calibri"/>
              </w:rPr>
              <w:t>Nová a zmodernizovaná</w:t>
            </w:r>
            <w:r w:rsidR="00D4415B" w:rsidRPr="00DD47DF">
              <w:rPr>
                <w:rFonts w:cs="Calibri"/>
              </w:rPr>
              <w:t xml:space="preserve"> IT</w:t>
            </w:r>
            <w:r w:rsidRPr="00DD47DF">
              <w:rPr>
                <w:rFonts w:cs="Calibri"/>
              </w:rPr>
              <w:t xml:space="preserve"> centra</w:t>
            </w:r>
          </w:p>
        </w:tc>
        <w:tc>
          <w:tcPr>
            <w:tcW w:w="0" w:type="auto"/>
            <w:tcBorders>
              <w:top w:val="single" w:sz="4" w:space="0" w:color="000000"/>
              <w:left w:val="single" w:sz="4" w:space="0" w:color="000000"/>
              <w:bottom w:val="single" w:sz="4" w:space="0" w:color="000000"/>
              <w:right w:val="single" w:sz="4" w:space="0" w:color="000000"/>
            </w:tcBorders>
            <w:vAlign w:val="center"/>
          </w:tcPr>
          <w:p w14:paraId="2D1D3F0E" w14:textId="77777777" w:rsidR="00B30324" w:rsidRPr="00DD47DF" w:rsidRDefault="00B44F8D" w:rsidP="00B30324">
            <w:pPr>
              <w:pStyle w:val="Tabulka"/>
              <w:rPr>
                <w:rFonts w:cs="Calibri"/>
              </w:rPr>
            </w:pPr>
            <w:r w:rsidRPr="00DD47DF">
              <w:rPr>
                <w:rFonts w:cs="Calibri"/>
              </w:rPr>
              <w:t>centra</w:t>
            </w:r>
          </w:p>
        </w:tc>
        <w:tc>
          <w:tcPr>
            <w:tcW w:w="0" w:type="auto"/>
            <w:tcBorders>
              <w:top w:val="single" w:sz="4" w:space="0" w:color="000000"/>
              <w:left w:val="single" w:sz="4" w:space="0" w:color="000000"/>
              <w:bottom w:val="single" w:sz="4" w:space="0" w:color="000000"/>
              <w:right w:val="single" w:sz="4" w:space="0" w:color="000000"/>
            </w:tcBorders>
            <w:vAlign w:val="center"/>
          </w:tcPr>
          <w:p w14:paraId="5608D254" w14:textId="77777777" w:rsidR="00B30324" w:rsidRPr="00DD47DF" w:rsidRDefault="00B30324"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2B79BCFB" w14:textId="77777777" w:rsidR="00B30324" w:rsidRPr="00DD47DF" w:rsidRDefault="00B30324" w:rsidP="00B22DB8">
            <w:pPr>
              <w:pStyle w:val="Tabulka"/>
              <w:rPr>
                <w:rFonts w:cs="Calibri"/>
              </w:rPr>
            </w:pPr>
            <w:r w:rsidRPr="00DD47DF">
              <w:rPr>
                <w:rFonts w:cs="Calibri"/>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7853A233" w14:textId="571AB4D5" w:rsidR="00B30324" w:rsidRPr="00DD47DF" w:rsidRDefault="001122AC" w:rsidP="00B22DB8">
            <w:pPr>
              <w:pStyle w:val="Tabulka"/>
              <w:rPr>
                <w:rFonts w:cs="Calibri"/>
              </w:rPr>
            </w:pPr>
            <w:r w:rsidRPr="00DD47DF">
              <w:rPr>
                <w:rFonts w:cs="Calibri"/>
              </w:rPr>
              <w:t>78</w:t>
            </w:r>
          </w:p>
        </w:tc>
        <w:tc>
          <w:tcPr>
            <w:tcW w:w="715" w:type="dxa"/>
            <w:tcBorders>
              <w:top w:val="single" w:sz="4" w:space="0" w:color="000000"/>
              <w:left w:val="single" w:sz="4" w:space="0" w:color="000000"/>
              <w:bottom w:val="single" w:sz="4" w:space="0" w:color="000000"/>
              <w:right w:val="single" w:sz="4" w:space="0" w:color="000000"/>
            </w:tcBorders>
            <w:vAlign w:val="center"/>
          </w:tcPr>
          <w:p w14:paraId="3B82877F" w14:textId="77777777" w:rsidR="00B30324" w:rsidRPr="00DD47DF" w:rsidRDefault="00931CEE"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1994EE7A" w14:textId="77777777" w:rsidR="00B30324" w:rsidRPr="00DD47DF" w:rsidRDefault="005739BE" w:rsidP="008F41A1">
            <w:pPr>
              <w:pStyle w:val="Tabulka"/>
              <w:keepLines/>
              <w:rPr>
                <w:rFonts w:cs="Calibri"/>
              </w:rPr>
            </w:pPr>
            <w:r>
              <w:rPr>
                <w:rFonts w:cs="Calibri"/>
              </w:rPr>
              <w:t>průběžně</w:t>
            </w:r>
          </w:p>
        </w:tc>
      </w:tr>
      <w:tr w:rsidR="00B30324" w:rsidRPr="00DD47DF" w14:paraId="724832EF" w14:textId="77777777" w:rsidTr="00466CFC">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14:paraId="2CBD74FA" w14:textId="77777777" w:rsidR="00B30324" w:rsidRPr="00DD47DF" w:rsidDel="00C75691" w:rsidRDefault="00D4415B" w:rsidP="008F41A1">
            <w:pPr>
              <w:pStyle w:val="Tabulka"/>
              <w:keepLines/>
              <w:rPr>
                <w:rFonts w:cs="Calibri"/>
              </w:rPr>
            </w:pPr>
            <w:r w:rsidRPr="00DD47DF">
              <w:rPr>
                <w:rFonts w:cs="Calibri"/>
              </w:rPr>
              <w:t>30500</w:t>
            </w:r>
          </w:p>
        </w:tc>
        <w:tc>
          <w:tcPr>
            <w:tcW w:w="0" w:type="auto"/>
            <w:tcBorders>
              <w:top w:val="single" w:sz="4" w:space="0" w:color="000000"/>
              <w:left w:val="single" w:sz="4" w:space="0" w:color="000000"/>
              <w:bottom w:val="single" w:sz="4" w:space="0" w:color="000000"/>
              <w:right w:val="single" w:sz="4" w:space="0" w:color="000000"/>
            </w:tcBorders>
            <w:vAlign w:val="center"/>
          </w:tcPr>
          <w:p w14:paraId="7B3D7089" w14:textId="77777777" w:rsidR="00B30324" w:rsidRPr="00DD47DF" w:rsidRDefault="00D4415B" w:rsidP="008F41A1">
            <w:pPr>
              <w:pStyle w:val="Tabulka"/>
              <w:keepLines/>
              <w:jc w:val="left"/>
              <w:rPr>
                <w:rFonts w:cs="Calibri"/>
              </w:rPr>
            </w:pPr>
            <w:r w:rsidRPr="00DD47DF">
              <w:rPr>
                <w:rFonts w:cs="Calibri"/>
              </w:rPr>
              <w:t>Počet pořízených informačních systémů</w:t>
            </w:r>
          </w:p>
        </w:tc>
        <w:tc>
          <w:tcPr>
            <w:tcW w:w="0" w:type="auto"/>
            <w:tcBorders>
              <w:top w:val="single" w:sz="4" w:space="0" w:color="000000"/>
              <w:left w:val="single" w:sz="4" w:space="0" w:color="000000"/>
              <w:bottom w:val="single" w:sz="4" w:space="0" w:color="000000"/>
              <w:right w:val="single" w:sz="4" w:space="0" w:color="000000"/>
            </w:tcBorders>
            <w:vAlign w:val="center"/>
          </w:tcPr>
          <w:p w14:paraId="7F133BAD" w14:textId="77777777" w:rsidR="00B30324" w:rsidRPr="00DD47DF" w:rsidRDefault="006E5BDD" w:rsidP="00B30324">
            <w:pPr>
              <w:pStyle w:val="Tabulka"/>
              <w:rPr>
                <w:rFonts w:cs="Calibri"/>
              </w:rPr>
            </w:pPr>
            <w:r w:rsidRPr="00DD47DF">
              <w:rPr>
                <w:rFonts w:cs="Calibri"/>
              </w:rPr>
              <w:t>Počet IS</w:t>
            </w:r>
          </w:p>
        </w:tc>
        <w:tc>
          <w:tcPr>
            <w:tcW w:w="0" w:type="auto"/>
            <w:tcBorders>
              <w:top w:val="single" w:sz="4" w:space="0" w:color="000000"/>
              <w:left w:val="single" w:sz="4" w:space="0" w:color="000000"/>
              <w:bottom w:val="single" w:sz="4" w:space="0" w:color="000000"/>
              <w:right w:val="single" w:sz="4" w:space="0" w:color="000000"/>
            </w:tcBorders>
            <w:vAlign w:val="center"/>
          </w:tcPr>
          <w:p w14:paraId="1FE566D8" w14:textId="77777777" w:rsidR="00B30324" w:rsidRPr="00DD47DF" w:rsidRDefault="00B30324" w:rsidP="00B22DB8">
            <w:pPr>
              <w:pStyle w:val="Tabulka"/>
              <w:rPr>
                <w:rFonts w:cs="Calibri"/>
              </w:rPr>
            </w:pPr>
            <w:r w:rsidRPr="00DD47DF">
              <w:rPr>
                <w:rFonts w:cs="Calibri"/>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14:paraId="3EA71DD9" w14:textId="77777777" w:rsidR="00B30324" w:rsidRPr="00DD47DF" w:rsidRDefault="00B30324" w:rsidP="00B22DB8">
            <w:pPr>
              <w:pStyle w:val="Tabulka"/>
              <w:rPr>
                <w:rFonts w:cs="Calibri"/>
              </w:rPr>
            </w:pPr>
            <w:r w:rsidRPr="00DD47DF">
              <w:rPr>
                <w:rFonts w:cs="Calibri"/>
              </w:rPr>
              <w:t xml:space="preserve">Méně rozvinuté </w:t>
            </w:r>
            <w:r w:rsidRPr="00DD47DF">
              <w:rPr>
                <w:rFonts w:cs="Calibri"/>
              </w:rPr>
              <w:lastRenderedPageBreak/>
              <w:t>regiony</w:t>
            </w:r>
          </w:p>
        </w:tc>
        <w:tc>
          <w:tcPr>
            <w:tcW w:w="1418" w:type="dxa"/>
            <w:tcBorders>
              <w:top w:val="single" w:sz="4" w:space="0" w:color="000000"/>
              <w:left w:val="single" w:sz="4" w:space="0" w:color="000000"/>
              <w:bottom w:val="single" w:sz="4" w:space="0" w:color="000000"/>
              <w:right w:val="single" w:sz="4" w:space="0" w:color="000000"/>
            </w:tcBorders>
            <w:vAlign w:val="center"/>
          </w:tcPr>
          <w:p w14:paraId="2C30DC35" w14:textId="23F42D7A" w:rsidR="00B30324" w:rsidRPr="00DD47DF" w:rsidRDefault="00AA0D66" w:rsidP="00B22DB8">
            <w:pPr>
              <w:pStyle w:val="Tabulka"/>
              <w:rPr>
                <w:rFonts w:cs="Calibri"/>
              </w:rPr>
            </w:pPr>
            <w:r>
              <w:rPr>
                <w:rFonts w:cs="Calibri"/>
              </w:rPr>
              <w:lastRenderedPageBreak/>
              <w:t>690</w:t>
            </w:r>
          </w:p>
        </w:tc>
        <w:tc>
          <w:tcPr>
            <w:tcW w:w="715" w:type="dxa"/>
            <w:tcBorders>
              <w:top w:val="single" w:sz="4" w:space="0" w:color="000000"/>
              <w:left w:val="single" w:sz="4" w:space="0" w:color="000000"/>
              <w:bottom w:val="single" w:sz="4" w:space="0" w:color="000000"/>
              <w:right w:val="single" w:sz="4" w:space="0" w:color="000000"/>
            </w:tcBorders>
            <w:vAlign w:val="center"/>
          </w:tcPr>
          <w:p w14:paraId="697CB6F1" w14:textId="77777777" w:rsidR="00B30324" w:rsidRPr="00DD47DF" w:rsidRDefault="00931CEE" w:rsidP="008F41A1">
            <w:pPr>
              <w:pStyle w:val="Tabulka"/>
              <w:keepLines/>
              <w:rPr>
                <w:rFonts w:cs="Calibri"/>
              </w:rPr>
            </w:pPr>
            <w:r w:rsidRPr="00DD47DF">
              <w:rPr>
                <w:rFonts w:cs="Calibri"/>
              </w:rPr>
              <w:t>Ž/P</w:t>
            </w:r>
          </w:p>
        </w:tc>
        <w:tc>
          <w:tcPr>
            <w:tcW w:w="0" w:type="auto"/>
            <w:tcBorders>
              <w:top w:val="single" w:sz="4" w:space="0" w:color="000000"/>
              <w:left w:val="single" w:sz="4" w:space="0" w:color="000000"/>
              <w:bottom w:val="single" w:sz="4" w:space="0" w:color="000000"/>
              <w:right w:val="single" w:sz="4" w:space="0" w:color="000000"/>
            </w:tcBorders>
            <w:vAlign w:val="center"/>
          </w:tcPr>
          <w:p w14:paraId="708325A6" w14:textId="77777777" w:rsidR="00B30324" w:rsidRPr="00DD47DF" w:rsidRDefault="005739BE" w:rsidP="008F41A1">
            <w:pPr>
              <w:pStyle w:val="Tabulka"/>
              <w:keepLines/>
              <w:rPr>
                <w:rFonts w:cs="Calibri"/>
              </w:rPr>
            </w:pPr>
            <w:r>
              <w:rPr>
                <w:rFonts w:cs="Calibri"/>
              </w:rPr>
              <w:t>průběžně</w:t>
            </w:r>
          </w:p>
        </w:tc>
      </w:tr>
    </w:tbl>
    <w:p w14:paraId="56D6EEBD" w14:textId="77777777" w:rsidR="002E1C78" w:rsidRPr="00DD47DF" w:rsidRDefault="00AC6E26" w:rsidP="00DA3512">
      <w:pPr>
        <w:pStyle w:val="kapitola2A0"/>
        <w:numPr>
          <w:ilvl w:val="2"/>
          <w:numId w:val="69"/>
        </w:numPr>
      </w:pPr>
      <w:bookmarkStart w:id="100" w:name="_Toc129005430"/>
      <w:r w:rsidRPr="00DD47DF">
        <w:t>Sociální inovace, nadnárodní spolupráce a přínos k tematickým cílům 1 až 7</w:t>
      </w:r>
      <w:bookmarkEnd w:id="100"/>
      <w:r w:rsidR="002E1C78" w:rsidRPr="00DD47DF">
        <w:t xml:space="preserve"> </w:t>
      </w:r>
    </w:p>
    <w:p w14:paraId="0E91A281" w14:textId="77777777" w:rsidR="004126CC" w:rsidRPr="00DD47DF" w:rsidRDefault="006B6307" w:rsidP="008A5FCE">
      <w:pPr>
        <w:pStyle w:val="Standardntext"/>
        <w:sectPr w:rsidR="004126CC" w:rsidRPr="00DD47DF" w:rsidSect="004126CC">
          <w:headerReference w:type="default" r:id="rId41"/>
          <w:footerReference w:type="default" r:id="rId42"/>
          <w:pgSz w:w="11906" w:h="16838"/>
          <w:pgMar w:top="1418" w:right="1276" w:bottom="1276" w:left="1418" w:header="709" w:footer="709" w:gutter="0"/>
          <w:cols w:space="708"/>
          <w:docGrid w:linePitch="272"/>
        </w:sectPr>
      </w:pPr>
      <w:r w:rsidRPr="00DD47DF">
        <w:t>Není relevantní pro OP PIK.</w:t>
      </w:r>
    </w:p>
    <w:p w14:paraId="0413DA2D" w14:textId="77777777" w:rsidR="002E1C78" w:rsidRPr="00DD47DF" w:rsidRDefault="00AC6E26" w:rsidP="00DA3512">
      <w:pPr>
        <w:pStyle w:val="kapitola2A0"/>
        <w:numPr>
          <w:ilvl w:val="2"/>
          <w:numId w:val="69"/>
        </w:numPr>
      </w:pPr>
      <w:bookmarkStart w:id="101" w:name="_Toc129005431"/>
      <w:r w:rsidRPr="00DD47DF">
        <w:lastRenderedPageBreak/>
        <w:t>Výkonnostní rámec</w:t>
      </w:r>
      <w:bookmarkEnd w:id="101"/>
    </w:p>
    <w:p w14:paraId="08A5A361" w14:textId="77777777" w:rsidR="002E1C78" w:rsidRPr="00DD47DF" w:rsidRDefault="002E1C78" w:rsidP="006F258E">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6</w:t>
      </w:r>
      <w:r w:rsidR="002756E7" w:rsidRPr="00DD47DF">
        <w:rPr>
          <w:noProof/>
        </w:rPr>
        <w:fldChar w:fldCharType="end"/>
      </w:r>
      <w:r w:rsidRPr="00DD47DF">
        <w:t xml:space="preserve">: </w:t>
      </w:r>
      <w:r w:rsidR="00AC6E26" w:rsidRPr="00DD47DF">
        <w:t>Výkonnostní rámec prioritní osy</w:t>
      </w:r>
      <w:r w:rsidRPr="00DD47DF">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90"/>
        <w:gridCol w:w="799"/>
        <w:gridCol w:w="1420"/>
        <w:gridCol w:w="1409"/>
        <w:gridCol w:w="767"/>
        <w:gridCol w:w="1145"/>
        <w:gridCol w:w="1261"/>
        <w:gridCol w:w="1356"/>
        <w:gridCol w:w="997"/>
        <w:gridCol w:w="2632"/>
      </w:tblGrid>
      <w:tr w:rsidR="00E84B36" w:rsidRPr="00DD47DF" w14:paraId="6E630A11" w14:textId="77777777">
        <w:tc>
          <w:tcPr>
            <w:tcW w:w="0" w:type="auto"/>
            <w:shd w:val="clear" w:color="auto" w:fill="B8CCE4"/>
            <w:vAlign w:val="center"/>
          </w:tcPr>
          <w:p w14:paraId="55796819" w14:textId="77777777" w:rsidR="00AE32DE" w:rsidRPr="00DD47DF" w:rsidRDefault="00AE32DE" w:rsidP="00E84B36">
            <w:pPr>
              <w:pStyle w:val="Tabulka"/>
              <w:keepNext/>
              <w:keepLines/>
              <w:rPr>
                <w:rFonts w:cs="Calibri"/>
                <w:b/>
              </w:rPr>
            </w:pPr>
            <w:r w:rsidRPr="00DD47DF">
              <w:rPr>
                <w:rFonts w:cs="Calibri"/>
                <w:b/>
              </w:rPr>
              <w:t>Prioritní osa</w:t>
            </w:r>
          </w:p>
        </w:tc>
        <w:tc>
          <w:tcPr>
            <w:tcW w:w="1684" w:type="dxa"/>
            <w:shd w:val="clear" w:color="auto" w:fill="B8CCE4"/>
            <w:vAlign w:val="center"/>
          </w:tcPr>
          <w:p w14:paraId="2D9B7933" w14:textId="77777777" w:rsidR="00AE32DE" w:rsidRPr="00DD47DF" w:rsidRDefault="00AE32DE" w:rsidP="00E84B36">
            <w:pPr>
              <w:pStyle w:val="Tabulka"/>
              <w:keepNext/>
              <w:keepLines/>
              <w:rPr>
                <w:rFonts w:cs="Calibri"/>
                <w:b/>
              </w:rPr>
            </w:pPr>
            <w:r w:rsidRPr="00DD47DF">
              <w:rPr>
                <w:rFonts w:cs="Calibri"/>
                <w:b/>
              </w:rPr>
              <w:t>Typ ukazatele</w:t>
            </w:r>
          </w:p>
          <w:p w14:paraId="40856581" w14:textId="77777777" w:rsidR="00AE32DE" w:rsidRPr="00DD47DF" w:rsidRDefault="00AE32DE" w:rsidP="00E84B36">
            <w:pPr>
              <w:pStyle w:val="Tabulka"/>
              <w:keepNext/>
              <w:keepLines/>
              <w:rPr>
                <w:rFonts w:cs="Calibri"/>
                <w:b/>
              </w:rPr>
            </w:pPr>
            <w:r w:rsidRPr="00DD47DF">
              <w:rPr>
                <w:rFonts w:cs="Calibri"/>
                <w:b/>
              </w:rPr>
              <w:t>(klíčový krok provádění, finanční výstup nebo popřípadě ukazatel výsledků)</w:t>
            </w:r>
          </w:p>
        </w:tc>
        <w:tc>
          <w:tcPr>
            <w:tcW w:w="554" w:type="dxa"/>
            <w:shd w:val="clear" w:color="auto" w:fill="B8CCE4"/>
            <w:vAlign w:val="center"/>
          </w:tcPr>
          <w:p w14:paraId="5893E6BF" w14:textId="77777777" w:rsidR="00AE32DE" w:rsidRPr="00DD47DF" w:rsidRDefault="00AE32DE" w:rsidP="00E84B36">
            <w:pPr>
              <w:pStyle w:val="Tabulka"/>
              <w:keepNext/>
              <w:keepLines/>
              <w:rPr>
                <w:rFonts w:cs="Calibri"/>
                <w:b/>
              </w:rPr>
            </w:pPr>
            <w:r w:rsidRPr="00DD47DF">
              <w:rPr>
                <w:rFonts w:cs="Calibri"/>
                <w:b/>
              </w:rPr>
              <w:t>ID</w:t>
            </w:r>
          </w:p>
        </w:tc>
        <w:tc>
          <w:tcPr>
            <w:tcW w:w="1429" w:type="dxa"/>
            <w:shd w:val="clear" w:color="auto" w:fill="B8CCE4"/>
            <w:tcMar>
              <w:top w:w="0" w:type="dxa"/>
              <w:left w:w="108" w:type="dxa"/>
              <w:bottom w:w="0" w:type="dxa"/>
              <w:right w:w="108" w:type="dxa"/>
            </w:tcMar>
            <w:vAlign w:val="center"/>
          </w:tcPr>
          <w:p w14:paraId="3D0801E8" w14:textId="77777777" w:rsidR="00AE32DE" w:rsidRPr="00DD47DF" w:rsidRDefault="00AE32DE" w:rsidP="00E84B36">
            <w:pPr>
              <w:pStyle w:val="Tabulka"/>
              <w:keepNext/>
              <w:keepLines/>
              <w:rPr>
                <w:rFonts w:cs="Calibri"/>
                <w:b/>
              </w:rPr>
            </w:pPr>
            <w:r w:rsidRPr="00DD47DF">
              <w:rPr>
                <w:rFonts w:cs="Calibri"/>
                <w:b/>
              </w:rPr>
              <w:t>Ukazatel nebo klíčový krok provádění</w:t>
            </w:r>
          </w:p>
        </w:tc>
        <w:tc>
          <w:tcPr>
            <w:tcW w:w="1418" w:type="dxa"/>
            <w:shd w:val="clear" w:color="auto" w:fill="B8CCE4"/>
            <w:tcMar>
              <w:top w:w="0" w:type="dxa"/>
              <w:left w:w="108" w:type="dxa"/>
              <w:bottom w:w="0" w:type="dxa"/>
              <w:right w:w="108" w:type="dxa"/>
            </w:tcMar>
            <w:vAlign w:val="center"/>
          </w:tcPr>
          <w:p w14:paraId="773DF6EC" w14:textId="77777777" w:rsidR="00AE32DE" w:rsidRPr="00DD47DF" w:rsidRDefault="00AE32DE" w:rsidP="00E84B36">
            <w:pPr>
              <w:pStyle w:val="Tabulka"/>
              <w:keepNext/>
              <w:keepLines/>
              <w:rPr>
                <w:rFonts w:cs="Calibri"/>
                <w:b/>
              </w:rPr>
            </w:pPr>
            <w:r w:rsidRPr="00DD47DF">
              <w:rPr>
                <w:rFonts w:cs="Calibri"/>
                <w:b/>
              </w:rPr>
              <w:t>Měrná jednotka (použije-li se)</w:t>
            </w:r>
          </w:p>
        </w:tc>
        <w:tc>
          <w:tcPr>
            <w:tcW w:w="767" w:type="dxa"/>
            <w:shd w:val="clear" w:color="auto" w:fill="B8CCE4"/>
            <w:tcMar>
              <w:top w:w="0" w:type="dxa"/>
              <w:left w:w="108" w:type="dxa"/>
              <w:bottom w:w="0" w:type="dxa"/>
              <w:right w:w="108" w:type="dxa"/>
            </w:tcMar>
            <w:vAlign w:val="center"/>
          </w:tcPr>
          <w:p w14:paraId="1F36AD2E" w14:textId="77777777" w:rsidR="00AE32DE" w:rsidRPr="00DD47DF" w:rsidRDefault="00AE32DE" w:rsidP="00E84B36">
            <w:pPr>
              <w:pStyle w:val="Tabulka"/>
              <w:keepNext/>
              <w:keepLines/>
              <w:rPr>
                <w:rFonts w:cs="Calibri"/>
                <w:b/>
              </w:rPr>
            </w:pPr>
            <w:r w:rsidRPr="00DD47DF">
              <w:rPr>
                <w:rFonts w:cs="Calibri"/>
                <w:b/>
              </w:rPr>
              <w:t>Fond</w:t>
            </w:r>
          </w:p>
        </w:tc>
        <w:tc>
          <w:tcPr>
            <w:tcW w:w="1145" w:type="dxa"/>
            <w:shd w:val="clear" w:color="auto" w:fill="B8CCE4"/>
            <w:tcMar>
              <w:top w:w="0" w:type="dxa"/>
              <w:left w:w="108" w:type="dxa"/>
              <w:bottom w:w="0" w:type="dxa"/>
              <w:right w:w="108" w:type="dxa"/>
            </w:tcMar>
            <w:vAlign w:val="center"/>
          </w:tcPr>
          <w:p w14:paraId="0F9E717D" w14:textId="77777777" w:rsidR="00AE32DE" w:rsidRPr="00DD47DF" w:rsidRDefault="00AE32DE" w:rsidP="00E84B36">
            <w:pPr>
              <w:pStyle w:val="Tabulka"/>
              <w:keepNext/>
              <w:keepLines/>
              <w:rPr>
                <w:rFonts w:cs="Calibri"/>
                <w:b/>
              </w:rPr>
            </w:pPr>
            <w:r w:rsidRPr="00DD47DF">
              <w:rPr>
                <w:rFonts w:cs="Calibri"/>
                <w:b/>
              </w:rPr>
              <w:t>Kategorie regionů</w:t>
            </w:r>
          </w:p>
        </w:tc>
        <w:tc>
          <w:tcPr>
            <w:tcW w:w="1348" w:type="dxa"/>
            <w:shd w:val="clear" w:color="auto" w:fill="B8CCE4"/>
            <w:vAlign w:val="center"/>
          </w:tcPr>
          <w:p w14:paraId="4C748F97" w14:textId="77777777" w:rsidR="00AE32DE" w:rsidRPr="00DD47DF" w:rsidRDefault="00AE32DE" w:rsidP="00E84B36">
            <w:pPr>
              <w:pStyle w:val="Tabulka"/>
              <w:keepNext/>
              <w:keepLines/>
              <w:rPr>
                <w:rFonts w:cs="Calibri"/>
                <w:b/>
              </w:rPr>
            </w:pPr>
            <w:r w:rsidRPr="00DD47DF">
              <w:rPr>
                <w:rFonts w:cs="Calibri"/>
                <w:b/>
              </w:rPr>
              <w:t>Milník pro rok 2018</w:t>
            </w:r>
          </w:p>
        </w:tc>
        <w:tc>
          <w:tcPr>
            <w:tcW w:w="1418" w:type="dxa"/>
            <w:shd w:val="clear" w:color="auto" w:fill="B8CCE4"/>
            <w:tcMar>
              <w:top w:w="0" w:type="dxa"/>
              <w:left w:w="108" w:type="dxa"/>
              <w:bottom w:w="0" w:type="dxa"/>
              <w:right w:w="108" w:type="dxa"/>
            </w:tcMar>
            <w:vAlign w:val="center"/>
          </w:tcPr>
          <w:p w14:paraId="2EB58320" w14:textId="77777777" w:rsidR="00AE32DE" w:rsidRPr="00DD47DF" w:rsidRDefault="00AE32DE" w:rsidP="00E84B36">
            <w:pPr>
              <w:pStyle w:val="Tabulka"/>
              <w:keepNext/>
              <w:keepLines/>
              <w:rPr>
                <w:rFonts w:cs="Calibri"/>
                <w:b/>
              </w:rPr>
            </w:pPr>
            <w:r w:rsidRPr="00DD47DF">
              <w:rPr>
                <w:rFonts w:cs="Calibri"/>
                <w:b/>
              </w:rPr>
              <w:t>Konečný cíl (2023)</w:t>
            </w:r>
          </w:p>
        </w:tc>
        <w:tc>
          <w:tcPr>
            <w:tcW w:w="708" w:type="dxa"/>
            <w:shd w:val="clear" w:color="auto" w:fill="B8CCE4"/>
            <w:vAlign w:val="center"/>
          </w:tcPr>
          <w:p w14:paraId="0474325A" w14:textId="77777777" w:rsidR="00AE32DE" w:rsidRPr="00DD47DF" w:rsidRDefault="00AE32DE" w:rsidP="00E84B36">
            <w:pPr>
              <w:pStyle w:val="Tabulka"/>
              <w:keepNext/>
              <w:keepLines/>
              <w:rPr>
                <w:rFonts w:cs="Calibri"/>
                <w:b/>
              </w:rPr>
            </w:pPr>
            <w:r w:rsidRPr="00DD47DF">
              <w:rPr>
                <w:rFonts w:cs="Calibri"/>
                <w:b/>
              </w:rPr>
              <w:t>Zdroj dat</w:t>
            </w:r>
          </w:p>
        </w:tc>
        <w:tc>
          <w:tcPr>
            <w:tcW w:w="2861" w:type="dxa"/>
            <w:shd w:val="clear" w:color="auto" w:fill="B8CCE4"/>
            <w:vAlign w:val="center"/>
          </w:tcPr>
          <w:p w14:paraId="78BC645C" w14:textId="77777777" w:rsidR="00AE32DE" w:rsidRPr="00DD47DF" w:rsidRDefault="00AE32DE" w:rsidP="00E84B36">
            <w:pPr>
              <w:pStyle w:val="Tabulka"/>
              <w:keepNext/>
              <w:keepLines/>
              <w:rPr>
                <w:rFonts w:cs="Calibri"/>
                <w:b/>
              </w:rPr>
            </w:pPr>
            <w:r w:rsidRPr="00DD47DF">
              <w:rPr>
                <w:rFonts w:cs="Calibri"/>
                <w:b/>
              </w:rPr>
              <w:t>Popřípadě vysvětlení relevantnosti ukazatele</w:t>
            </w:r>
          </w:p>
        </w:tc>
      </w:tr>
      <w:tr w:rsidR="00E84B36" w:rsidRPr="00DD47DF" w14:paraId="25D74280" w14:textId="77777777">
        <w:trPr>
          <w:trHeight w:val="938"/>
        </w:trPr>
        <w:tc>
          <w:tcPr>
            <w:tcW w:w="0" w:type="auto"/>
            <w:vAlign w:val="center"/>
          </w:tcPr>
          <w:p w14:paraId="688616B3" w14:textId="77777777" w:rsidR="00AE32DE" w:rsidRPr="00DD47DF" w:rsidRDefault="00AE32DE" w:rsidP="00E84B36">
            <w:pPr>
              <w:pStyle w:val="Tabulka"/>
              <w:rPr>
                <w:rFonts w:cs="Calibri"/>
              </w:rPr>
            </w:pPr>
            <w:r w:rsidRPr="00DD47DF">
              <w:rPr>
                <w:rFonts w:cs="Calibri"/>
              </w:rPr>
              <w:t>PO 4</w:t>
            </w:r>
          </w:p>
        </w:tc>
        <w:tc>
          <w:tcPr>
            <w:tcW w:w="1684" w:type="dxa"/>
            <w:vAlign w:val="center"/>
          </w:tcPr>
          <w:p w14:paraId="7B21B9D9" w14:textId="77777777" w:rsidR="00AE32DE" w:rsidRPr="00DD47DF" w:rsidRDefault="00AE32DE" w:rsidP="00E84B36">
            <w:pPr>
              <w:pStyle w:val="Tabulka"/>
              <w:rPr>
                <w:rFonts w:cs="Calibri"/>
              </w:rPr>
            </w:pPr>
            <w:r w:rsidRPr="00DD47DF">
              <w:rPr>
                <w:rFonts w:cs="Calibri"/>
              </w:rPr>
              <w:t>finanční</w:t>
            </w:r>
          </w:p>
        </w:tc>
        <w:tc>
          <w:tcPr>
            <w:tcW w:w="554" w:type="dxa"/>
            <w:vAlign w:val="center"/>
          </w:tcPr>
          <w:p w14:paraId="57E3BE74" w14:textId="77777777" w:rsidR="00AE32DE" w:rsidRPr="00DD47DF" w:rsidRDefault="00A6082B" w:rsidP="00E84B36">
            <w:pPr>
              <w:pStyle w:val="Tabulka"/>
              <w:rPr>
                <w:rFonts w:cs="Calibri"/>
              </w:rPr>
            </w:pPr>
            <w:r w:rsidRPr="00DD47DF">
              <w:rPr>
                <w:rFonts w:cs="Calibri"/>
              </w:rPr>
              <w:t>FINMT</w:t>
            </w:r>
          </w:p>
        </w:tc>
        <w:tc>
          <w:tcPr>
            <w:tcW w:w="1429" w:type="dxa"/>
            <w:shd w:val="clear" w:color="auto" w:fill="auto"/>
            <w:tcMar>
              <w:top w:w="0" w:type="dxa"/>
              <w:left w:w="108" w:type="dxa"/>
              <w:bottom w:w="0" w:type="dxa"/>
              <w:right w:w="108" w:type="dxa"/>
            </w:tcMar>
            <w:vAlign w:val="center"/>
          </w:tcPr>
          <w:p w14:paraId="570E5576" w14:textId="77777777" w:rsidR="00AE32DE" w:rsidRPr="00DD47DF" w:rsidRDefault="003D1BB3" w:rsidP="00E84B36">
            <w:pPr>
              <w:pStyle w:val="Tabulka"/>
              <w:rPr>
                <w:rFonts w:cs="Calibri"/>
              </w:rPr>
            </w:pPr>
            <w:r w:rsidRPr="00DD47DF">
              <w:rPr>
                <w:rFonts w:cs="Calibri"/>
              </w:rPr>
              <w:t>Celkové způsobilé certifikované finanční prostředky</w:t>
            </w:r>
          </w:p>
        </w:tc>
        <w:tc>
          <w:tcPr>
            <w:tcW w:w="1418" w:type="dxa"/>
            <w:shd w:val="clear" w:color="auto" w:fill="auto"/>
            <w:tcMar>
              <w:top w:w="0" w:type="dxa"/>
              <w:left w:w="108" w:type="dxa"/>
              <w:bottom w:w="0" w:type="dxa"/>
              <w:right w:w="108" w:type="dxa"/>
            </w:tcMar>
            <w:vAlign w:val="center"/>
          </w:tcPr>
          <w:p w14:paraId="5BF16A3B" w14:textId="77777777" w:rsidR="00AE32DE" w:rsidRPr="00DD47DF" w:rsidRDefault="00AE32DE" w:rsidP="00E84B36">
            <w:pPr>
              <w:pStyle w:val="Tabulka"/>
              <w:rPr>
                <w:rFonts w:cs="Calibri"/>
              </w:rPr>
            </w:pPr>
            <w:r w:rsidRPr="00DD47DF">
              <w:rPr>
                <w:rFonts w:cs="Calibri"/>
              </w:rPr>
              <w:t>EUR</w:t>
            </w:r>
          </w:p>
        </w:tc>
        <w:tc>
          <w:tcPr>
            <w:tcW w:w="767" w:type="dxa"/>
            <w:shd w:val="clear" w:color="auto" w:fill="auto"/>
            <w:tcMar>
              <w:top w:w="0" w:type="dxa"/>
              <w:left w:w="108" w:type="dxa"/>
              <w:bottom w:w="0" w:type="dxa"/>
              <w:right w:w="108" w:type="dxa"/>
            </w:tcMar>
            <w:vAlign w:val="center"/>
          </w:tcPr>
          <w:p w14:paraId="57853585" w14:textId="77777777" w:rsidR="00AE32DE" w:rsidRPr="00DD47DF" w:rsidRDefault="00AE32DE" w:rsidP="00E84B36">
            <w:pPr>
              <w:pStyle w:val="Tabulka"/>
              <w:rPr>
                <w:rFonts w:cs="Calibri"/>
              </w:rPr>
            </w:pPr>
            <w:r w:rsidRPr="00DD47DF">
              <w:rPr>
                <w:rFonts w:cs="Calibri"/>
              </w:rPr>
              <w:t>EFRR</w:t>
            </w:r>
          </w:p>
        </w:tc>
        <w:tc>
          <w:tcPr>
            <w:tcW w:w="1145" w:type="dxa"/>
            <w:shd w:val="clear" w:color="auto" w:fill="auto"/>
            <w:tcMar>
              <w:top w:w="0" w:type="dxa"/>
              <w:left w:w="108" w:type="dxa"/>
              <w:bottom w:w="0" w:type="dxa"/>
              <w:right w:w="108" w:type="dxa"/>
            </w:tcMar>
            <w:vAlign w:val="center"/>
          </w:tcPr>
          <w:p w14:paraId="2C631239" w14:textId="77777777" w:rsidR="00AE32DE" w:rsidRPr="00DD47DF" w:rsidRDefault="00AE32DE" w:rsidP="00E84B36">
            <w:pPr>
              <w:pStyle w:val="Tabulka"/>
              <w:rPr>
                <w:rFonts w:cs="Calibri"/>
              </w:rPr>
            </w:pPr>
            <w:r w:rsidRPr="00DD47DF">
              <w:rPr>
                <w:rFonts w:cs="Calibri"/>
              </w:rPr>
              <w:t>Méně rozvinuté regiony</w:t>
            </w:r>
          </w:p>
        </w:tc>
        <w:tc>
          <w:tcPr>
            <w:tcW w:w="1348" w:type="dxa"/>
            <w:vAlign w:val="center"/>
          </w:tcPr>
          <w:p w14:paraId="6FBEE58D" w14:textId="77777777" w:rsidR="00AE32DE" w:rsidRPr="00DD47DF" w:rsidRDefault="00761352" w:rsidP="00E84B36">
            <w:pPr>
              <w:pStyle w:val="Tabulka"/>
              <w:rPr>
                <w:rFonts w:cs="Calibri"/>
              </w:rPr>
            </w:pPr>
            <w:r w:rsidRPr="00DD47DF">
              <w:rPr>
                <w:rFonts w:cs="Calibri"/>
              </w:rPr>
              <w:t>3</w:t>
            </w:r>
            <w:r w:rsidR="00CC653D" w:rsidRPr="00DD47DF">
              <w:rPr>
                <w:rFonts w:cs="Calibri"/>
              </w:rPr>
              <w:t>1</w:t>
            </w:r>
            <w:r w:rsidRPr="00DD47DF">
              <w:rPr>
                <w:rFonts w:cs="Calibri"/>
              </w:rPr>
              <w:t>0</w:t>
            </w:r>
            <w:r w:rsidR="007D7CAF" w:rsidRPr="00DD47DF">
              <w:rPr>
                <w:rFonts w:cs="Calibri"/>
              </w:rPr>
              <w:t> 000 000</w:t>
            </w:r>
          </w:p>
        </w:tc>
        <w:tc>
          <w:tcPr>
            <w:tcW w:w="1418" w:type="dxa"/>
            <w:shd w:val="clear" w:color="auto" w:fill="auto"/>
            <w:tcMar>
              <w:top w:w="0" w:type="dxa"/>
              <w:left w:w="108" w:type="dxa"/>
              <w:bottom w:w="0" w:type="dxa"/>
              <w:right w:w="108" w:type="dxa"/>
            </w:tcMar>
            <w:vAlign w:val="center"/>
          </w:tcPr>
          <w:p w14:paraId="0979520E" w14:textId="414FFE26" w:rsidR="00AE32DE" w:rsidRPr="00DD47DF" w:rsidRDefault="00CF0E52" w:rsidP="00E84B36">
            <w:pPr>
              <w:pStyle w:val="Tabulka"/>
              <w:rPr>
                <w:rFonts w:cs="Calibri"/>
              </w:rPr>
            </w:pPr>
            <w:r w:rsidRPr="00844361">
              <w:rPr>
                <w:rFonts w:cs="Calibri"/>
              </w:rPr>
              <w:t>532 904 681</w:t>
            </w:r>
          </w:p>
        </w:tc>
        <w:tc>
          <w:tcPr>
            <w:tcW w:w="708" w:type="dxa"/>
            <w:vAlign w:val="center"/>
          </w:tcPr>
          <w:p w14:paraId="0E4D9212" w14:textId="77777777" w:rsidR="00AE32DE" w:rsidRPr="00DD47DF" w:rsidRDefault="00EC50F2" w:rsidP="00E84B36">
            <w:pPr>
              <w:pStyle w:val="Tabulka"/>
              <w:rPr>
                <w:rFonts w:cs="Calibri"/>
              </w:rPr>
            </w:pPr>
            <w:r w:rsidRPr="00DD47DF">
              <w:rPr>
                <w:rFonts w:cs="Calibri"/>
              </w:rPr>
              <w:t>ŘO</w:t>
            </w:r>
          </w:p>
        </w:tc>
        <w:tc>
          <w:tcPr>
            <w:tcW w:w="2861" w:type="dxa"/>
            <w:vAlign w:val="center"/>
          </w:tcPr>
          <w:p w14:paraId="50E96BBE" w14:textId="77777777" w:rsidR="00AE32DE" w:rsidRPr="00DD47DF" w:rsidRDefault="00336829" w:rsidP="00E84B36">
            <w:pPr>
              <w:pStyle w:val="Tabulka"/>
              <w:rPr>
                <w:rFonts w:cs="Calibri"/>
              </w:rPr>
            </w:pPr>
            <w:r w:rsidRPr="00DD47DF">
              <w:rPr>
                <w:rFonts w:cs="Calibri"/>
              </w:rPr>
              <w:t>Objem celkových způsobilých výdajů zaslaných do účetního systému certifikačního orgánu a certifikovaných</w:t>
            </w:r>
            <w:r w:rsidR="00C70BA9" w:rsidRPr="00DD47DF">
              <w:rPr>
                <w:rFonts w:cs="Calibri"/>
              </w:rPr>
              <w:t xml:space="preserve"> certifikačním orgánem</w:t>
            </w:r>
            <w:r w:rsidRPr="00DD47DF">
              <w:rPr>
                <w:rFonts w:cs="Calibri"/>
              </w:rPr>
              <w:t>.</w:t>
            </w:r>
          </w:p>
        </w:tc>
      </w:tr>
      <w:tr w:rsidR="00E84B36" w:rsidRPr="00DD47DF" w14:paraId="70EF964E" w14:textId="77777777">
        <w:tc>
          <w:tcPr>
            <w:tcW w:w="0" w:type="auto"/>
            <w:vAlign w:val="center"/>
          </w:tcPr>
          <w:p w14:paraId="4E1EE03F" w14:textId="77777777" w:rsidR="00AE32DE" w:rsidRPr="00DD47DF" w:rsidRDefault="00AE32DE" w:rsidP="00E84B36">
            <w:pPr>
              <w:pStyle w:val="Tabulka"/>
              <w:rPr>
                <w:rFonts w:cs="Calibri"/>
              </w:rPr>
            </w:pPr>
            <w:r w:rsidRPr="00DD47DF">
              <w:rPr>
                <w:rFonts w:cs="Calibri"/>
              </w:rPr>
              <w:t>PO 4</w:t>
            </w:r>
          </w:p>
        </w:tc>
        <w:tc>
          <w:tcPr>
            <w:tcW w:w="1684" w:type="dxa"/>
            <w:vAlign w:val="center"/>
          </w:tcPr>
          <w:p w14:paraId="118DB020" w14:textId="77777777" w:rsidR="00AE32DE" w:rsidRPr="00DD47DF" w:rsidRDefault="00AE32DE" w:rsidP="00E84B36">
            <w:pPr>
              <w:pStyle w:val="Tabulka"/>
              <w:rPr>
                <w:rFonts w:cs="Calibri"/>
              </w:rPr>
            </w:pPr>
            <w:r w:rsidRPr="00DD47DF">
              <w:rPr>
                <w:rFonts w:cs="Calibri"/>
              </w:rPr>
              <w:t>výstupový</w:t>
            </w:r>
          </w:p>
        </w:tc>
        <w:tc>
          <w:tcPr>
            <w:tcW w:w="554" w:type="dxa"/>
            <w:vAlign w:val="center"/>
          </w:tcPr>
          <w:p w14:paraId="03AA69EF" w14:textId="28007513" w:rsidR="00AE32DE" w:rsidRPr="00DD47DF" w:rsidRDefault="00C75691" w:rsidP="00E84B36">
            <w:pPr>
              <w:pStyle w:val="Tabulka"/>
              <w:rPr>
                <w:rFonts w:cs="Calibri"/>
              </w:rPr>
            </w:pPr>
            <w:r w:rsidRPr="00DD47DF">
              <w:rPr>
                <w:rFonts w:cs="Calibri"/>
              </w:rPr>
              <w:t xml:space="preserve">CO </w:t>
            </w:r>
            <w:r w:rsidR="001F250D" w:rsidRPr="00DD47DF">
              <w:rPr>
                <w:rFonts w:cs="Calibri"/>
              </w:rPr>
              <w:t>0</w:t>
            </w:r>
            <w:r w:rsidR="003E294F" w:rsidRPr="00DD47DF">
              <w:rPr>
                <w:rFonts w:cs="Calibri"/>
              </w:rPr>
              <w:t>1</w:t>
            </w:r>
          </w:p>
        </w:tc>
        <w:tc>
          <w:tcPr>
            <w:tcW w:w="1429" w:type="dxa"/>
            <w:shd w:val="clear" w:color="auto" w:fill="auto"/>
            <w:tcMar>
              <w:top w:w="0" w:type="dxa"/>
              <w:left w:w="108" w:type="dxa"/>
              <w:bottom w:w="0" w:type="dxa"/>
              <w:right w:w="108" w:type="dxa"/>
            </w:tcMar>
            <w:vAlign w:val="center"/>
          </w:tcPr>
          <w:p w14:paraId="3BAEB30B" w14:textId="77777777" w:rsidR="00AE32DE" w:rsidRPr="00DD47DF" w:rsidRDefault="003E294F" w:rsidP="00E84B36">
            <w:pPr>
              <w:pStyle w:val="Tabulka"/>
              <w:rPr>
                <w:rFonts w:cs="Calibri"/>
              </w:rPr>
            </w:pPr>
            <w:r w:rsidRPr="00DD47DF">
              <w:rPr>
                <w:rFonts w:cs="Calibri"/>
              </w:rPr>
              <w:t>Počet podniků pobírajících podporu</w:t>
            </w:r>
          </w:p>
        </w:tc>
        <w:tc>
          <w:tcPr>
            <w:tcW w:w="1418" w:type="dxa"/>
            <w:shd w:val="clear" w:color="auto" w:fill="auto"/>
            <w:tcMar>
              <w:top w:w="0" w:type="dxa"/>
              <w:left w:w="108" w:type="dxa"/>
              <w:bottom w:w="0" w:type="dxa"/>
              <w:right w:w="108" w:type="dxa"/>
            </w:tcMar>
            <w:vAlign w:val="center"/>
          </w:tcPr>
          <w:p w14:paraId="38176FD5" w14:textId="77777777" w:rsidR="00AE32DE" w:rsidRPr="00DD47DF" w:rsidRDefault="00AE32DE" w:rsidP="00E84B36">
            <w:pPr>
              <w:pStyle w:val="Tabulka"/>
              <w:rPr>
                <w:rFonts w:cs="Calibri"/>
              </w:rPr>
            </w:pPr>
            <w:r w:rsidRPr="00DD47DF">
              <w:rPr>
                <w:rFonts w:cs="Calibri"/>
              </w:rPr>
              <w:t>Počet podpořených firem dle IČO</w:t>
            </w:r>
          </w:p>
        </w:tc>
        <w:tc>
          <w:tcPr>
            <w:tcW w:w="767" w:type="dxa"/>
            <w:shd w:val="clear" w:color="auto" w:fill="auto"/>
            <w:tcMar>
              <w:top w:w="0" w:type="dxa"/>
              <w:left w:w="108" w:type="dxa"/>
              <w:bottom w:w="0" w:type="dxa"/>
              <w:right w:w="108" w:type="dxa"/>
            </w:tcMar>
            <w:vAlign w:val="center"/>
          </w:tcPr>
          <w:p w14:paraId="762A191D" w14:textId="77777777" w:rsidR="00AE32DE" w:rsidRPr="00DD47DF" w:rsidRDefault="00AE32DE" w:rsidP="00E84B36">
            <w:pPr>
              <w:pStyle w:val="Tabulka"/>
              <w:rPr>
                <w:rFonts w:cs="Calibri"/>
              </w:rPr>
            </w:pPr>
            <w:r w:rsidRPr="00DD47DF">
              <w:rPr>
                <w:rFonts w:cs="Calibri"/>
              </w:rPr>
              <w:t>EFRR</w:t>
            </w:r>
          </w:p>
        </w:tc>
        <w:tc>
          <w:tcPr>
            <w:tcW w:w="1145" w:type="dxa"/>
            <w:shd w:val="clear" w:color="auto" w:fill="auto"/>
            <w:tcMar>
              <w:top w:w="0" w:type="dxa"/>
              <w:left w:w="108" w:type="dxa"/>
              <w:bottom w:w="0" w:type="dxa"/>
              <w:right w:w="108" w:type="dxa"/>
            </w:tcMar>
            <w:vAlign w:val="center"/>
          </w:tcPr>
          <w:p w14:paraId="48126C77" w14:textId="77777777" w:rsidR="00AE32DE" w:rsidRPr="00DD47DF" w:rsidRDefault="00AE32DE" w:rsidP="00E84B36">
            <w:pPr>
              <w:pStyle w:val="Tabulka"/>
              <w:rPr>
                <w:rFonts w:cs="Calibri"/>
              </w:rPr>
            </w:pPr>
            <w:r w:rsidRPr="00DD47DF">
              <w:rPr>
                <w:rFonts w:cs="Calibri"/>
              </w:rPr>
              <w:t>Méně rozvinuté regiony</w:t>
            </w:r>
          </w:p>
        </w:tc>
        <w:tc>
          <w:tcPr>
            <w:tcW w:w="1348" w:type="dxa"/>
            <w:vAlign w:val="center"/>
          </w:tcPr>
          <w:p w14:paraId="05D7DFAF" w14:textId="77777777" w:rsidR="00AE32DE" w:rsidRPr="00DD47DF" w:rsidRDefault="00E26530" w:rsidP="00E84B36">
            <w:pPr>
              <w:pStyle w:val="Tabulka"/>
              <w:rPr>
                <w:rFonts w:cs="Calibri"/>
              </w:rPr>
            </w:pPr>
            <w:r w:rsidRPr="00DD47DF">
              <w:rPr>
                <w:rFonts w:cs="Calibri"/>
              </w:rPr>
              <w:t>20</w:t>
            </w:r>
            <w:r w:rsidR="002124D7" w:rsidRPr="00DD47DF">
              <w:rPr>
                <w:rFonts w:cs="Calibri"/>
              </w:rPr>
              <w:t>0</w:t>
            </w:r>
          </w:p>
        </w:tc>
        <w:tc>
          <w:tcPr>
            <w:tcW w:w="1418" w:type="dxa"/>
            <w:shd w:val="clear" w:color="auto" w:fill="auto"/>
            <w:tcMar>
              <w:top w:w="0" w:type="dxa"/>
              <w:left w:w="108" w:type="dxa"/>
              <w:bottom w:w="0" w:type="dxa"/>
              <w:right w:w="108" w:type="dxa"/>
            </w:tcMar>
            <w:vAlign w:val="center"/>
          </w:tcPr>
          <w:p w14:paraId="45ACF6DE" w14:textId="34D5D7F0" w:rsidR="00AE32DE" w:rsidRPr="00DD47DF" w:rsidRDefault="00B050B4" w:rsidP="00C4609B">
            <w:pPr>
              <w:pStyle w:val="Tabulka"/>
              <w:rPr>
                <w:rFonts w:cs="Calibri"/>
              </w:rPr>
            </w:pPr>
            <w:r>
              <w:rPr>
                <w:rFonts w:cs="Calibri"/>
              </w:rPr>
              <w:t>462</w:t>
            </w:r>
          </w:p>
        </w:tc>
        <w:tc>
          <w:tcPr>
            <w:tcW w:w="708" w:type="dxa"/>
            <w:vAlign w:val="center"/>
          </w:tcPr>
          <w:p w14:paraId="178788A1" w14:textId="77777777" w:rsidR="00AE32DE" w:rsidRPr="00DD47DF" w:rsidRDefault="00FC7054" w:rsidP="00E84B36">
            <w:pPr>
              <w:pStyle w:val="Tabulka"/>
              <w:rPr>
                <w:rFonts w:cs="Calibri"/>
              </w:rPr>
            </w:pPr>
            <w:r>
              <w:rPr>
                <w:rFonts w:cs="Calibri"/>
              </w:rPr>
              <w:t>MS2014+</w:t>
            </w:r>
          </w:p>
        </w:tc>
        <w:tc>
          <w:tcPr>
            <w:tcW w:w="2861" w:type="dxa"/>
            <w:vAlign w:val="center"/>
          </w:tcPr>
          <w:p w14:paraId="45914422" w14:textId="4587F9AB" w:rsidR="00AE32DE" w:rsidRPr="00DD47DF" w:rsidRDefault="006C401B" w:rsidP="00DE2376">
            <w:pPr>
              <w:pStyle w:val="Tabulka"/>
              <w:rPr>
                <w:rFonts w:cs="Calibri"/>
              </w:rPr>
            </w:pPr>
            <w:r w:rsidRPr="00DD47DF">
              <w:rPr>
                <w:rFonts w:cs="Calibri"/>
              </w:rPr>
              <w:t>Indikátor sleduje počet</w:t>
            </w:r>
            <w:r w:rsidR="00DE2376" w:rsidRPr="00DD47DF">
              <w:rPr>
                <w:rFonts w:cs="Calibri"/>
              </w:rPr>
              <w:t xml:space="preserve"> </w:t>
            </w:r>
            <w:r w:rsidRPr="00DD47DF">
              <w:rPr>
                <w:rFonts w:cs="Calibri"/>
              </w:rPr>
              <w:t>podpořených firem a pokrývá finančně</w:t>
            </w:r>
            <w:r w:rsidR="00DE2376" w:rsidRPr="00DD47DF">
              <w:rPr>
                <w:rFonts w:cs="Calibri"/>
              </w:rPr>
              <w:t xml:space="preserve"> </w:t>
            </w:r>
            <w:r w:rsidRPr="00DD47DF">
              <w:rPr>
                <w:rFonts w:cs="Calibri"/>
              </w:rPr>
              <w:t>nejobjemnější část intervence</w:t>
            </w:r>
            <w:r w:rsidR="00DE2376" w:rsidRPr="00DD47DF">
              <w:rPr>
                <w:rFonts w:cs="Calibri"/>
              </w:rPr>
              <w:t xml:space="preserve"> </w:t>
            </w:r>
            <w:r w:rsidRPr="00DD47DF">
              <w:rPr>
                <w:rFonts w:cs="Calibri"/>
              </w:rPr>
              <w:t xml:space="preserve">v rámci prioritní osy 4. </w:t>
            </w:r>
            <w:r w:rsidR="00FE762D" w:rsidRPr="00FE762D">
              <w:rPr>
                <w:rFonts w:cs="Calibri"/>
              </w:rPr>
              <w:t>Vykazování skutečně dosažených hodnot se provádí v souladu s prováděcím nařízením (EU) č. 215/2014, v platném znění.</w:t>
            </w:r>
          </w:p>
        </w:tc>
      </w:tr>
    </w:tbl>
    <w:p w14:paraId="326612E4" w14:textId="77777777" w:rsidR="00DF1013" w:rsidRPr="00DD47DF" w:rsidRDefault="00DF1013" w:rsidP="00DF1013">
      <w:pPr>
        <w:pStyle w:val="Titulek"/>
      </w:pPr>
      <w:r w:rsidRPr="00DD47DF">
        <w:t>Další kvalitativní informace o stanovení výkonnostního rámce</w:t>
      </w:r>
    </w:p>
    <w:p w14:paraId="10EF85AE" w14:textId="77777777" w:rsidR="00DF1013" w:rsidRPr="00DD47DF" w:rsidRDefault="00DF1013" w:rsidP="00DF1013">
      <w:pPr>
        <w:pStyle w:val="Standardntext"/>
      </w:pPr>
      <w:r w:rsidRPr="00DD47DF">
        <w:lastRenderedPageBreak/>
        <w:t>Pro OP PIK byly stanoveny hodnoty milníků pro rok 2018 a 2023 (finanční ukazatele a „certifikované finanční prostředky“, ukazatele výstupů).</w:t>
      </w:r>
    </w:p>
    <w:p w14:paraId="4FE81750" w14:textId="77777777" w:rsidR="00DF1013" w:rsidRPr="00DD47DF" w:rsidRDefault="00DF1013" w:rsidP="00DF1013">
      <w:pPr>
        <w:pStyle w:val="Standardntext"/>
      </w:pPr>
      <w:r w:rsidRPr="00DD47DF">
        <w:t xml:space="preserve">Při kvantifikaci milníků </w:t>
      </w:r>
      <w:r w:rsidRPr="00DD47DF">
        <w:rPr>
          <w:b/>
          <w:bCs/>
        </w:rPr>
        <w:t>pro rok 2018</w:t>
      </w:r>
      <w:r w:rsidRPr="00DD47DF">
        <w:t xml:space="preserve"> byly zohledněny dále uvedené klíčové předpoklady:</w:t>
      </w:r>
    </w:p>
    <w:p w14:paraId="15D32D42" w14:textId="77777777" w:rsidR="00DF1013" w:rsidRPr="00DD47DF" w:rsidRDefault="00DF1013" w:rsidP="00DA3512">
      <w:pPr>
        <w:pStyle w:val="Standardntext"/>
        <w:numPr>
          <w:ilvl w:val="0"/>
          <w:numId w:val="89"/>
        </w:numPr>
        <w:rPr>
          <w:strike/>
        </w:rPr>
      </w:pPr>
      <w:r w:rsidRPr="00DD47DF">
        <w:t>Zohledněn je aktuální finanční plán OP PIK;</w:t>
      </w:r>
    </w:p>
    <w:p w14:paraId="617C049B" w14:textId="77777777" w:rsidR="00DF1013" w:rsidRPr="00DD47DF" w:rsidRDefault="00DF1013" w:rsidP="00DA3512">
      <w:pPr>
        <w:pStyle w:val="Standardntext"/>
        <w:numPr>
          <w:ilvl w:val="0"/>
          <w:numId w:val="89"/>
        </w:numPr>
      </w:pPr>
      <w:r w:rsidRPr="00DD47DF">
        <w:t>Při stanovení milníku bylo v maximální možné míře vycházeno ze zkušeností s OPPI;</w:t>
      </w:r>
    </w:p>
    <w:p w14:paraId="6DC9A105" w14:textId="77777777" w:rsidR="00DF1013" w:rsidRPr="00DD47DF" w:rsidRDefault="00A271B0" w:rsidP="00DA3512">
      <w:pPr>
        <w:pStyle w:val="Standardntext"/>
        <w:numPr>
          <w:ilvl w:val="0"/>
          <w:numId w:val="89"/>
        </w:numPr>
      </w:pPr>
      <w:r w:rsidRPr="00DD47DF">
        <w:t>První výzvy budou vyhlášeny pravděpodobně nejdříve až ve 2.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až ve 3. čtvrtletí 2015</w:t>
      </w:r>
      <w:r w:rsidR="00DF1013" w:rsidRPr="00DD47DF">
        <w:t>;</w:t>
      </w:r>
    </w:p>
    <w:p w14:paraId="6B33408A" w14:textId="77777777" w:rsidR="00DF1013" w:rsidRPr="00DD47DF" w:rsidRDefault="00A271B0" w:rsidP="00DA3512">
      <w:pPr>
        <w:pStyle w:val="Standardntext"/>
        <w:numPr>
          <w:ilvl w:val="0"/>
          <w:numId w:val="89"/>
        </w:numPr>
      </w:pPr>
      <w:r w:rsidRPr="00DD47DF">
        <w:t>Při možném předpokladu, že projekty budou dvouleté, to znamená, že první z nich ukončí realizaci nejdříve koncem roku 2017 a finanční prostředky tak budou předkládány k certifikaci až v průběhu roku 2018 (u delších projektů však až počátkem roku 2019)</w:t>
      </w:r>
      <w:r w:rsidR="00DF1013" w:rsidRPr="00DD47DF">
        <w:t xml:space="preserve">; </w:t>
      </w:r>
    </w:p>
    <w:p w14:paraId="283FD490" w14:textId="77777777" w:rsidR="00DF1013" w:rsidRPr="00DD47DF" w:rsidRDefault="00DF1013" w:rsidP="00DA3512">
      <w:pPr>
        <w:pStyle w:val="Standardntext"/>
        <w:numPr>
          <w:ilvl w:val="0"/>
          <w:numId w:val="89"/>
        </w:numPr>
      </w:pPr>
      <w:r w:rsidRPr="00DD47DF">
        <w:t>Ukazatelé výstupů stanovené ve výkonnostním rámci odpovídají více než 50 % finančního přídělu na prioritu (v souladu se čl. 5 Prováděcího nařízení komise (EU) č. 215/2014);</w:t>
      </w:r>
    </w:p>
    <w:p w14:paraId="33CA577A" w14:textId="77777777" w:rsidR="00DF1013" w:rsidRPr="00DD47DF" w:rsidRDefault="00A271B0" w:rsidP="00DA3512">
      <w:pPr>
        <w:pStyle w:val="Standardntext"/>
        <w:numPr>
          <w:ilvl w:val="0"/>
          <w:numId w:val="89"/>
        </w:numPr>
      </w:pPr>
      <w:r w:rsidRPr="00DD47DF">
        <w:t>Není započítána výkonnostní rezerva stanovená ŘO OP PIK na roky 2014 a 2015</w:t>
      </w:r>
      <w:r w:rsidR="00DF1013" w:rsidRPr="00DD47DF">
        <w:t>;</w:t>
      </w:r>
    </w:p>
    <w:p w14:paraId="748AC1E0" w14:textId="77777777" w:rsidR="00DF1013" w:rsidRPr="00DD47DF" w:rsidRDefault="00DF1013" w:rsidP="00DA3512">
      <w:pPr>
        <w:pStyle w:val="Standardntext"/>
        <w:numPr>
          <w:ilvl w:val="0"/>
          <w:numId w:val="89"/>
        </w:numPr>
      </w:pPr>
      <w:r w:rsidRPr="00DD47DF">
        <w:t>Pravidlo n+3, na základě kterého je nutné vzít v úvahu, že na konci roku 2018 by měla být vyčerpána alokace let 2014, 2015;</w:t>
      </w:r>
    </w:p>
    <w:p w14:paraId="0A3CB76C" w14:textId="77777777" w:rsidR="00DF1013" w:rsidRPr="00DD47DF" w:rsidRDefault="00DF1013" w:rsidP="00DA3512">
      <w:pPr>
        <w:pStyle w:val="Standardntext"/>
        <w:numPr>
          <w:ilvl w:val="0"/>
          <w:numId w:val="90"/>
        </w:numPr>
        <w:rPr>
          <w:strike/>
        </w:rPr>
      </w:pPr>
      <w:r w:rsidRPr="00DD47DF">
        <w:t>Nové typy aktivit (SC 4.1)</w:t>
      </w:r>
      <w:r w:rsidR="00A271B0" w:rsidRPr="00DD47DF">
        <w:t>;</w:t>
      </w:r>
    </w:p>
    <w:p w14:paraId="56556640" w14:textId="77777777" w:rsidR="00A271B0" w:rsidRPr="00DD47DF" w:rsidRDefault="00DF1013" w:rsidP="00DA3512">
      <w:pPr>
        <w:pStyle w:val="Standardntext"/>
        <w:numPr>
          <w:ilvl w:val="0"/>
          <w:numId w:val="90"/>
        </w:numPr>
      </w:pPr>
      <w:r w:rsidRPr="00DD47DF">
        <w:t>Administrativně a rozsahem náročné projekty v SC 4.1, časově náročná bude již samotná příprava projektů, lze tak předpokládat pomalejší rozjezd aktivit</w:t>
      </w:r>
      <w:r w:rsidR="00A271B0" w:rsidRPr="00DD47DF">
        <w:t>;</w:t>
      </w:r>
    </w:p>
    <w:p w14:paraId="2540920C" w14:textId="77777777" w:rsidR="00DF1013" w:rsidRPr="00DD47DF" w:rsidRDefault="00A271B0" w:rsidP="00DA3512">
      <w:pPr>
        <w:pStyle w:val="Standardntext"/>
        <w:numPr>
          <w:ilvl w:val="0"/>
          <w:numId w:val="90"/>
        </w:numPr>
      </w:pPr>
      <w:r w:rsidRPr="00DD47DF">
        <w:t>Výše alokace na jednotlivé aktivity SC včetně předpokládané výše veřejné podpory;</w:t>
      </w:r>
    </w:p>
    <w:p w14:paraId="392FA64F" w14:textId="77777777" w:rsidR="00A271B0" w:rsidRPr="00DD47DF" w:rsidRDefault="00A271B0" w:rsidP="00DA3512">
      <w:pPr>
        <w:pStyle w:val="Standardntext"/>
        <w:numPr>
          <w:ilvl w:val="0"/>
          <w:numId w:val="90"/>
        </w:numPr>
      </w:pPr>
      <w:r w:rsidRPr="00DD47DF">
        <w:t>Předpokládaná délka projektů v rámci jednotlivých aktivit.</w:t>
      </w:r>
    </w:p>
    <w:p w14:paraId="740BF744" w14:textId="77777777" w:rsidR="00A271B0" w:rsidRPr="00DD47DF" w:rsidRDefault="00A271B0" w:rsidP="00466CFC">
      <w:pPr>
        <w:pStyle w:val="Standardntext"/>
      </w:pPr>
    </w:p>
    <w:p w14:paraId="0A19F25A" w14:textId="77777777" w:rsidR="00A271B0" w:rsidRPr="00DD47DF" w:rsidRDefault="00A271B0" w:rsidP="00DA3512">
      <w:pPr>
        <w:pStyle w:val="Standardntext"/>
        <w:numPr>
          <w:ilvl w:val="0"/>
          <w:numId w:val="90"/>
        </w:numPr>
      </w:pPr>
      <w:r w:rsidRPr="00DD47DF">
        <w:rPr>
          <w:i/>
        </w:rPr>
        <w:t>Milník</w:t>
      </w:r>
      <w:r w:rsidRPr="00DD47DF">
        <w:rPr>
          <w:i/>
          <w:vertAlign w:val="superscript"/>
        </w:rPr>
        <w:t>2018 PO4</w:t>
      </w:r>
      <w:r w:rsidRPr="00DD47DF">
        <w:rPr>
          <w:i/>
        </w:rPr>
        <w:t>= (celkové způsobilé výdaje na PO 4 v roce 2014 + celkové způsobilé výdaje na PO 4 v roce 2015) – (10% finančních prostředků ERDF na PO 4 + podíl výkonnostní rezervy za roky 2014 a 2015 na PO 4)</w:t>
      </w:r>
    </w:p>
    <w:p w14:paraId="207329E9" w14:textId="77777777" w:rsidR="00DF1013" w:rsidRPr="00DD47DF" w:rsidRDefault="00DF1013" w:rsidP="00DF1013">
      <w:pPr>
        <w:pStyle w:val="Standardntext"/>
      </w:pPr>
      <w:r w:rsidRPr="00DD47DF">
        <w:t xml:space="preserve">Při kvantifikaci milníků </w:t>
      </w:r>
      <w:r w:rsidRPr="00DD47DF">
        <w:rPr>
          <w:b/>
          <w:bCs/>
        </w:rPr>
        <w:t>pro rok 2023</w:t>
      </w:r>
      <w:r w:rsidRPr="00DD47DF">
        <w:t xml:space="preserve"> byly zohledněny ještě dále uvedené klíčové předpoklady:</w:t>
      </w:r>
    </w:p>
    <w:p w14:paraId="7D1B807F" w14:textId="77777777" w:rsidR="00DF1013" w:rsidRPr="00DD47DF" w:rsidRDefault="00DF1013" w:rsidP="00DA3512">
      <w:pPr>
        <w:pStyle w:val="Standardntext"/>
        <w:numPr>
          <w:ilvl w:val="0"/>
          <w:numId w:val="91"/>
        </w:numPr>
      </w:pPr>
      <w:r w:rsidRPr="00DD47DF">
        <w:lastRenderedPageBreak/>
        <w:t>Klíčovým předpokladem je naplnění stanovených cílů programu v jednotlivých prioritních osách (finanční i věcné plnění);</w:t>
      </w:r>
    </w:p>
    <w:p w14:paraId="231D7276" w14:textId="77777777" w:rsidR="00DF1013" w:rsidRPr="00DD47DF" w:rsidRDefault="00DF1013" w:rsidP="00DA3512">
      <w:pPr>
        <w:pStyle w:val="Standardntext"/>
        <w:numPr>
          <w:ilvl w:val="0"/>
          <w:numId w:val="91"/>
        </w:numPr>
      </w:pPr>
      <w:r w:rsidRPr="00DD47DF">
        <w:t xml:space="preserve">Započítána je již i výkonnostní rezerva. </w:t>
      </w:r>
    </w:p>
    <w:p w14:paraId="3BBCE91E" w14:textId="77777777" w:rsidR="00DF1013" w:rsidRPr="00DD47DF" w:rsidRDefault="00DF1013" w:rsidP="002F282B">
      <w:pPr>
        <w:jc w:val="both"/>
      </w:pPr>
      <w:r w:rsidRPr="00DD47DF">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 Téma výkonnostní rezervy a milníků je dále rozpracováno v</w:t>
      </w:r>
      <w:r w:rsidRPr="00DD47DF">
        <w:t xml:space="preserve"> </w:t>
      </w:r>
      <w:r w:rsidR="002F282B" w:rsidRPr="00DD47DF">
        <w:rPr>
          <w:sz w:val="24"/>
          <w:szCs w:val="24"/>
        </w:rPr>
        <w:t>Nepovinné příloze č. 3.</w:t>
      </w:r>
    </w:p>
    <w:p w14:paraId="5947EBFA" w14:textId="77777777" w:rsidR="004126CC" w:rsidRPr="00DD47DF" w:rsidRDefault="004126CC" w:rsidP="00DF1013">
      <w:pPr>
        <w:sectPr w:rsidR="004126CC" w:rsidRPr="00DD47DF" w:rsidSect="004126CC">
          <w:headerReference w:type="default" r:id="rId43"/>
          <w:footerReference w:type="default" r:id="rId44"/>
          <w:pgSz w:w="16838" w:h="11906" w:orient="landscape"/>
          <w:pgMar w:top="1418" w:right="1418" w:bottom="1276" w:left="1276" w:header="709" w:footer="709" w:gutter="0"/>
          <w:cols w:space="708"/>
          <w:docGrid w:linePitch="272"/>
        </w:sectPr>
      </w:pPr>
    </w:p>
    <w:p w14:paraId="3734CBFC" w14:textId="77777777" w:rsidR="002E1C78" w:rsidRPr="00DD47DF" w:rsidRDefault="002E1C78" w:rsidP="00DA3512">
      <w:pPr>
        <w:pStyle w:val="kapitola2A0"/>
        <w:numPr>
          <w:ilvl w:val="2"/>
          <w:numId w:val="69"/>
        </w:numPr>
      </w:pPr>
      <w:bookmarkStart w:id="102" w:name="_Toc129005432"/>
      <w:r w:rsidRPr="00DD47DF">
        <w:lastRenderedPageBreak/>
        <w:t xml:space="preserve">Kategorie </w:t>
      </w:r>
      <w:r w:rsidR="00F2469F" w:rsidRPr="00DD47DF">
        <w:t>zásahů</w:t>
      </w:r>
      <w:bookmarkEnd w:id="102"/>
    </w:p>
    <w:p w14:paraId="7F82472D" w14:textId="73CE70C3" w:rsidR="002E1C78" w:rsidRPr="00DD47DF" w:rsidRDefault="002E1C78" w:rsidP="006F258E">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7</w:t>
      </w:r>
      <w:r w:rsidR="002756E7" w:rsidRPr="00DD47DF">
        <w:rPr>
          <w:noProof/>
        </w:rPr>
        <w:fldChar w:fldCharType="end"/>
      </w:r>
      <w:r w:rsidRPr="00DD47DF">
        <w:t xml:space="preserve"> - </w:t>
      </w:r>
      <w:r w:rsidR="00AE6620">
        <w:t>10</w:t>
      </w:r>
      <w:r w:rsidRPr="00DD47DF">
        <w:t xml:space="preserve">: Kategorie </w:t>
      </w:r>
      <w:r w:rsidR="00F2469F" w:rsidRPr="00DD47DF">
        <w:t>zásahů</w:t>
      </w:r>
      <w:r w:rsidR="00724BEA" w:rsidRPr="00DD47DF">
        <w:rPr>
          <w:rStyle w:val="Znakapoznpodarou"/>
        </w:rPr>
        <w:footnoteReference w:id="7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DD47DF" w14:paraId="50259805" w14:textId="77777777">
        <w:tc>
          <w:tcPr>
            <w:tcW w:w="9326" w:type="dxa"/>
            <w:gridSpan w:val="8"/>
            <w:shd w:val="clear" w:color="auto" w:fill="B8CCE4"/>
            <w:vAlign w:val="center"/>
          </w:tcPr>
          <w:p w14:paraId="43F1983C"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266A1EA0" w14:textId="77777777" w:rsidR="000B2315"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0B2315" w:rsidRPr="00DD47DF" w14:paraId="50D1664F" w14:textId="77777777">
        <w:tc>
          <w:tcPr>
            <w:tcW w:w="2331" w:type="dxa"/>
            <w:gridSpan w:val="2"/>
            <w:shd w:val="clear" w:color="auto" w:fill="B8CCE4"/>
            <w:vAlign w:val="center"/>
          </w:tcPr>
          <w:p w14:paraId="4D45E4FD" w14:textId="77777777" w:rsidR="000B2315" w:rsidRPr="00DD47DF" w:rsidRDefault="000B2315" w:rsidP="00450475">
            <w:pPr>
              <w:pStyle w:val="Tabulka"/>
              <w:keepNext/>
              <w:keepLines/>
              <w:rPr>
                <w:rFonts w:cs="Calibri"/>
              </w:rPr>
            </w:pPr>
            <w:r w:rsidRPr="00DD47DF">
              <w:rPr>
                <w:rFonts w:cs="Calibri"/>
              </w:rPr>
              <w:t>Tabulka č. 7:</w:t>
            </w:r>
          </w:p>
          <w:p w14:paraId="0D6E8A57" w14:textId="77777777" w:rsidR="000B2315" w:rsidRPr="00DD47DF" w:rsidRDefault="000B2315" w:rsidP="00450475">
            <w:pPr>
              <w:pStyle w:val="Tabulka"/>
              <w:keepNext/>
              <w:keepLines/>
              <w:rPr>
                <w:rFonts w:cs="Calibri"/>
              </w:rPr>
            </w:pPr>
            <w:r w:rsidRPr="00DD47DF">
              <w:rPr>
                <w:rFonts w:cs="Calibri"/>
              </w:rPr>
              <w:t>Dimenze 1</w:t>
            </w:r>
          </w:p>
          <w:p w14:paraId="64BDE992" w14:textId="77777777" w:rsidR="000B2315" w:rsidRPr="00DD47DF" w:rsidRDefault="000B2315" w:rsidP="00450475">
            <w:pPr>
              <w:pStyle w:val="Tabulka"/>
              <w:keepNext/>
              <w:keepLines/>
              <w:rPr>
                <w:rFonts w:cs="Calibri"/>
              </w:rPr>
            </w:pPr>
            <w:r w:rsidRPr="00DD47DF">
              <w:rPr>
                <w:rFonts w:cs="Calibri"/>
              </w:rPr>
              <w:t>Oblast zásahu</w:t>
            </w:r>
          </w:p>
        </w:tc>
        <w:tc>
          <w:tcPr>
            <w:tcW w:w="2332" w:type="dxa"/>
            <w:gridSpan w:val="2"/>
            <w:shd w:val="clear" w:color="auto" w:fill="B8CCE4"/>
            <w:vAlign w:val="center"/>
          </w:tcPr>
          <w:p w14:paraId="64B66831" w14:textId="77777777" w:rsidR="000B2315" w:rsidRPr="00DD47DF" w:rsidRDefault="000B2315" w:rsidP="00450475">
            <w:pPr>
              <w:pStyle w:val="Tabulka"/>
              <w:keepNext/>
              <w:keepLines/>
              <w:rPr>
                <w:rFonts w:cs="Calibri"/>
              </w:rPr>
            </w:pPr>
            <w:r w:rsidRPr="00DD47DF">
              <w:rPr>
                <w:rFonts w:cs="Calibri"/>
              </w:rPr>
              <w:t>Tabulka č. 8:</w:t>
            </w:r>
          </w:p>
          <w:p w14:paraId="44C81E0E" w14:textId="77777777" w:rsidR="000B2315" w:rsidRPr="00DD47DF" w:rsidRDefault="000B2315" w:rsidP="00450475">
            <w:pPr>
              <w:pStyle w:val="Tabulka"/>
              <w:keepNext/>
              <w:keepLines/>
              <w:rPr>
                <w:rFonts w:cs="Calibri"/>
              </w:rPr>
            </w:pPr>
            <w:r w:rsidRPr="00DD47DF">
              <w:rPr>
                <w:rFonts w:cs="Calibri"/>
              </w:rPr>
              <w:t>Dimenze 2</w:t>
            </w:r>
          </w:p>
          <w:p w14:paraId="4C35DB66" w14:textId="77777777" w:rsidR="000B2315" w:rsidRPr="00DD47DF" w:rsidRDefault="000B2315" w:rsidP="00450475">
            <w:pPr>
              <w:pStyle w:val="Tabulka"/>
              <w:keepNext/>
              <w:keepLines/>
              <w:rPr>
                <w:rFonts w:cs="Calibri"/>
              </w:rPr>
            </w:pPr>
            <w:r w:rsidRPr="00DD47DF">
              <w:rPr>
                <w:rFonts w:cs="Calibri"/>
              </w:rPr>
              <w:t>Forma financování</w:t>
            </w:r>
          </w:p>
        </w:tc>
        <w:tc>
          <w:tcPr>
            <w:tcW w:w="2331" w:type="dxa"/>
            <w:gridSpan w:val="2"/>
            <w:shd w:val="clear" w:color="auto" w:fill="B8CCE4"/>
            <w:vAlign w:val="center"/>
          </w:tcPr>
          <w:p w14:paraId="492EA980" w14:textId="77777777" w:rsidR="000B2315" w:rsidRPr="00DD47DF" w:rsidRDefault="000B2315" w:rsidP="00450475">
            <w:pPr>
              <w:pStyle w:val="Tabulka"/>
              <w:keepNext/>
              <w:keepLines/>
              <w:rPr>
                <w:rFonts w:cs="Calibri"/>
              </w:rPr>
            </w:pPr>
            <w:r w:rsidRPr="00DD47DF">
              <w:rPr>
                <w:rFonts w:cs="Calibri"/>
              </w:rPr>
              <w:t>Tabulka č. 9:</w:t>
            </w:r>
          </w:p>
          <w:p w14:paraId="1E297E5A" w14:textId="77777777" w:rsidR="000B2315" w:rsidRPr="00DD47DF" w:rsidRDefault="000B2315" w:rsidP="00450475">
            <w:pPr>
              <w:pStyle w:val="Tabulka"/>
              <w:keepNext/>
              <w:keepLines/>
              <w:rPr>
                <w:rFonts w:cs="Calibri"/>
              </w:rPr>
            </w:pPr>
            <w:r w:rsidRPr="00DD47DF">
              <w:rPr>
                <w:rFonts w:cs="Calibri"/>
              </w:rPr>
              <w:t>Dimenze 3</w:t>
            </w:r>
          </w:p>
          <w:p w14:paraId="38E0F6EC" w14:textId="77777777" w:rsidR="000B2315" w:rsidRPr="00DD47DF" w:rsidRDefault="000B2315" w:rsidP="00450475">
            <w:pPr>
              <w:pStyle w:val="Tabulka"/>
              <w:keepNext/>
              <w:keepLines/>
              <w:rPr>
                <w:rFonts w:cs="Calibri"/>
              </w:rPr>
            </w:pPr>
            <w:r w:rsidRPr="00DD47DF">
              <w:rPr>
                <w:rFonts w:cs="Calibri"/>
              </w:rPr>
              <w:t>Typ území</w:t>
            </w:r>
          </w:p>
        </w:tc>
        <w:tc>
          <w:tcPr>
            <w:tcW w:w="2332" w:type="dxa"/>
            <w:gridSpan w:val="2"/>
            <w:shd w:val="clear" w:color="auto" w:fill="B8CCE4"/>
            <w:vAlign w:val="center"/>
          </w:tcPr>
          <w:p w14:paraId="296D865D" w14:textId="77777777" w:rsidR="000B2315" w:rsidRPr="00DD47DF" w:rsidRDefault="000B2315" w:rsidP="00450475">
            <w:pPr>
              <w:pStyle w:val="Tabulka"/>
              <w:keepNext/>
              <w:keepLines/>
              <w:rPr>
                <w:rFonts w:cs="Calibri"/>
              </w:rPr>
            </w:pPr>
            <w:r w:rsidRPr="00DD47DF">
              <w:rPr>
                <w:rFonts w:cs="Calibri"/>
              </w:rPr>
              <w:t>Tabulka č. 10:</w:t>
            </w:r>
          </w:p>
          <w:p w14:paraId="69C87453" w14:textId="77777777" w:rsidR="000B2315" w:rsidRPr="00DD47DF" w:rsidRDefault="000B2315" w:rsidP="00450475">
            <w:pPr>
              <w:pStyle w:val="Tabulka"/>
              <w:keepNext/>
              <w:keepLines/>
              <w:rPr>
                <w:rFonts w:cs="Calibri"/>
              </w:rPr>
            </w:pPr>
            <w:r w:rsidRPr="00DD47DF">
              <w:rPr>
                <w:rFonts w:cs="Calibri"/>
              </w:rPr>
              <w:t>Dimenze 4</w:t>
            </w:r>
          </w:p>
          <w:p w14:paraId="4A238C7D" w14:textId="77777777" w:rsidR="000B2315" w:rsidRPr="00DD47DF" w:rsidRDefault="000B2315" w:rsidP="00450475">
            <w:pPr>
              <w:pStyle w:val="Tabulka"/>
              <w:keepNext/>
              <w:keepLines/>
              <w:rPr>
                <w:rFonts w:cs="Calibri"/>
              </w:rPr>
            </w:pPr>
            <w:r w:rsidRPr="00DD47DF">
              <w:rPr>
                <w:rFonts w:cs="Calibri"/>
              </w:rPr>
              <w:t>Mechanismus územního plnění</w:t>
            </w:r>
          </w:p>
        </w:tc>
      </w:tr>
      <w:tr w:rsidR="000B2315" w:rsidRPr="00DD47DF" w14:paraId="12A1F28B" w14:textId="77777777">
        <w:tc>
          <w:tcPr>
            <w:tcW w:w="624" w:type="dxa"/>
            <w:shd w:val="clear" w:color="auto" w:fill="DBE5F1"/>
            <w:vAlign w:val="center"/>
          </w:tcPr>
          <w:p w14:paraId="0C4EC8CF" w14:textId="77777777" w:rsidR="000B2315" w:rsidRPr="00DD47DF" w:rsidRDefault="000B2315" w:rsidP="00450475">
            <w:pPr>
              <w:pStyle w:val="Tabulka"/>
              <w:keepNext/>
              <w:keepLines/>
              <w:rPr>
                <w:rFonts w:cs="Calibri"/>
              </w:rPr>
            </w:pPr>
            <w:r w:rsidRPr="00DD47DF">
              <w:rPr>
                <w:rFonts w:cs="Calibri"/>
              </w:rPr>
              <w:t>Kód</w:t>
            </w:r>
          </w:p>
        </w:tc>
        <w:tc>
          <w:tcPr>
            <w:tcW w:w="1707" w:type="dxa"/>
            <w:shd w:val="clear" w:color="auto" w:fill="DBE5F1"/>
            <w:vAlign w:val="center"/>
          </w:tcPr>
          <w:p w14:paraId="457A5416" w14:textId="77777777" w:rsidR="000B2315" w:rsidRPr="00DD47DF" w:rsidRDefault="00D16DE9" w:rsidP="00450475">
            <w:pPr>
              <w:pStyle w:val="Tabulka"/>
              <w:keepNext/>
              <w:keepLines/>
              <w:rPr>
                <w:rFonts w:cs="Calibri"/>
              </w:rPr>
            </w:pPr>
            <w:r w:rsidRPr="00DD47DF">
              <w:rPr>
                <w:rFonts w:cs="Calibri"/>
              </w:rPr>
              <w:t>Částka (v EUR)</w:t>
            </w:r>
          </w:p>
        </w:tc>
        <w:tc>
          <w:tcPr>
            <w:tcW w:w="561" w:type="dxa"/>
            <w:shd w:val="clear" w:color="auto" w:fill="DBE5F1"/>
            <w:vAlign w:val="center"/>
          </w:tcPr>
          <w:p w14:paraId="00F8B440" w14:textId="77777777" w:rsidR="000B2315" w:rsidRPr="00DD47DF" w:rsidRDefault="000B2315" w:rsidP="00450475">
            <w:pPr>
              <w:pStyle w:val="Tabulka"/>
              <w:keepNext/>
              <w:keepLines/>
              <w:rPr>
                <w:rFonts w:cs="Calibri"/>
              </w:rPr>
            </w:pPr>
            <w:r w:rsidRPr="00DD47DF">
              <w:rPr>
                <w:rFonts w:cs="Calibri"/>
              </w:rPr>
              <w:t>Kód</w:t>
            </w:r>
          </w:p>
        </w:tc>
        <w:tc>
          <w:tcPr>
            <w:tcW w:w="1771" w:type="dxa"/>
            <w:shd w:val="clear" w:color="auto" w:fill="DBE5F1"/>
            <w:vAlign w:val="center"/>
          </w:tcPr>
          <w:p w14:paraId="6027B013" w14:textId="77777777" w:rsidR="000B2315" w:rsidRPr="00DD47DF" w:rsidRDefault="00D16DE9" w:rsidP="00450475">
            <w:pPr>
              <w:pStyle w:val="Tabulka"/>
              <w:keepNext/>
              <w:keepLines/>
              <w:rPr>
                <w:rFonts w:cs="Calibri"/>
              </w:rPr>
            </w:pPr>
            <w:r w:rsidRPr="00DD47DF">
              <w:rPr>
                <w:rFonts w:cs="Calibri"/>
              </w:rPr>
              <w:t>Částka (v EUR)</w:t>
            </w:r>
          </w:p>
        </w:tc>
        <w:tc>
          <w:tcPr>
            <w:tcW w:w="639" w:type="dxa"/>
            <w:shd w:val="clear" w:color="auto" w:fill="DBE5F1"/>
            <w:vAlign w:val="center"/>
          </w:tcPr>
          <w:p w14:paraId="6D9AA4EA" w14:textId="77777777" w:rsidR="000B2315" w:rsidRPr="00DD47DF" w:rsidRDefault="000B2315" w:rsidP="00450475">
            <w:pPr>
              <w:pStyle w:val="Tabulka"/>
              <w:keepNext/>
              <w:keepLines/>
              <w:rPr>
                <w:rFonts w:cs="Calibri"/>
              </w:rPr>
            </w:pPr>
            <w:r w:rsidRPr="00DD47DF">
              <w:rPr>
                <w:rFonts w:cs="Calibri"/>
              </w:rPr>
              <w:t>Kód</w:t>
            </w:r>
          </w:p>
        </w:tc>
        <w:tc>
          <w:tcPr>
            <w:tcW w:w="1692" w:type="dxa"/>
            <w:shd w:val="clear" w:color="auto" w:fill="DBE5F1"/>
            <w:vAlign w:val="center"/>
          </w:tcPr>
          <w:p w14:paraId="60B58C68" w14:textId="77777777" w:rsidR="000B2315" w:rsidRPr="00DD47DF" w:rsidRDefault="00D16DE9" w:rsidP="00450475">
            <w:pPr>
              <w:pStyle w:val="Tabulka"/>
              <w:keepNext/>
              <w:keepLines/>
              <w:rPr>
                <w:rFonts w:cs="Calibri"/>
              </w:rPr>
            </w:pPr>
            <w:r w:rsidRPr="00DD47DF">
              <w:rPr>
                <w:rFonts w:cs="Calibri"/>
              </w:rPr>
              <w:t>Částka (v EUR)</w:t>
            </w:r>
          </w:p>
        </w:tc>
        <w:tc>
          <w:tcPr>
            <w:tcW w:w="576" w:type="dxa"/>
            <w:shd w:val="clear" w:color="auto" w:fill="DBE5F1"/>
            <w:vAlign w:val="center"/>
          </w:tcPr>
          <w:p w14:paraId="2FD86519" w14:textId="77777777" w:rsidR="000B2315" w:rsidRPr="00DD47DF" w:rsidRDefault="000B2315" w:rsidP="00450475">
            <w:pPr>
              <w:pStyle w:val="Tabulka"/>
              <w:keepNext/>
              <w:keepLines/>
              <w:rPr>
                <w:rFonts w:cs="Calibri"/>
              </w:rPr>
            </w:pPr>
            <w:r w:rsidRPr="00DD47DF">
              <w:rPr>
                <w:rFonts w:cs="Calibri"/>
              </w:rPr>
              <w:t>Kód</w:t>
            </w:r>
          </w:p>
        </w:tc>
        <w:tc>
          <w:tcPr>
            <w:tcW w:w="1756" w:type="dxa"/>
            <w:shd w:val="clear" w:color="auto" w:fill="DBE5F1"/>
            <w:vAlign w:val="center"/>
          </w:tcPr>
          <w:p w14:paraId="1BAB3877" w14:textId="77777777" w:rsidR="000B2315" w:rsidRPr="00DD47DF" w:rsidRDefault="00D16DE9" w:rsidP="00450475">
            <w:pPr>
              <w:pStyle w:val="Tabulka"/>
              <w:keepNext/>
              <w:keepLines/>
              <w:rPr>
                <w:rFonts w:cs="Calibri"/>
              </w:rPr>
            </w:pPr>
            <w:r w:rsidRPr="00DD47DF">
              <w:rPr>
                <w:rFonts w:cs="Calibri"/>
              </w:rPr>
              <w:t>Částka (v EUR)</w:t>
            </w:r>
          </w:p>
        </w:tc>
      </w:tr>
      <w:tr w:rsidR="006D3187" w:rsidRPr="00DD47DF" w14:paraId="3E175571" w14:textId="77777777">
        <w:tc>
          <w:tcPr>
            <w:tcW w:w="624" w:type="dxa"/>
            <w:shd w:val="clear" w:color="auto" w:fill="auto"/>
            <w:vAlign w:val="center"/>
          </w:tcPr>
          <w:p w14:paraId="69E272A5" w14:textId="77777777" w:rsidR="006D3187" w:rsidRPr="00DD47DF" w:rsidRDefault="006D3187" w:rsidP="00DD63AD">
            <w:pPr>
              <w:pStyle w:val="Tabulka"/>
              <w:rPr>
                <w:rFonts w:cs="Calibri"/>
              </w:rPr>
            </w:pPr>
            <w:r w:rsidRPr="00DD47DF">
              <w:rPr>
                <w:rFonts w:cs="Calibri"/>
              </w:rPr>
              <w:t>004</w:t>
            </w:r>
          </w:p>
        </w:tc>
        <w:tc>
          <w:tcPr>
            <w:tcW w:w="1707" w:type="dxa"/>
            <w:shd w:val="clear" w:color="auto" w:fill="auto"/>
            <w:vAlign w:val="center"/>
          </w:tcPr>
          <w:p w14:paraId="2F550DF7" w14:textId="6EE8C2F8" w:rsidR="006D3187" w:rsidRPr="00DD47DF" w:rsidRDefault="00087F25" w:rsidP="00E84B36">
            <w:pPr>
              <w:pStyle w:val="Tabulka"/>
              <w:jc w:val="right"/>
              <w:rPr>
                <w:rFonts w:cs="Calibri"/>
              </w:rPr>
            </w:pPr>
            <w:r w:rsidRPr="00087F25">
              <w:rPr>
                <w:rFonts w:cs="Calibri"/>
              </w:rPr>
              <w:t>33 306 053</w:t>
            </w:r>
          </w:p>
        </w:tc>
        <w:tc>
          <w:tcPr>
            <w:tcW w:w="561" w:type="dxa"/>
            <w:shd w:val="clear" w:color="auto" w:fill="auto"/>
            <w:vAlign w:val="center"/>
          </w:tcPr>
          <w:p w14:paraId="6D059764" w14:textId="77777777" w:rsidR="006D3187" w:rsidRPr="00DD47DF" w:rsidRDefault="006D3187" w:rsidP="00DD63AD">
            <w:pPr>
              <w:pStyle w:val="Tabulka"/>
              <w:rPr>
                <w:rFonts w:cs="Calibri"/>
              </w:rPr>
            </w:pPr>
            <w:r w:rsidRPr="00DD47DF">
              <w:rPr>
                <w:rFonts w:cs="Calibri"/>
              </w:rPr>
              <w:t>01</w:t>
            </w:r>
          </w:p>
        </w:tc>
        <w:tc>
          <w:tcPr>
            <w:tcW w:w="1771" w:type="dxa"/>
            <w:shd w:val="clear" w:color="auto" w:fill="auto"/>
            <w:vAlign w:val="center"/>
          </w:tcPr>
          <w:p w14:paraId="0A8DCF4B" w14:textId="0AC9EDC1" w:rsidR="006D3187" w:rsidRPr="00DD47DF" w:rsidRDefault="003944CB" w:rsidP="00E84B36">
            <w:pPr>
              <w:pStyle w:val="Tabulka"/>
              <w:jc w:val="right"/>
              <w:rPr>
                <w:rFonts w:cs="Calibri"/>
              </w:rPr>
            </w:pPr>
            <w:r w:rsidRPr="0051592C">
              <w:rPr>
                <w:rFonts w:cs="Calibri"/>
              </w:rPr>
              <w:t>303 419 652</w:t>
            </w:r>
          </w:p>
        </w:tc>
        <w:tc>
          <w:tcPr>
            <w:tcW w:w="639" w:type="dxa"/>
            <w:shd w:val="clear" w:color="auto" w:fill="auto"/>
            <w:vAlign w:val="center"/>
          </w:tcPr>
          <w:p w14:paraId="7D561C60" w14:textId="77777777" w:rsidR="006D3187" w:rsidRPr="00DD47DF" w:rsidRDefault="006D3187" w:rsidP="00DD63AD">
            <w:pPr>
              <w:pStyle w:val="Tabulka"/>
              <w:rPr>
                <w:rFonts w:cs="Calibri"/>
              </w:rPr>
            </w:pPr>
            <w:r w:rsidRPr="00DD47DF">
              <w:rPr>
                <w:rFonts w:cs="Calibri"/>
              </w:rPr>
              <w:t>01</w:t>
            </w:r>
          </w:p>
        </w:tc>
        <w:tc>
          <w:tcPr>
            <w:tcW w:w="1692" w:type="dxa"/>
            <w:shd w:val="clear" w:color="auto" w:fill="auto"/>
            <w:vAlign w:val="center"/>
          </w:tcPr>
          <w:p w14:paraId="6B8B8E8D" w14:textId="7FB2B73D" w:rsidR="006D3187" w:rsidRPr="00DD47DF" w:rsidRDefault="003944CB" w:rsidP="00E84B36">
            <w:pPr>
              <w:pStyle w:val="Tabulka"/>
              <w:jc w:val="right"/>
              <w:rPr>
                <w:rFonts w:cs="Calibri"/>
              </w:rPr>
            </w:pPr>
            <w:r w:rsidRPr="0051592C">
              <w:rPr>
                <w:rFonts w:cs="Calibri"/>
              </w:rPr>
              <w:t>148 374 708</w:t>
            </w:r>
          </w:p>
        </w:tc>
        <w:tc>
          <w:tcPr>
            <w:tcW w:w="576" w:type="dxa"/>
            <w:shd w:val="clear" w:color="auto" w:fill="auto"/>
            <w:vAlign w:val="center"/>
          </w:tcPr>
          <w:p w14:paraId="63E8A4D7" w14:textId="77777777" w:rsidR="006D3187" w:rsidRPr="00DD47DF" w:rsidRDefault="006D3187" w:rsidP="00DD63AD">
            <w:pPr>
              <w:pStyle w:val="Tabulka"/>
              <w:rPr>
                <w:rFonts w:cs="Calibri"/>
              </w:rPr>
            </w:pPr>
            <w:r w:rsidRPr="00DD47DF">
              <w:rPr>
                <w:rFonts w:cs="Calibri"/>
              </w:rPr>
              <w:t>07</w:t>
            </w:r>
          </w:p>
        </w:tc>
        <w:tc>
          <w:tcPr>
            <w:tcW w:w="1756" w:type="dxa"/>
            <w:shd w:val="clear" w:color="auto" w:fill="auto"/>
            <w:vAlign w:val="center"/>
          </w:tcPr>
          <w:p w14:paraId="6F08C26A" w14:textId="062C8CDC" w:rsidR="006D3187" w:rsidRPr="00DD47DF" w:rsidRDefault="003944CB" w:rsidP="00E84B36">
            <w:pPr>
              <w:pStyle w:val="Tabulka"/>
              <w:jc w:val="right"/>
              <w:rPr>
                <w:rFonts w:cs="Calibri"/>
              </w:rPr>
            </w:pPr>
            <w:r w:rsidRPr="0051592C">
              <w:rPr>
                <w:rFonts w:cs="Calibri"/>
              </w:rPr>
              <w:t>303 419 652</w:t>
            </w:r>
          </w:p>
        </w:tc>
      </w:tr>
      <w:tr w:rsidR="00382E89" w:rsidRPr="00DD47DF" w14:paraId="0355FB07" w14:textId="77777777">
        <w:tc>
          <w:tcPr>
            <w:tcW w:w="624" w:type="dxa"/>
            <w:shd w:val="clear" w:color="auto" w:fill="auto"/>
            <w:vAlign w:val="center"/>
          </w:tcPr>
          <w:p w14:paraId="2035B07C" w14:textId="77777777" w:rsidR="00382E89" w:rsidRPr="00DD47DF" w:rsidRDefault="00382E89" w:rsidP="00DD63AD">
            <w:pPr>
              <w:pStyle w:val="Tabulka"/>
              <w:rPr>
                <w:rFonts w:cs="Calibri"/>
              </w:rPr>
            </w:pPr>
            <w:r w:rsidRPr="00DD47DF">
              <w:rPr>
                <w:rFonts w:cs="Calibri"/>
              </w:rPr>
              <w:t>046</w:t>
            </w:r>
          </w:p>
        </w:tc>
        <w:tc>
          <w:tcPr>
            <w:tcW w:w="1707" w:type="dxa"/>
            <w:shd w:val="clear" w:color="auto" w:fill="auto"/>
            <w:vAlign w:val="center"/>
          </w:tcPr>
          <w:p w14:paraId="46C0561F" w14:textId="49CEEFDD" w:rsidR="00382E89" w:rsidRPr="00DD47DF" w:rsidRDefault="003944CB" w:rsidP="00E84B36">
            <w:pPr>
              <w:pStyle w:val="Tabulka"/>
              <w:jc w:val="right"/>
              <w:rPr>
                <w:rFonts w:cs="Calibri"/>
              </w:rPr>
            </w:pPr>
            <w:r w:rsidRPr="00BC32AB">
              <w:rPr>
                <w:rFonts w:cs="Calibri"/>
              </w:rPr>
              <w:t>136 681 427</w:t>
            </w:r>
          </w:p>
        </w:tc>
        <w:tc>
          <w:tcPr>
            <w:tcW w:w="561" w:type="dxa"/>
            <w:shd w:val="clear" w:color="auto" w:fill="auto"/>
            <w:vAlign w:val="center"/>
          </w:tcPr>
          <w:p w14:paraId="5BB4AB44" w14:textId="77777777" w:rsidR="00382E89" w:rsidRPr="00DD47DF" w:rsidRDefault="00382E89" w:rsidP="00DD63AD">
            <w:pPr>
              <w:pStyle w:val="Tabulka"/>
              <w:rPr>
                <w:rFonts w:cs="Calibri"/>
              </w:rPr>
            </w:pPr>
          </w:p>
        </w:tc>
        <w:tc>
          <w:tcPr>
            <w:tcW w:w="1771" w:type="dxa"/>
            <w:shd w:val="clear" w:color="auto" w:fill="auto"/>
            <w:vAlign w:val="center"/>
          </w:tcPr>
          <w:p w14:paraId="3D1B3EE6" w14:textId="77777777" w:rsidR="00382E89" w:rsidRPr="00DD47DF" w:rsidRDefault="00382E89" w:rsidP="00E84B36">
            <w:pPr>
              <w:pStyle w:val="Tabulka"/>
              <w:jc w:val="right"/>
              <w:rPr>
                <w:rFonts w:cs="Calibri"/>
              </w:rPr>
            </w:pPr>
          </w:p>
        </w:tc>
        <w:tc>
          <w:tcPr>
            <w:tcW w:w="639" w:type="dxa"/>
            <w:shd w:val="clear" w:color="auto" w:fill="auto"/>
            <w:vAlign w:val="center"/>
          </w:tcPr>
          <w:p w14:paraId="5948C64F" w14:textId="77777777" w:rsidR="00382E89" w:rsidRPr="00DD47DF" w:rsidRDefault="00382E89" w:rsidP="00DD63AD">
            <w:pPr>
              <w:pStyle w:val="Tabulka"/>
              <w:rPr>
                <w:rFonts w:cs="Calibri"/>
              </w:rPr>
            </w:pPr>
            <w:r w:rsidRPr="00DD47DF">
              <w:rPr>
                <w:rFonts w:cs="Calibri"/>
              </w:rPr>
              <w:t>02</w:t>
            </w:r>
          </w:p>
        </w:tc>
        <w:tc>
          <w:tcPr>
            <w:tcW w:w="1692" w:type="dxa"/>
            <w:shd w:val="clear" w:color="auto" w:fill="auto"/>
            <w:vAlign w:val="center"/>
          </w:tcPr>
          <w:p w14:paraId="57ECACD9" w14:textId="22D4CC7A" w:rsidR="00382E89" w:rsidRPr="00DD47DF" w:rsidRDefault="003944CB" w:rsidP="00E84B36">
            <w:pPr>
              <w:pStyle w:val="Tabulka"/>
              <w:jc w:val="right"/>
              <w:rPr>
                <w:rFonts w:cs="Calibri"/>
              </w:rPr>
            </w:pPr>
            <w:r w:rsidRPr="0051592C">
              <w:rPr>
                <w:rFonts w:cs="Calibri"/>
              </w:rPr>
              <w:t>92 741 107</w:t>
            </w:r>
          </w:p>
        </w:tc>
        <w:tc>
          <w:tcPr>
            <w:tcW w:w="576" w:type="dxa"/>
            <w:shd w:val="clear" w:color="auto" w:fill="auto"/>
            <w:vAlign w:val="center"/>
          </w:tcPr>
          <w:p w14:paraId="2DAFED1B" w14:textId="77777777" w:rsidR="00382E89" w:rsidRPr="00DD47DF" w:rsidRDefault="00382E89" w:rsidP="00DD63AD">
            <w:pPr>
              <w:pStyle w:val="Tabulka"/>
              <w:rPr>
                <w:rFonts w:cs="Calibri"/>
              </w:rPr>
            </w:pPr>
          </w:p>
        </w:tc>
        <w:tc>
          <w:tcPr>
            <w:tcW w:w="1756" w:type="dxa"/>
            <w:shd w:val="clear" w:color="auto" w:fill="auto"/>
            <w:vAlign w:val="center"/>
          </w:tcPr>
          <w:p w14:paraId="5127EA57" w14:textId="77777777" w:rsidR="00382E89" w:rsidRPr="00DD47DF" w:rsidRDefault="00382E89" w:rsidP="00E84B36">
            <w:pPr>
              <w:pStyle w:val="Tabulka"/>
              <w:jc w:val="right"/>
              <w:rPr>
                <w:rFonts w:cs="Calibri"/>
              </w:rPr>
            </w:pPr>
          </w:p>
        </w:tc>
      </w:tr>
      <w:tr w:rsidR="00382E89" w:rsidRPr="00DD47DF" w14:paraId="008FB6AB" w14:textId="77777777">
        <w:tc>
          <w:tcPr>
            <w:tcW w:w="624" w:type="dxa"/>
            <w:shd w:val="clear" w:color="auto" w:fill="auto"/>
            <w:vAlign w:val="center"/>
          </w:tcPr>
          <w:p w14:paraId="148BF2D8" w14:textId="77777777" w:rsidR="00382E89" w:rsidRPr="00DD47DF" w:rsidRDefault="00382E89" w:rsidP="00DD63AD">
            <w:pPr>
              <w:pStyle w:val="Tabulka"/>
              <w:rPr>
                <w:rFonts w:cs="Calibri"/>
              </w:rPr>
            </w:pPr>
            <w:r w:rsidRPr="00DD47DF">
              <w:rPr>
                <w:rFonts w:cs="Calibri"/>
              </w:rPr>
              <w:t>048</w:t>
            </w:r>
          </w:p>
        </w:tc>
        <w:tc>
          <w:tcPr>
            <w:tcW w:w="1707" w:type="dxa"/>
            <w:shd w:val="clear" w:color="auto" w:fill="auto"/>
            <w:vAlign w:val="center"/>
          </w:tcPr>
          <w:p w14:paraId="57EFFDE4" w14:textId="4EF6CA9A" w:rsidR="00382E89" w:rsidRPr="00DD47DF" w:rsidRDefault="00087F25" w:rsidP="00E84B36">
            <w:pPr>
              <w:pStyle w:val="Tabulka"/>
              <w:jc w:val="right"/>
              <w:rPr>
                <w:rFonts w:cs="Calibri"/>
              </w:rPr>
            </w:pPr>
            <w:r w:rsidRPr="00BF3592">
              <w:rPr>
                <w:rFonts w:cs="Calibri"/>
              </w:rPr>
              <w:t>31 059 017</w:t>
            </w:r>
          </w:p>
        </w:tc>
        <w:tc>
          <w:tcPr>
            <w:tcW w:w="561" w:type="dxa"/>
            <w:shd w:val="clear" w:color="auto" w:fill="auto"/>
            <w:vAlign w:val="center"/>
          </w:tcPr>
          <w:p w14:paraId="2CEC013A" w14:textId="77777777" w:rsidR="00382E89" w:rsidRPr="00DD47DF" w:rsidRDefault="00382E89" w:rsidP="00DD63AD">
            <w:pPr>
              <w:pStyle w:val="Tabulka"/>
              <w:rPr>
                <w:rFonts w:cs="Calibri"/>
              </w:rPr>
            </w:pPr>
          </w:p>
        </w:tc>
        <w:tc>
          <w:tcPr>
            <w:tcW w:w="1771" w:type="dxa"/>
            <w:shd w:val="clear" w:color="auto" w:fill="auto"/>
            <w:vAlign w:val="center"/>
          </w:tcPr>
          <w:p w14:paraId="74F7C909" w14:textId="77777777" w:rsidR="00382E89" w:rsidRPr="00DD47DF" w:rsidRDefault="00382E89" w:rsidP="00E84B36">
            <w:pPr>
              <w:pStyle w:val="Tabulka"/>
              <w:jc w:val="right"/>
              <w:rPr>
                <w:rFonts w:cs="Calibri"/>
              </w:rPr>
            </w:pPr>
          </w:p>
        </w:tc>
        <w:tc>
          <w:tcPr>
            <w:tcW w:w="639" w:type="dxa"/>
            <w:shd w:val="clear" w:color="auto" w:fill="auto"/>
            <w:vAlign w:val="center"/>
          </w:tcPr>
          <w:p w14:paraId="60E85C99" w14:textId="77777777" w:rsidR="00382E89" w:rsidRPr="00DD47DF" w:rsidRDefault="00382E89" w:rsidP="00DD63AD">
            <w:pPr>
              <w:pStyle w:val="Tabulka"/>
              <w:rPr>
                <w:rFonts w:cs="Calibri"/>
              </w:rPr>
            </w:pPr>
            <w:r w:rsidRPr="00DD47DF">
              <w:rPr>
                <w:rFonts w:cs="Calibri"/>
              </w:rPr>
              <w:t>03</w:t>
            </w:r>
          </w:p>
        </w:tc>
        <w:tc>
          <w:tcPr>
            <w:tcW w:w="1692" w:type="dxa"/>
            <w:shd w:val="clear" w:color="auto" w:fill="auto"/>
            <w:vAlign w:val="center"/>
          </w:tcPr>
          <w:p w14:paraId="4D353D03" w14:textId="58B519F8" w:rsidR="00382E89" w:rsidRPr="00DD47DF" w:rsidRDefault="003944CB" w:rsidP="00E84B36">
            <w:pPr>
              <w:pStyle w:val="Tabulka"/>
              <w:jc w:val="right"/>
              <w:rPr>
                <w:rFonts w:cs="Calibri"/>
              </w:rPr>
            </w:pPr>
            <w:r w:rsidRPr="0051592C">
              <w:rPr>
                <w:rFonts w:cs="Calibri"/>
              </w:rPr>
              <w:t>62 303 837</w:t>
            </w:r>
          </w:p>
        </w:tc>
        <w:tc>
          <w:tcPr>
            <w:tcW w:w="576" w:type="dxa"/>
            <w:shd w:val="clear" w:color="auto" w:fill="auto"/>
            <w:vAlign w:val="center"/>
          </w:tcPr>
          <w:p w14:paraId="0E72775B" w14:textId="77777777" w:rsidR="00382E89" w:rsidRPr="00DD47DF" w:rsidRDefault="00382E89" w:rsidP="00DD63AD">
            <w:pPr>
              <w:pStyle w:val="Tabulka"/>
              <w:rPr>
                <w:rFonts w:cs="Calibri"/>
              </w:rPr>
            </w:pPr>
          </w:p>
        </w:tc>
        <w:tc>
          <w:tcPr>
            <w:tcW w:w="1756" w:type="dxa"/>
            <w:shd w:val="clear" w:color="auto" w:fill="auto"/>
            <w:vAlign w:val="center"/>
          </w:tcPr>
          <w:p w14:paraId="58599AAD" w14:textId="77777777" w:rsidR="00382E89" w:rsidRPr="00DD47DF" w:rsidRDefault="00382E89" w:rsidP="00E84B36">
            <w:pPr>
              <w:pStyle w:val="Tabulka"/>
              <w:jc w:val="right"/>
              <w:rPr>
                <w:rFonts w:cs="Calibri"/>
              </w:rPr>
            </w:pPr>
          </w:p>
        </w:tc>
      </w:tr>
      <w:tr w:rsidR="00382E89" w:rsidRPr="00DD47DF" w14:paraId="5EE00DD8" w14:textId="77777777">
        <w:tc>
          <w:tcPr>
            <w:tcW w:w="624" w:type="dxa"/>
            <w:shd w:val="clear" w:color="auto" w:fill="auto"/>
            <w:vAlign w:val="center"/>
          </w:tcPr>
          <w:p w14:paraId="245F6D1A" w14:textId="77777777" w:rsidR="00382E89" w:rsidRPr="00DD47DF" w:rsidRDefault="00382E89" w:rsidP="00DD63AD">
            <w:pPr>
              <w:pStyle w:val="Tabulka"/>
              <w:rPr>
                <w:rFonts w:cs="Calibri"/>
              </w:rPr>
            </w:pPr>
            <w:r w:rsidRPr="00DD47DF">
              <w:rPr>
                <w:rFonts w:cs="Calibri"/>
              </w:rPr>
              <w:t>082</w:t>
            </w:r>
          </w:p>
        </w:tc>
        <w:tc>
          <w:tcPr>
            <w:tcW w:w="1707" w:type="dxa"/>
            <w:shd w:val="clear" w:color="auto" w:fill="auto"/>
            <w:vAlign w:val="center"/>
          </w:tcPr>
          <w:p w14:paraId="7BE95403" w14:textId="347DAD01" w:rsidR="00382E89" w:rsidRPr="00DD47DF" w:rsidRDefault="00087F25" w:rsidP="00E84B36">
            <w:pPr>
              <w:pStyle w:val="Tabulka"/>
              <w:jc w:val="right"/>
              <w:rPr>
                <w:rFonts w:cs="Calibri"/>
              </w:rPr>
            </w:pPr>
            <w:r w:rsidRPr="00BF3592">
              <w:rPr>
                <w:rFonts w:cs="Calibri"/>
              </w:rPr>
              <w:t>102 373 155</w:t>
            </w:r>
          </w:p>
        </w:tc>
        <w:tc>
          <w:tcPr>
            <w:tcW w:w="561" w:type="dxa"/>
            <w:shd w:val="clear" w:color="auto" w:fill="auto"/>
            <w:vAlign w:val="center"/>
          </w:tcPr>
          <w:p w14:paraId="4148ED11" w14:textId="77777777" w:rsidR="00382E89" w:rsidRPr="00DD47DF" w:rsidRDefault="00382E89" w:rsidP="00DD63AD">
            <w:pPr>
              <w:pStyle w:val="Tabulka"/>
              <w:rPr>
                <w:rFonts w:cs="Calibri"/>
              </w:rPr>
            </w:pPr>
          </w:p>
        </w:tc>
        <w:tc>
          <w:tcPr>
            <w:tcW w:w="1771" w:type="dxa"/>
            <w:shd w:val="clear" w:color="auto" w:fill="auto"/>
            <w:vAlign w:val="center"/>
          </w:tcPr>
          <w:p w14:paraId="25BB6BAF" w14:textId="77777777" w:rsidR="00382E89" w:rsidRPr="00DD47DF" w:rsidRDefault="00382E89" w:rsidP="00E84B36">
            <w:pPr>
              <w:pStyle w:val="Tabulka"/>
              <w:jc w:val="right"/>
              <w:rPr>
                <w:rFonts w:cs="Calibri"/>
              </w:rPr>
            </w:pPr>
          </w:p>
        </w:tc>
        <w:tc>
          <w:tcPr>
            <w:tcW w:w="639" w:type="dxa"/>
            <w:shd w:val="clear" w:color="auto" w:fill="auto"/>
            <w:vAlign w:val="center"/>
          </w:tcPr>
          <w:p w14:paraId="221EEF7E" w14:textId="77777777" w:rsidR="00382E89" w:rsidRPr="00DD47DF" w:rsidRDefault="00382E89" w:rsidP="00DD63AD">
            <w:pPr>
              <w:pStyle w:val="Tabulka"/>
              <w:rPr>
                <w:rFonts w:cs="Calibri"/>
              </w:rPr>
            </w:pPr>
          </w:p>
        </w:tc>
        <w:tc>
          <w:tcPr>
            <w:tcW w:w="1692" w:type="dxa"/>
            <w:shd w:val="clear" w:color="auto" w:fill="auto"/>
            <w:vAlign w:val="center"/>
          </w:tcPr>
          <w:p w14:paraId="17D6833A" w14:textId="77777777" w:rsidR="00382E89" w:rsidRPr="00DD47DF" w:rsidRDefault="00382E89" w:rsidP="00E84B36">
            <w:pPr>
              <w:pStyle w:val="Tabulka"/>
              <w:jc w:val="right"/>
              <w:rPr>
                <w:rFonts w:cs="Calibri"/>
              </w:rPr>
            </w:pPr>
          </w:p>
        </w:tc>
        <w:tc>
          <w:tcPr>
            <w:tcW w:w="576" w:type="dxa"/>
            <w:shd w:val="clear" w:color="auto" w:fill="auto"/>
            <w:vAlign w:val="center"/>
          </w:tcPr>
          <w:p w14:paraId="1B75025E" w14:textId="77777777" w:rsidR="00382E89" w:rsidRPr="00DD47DF" w:rsidRDefault="00382E89" w:rsidP="00DD63AD">
            <w:pPr>
              <w:pStyle w:val="Tabulka"/>
              <w:rPr>
                <w:rFonts w:cs="Calibri"/>
              </w:rPr>
            </w:pPr>
          </w:p>
        </w:tc>
        <w:tc>
          <w:tcPr>
            <w:tcW w:w="1756" w:type="dxa"/>
            <w:shd w:val="clear" w:color="auto" w:fill="auto"/>
            <w:vAlign w:val="center"/>
          </w:tcPr>
          <w:p w14:paraId="72E88FC3" w14:textId="77777777" w:rsidR="00382E89" w:rsidRPr="00DD47DF" w:rsidRDefault="00382E89" w:rsidP="00E84B36">
            <w:pPr>
              <w:pStyle w:val="Tabulka"/>
              <w:jc w:val="right"/>
              <w:rPr>
                <w:rFonts w:cs="Calibri"/>
              </w:rPr>
            </w:pPr>
          </w:p>
        </w:tc>
      </w:tr>
    </w:tbl>
    <w:p w14:paraId="548007C9" w14:textId="77777777" w:rsidR="00F47390" w:rsidRPr="00DD47DF" w:rsidRDefault="00DF23DE" w:rsidP="00DA3512">
      <w:pPr>
        <w:pStyle w:val="kapitola2A0"/>
        <w:numPr>
          <w:ilvl w:val="2"/>
          <w:numId w:val="69"/>
        </w:numPr>
      </w:pPr>
      <w:bookmarkStart w:id="103" w:name="_Toc129005433"/>
      <w:r w:rsidRPr="00DD47DF">
        <w:t>Přehled plánovaného využití technické pomoci, je-li to nutné, včetně opatření na posílení správní kapacity orgánů zapojených do řízení a kontroly programů a příjemců (použije-li se)</w:t>
      </w:r>
      <w:bookmarkEnd w:id="103"/>
    </w:p>
    <w:p w14:paraId="4EB78E93" w14:textId="77777777" w:rsidR="00F47390" w:rsidRPr="00DD47DF" w:rsidRDefault="008F72F4" w:rsidP="009D7E8A">
      <w:pPr>
        <w:pStyle w:val="Standardntext"/>
        <w:rPr>
          <w:color w:val="FF0000"/>
        </w:rPr>
      </w:pPr>
      <w:r w:rsidRPr="00DD47DF">
        <w:t>Není relevantní pro OP PIK.</w:t>
      </w:r>
      <w:r w:rsidR="00F47390" w:rsidRPr="00DD47DF">
        <w:br w:type="page"/>
      </w:r>
    </w:p>
    <w:p w14:paraId="72E56E19" w14:textId="77777777" w:rsidR="00017D76" w:rsidRPr="00DD47DF" w:rsidRDefault="00E62B2C" w:rsidP="00E62B2C">
      <w:pPr>
        <w:pStyle w:val="kapitola2A"/>
      </w:pPr>
      <w:bookmarkStart w:id="104" w:name="_Toc351464413"/>
      <w:bookmarkStart w:id="105" w:name="_Toc129005434"/>
      <w:r w:rsidRPr="00DD47DF">
        <w:lastRenderedPageBreak/>
        <w:t>Popis prioritních os pro technickou pomoc</w:t>
      </w:r>
      <w:bookmarkEnd w:id="105"/>
      <w:r w:rsidR="00017D76" w:rsidRPr="00DD47DF">
        <w:t xml:space="preserve"> </w:t>
      </w:r>
    </w:p>
    <w:p w14:paraId="66BDA6F9" w14:textId="77777777" w:rsidR="00E62B2C" w:rsidRPr="00DD47DF" w:rsidRDefault="00E62B2C" w:rsidP="005F43DF">
      <w:pPr>
        <w:pStyle w:val="kapitola2B"/>
        <w:numPr>
          <w:ilvl w:val="2"/>
          <w:numId w:val="12"/>
        </w:numPr>
        <w:ind w:left="709"/>
      </w:pPr>
      <w:bookmarkStart w:id="106" w:name="_Toc129005435"/>
      <w:bookmarkEnd w:id="104"/>
      <w:r w:rsidRPr="00DD47DF">
        <w:t>PRIORITNÍ OSA 5: Technická pomoc</w:t>
      </w:r>
      <w:bookmarkEnd w:id="106"/>
    </w:p>
    <w:p w14:paraId="14BB7BE5" w14:textId="77777777" w:rsidR="00E62B2C" w:rsidRPr="00DD47DF" w:rsidRDefault="00E62B2C" w:rsidP="005F43DF">
      <w:pPr>
        <w:pStyle w:val="kapitola2B"/>
        <w:numPr>
          <w:ilvl w:val="2"/>
          <w:numId w:val="12"/>
        </w:numPr>
        <w:ind w:left="709"/>
      </w:pPr>
      <w:bookmarkStart w:id="107" w:name="_Toc129005436"/>
      <w:r w:rsidRPr="00DD47DF">
        <w:t>Odůvodnění stanovení prioritní osy, jež zahrnuje více než jednu kategorii regionů (použije-li se)</w:t>
      </w:r>
      <w:bookmarkEnd w:id="107"/>
    </w:p>
    <w:p w14:paraId="778CC712" w14:textId="77777777" w:rsidR="00E62B2C" w:rsidRPr="00DD47DF" w:rsidRDefault="00E62B2C" w:rsidP="00E62B2C">
      <w:pPr>
        <w:pStyle w:val="Standardntext"/>
      </w:pPr>
      <w:r w:rsidRPr="00DD47DF">
        <w:t>Není relevantní pro OP PIK.</w:t>
      </w:r>
    </w:p>
    <w:p w14:paraId="6EBDF74C" w14:textId="77777777" w:rsidR="00E62B2C" w:rsidRPr="00DD47DF" w:rsidRDefault="00E62B2C" w:rsidP="005F43DF">
      <w:pPr>
        <w:pStyle w:val="kapitola2B"/>
        <w:numPr>
          <w:ilvl w:val="2"/>
          <w:numId w:val="12"/>
        </w:numPr>
        <w:ind w:left="709"/>
      </w:pPr>
      <w:bookmarkStart w:id="108" w:name="_Toc129005437"/>
      <w:r w:rsidRPr="00DD47DF">
        <w:t>Fond a kategorie regionů</w:t>
      </w:r>
      <w:bookmarkEnd w:id="108"/>
    </w:p>
    <w:p w14:paraId="08C4FEE5" w14:textId="77777777" w:rsidR="00E62B2C" w:rsidRPr="00DD47DF" w:rsidRDefault="00E62B2C" w:rsidP="00E62B2C">
      <w:pPr>
        <w:pStyle w:val="Standardntext"/>
      </w:pPr>
      <w:r w:rsidRPr="00DD47DF">
        <w:t>Fond: Evropský fond pro regionální rozvoj</w:t>
      </w:r>
    </w:p>
    <w:p w14:paraId="08735A68" w14:textId="77777777" w:rsidR="00E62B2C" w:rsidRPr="00DD47DF" w:rsidRDefault="00E62B2C" w:rsidP="00E62B2C">
      <w:pPr>
        <w:pStyle w:val="Standardntext"/>
      </w:pPr>
      <w:r w:rsidRPr="00DD47DF">
        <w:t>Kategorie regionů: Méně rozvinuté regiony</w:t>
      </w:r>
    </w:p>
    <w:p w14:paraId="4C5FF8A2" w14:textId="77777777" w:rsidR="00E62B2C" w:rsidRPr="00DD47DF" w:rsidRDefault="008668C8" w:rsidP="00E62B2C">
      <w:pPr>
        <w:pStyle w:val="Standardntext"/>
      </w:pPr>
      <w:r w:rsidRPr="00DD47DF">
        <w:t xml:space="preserve">Základ pro výpočet: </w:t>
      </w:r>
      <w:r w:rsidR="009B6147" w:rsidRPr="00DD47DF">
        <w:t>celkové způsobilé výdaje</w:t>
      </w:r>
    </w:p>
    <w:p w14:paraId="18D2492D" w14:textId="77777777" w:rsidR="005444BD" w:rsidRPr="00DD47DF" w:rsidRDefault="005444BD" w:rsidP="005F43DF">
      <w:pPr>
        <w:pStyle w:val="kapitola2B"/>
        <w:numPr>
          <w:ilvl w:val="2"/>
          <w:numId w:val="12"/>
        </w:numPr>
        <w:ind w:left="709"/>
      </w:pPr>
      <w:bookmarkStart w:id="109" w:name="_Toc129005438"/>
      <w:r w:rsidRPr="00DD47DF">
        <w:t>Specifické cíle a očekávané výsledky</w:t>
      </w:r>
      <w:bookmarkEnd w:id="109"/>
    </w:p>
    <w:p w14:paraId="564E1385" w14:textId="77777777" w:rsidR="00111415" w:rsidRPr="00DD47DF" w:rsidRDefault="003218B1" w:rsidP="00396141">
      <w:pPr>
        <w:pStyle w:val="Modrnadpis"/>
      </w:pPr>
      <w:r w:rsidRPr="00DD47DF">
        <w:t>SPECIFICKÝ CÍL</w:t>
      </w:r>
      <w:r w:rsidR="0064012D" w:rsidRPr="00DD47DF">
        <w:t xml:space="preserve"> </w:t>
      </w:r>
      <w:r w:rsidR="00961515" w:rsidRPr="00DD47DF">
        <w:t>5.</w:t>
      </w:r>
      <w:r w:rsidR="0064012D" w:rsidRPr="00DD47DF">
        <w:t>1</w:t>
      </w:r>
      <w:r w:rsidRPr="00DD47DF">
        <w:t xml:space="preserve">: </w:t>
      </w:r>
      <w:r w:rsidR="00111415" w:rsidRPr="00DD47DF">
        <w:t>Zajištění efektivní</w:t>
      </w:r>
      <w:r w:rsidR="00346FC8" w:rsidRPr="00DD47DF">
        <w:t xml:space="preserve">ho řízení a </w:t>
      </w:r>
      <w:r w:rsidR="00111415" w:rsidRPr="00DD47DF">
        <w:t>administrace operačního programu</w:t>
      </w:r>
    </w:p>
    <w:p w14:paraId="0C4FBCCC" w14:textId="77777777" w:rsidR="00264514" w:rsidRPr="00DD47DF" w:rsidRDefault="00264514" w:rsidP="00264514">
      <w:pPr>
        <w:pStyle w:val="Standardntext"/>
        <w:rPr>
          <w:bCs/>
        </w:rPr>
      </w:pPr>
      <w:r w:rsidRPr="00DD47DF">
        <w:rPr>
          <w:bCs/>
        </w:rPr>
        <w:t xml:space="preserve">Předpokladem naplňování specifického cíle jsou především kvalitní lidské zdroje, </w:t>
      </w:r>
      <w:r w:rsidR="00C6562F" w:rsidRPr="00DD47DF">
        <w:rPr>
          <w:bCs/>
        </w:rPr>
        <w:t xml:space="preserve">jednotně a srozumitelně zpracované </w:t>
      </w:r>
      <w:r w:rsidRPr="00DD47DF">
        <w:rPr>
          <w:bCs/>
        </w:rPr>
        <w:t>manuály</w:t>
      </w:r>
      <w:r w:rsidR="00C6562F" w:rsidRPr="00DD47DF">
        <w:rPr>
          <w:bCs/>
        </w:rPr>
        <w:t>, příručky</w:t>
      </w:r>
      <w:r w:rsidRPr="00DD47DF">
        <w:rPr>
          <w:bCs/>
        </w:rPr>
        <w:t xml:space="preserve"> a metodiky pro postupy v implementaci a monitorování, pro provádění kontrol</w:t>
      </w:r>
      <w:r w:rsidR="00C6562F" w:rsidRPr="00DD47DF">
        <w:rPr>
          <w:bCs/>
        </w:rPr>
        <w:t>,</w:t>
      </w:r>
      <w:r w:rsidR="00DE2376" w:rsidRPr="00DD47DF">
        <w:rPr>
          <w:bCs/>
        </w:rPr>
        <w:t xml:space="preserve"> </w:t>
      </w:r>
      <w:r w:rsidRPr="00DD47DF">
        <w:rPr>
          <w:bCs/>
        </w:rPr>
        <w:t xml:space="preserve">informační a monitorovací systémy. </w:t>
      </w:r>
      <w:r w:rsidR="00C6562F" w:rsidRPr="00DD47DF">
        <w:rPr>
          <w:bCs/>
        </w:rPr>
        <w:t xml:space="preserve">Podstatou specifického cíle </w:t>
      </w:r>
      <w:r w:rsidRPr="00DD47DF">
        <w:rPr>
          <w:bCs/>
        </w:rPr>
        <w:t xml:space="preserve">je zajištění administrace </w:t>
      </w:r>
      <w:r w:rsidR="004B2EFF" w:rsidRPr="00DD47DF">
        <w:rPr>
          <w:bCs/>
        </w:rPr>
        <w:t xml:space="preserve">a monitorování </w:t>
      </w:r>
      <w:r w:rsidRPr="00DD47DF">
        <w:rPr>
          <w:bCs/>
        </w:rPr>
        <w:t xml:space="preserve">programu spojené s efektivní implementací za účelem řádného čerpání </w:t>
      </w:r>
      <w:r w:rsidR="00C6562F" w:rsidRPr="00DD47DF">
        <w:rPr>
          <w:bCs/>
        </w:rPr>
        <w:t xml:space="preserve">prostředků dle </w:t>
      </w:r>
      <w:r w:rsidRPr="00DD47DF">
        <w:rPr>
          <w:bCs/>
        </w:rPr>
        <w:t xml:space="preserve">pravidel stanovených v legislativě k </w:t>
      </w:r>
      <w:r w:rsidR="00C6562F" w:rsidRPr="00DD47DF">
        <w:rPr>
          <w:bCs/>
        </w:rPr>
        <w:t xml:space="preserve">ESI fondům, </w:t>
      </w:r>
      <w:r w:rsidRPr="00DD47DF">
        <w:rPr>
          <w:bCs/>
        </w:rPr>
        <w:t>za současného naplňování věcných cílů</w:t>
      </w:r>
      <w:r w:rsidR="00C6562F" w:rsidRPr="00DD47DF">
        <w:rPr>
          <w:bCs/>
        </w:rPr>
        <w:t xml:space="preserve"> programu</w:t>
      </w:r>
      <w:r w:rsidRPr="00DD47DF">
        <w:rPr>
          <w:bCs/>
        </w:rPr>
        <w:t>.</w:t>
      </w:r>
    </w:p>
    <w:p w14:paraId="6A0A8BAA" w14:textId="77777777" w:rsidR="00264514" w:rsidRPr="00DD47DF" w:rsidRDefault="003508A9" w:rsidP="00264514">
      <w:pPr>
        <w:pStyle w:val="Modrnadpis"/>
      </w:pPr>
      <w:r w:rsidRPr="00DD47DF">
        <w:t>Výsledky, kterých chce ČR dosáhnout s podporou Unie</w:t>
      </w:r>
    </w:p>
    <w:p w14:paraId="319CE362" w14:textId="77777777" w:rsidR="00264514" w:rsidRPr="00DD47DF" w:rsidRDefault="00264514" w:rsidP="00DA3512">
      <w:pPr>
        <w:pStyle w:val="Standardntext"/>
        <w:numPr>
          <w:ilvl w:val="0"/>
          <w:numId w:val="59"/>
        </w:numPr>
        <w:textAlignment w:val="auto"/>
      </w:pPr>
      <w:r w:rsidRPr="00DD47DF">
        <w:t>Optimální nastavení administrativní kapacity zajistí efektivní řízení programu (zaměstnanci implementační struktury, systém hodnocení projektů).</w:t>
      </w:r>
    </w:p>
    <w:p w14:paraId="6ACBEC48" w14:textId="77777777" w:rsidR="00264514" w:rsidRPr="00DD47DF" w:rsidRDefault="00264514" w:rsidP="00DA3512">
      <w:pPr>
        <w:pStyle w:val="Standardntext"/>
        <w:numPr>
          <w:ilvl w:val="0"/>
          <w:numId w:val="59"/>
        </w:numPr>
        <w:textAlignment w:val="auto"/>
      </w:pPr>
      <w:r w:rsidRPr="00DD47DF">
        <w:t>Optimální zajištění pracovních podmínek povede ke snížení fluktuace zaměstnanců implementační struktury.</w:t>
      </w:r>
    </w:p>
    <w:p w14:paraId="2C348383" w14:textId="77777777" w:rsidR="00264514" w:rsidRPr="00DD47DF" w:rsidRDefault="00264514" w:rsidP="00DA3512">
      <w:pPr>
        <w:pStyle w:val="Standardntext"/>
        <w:numPr>
          <w:ilvl w:val="0"/>
          <w:numId w:val="59"/>
        </w:numPr>
        <w:textAlignment w:val="auto"/>
      </w:pPr>
      <w:r w:rsidRPr="00DD47DF">
        <w:t>Vyšší úroveň vzdělávání a školení zajistí odpovídající kvalitu lidských zdrojů.</w:t>
      </w:r>
    </w:p>
    <w:p w14:paraId="75A60E14" w14:textId="77777777" w:rsidR="00264514" w:rsidRPr="00DD47DF" w:rsidRDefault="00264514" w:rsidP="00DA3512">
      <w:pPr>
        <w:pStyle w:val="Standardntext"/>
        <w:numPr>
          <w:ilvl w:val="0"/>
          <w:numId w:val="59"/>
        </w:numPr>
        <w:textAlignment w:val="auto"/>
      </w:pPr>
      <w:r w:rsidRPr="00DD47DF">
        <w:t>Zpracování jasných a přehledných metodik zajistí eliminaci častých změn, různých výkladů a z nich plynoucích pochybení.</w:t>
      </w:r>
    </w:p>
    <w:p w14:paraId="7E771F21" w14:textId="77777777" w:rsidR="000F6567" w:rsidRPr="00DD47DF" w:rsidRDefault="00264514" w:rsidP="00DA3512">
      <w:pPr>
        <w:pStyle w:val="Standardntext"/>
        <w:numPr>
          <w:ilvl w:val="0"/>
          <w:numId w:val="59"/>
        </w:numPr>
        <w:textAlignment w:val="auto"/>
      </w:pPr>
      <w:r w:rsidRPr="00DD47DF">
        <w:t>Efektivní využití a přenos informací pro řádnou administraci programu (ověřené postupy a příklady dobré praxe získané v průběhu implementace OP Podnikání a inovace 2007-2013</w:t>
      </w:r>
      <w:r w:rsidR="000F6567" w:rsidRPr="00DD47DF">
        <w:t>).</w:t>
      </w:r>
    </w:p>
    <w:p w14:paraId="3AF23D95" w14:textId="77777777" w:rsidR="00264514" w:rsidRPr="00DD47DF" w:rsidRDefault="000F6567" w:rsidP="00DA3512">
      <w:pPr>
        <w:pStyle w:val="Standardntext"/>
        <w:numPr>
          <w:ilvl w:val="0"/>
          <w:numId w:val="59"/>
        </w:numPr>
        <w:textAlignment w:val="auto"/>
      </w:pPr>
      <w:r w:rsidRPr="00DD47DF">
        <w:t>Činnost a jednání M</w:t>
      </w:r>
      <w:r w:rsidR="00264514" w:rsidRPr="00DD47DF">
        <w:t>onitorovacího výboru</w:t>
      </w:r>
      <w:r w:rsidRPr="00DD47DF">
        <w:t xml:space="preserve"> OP PIK, </w:t>
      </w:r>
      <w:r w:rsidR="00264514" w:rsidRPr="00DD47DF">
        <w:t>pracovní</w:t>
      </w:r>
      <w:r w:rsidRPr="00DD47DF">
        <w:t xml:space="preserve">ch </w:t>
      </w:r>
      <w:r w:rsidR="00264514" w:rsidRPr="00DD47DF">
        <w:t>skupin.</w:t>
      </w:r>
    </w:p>
    <w:p w14:paraId="7A315C0F" w14:textId="77777777" w:rsidR="00264514" w:rsidRPr="00DD47DF" w:rsidRDefault="00264514" w:rsidP="00DA3512">
      <w:pPr>
        <w:pStyle w:val="Standardntext"/>
        <w:numPr>
          <w:ilvl w:val="0"/>
          <w:numId w:val="59"/>
        </w:numPr>
        <w:textAlignment w:val="auto"/>
      </w:pPr>
      <w:r w:rsidRPr="00DD47DF">
        <w:t>Efektivní nastavení kontrolního a monitorovacího systému.</w:t>
      </w:r>
    </w:p>
    <w:p w14:paraId="52A5B0F8" w14:textId="77777777" w:rsidR="00111415" w:rsidRPr="00DD47DF" w:rsidRDefault="003218B1" w:rsidP="00396141">
      <w:pPr>
        <w:pStyle w:val="Modrnadpis"/>
      </w:pPr>
      <w:r w:rsidRPr="00DD47DF">
        <w:t>SPECIFICKÝ CÍL</w:t>
      </w:r>
      <w:r w:rsidR="0064012D" w:rsidRPr="00DD47DF">
        <w:t xml:space="preserve"> </w:t>
      </w:r>
      <w:r w:rsidR="00961515" w:rsidRPr="00DD47DF">
        <w:t>5.</w:t>
      </w:r>
      <w:r w:rsidR="0064012D" w:rsidRPr="00DD47DF">
        <w:t>2</w:t>
      </w:r>
      <w:r w:rsidRPr="00DD47DF">
        <w:t xml:space="preserve">: </w:t>
      </w:r>
      <w:r w:rsidR="00111415" w:rsidRPr="00DD47DF">
        <w:t>Zajištění informovanosti, publicity a absorpční kapacity operačního programu</w:t>
      </w:r>
    </w:p>
    <w:p w14:paraId="39830E4F" w14:textId="77777777" w:rsidR="00264514" w:rsidRPr="00DD47DF" w:rsidRDefault="00264514" w:rsidP="00264514">
      <w:pPr>
        <w:pStyle w:val="Standardntext"/>
      </w:pPr>
      <w:r w:rsidRPr="00DD47DF">
        <w:t xml:space="preserve">Předpokladem naplňování specifického cíle je stanovení přesně zacílené komunikační strategie programu, </w:t>
      </w:r>
      <w:r w:rsidR="00C05A7E" w:rsidRPr="00DD47DF">
        <w:t xml:space="preserve">nastavení </w:t>
      </w:r>
      <w:r w:rsidRPr="00DD47DF">
        <w:t xml:space="preserve">informačních vazeb a kanálů směrem k veřejnosti a cílovým skupinám. </w:t>
      </w:r>
      <w:r w:rsidR="00C6562F" w:rsidRPr="00DD47DF">
        <w:lastRenderedPageBreak/>
        <w:t xml:space="preserve">Podstatou specifického cíle </w:t>
      </w:r>
      <w:r w:rsidRPr="00DD47DF">
        <w:t xml:space="preserve">je tak zajistit efektivní fungování a naplňování komunikační strategie </w:t>
      </w:r>
      <w:r w:rsidR="00D54845" w:rsidRPr="00DD47DF">
        <w:t xml:space="preserve">operačního programu </w:t>
      </w:r>
      <w:r w:rsidRPr="00DD47DF">
        <w:t xml:space="preserve">vedoucí k posílení </w:t>
      </w:r>
      <w:r w:rsidR="00D54845" w:rsidRPr="00DD47DF">
        <w:t xml:space="preserve">jeho </w:t>
      </w:r>
      <w:r w:rsidRPr="00DD47DF">
        <w:t xml:space="preserve">absorpční kapacity </w:t>
      </w:r>
      <w:r w:rsidR="00D54845" w:rsidRPr="00DD47DF">
        <w:t xml:space="preserve">a </w:t>
      </w:r>
      <w:r w:rsidRPr="00DD47DF">
        <w:t>tedy řádnému a efektivnímu čerpání finanční alokace dle pravidel stanovených v legislativě k E</w:t>
      </w:r>
      <w:r w:rsidR="00C6562F" w:rsidRPr="00DD47DF">
        <w:t xml:space="preserve">SI fondům, </w:t>
      </w:r>
      <w:r w:rsidRPr="00DD47DF">
        <w:t>za současného naplňování věcných cílů</w:t>
      </w:r>
      <w:r w:rsidR="00C6562F" w:rsidRPr="00DD47DF">
        <w:t xml:space="preserve"> programu</w:t>
      </w:r>
      <w:r w:rsidRPr="00DD47DF">
        <w:t>.</w:t>
      </w:r>
    </w:p>
    <w:p w14:paraId="73C8BBF8" w14:textId="77777777" w:rsidR="00264514" w:rsidRPr="00DD47DF" w:rsidRDefault="003508A9" w:rsidP="00264514">
      <w:pPr>
        <w:pStyle w:val="Modrnadpis"/>
      </w:pPr>
      <w:r w:rsidRPr="00DD47DF">
        <w:t>Výsledky, kterých chce ČR dosáhnout s podporou Unie</w:t>
      </w:r>
    </w:p>
    <w:p w14:paraId="76E02009" w14:textId="77777777" w:rsidR="00D54845" w:rsidRPr="00DD47DF" w:rsidRDefault="002E176F" w:rsidP="00DA3512">
      <w:pPr>
        <w:pStyle w:val="Standardntext"/>
        <w:numPr>
          <w:ilvl w:val="0"/>
          <w:numId w:val="60"/>
        </w:numPr>
        <w:textAlignment w:val="auto"/>
      </w:pPr>
      <w:r w:rsidRPr="00DD47DF">
        <w:t>P</w:t>
      </w:r>
      <w:r w:rsidR="00D54845" w:rsidRPr="00DD47DF">
        <w:t>osílení a zajištění absorpční kapacity programu.</w:t>
      </w:r>
    </w:p>
    <w:p w14:paraId="0F39FEB8" w14:textId="77777777" w:rsidR="00264514" w:rsidRPr="00DD47DF" w:rsidRDefault="00264514" w:rsidP="00DA3512">
      <w:pPr>
        <w:pStyle w:val="Standardntext"/>
        <w:numPr>
          <w:ilvl w:val="0"/>
          <w:numId w:val="60"/>
        </w:numPr>
        <w:textAlignment w:val="auto"/>
      </w:pPr>
      <w:r w:rsidRPr="00DD47DF">
        <w:t>Vyšší míra povědomí široké veřejnosti o programu.</w:t>
      </w:r>
    </w:p>
    <w:p w14:paraId="3EED9FA7" w14:textId="77777777" w:rsidR="00264514" w:rsidRPr="00DD47DF" w:rsidRDefault="00264514" w:rsidP="00DA3512">
      <w:pPr>
        <w:pStyle w:val="Standardntext"/>
        <w:numPr>
          <w:ilvl w:val="0"/>
          <w:numId w:val="60"/>
        </w:numPr>
        <w:textAlignment w:val="auto"/>
      </w:pPr>
      <w:r w:rsidRPr="00DD47DF">
        <w:t>Vyšší míra úspěšnosti projektových žádostí.</w:t>
      </w:r>
    </w:p>
    <w:p w14:paraId="3D129618" w14:textId="77777777" w:rsidR="00264514" w:rsidRPr="00DD47DF" w:rsidRDefault="00264514" w:rsidP="00DA3512">
      <w:pPr>
        <w:pStyle w:val="Standardntext"/>
        <w:numPr>
          <w:ilvl w:val="0"/>
          <w:numId w:val="60"/>
        </w:numPr>
        <w:textAlignment w:val="auto"/>
      </w:pPr>
      <w:r w:rsidRPr="00DD47DF">
        <w:t>Zajištění optimálního čerpání finančních prostředků programu prostřednictvím kvalitních projektů a efektivního využití výsledků evaluačních studií (včetně opatření na snížení administrativní zátěže).</w:t>
      </w:r>
    </w:p>
    <w:p w14:paraId="0D14FB0D" w14:textId="77777777" w:rsidR="00264514" w:rsidRPr="00DD47DF" w:rsidRDefault="00264514" w:rsidP="00DA3512">
      <w:pPr>
        <w:pStyle w:val="Standardntext"/>
        <w:numPr>
          <w:ilvl w:val="0"/>
          <w:numId w:val="60"/>
        </w:numPr>
        <w:textAlignment w:val="auto"/>
      </w:pPr>
      <w:r w:rsidRPr="00DD47DF">
        <w:t>Zpracování jasných a přehledných manuálů, příruček a dalších informačních materiálů pro žadatele zajistí eliminaci častých změn, různých výkladů a z nich plynoucích pochybení.</w:t>
      </w:r>
    </w:p>
    <w:p w14:paraId="78EFDD83" w14:textId="77777777" w:rsidR="00CF5E63" w:rsidRPr="00DD47DF" w:rsidRDefault="00DD2263" w:rsidP="005F43DF">
      <w:pPr>
        <w:pStyle w:val="kapitola2B"/>
        <w:keepNext w:val="0"/>
        <w:keepLines w:val="0"/>
        <w:numPr>
          <w:ilvl w:val="2"/>
          <w:numId w:val="12"/>
        </w:numPr>
        <w:ind w:left="709"/>
      </w:pPr>
      <w:bookmarkStart w:id="110" w:name="_Toc129005439"/>
      <w:r w:rsidRPr="00DD47DF">
        <w:t>Ukazatele výsledků</w:t>
      </w:r>
      <w:bookmarkEnd w:id="110"/>
    </w:p>
    <w:p w14:paraId="2511E8D9" w14:textId="77777777" w:rsidR="004B6609" w:rsidRPr="00DD47DF" w:rsidRDefault="004B6609" w:rsidP="00EA2881">
      <w:pPr>
        <w:pStyle w:val="Modrnadpis"/>
        <w:keepNext w:val="0"/>
        <w:keepLines w:val="0"/>
      </w:pPr>
      <w:r w:rsidRPr="00DD47DF">
        <w:t>SPECIFICKÝ CÍL 5.1: Zajištění efektivního řízení a administrace operačního programu</w:t>
      </w:r>
    </w:p>
    <w:p w14:paraId="3B1E82DB" w14:textId="77777777" w:rsidR="00771C05" w:rsidRPr="00DD47DF" w:rsidRDefault="00771C05" w:rsidP="00EA2881">
      <w:pPr>
        <w:pStyle w:val="Titulek"/>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12</w:t>
      </w:r>
      <w:r w:rsidR="002756E7" w:rsidRPr="00DD47DF">
        <w:rPr>
          <w:noProof/>
        </w:rPr>
        <w:fldChar w:fldCharType="end"/>
      </w:r>
      <w:r w:rsidR="004B6609" w:rsidRPr="00DD47DF">
        <w:rPr>
          <w:noProof/>
        </w:rPr>
        <w:t>a</w:t>
      </w:r>
      <w:r w:rsidRPr="00DD47DF">
        <w:t xml:space="preserve">: </w:t>
      </w:r>
      <w:r w:rsidR="00DD2263" w:rsidRPr="00DD47DF">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410"/>
        <w:gridCol w:w="992"/>
        <w:gridCol w:w="1112"/>
        <w:gridCol w:w="872"/>
        <w:gridCol w:w="993"/>
        <w:gridCol w:w="850"/>
        <w:gridCol w:w="1189"/>
      </w:tblGrid>
      <w:tr w:rsidR="00AF574A" w:rsidRPr="00DD47DF" w14:paraId="41080B6A" w14:textId="77777777">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1C8EE3FA" w14:textId="77777777" w:rsidR="00AF574A" w:rsidRPr="00DD47DF" w:rsidRDefault="00AF574A" w:rsidP="00EA2881">
            <w:pPr>
              <w:pStyle w:val="Tabulka"/>
              <w:rPr>
                <w:rFonts w:cs="Calibri"/>
              </w:rPr>
            </w:pPr>
            <w:r w:rsidRPr="00DD47DF">
              <w:rPr>
                <w:rFonts w:cs="Calibri"/>
                <w:b/>
                <w:bCs/>
              </w:rPr>
              <w:t>ID</w:t>
            </w:r>
          </w:p>
        </w:tc>
        <w:tc>
          <w:tcPr>
            <w:tcW w:w="241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0CCAE2F" w14:textId="77777777" w:rsidR="00AF574A" w:rsidRPr="00DD47DF" w:rsidRDefault="00DD2263" w:rsidP="00EA2881">
            <w:pPr>
              <w:pStyle w:val="Tabulka"/>
              <w:rPr>
                <w:rFonts w:cs="Calibri"/>
              </w:rPr>
            </w:pPr>
            <w:r w:rsidRPr="00DD47DF">
              <w:rPr>
                <w:rFonts w:cs="Calibri"/>
                <w:b/>
                <w:bCs/>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7431C0A" w14:textId="77777777" w:rsidR="00AF574A" w:rsidRPr="00DD47DF" w:rsidRDefault="00AF574A" w:rsidP="00720FD1">
            <w:pPr>
              <w:pStyle w:val="Tabulka"/>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111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49772BE" w14:textId="77777777" w:rsidR="00AF574A" w:rsidRPr="00DD47DF" w:rsidRDefault="004B0854" w:rsidP="00EA2881">
            <w:pPr>
              <w:pStyle w:val="Tabulka"/>
              <w:rPr>
                <w:rFonts w:cs="Calibri"/>
              </w:rPr>
            </w:pPr>
            <w:r w:rsidRPr="00DD47DF">
              <w:rPr>
                <w:rFonts w:cs="Calibri"/>
                <w:b/>
                <w:bCs/>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119A4F5" w14:textId="77777777" w:rsidR="00AF574A" w:rsidRPr="00DD47DF" w:rsidRDefault="004B0854" w:rsidP="004B0854">
            <w:pPr>
              <w:pStyle w:val="Tabulka"/>
              <w:rPr>
                <w:rFonts w:cs="Calibri"/>
              </w:rPr>
            </w:pPr>
            <w:r w:rsidRPr="00DD47DF">
              <w:rPr>
                <w:rFonts w:cs="Calibri"/>
                <w:b/>
                <w:bCs/>
              </w:rPr>
              <w:t xml:space="preserve">Výchozí </w:t>
            </w:r>
            <w:r w:rsidR="00AF574A" w:rsidRPr="00DD47DF">
              <w:rPr>
                <w:rFonts w:cs="Calibri"/>
                <w:b/>
                <w:bCs/>
              </w:rPr>
              <w:t>rok</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FDA4537" w14:textId="77777777" w:rsidR="00AF574A" w:rsidRPr="00DD47DF" w:rsidRDefault="009E5CFE" w:rsidP="00EA2881">
            <w:pPr>
              <w:pStyle w:val="Tabulka"/>
              <w:rPr>
                <w:rFonts w:cs="Calibri"/>
              </w:rPr>
            </w:pPr>
            <w:r w:rsidRPr="00DD47DF">
              <w:rPr>
                <w:rFonts w:cs="Calibri"/>
                <w:b/>
                <w:bCs/>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39E0C45" w14:textId="77777777" w:rsidR="00AF574A" w:rsidRPr="00DD47DF" w:rsidRDefault="00AF574A" w:rsidP="00EA2881">
            <w:pPr>
              <w:pStyle w:val="Tabulka"/>
              <w:rPr>
                <w:rFonts w:cs="Calibri"/>
              </w:rPr>
            </w:pPr>
            <w:r w:rsidRPr="00DD47DF">
              <w:rPr>
                <w:rFonts w:cs="Calibri"/>
                <w:b/>
                <w:bCs/>
              </w:rPr>
              <w:t>Zdroj údajů</w:t>
            </w:r>
          </w:p>
        </w:tc>
        <w:tc>
          <w:tcPr>
            <w:tcW w:w="1189"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149A33C" w14:textId="77777777" w:rsidR="00AF574A" w:rsidRPr="00DD47DF" w:rsidRDefault="00DD2263" w:rsidP="00EA2881">
            <w:pPr>
              <w:pStyle w:val="Tabulka"/>
              <w:rPr>
                <w:rFonts w:cs="Calibri"/>
              </w:rPr>
            </w:pPr>
            <w:r w:rsidRPr="00DD47DF">
              <w:rPr>
                <w:rFonts w:cs="Calibri"/>
                <w:b/>
                <w:bCs/>
              </w:rPr>
              <w:t>Četnost podávání zpráv</w:t>
            </w:r>
          </w:p>
        </w:tc>
      </w:tr>
      <w:tr w:rsidR="009F0C3A" w:rsidRPr="00DD47DF" w14:paraId="56A3AD0A" w14:textId="77777777">
        <w:trPr>
          <w:trHeight w:hRule="exact" w:val="884"/>
        </w:trPr>
        <w:tc>
          <w:tcPr>
            <w:tcW w:w="908" w:type="dxa"/>
            <w:tcBorders>
              <w:top w:val="single" w:sz="4" w:space="0" w:color="000000"/>
              <w:left w:val="single" w:sz="4" w:space="0" w:color="000000"/>
              <w:bottom w:val="single" w:sz="4" w:space="0" w:color="000000"/>
              <w:right w:val="single" w:sz="4" w:space="0" w:color="000000"/>
            </w:tcBorders>
            <w:vAlign w:val="center"/>
          </w:tcPr>
          <w:p w14:paraId="6CAABA72" w14:textId="77777777" w:rsidR="009F0C3A" w:rsidRPr="00DD47DF" w:rsidRDefault="00843120" w:rsidP="00EA2881">
            <w:pPr>
              <w:pStyle w:val="Tabulka"/>
              <w:rPr>
                <w:rFonts w:cs="Calibri"/>
              </w:rPr>
            </w:pPr>
            <w:r w:rsidRPr="00DD47DF">
              <w:rPr>
                <w:rFonts w:cs="Calibri"/>
              </w:rPr>
              <w:t>82510</w:t>
            </w:r>
          </w:p>
        </w:tc>
        <w:tc>
          <w:tcPr>
            <w:tcW w:w="2410" w:type="dxa"/>
            <w:tcBorders>
              <w:top w:val="single" w:sz="4" w:space="0" w:color="000000"/>
              <w:left w:val="single" w:sz="4" w:space="0" w:color="000000"/>
              <w:bottom w:val="single" w:sz="4" w:space="0" w:color="000000"/>
              <w:right w:val="single" w:sz="4" w:space="0" w:color="000000"/>
            </w:tcBorders>
            <w:vAlign w:val="center"/>
          </w:tcPr>
          <w:p w14:paraId="6CBF988E" w14:textId="77777777" w:rsidR="009F0C3A" w:rsidRPr="00DD47DF" w:rsidRDefault="005F561C" w:rsidP="00EA2881">
            <w:pPr>
              <w:pStyle w:val="Tabulka"/>
              <w:jc w:val="left"/>
              <w:rPr>
                <w:rFonts w:cs="Calibri"/>
              </w:rPr>
            </w:pPr>
            <w:r w:rsidRPr="00DD47DF">
              <w:rPr>
                <w:rFonts w:cs="Calibri"/>
              </w:rPr>
              <w:t>Míra stabilizace zaměstnanců implementační struktury</w:t>
            </w:r>
          </w:p>
        </w:tc>
        <w:tc>
          <w:tcPr>
            <w:tcW w:w="992" w:type="dxa"/>
            <w:tcBorders>
              <w:top w:val="single" w:sz="4" w:space="0" w:color="000000"/>
              <w:left w:val="single" w:sz="4" w:space="0" w:color="000000"/>
              <w:bottom w:val="single" w:sz="4" w:space="0" w:color="000000"/>
              <w:right w:val="single" w:sz="4" w:space="0" w:color="000000"/>
            </w:tcBorders>
            <w:vAlign w:val="center"/>
          </w:tcPr>
          <w:p w14:paraId="0D4C6438" w14:textId="77777777" w:rsidR="009F0C3A" w:rsidRPr="00DD47DF" w:rsidRDefault="009F0C3A" w:rsidP="00EA2881">
            <w:pPr>
              <w:pStyle w:val="Tabulka"/>
              <w:rPr>
                <w:rFonts w:cs="Calibri"/>
              </w:rPr>
            </w:pPr>
            <w:r w:rsidRPr="00DD47DF">
              <w:rPr>
                <w:rFonts w:cs="Calibri"/>
              </w:rPr>
              <w:t>%</w:t>
            </w:r>
          </w:p>
        </w:tc>
        <w:tc>
          <w:tcPr>
            <w:tcW w:w="1112" w:type="dxa"/>
            <w:tcBorders>
              <w:top w:val="single" w:sz="4" w:space="0" w:color="000000"/>
              <w:left w:val="single" w:sz="4" w:space="0" w:color="000000"/>
              <w:bottom w:val="single" w:sz="4" w:space="0" w:color="000000"/>
              <w:right w:val="single" w:sz="4" w:space="0" w:color="000000"/>
            </w:tcBorders>
            <w:vAlign w:val="center"/>
          </w:tcPr>
          <w:p w14:paraId="46AD69B9" w14:textId="77777777" w:rsidR="009F0C3A" w:rsidRPr="00DD47DF" w:rsidRDefault="00EF17A8" w:rsidP="00EA2881">
            <w:pPr>
              <w:pStyle w:val="Tabulka"/>
              <w:rPr>
                <w:rFonts w:cs="Calibri"/>
              </w:rPr>
            </w:pPr>
            <w:r w:rsidRPr="00DD47DF">
              <w:rPr>
                <w:rFonts w:cs="Calibri"/>
              </w:rPr>
              <w:t>53</w:t>
            </w:r>
          </w:p>
        </w:tc>
        <w:tc>
          <w:tcPr>
            <w:tcW w:w="872" w:type="dxa"/>
            <w:tcBorders>
              <w:top w:val="single" w:sz="4" w:space="0" w:color="000000"/>
              <w:left w:val="single" w:sz="4" w:space="0" w:color="000000"/>
              <w:bottom w:val="single" w:sz="4" w:space="0" w:color="000000"/>
              <w:right w:val="single" w:sz="4" w:space="0" w:color="000000"/>
            </w:tcBorders>
            <w:vAlign w:val="center"/>
          </w:tcPr>
          <w:p w14:paraId="05BDAC96" w14:textId="77777777" w:rsidR="009F0C3A" w:rsidRPr="00DD47DF" w:rsidRDefault="00EC7290" w:rsidP="00EA2881">
            <w:pPr>
              <w:pStyle w:val="Tabulka"/>
              <w:rPr>
                <w:rFonts w:cs="Calibri"/>
              </w:rPr>
            </w:pPr>
            <w:r w:rsidRPr="00DD47DF">
              <w:rPr>
                <w:rFonts w:cs="Calibri"/>
              </w:rPr>
              <w:t>2014</w:t>
            </w:r>
          </w:p>
        </w:tc>
        <w:tc>
          <w:tcPr>
            <w:tcW w:w="993" w:type="dxa"/>
            <w:tcBorders>
              <w:top w:val="single" w:sz="4" w:space="0" w:color="000000"/>
              <w:left w:val="single" w:sz="4" w:space="0" w:color="000000"/>
              <w:bottom w:val="single" w:sz="4" w:space="0" w:color="000000"/>
              <w:right w:val="single" w:sz="4" w:space="0" w:color="000000"/>
            </w:tcBorders>
            <w:vAlign w:val="center"/>
          </w:tcPr>
          <w:p w14:paraId="5892A9D1" w14:textId="77777777" w:rsidR="009F0C3A" w:rsidRPr="00DD47DF" w:rsidRDefault="00EF17A8" w:rsidP="00EA2881">
            <w:pPr>
              <w:pStyle w:val="Tabulka"/>
              <w:rPr>
                <w:rFonts w:cs="Calibri"/>
              </w:rPr>
            </w:pPr>
            <w:r w:rsidRPr="00DD47DF">
              <w:rPr>
                <w:rFonts w:cs="Calibri"/>
              </w:rPr>
              <w:t>65</w:t>
            </w:r>
          </w:p>
        </w:tc>
        <w:tc>
          <w:tcPr>
            <w:tcW w:w="850" w:type="dxa"/>
            <w:tcBorders>
              <w:top w:val="single" w:sz="4" w:space="0" w:color="000000"/>
              <w:left w:val="single" w:sz="4" w:space="0" w:color="000000"/>
              <w:bottom w:val="single" w:sz="4" w:space="0" w:color="000000"/>
              <w:right w:val="single" w:sz="4" w:space="0" w:color="000000"/>
            </w:tcBorders>
            <w:vAlign w:val="center"/>
          </w:tcPr>
          <w:p w14:paraId="0D89A107" w14:textId="77777777" w:rsidR="009F0C3A" w:rsidRPr="00DD47DF" w:rsidRDefault="005F561C" w:rsidP="00EA2881">
            <w:pPr>
              <w:pStyle w:val="Tabulka"/>
              <w:rPr>
                <w:rFonts w:cs="Calibri"/>
              </w:rPr>
            </w:pPr>
            <w:r w:rsidRPr="00DD47DF">
              <w:rPr>
                <w:rFonts w:cs="Calibri"/>
              </w:rPr>
              <w:t>ŘO</w:t>
            </w:r>
          </w:p>
        </w:tc>
        <w:tc>
          <w:tcPr>
            <w:tcW w:w="1189" w:type="dxa"/>
            <w:tcBorders>
              <w:top w:val="single" w:sz="4" w:space="0" w:color="000000"/>
              <w:left w:val="single" w:sz="4" w:space="0" w:color="000000"/>
              <w:bottom w:val="single" w:sz="4" w:space="0" w:color="000000"/>
              <w:right w:val="single" w:sz="4" w:space="0" w:color="000000"/>
            </w:tcBorders>
            <w:vAlign w:val="center"/>
          </w:tcPr>
          <w:p w14:paraId="73F344CF" w14:textId="77777777" w:rsidR="009F0C3A" w:rsidRPr="00DD47DF" w:rsidRDefault="00274100" w:rsidP="00EA2881">
            <w:pPr>
              <w:pStyle w:val="Tabulka"/>
              <w:rPr>
                <w:rFonts w:cs="Calibri"/>
              </w:rPr>
            </w:pPr>
            <w:r w:rsidRPr="00DD47DF">
              <w:rPr>
                <w:rFonts w:cs="Calibri"/>
              </w:rPr>
              <w:t>ročně</w:t>
            </w:r>
          </w:p>
        </w:tc>
      </w:tr>
    </w:tbl>
    <w:p w14:paraId="60322B94" w14:textId="77777777" w:rsidR="004B6609" w:rsidRPr="00DD47DF" w:rsidRDefault="004B6609" w:rsidP="00DD2263">
      <w:pPr>
        <w:pStyle w:val="Modrnadpis"/>
      </w:pPr>
      <w:r w:rsidRPr="00DD47DF">
        <w:t>SPECIFICKÝ CÍL 5.2: Zajištění informovanosti, publicity a absorpční kapacity operačního programu</w:t>
      </w:r>
    </w:p>
    <w:p w14:paraId="7FBEA986" w14:textId="77777777" w:rsidR="004B6609" w:rsidRPr="00DD47DF" w:rsidRDefault="004B6609" w:rsidP="00DD2263">
      <w:pPr>
        <w:pStyle w:val="Titulek"/>
        <w:keepNext/>
        <w:keepLines/>
      </w:pPr>
      <w:r w:rsidRPr="00DD47DF">
        <w:t xml:space="preserve">Tabulka </w:t>
      </w:r>
      <w:r w:rsidR="002756E7" w:rsidRPr="00DD47DF">
        <w:fldChar w:fldCharType="begin"/>
      </w:r>
      <w:r w:rsidR="000E35F2" w:rsidRPr="00DD47DF">
        <w:instrText xml:space="preserve"> SEQ Tabulka \* ARABIC \r 12 </w:instrText>
      </w:r>
      <w:r w:rsidR="002756E7" w:rsidRPr="00DD47DF">
        <w:fldChar w:fldCharType="separate"/>
      </w:r>
      <w:r w:rsidR="00117847">
        <w:rPr>
          <w:noProof/>
        </w:rPr>
        <w:t>12</w:t>
      </w:r>
      <w:r w:rsidR="002756E7" w:rsidRPr="00DD47DF">
        <w:rPr>
          <w:noProof/>
        </w:rPr>
        <w:fldChar w:fldCharType="end"/>
      </w:r>
      <w:r w:rsidRPr="00DD47DF">
        <w:rPr>
          <w:noProof/>
        </w:rPr>
        <w:t>b</w:t>
      </w:r>
      <w:r w:rsidRPr="00DD47DF">
        <w:t xml:space="preserve">: </w:t>
      </w:r>
      <w:r w:rsidR="00DD2263" w:rsidRPr="00DD47DF">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268"/>
        <w:gridCol w:w="992"/>
        <w:gridCol w:w="971"/>
        <w:gridCol w:w="872"/>
        <w:gridCol w:w="992"/>
        <w:gridCol w:w="1276"/>
        <w:gridCol w:w="1047"/>
      </w:tblGrid>
      <w:tr w:rsidR="004B6609" w:rsidRPr="00DD47DF" w14:paraId="229689D4" w14:textId="77777777">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07A74F0" w14:textId="77777777" w:rsidR="004B6609" w:rsidRPr="00DD47DF" w:rsidRDefault="004B6609" w:rsidP="00DD2263">
            <w:pPr>
              <w:pStyle w:val="Tabulka"/>
              <w:keepNext/>
              <w:keepLines/>
              <w:rPr>
                <w:rFonts w:cs="Calibri"/>
              </w:rPr>
            </w:pPr>
            <w:r w:rsidRPr="00DD47DF">
              <w:rPr>
                <w:rFonts w:cs="Calibri"/>
                <w:b/>
                <w:bCs/>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4E4ED63" w14:textId="77777777" w:rsidR="004B6609" w:rsidRPr="00DD47DF" w:rsidRDefault="00DD2263" w:rsidP="00DD2263">
            <w:pPr>
              <w:pStyle w:val="Tabulka"/>
              <w:keepNext/>
              <w:keepLines/>
              <w:rPr>
                <w:rFonts w:cs="Calibri"/>
              </w:rPr>
            </w:pPr>
            <w:r w:rsidRPr="00DD47DF">
              <w:rPr>
                <w:rFonts w:cs="Calibri"/>
                <w:b/>
                <w:bCs/>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D73AC68" w14:textId="77777777" w:rsidR="004B6609" w:rsidRPr="00DD47DF" w:rsidRDefault="004B6609" w:rsidP="00720FD1">
            <w:pPr>
              <w:pStyle w:val="Tabulka"/>
              <w:keepNext/>
              <w:keepLines/>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97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9A9E986" w14:textId="77777777" w:rsidR="004B6609" w:rsidRPr="00DD47DF" w:rsidRDefault="004B0854" w:rsidP="00DD2263">
            <w:pPr>
              <w:pStyle w:val="Tabulka"/>
              <w:keepNext/>
              <w:keepLines/>
              <w:rPr>
                <w:rFonts w:cs="Calibri"/>
              </w:rPr>
            </w:pPr>
            <w:r w:rsidRPr="00DD47DF">
              <w:rPr>
                <w:rFonts w:cs="Calibri"/>
                <w:b/>
                <w:bCs/>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670880E" w14:textId="77777777" w:rsidR="004B6609" w:rsidRPr="00DD47DF" w:rsidRDefault="004B0854" w:rsidP="004B0854">
            <w:pPr>
              <w:pStyle w:val="Tabulka"/>
              <w:keepNext/>
              <w:keepLines/>
              <w:rPr>
                <w:rFonts w:cs="Calibri"/>
              </w:rPr>
            </w:pPr>
            <w:r w:rsidRPr="00DD47DF">
              <w:rPr>
                <w:rFonts w:cs="Calibri"/>
                <w:b/>
                <w:bCs/>
              </w:rPr>
              <w:t xml:space="preserve">Výchozí </w:t>
            </w:r>
            <w:r w:rsidR="004B6609" w:rsidRPr="00DD47DF">
              <w:rPr>
                <w:rFonts w:cs="Calibri"/>
                <w:b/>
                <w:bCs/>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205AC6" w14:textId="77777777" w:rsidR="004B6609" w:rsidRPr="00DD47DF" w:rsidRDefault="004B6609" w:rsidP="00DD2263">
            <w:pPr>
              <w:pStyle w:val="Tabulka"/>
              <w:keepNext/>
              <w:keepLines/>
              <w:rPr>
                <w:rFonts w:cs="Calibri"/>
              </w:rPr>
            </w:pPr>
            <w:r w:rsidRPr="00DD47DF">
              <w:rPr>
                <w:rFonts w:cs="Calibri"/>
                <w:b/>
                <w:bCs/>
              </w:rPr>
              <w:t>Cílová hodnota (2023)</w:t>
            </w:r>
          </w:p>
        </w:tc>
        <w:tc>
          <w:tcPr>
            <w:tcW w:w="1276"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2474808" w14:textId="77777777" w:rsidR="004B6609" w:rsidRPr="00DD47DF" w:rsidRDefault="004B6609" w:rsidP="00DD2263">
            <w:pPr>
              <w:pStyle w:val="Tabulka"/>
              <w:keepNext/>
              <w:keepLines/>
              <w:rPr>
                <w:rFonts w:cs="Calibri"/>
              </w:rPr>
            </w:pPr>
            <w:r w:rsidRPr="00DD47DF">
              <w:rPr>
                <w:rFonts w:cs="Calibri"/>
                <w:b/>
                <w:bCs/>
              </w:rPr>
              <w:t>Zdroj údajů</w:t>
            </w:r>
          </w:p>
        </w:tc>
        <w:tc>
          <w:tcPr>
            <w:tcW w:w="104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03A3162E" w14:textId="77777777" w:rsidR="004B6609" w:rsidRPr="00DD47DF" w:rsidRDefault="00DD2263" w:rsidP="00DD2263">
            <w:pPr>
              <w:pStyle w:val="Tabulka"/>
              <w:keepNext/>
              <w:keepLines/>
              <w:rPr>
                <w:rFonts w:cs="Calibri"/>
              </w:rPr>
            </w:pPr>
            <w:r w:rsidRPr="00DD47DF">
              <w:rPr>
                <w:rFonts w:cs="Calibri"/>
                <w:b/>
                <w:bCs/>
              </w:rPr>
              <w:t>Četnost podávání zpráv</w:t>
            </w:r>
          </w:p>
        </w:tc>
      </w:tr>
      <w:tr w:rsidR="006A5D3E" w:rsidRPr="00DD47DF" w14:paraId="1EEB4AB4" w14:textId="77777777">
        <w:trPr>
          <w:trHeight w:hRule="exact" w:val="756"/>
        </w:trPr>
        <w:tc>
          <w:tcPr>
            <w:tcW w:w="908" w:type="dxa"/>
            <w:tcBorders>
              <w:top w:val="single" w:sz="4" w:space="0" w:color="000000"/>
              <w:left w:val="single" w:sz="4" w:space="0" w:color="000000"/>
              <w:bottom w:val="single" w:sz="4" w:space="0" w:color="000000"/>
              <w:right w:val="single" w:sz="4" w:space="0" w:color="000000"/>
            </w:tcBorders>
            <w:vAlign w:val="center"/>
          </w:tcPr>
          <w:p w14:paraId="04324D72" w14:textId="77777777" w:rsidR="006A5D3E" w:rsidRPr="00DD47DF" w:rsidDel="006A5D3E" w:rsidRDefault="002900B4" w:rsidP="00EA2881">
            <w:pPr>
              <w:pStyle w:val="Tabulka"/>
              <w:rPr>
                <w:rFonts w:cs="Calibri"/>
              </w:rPr>
            </w:pPr>
            <w:r w:rsidRPr="00DD47DF">
              <w:rPr>
                <w:rFonts w:cs="Calibri"/>
              </w:rPr>
              <w:t>80210</w:t>
            </w:r>
          </w:p>
        </w:tc>
        <w:tc>
          <w:tcPr>
            <w:tcW w:w="2268" w:type="dxa"/>
            <w:tcBorders>
              <w:top w:val="single" w:sz="4" w:space="0" w:color="000000"/>
              <w:left w:val="single" w:sz="4" w:space="0" w:color="000000"/>
              <w:bottom w:val="single" w:sz="4" w:space="0" w:color="000000"/>
              <w:right w:val="single" w:sz="4" w:space="0" w:color="000000"/>
            </w:tcBorders>
            <w:vAlign w:val="center"/>
          </w:tcPr>
          <w:p w14:paraId="18D1C4ED" w14:textId="77777777" w:rsidR="006A5D3E" w:rsidRPr="00DD47DF" w:rsidDel="006A5D3E" w:rsidRDefault="002900B4" w:rsidP="00EA2881">
            <w:pPr>
              <w:pStyle w:val="Tabulka"/>
              <w:jc w:val="left"/>
              <w:rPr>
                <w:rFonts w:cs="Calibri"/>
              </w:rPr>
            </w:pPr>
            <w:r w:rsidRPr="00DD47DF">
              <w:rPr>
                <w:rFonts w:cs="Calibri"/>
              </w:rPr>
              <w:t>Míra úspěšnosti projektových žádostí</w:t>
            </w:r>
          </w:p>
        </w:tc>
        <w:tc>
          <w:tcPr>
            <w:tcW w:w="992" w:type="dxa"/>
            <w:tcBorders>
              <w:top w:val="single" w:sz="4" w:space="0" w:color="000000"/>
              <w:left w:val="single" w:sz="4" w:space="0" w:color="000000"/>
              <w:bottom w:val="single" w:sz="4" w:space="0" w:color="000000"/>
              <w:right w:val="single" w:sz="4" w:space="0" w:color="000000"/>
            </w:tcBorders>
            <w:vAlign w:val="center"/>
          </w:tcPr>
          <w:p w14:paraId="427C8443" w14:textId="77777777" w:rsidR="006A5D3E" w:rsidRPr="00DD47DF" w:rsidDel="006A5D3E" w:rsidRDefault="002900B4" w:rsidP="00EA2881">
            <w:pPr>
              <w:pStyle w:val="Tabulka"/>
              <w:rPr>
                <w:rFonts w:cs="Calibri"/>
              </w:rPr>
            </w:pPr>
            <w:r w:rsidRPr="00DD47DF">
              <w:rPr>
                <w:rFonts w:cs="Calibri"/>
              </w:rPr>
              <w:t>%</w:t>
            </w:r>
          </w:p>
        </w:tc>
        <w:tc>
          <w:tcPr>
            <w:tcW w:w="971" w:type="dxa"/>
            <w:tcBorders>
              <w:top w:val="single" w:sz="4" w:space="0" w:color="000000"/>
              <w:left w:val="single" w:sz="4" w:space="0" w:color="000000"/>
              <w:bottom w:val="single" w:sz="4" w:space="0" w:color="000000"/>
              <w:right w:val="single" w:sz="4" w:space="0" w:color="000000"/>
            </w:tcBorders>
            <w:vAlign w:val="center"/>
          </w:tcPr>
          <w:p w14:paraId="3DEADD76" w14:textId="77777777" w:rsidR="006A5D3E" w:rsidRPr="00DD47DF" w:rsidDel="006A5D3E" w:rsidRDefault="00BC18A3" w:rsidP="00EA2881">
            <w:pPr>
              <w:pStyle w:val="Tabulka"/>
              <w:rPr>
                <w:rFonts w:cs="Calibri"/>
              </w:rPr>
            </w:pPr>
            <w:r w:rsidRPr="00DD47DF">
              <w:rPr>
                <w:rFonts w:cs="Calibri"/>
              </w:rPr>
              <w:t>94,37</w:t>
            </w:r>
          </w:p>
        </w:tc>
        <w:tc>
          <w:tcPr>
            <w:tcW w:w="872" w:type="dxa"/>
            <w:tcBorders>
              <w:top w:val="single" w:sz="4" w:space="0" w:color="000000"/>
              <w:left w:val="single" w:sz="4" w:space="0" w:color="000000"/>
              <w:bottom w:val="single" w:sz="4" w:space="0" w:color="000000"/>
              <w:right w:val="single" w:sz="4" w:space="0" w:color="000000"/>
            </w:tcBorders>
            <w:vAlign w:val="center"/>
          </w:tcPr>
          <w:p w14:paraId="763ED53A" w14:textId="77777777" w:rsidR="006A5D3E" w:rsidRPr="00DD47DF" w:rsidDel="006A5D3E" w:rsidRDefault="002900B4" w:rsidP="00EA2881">
            <w:pPr>
              <w:pStyle w:val="Tabulka"/>
              <w:rPr>
                <w:rFonts w:cs="Calibri"/>
              </w:rPr>
            </w:pPr>
            <w:r w:rsidRPr="00DD47DF">
              <w:rPr>
                <w:rFonts w:cs="Calibri"/>
              </w:rPr>
              <w:t>2014</w:t>
            </w:r>
          </w:p>
        </w:tc>
        <w:tc>
          <w:tcPr>
            <w:tcW w:w="992" w:type="dxa"/>
            <w:tcBorders>
              <w:top w:val="single" w:sz="4" w:space="0" w:color="000000"/>
              <w:left w:val="single" w:sz="4" w:space="0" w:color="000000"/>
              <w:bottom w:val="single" w:sz="4" w:space="0" w:color="000000"/>
              <w:right w:val="single" w:sz="4" w:space="0" w:color="000000"/>
            </w:tcBorders>
            <w:vAlign w:val="center"/>
          </w:tcPr>
          <w:p w14:paraId="6386F858" w14:textId="77777777" w:rsidR="006A5D3E" w:rsidRPr="00DD47DF" w:rsidDel="006A5D3E" w:rsidRDefault="00483D70" w:rsidP="00EA2881">
            <w:pPr>
              <w:pStyle w:val="Tabulka"/>
              <w:rPr>
                <w:rFonts w:cs="Calibri"/>
              </w:rPr>
            </w:pPr>
            <w:r w:rsidRPr="00DD47DF">
              <w:rPr>
                <w:rFonts w:cs="Calibri"/>
              </w:rPr>
              <w:t>95</w:t>
            </w:r>
          </w:p>
        </w:tc>
        <w:tc>
          <w:tcPr>
            <w:tcW w:w="1276" w:type="dxa"/>
            <w:tcBorders>
              <w:top w:val="single" w:sz="4" w:space="0" w:color="000000"/>
              <w:left w:val="single" w:sz="4" w:space="0" w:color="000000"/>
              <w:bottom w:val="single" w:sz="4" w:space="0" w:color="000000"/>
              <w:right w:val="single" w:sz="4" w:space="0" w:color="000000"/>
            </w:tcBorders>
            <w:vAlign w:val="center"/>
          </w:tcPr>
          <w:p w14:paraId="4BF245EC" w14:textId="77777777" w:rsidR="006A5D3E" w:rsidRPr="00DD47DF" w:rsidDel="006A5D3E" w:rsidRDefault="002900B4" w:rsidP="00EA2881">
            <w:pPr>
              <w:pStyle w:val="Tabulka"/>
              <w:rPr>
                <w:rFonts w:cs="Calibri"/>
              </w:rPr>
            </w:pPr>
            <w:r w:rsidRPr="00DD47DF">
              <w:rPr>
                <w:rFonts w:cs="Calibri"/>
              </w:rPr>
              <w:t>ŘO</w:t>
            </w:r>
          </w:p>
        </w:tc>
        <w:tc>
          <w:tcPr>
            <w:tcW w:w="1047" w:type="dxa"/>
            <w:tcBorders>
              <w:top w:val="single" w:sz="4" w:space="0" w:color="000000"/>
              <w:left w:val="single" w:sz="4" w:space="0" w:color="000000"/>
              <w:bottom w:val="single" w:sz="4" w:space="0" w:color="000000"/>
              <w:right w:val="single" w:sz="4" w:space="0" w:color="000000"/>
            </w:tcBorders>
            <w:vAlign w:val="center"/>
          </w:tcPr>
          <w:p w14:paraId="2871558A" w14:textId="77777777" w:rsidR="006A5D3E" w:rsidRPr="00DD47DF" w:rsidDel="006A5D3E" w:rsidRDefault="002900B4" w:rsidP="00EA2881">
            <w:pPr>
              <w:pStyle w:val="Tabulka"/>
              <w:rPr>
                <w:rFonts w:cs="Calibri"/>
              </w:rPr>
            </w:pPr>
            <w:r w:rsidRPr="00DD47DF">
              <w:rPr>
                <w:rFonts w:cs="Calibri"/>
              </w:rPr>
              <w:t>ročně</w:t>
            </w:r>
          </w:p>
        </w:tc>
      </w:tr>
    </w:tbl>
    <w:p w14:paraId="439D9E60" w14:textId="77777777" w:rsidR="00CF5E63" w:rsidRPr="00DD47DF" w:rsidRDefault="00DD2263" w:rsidP="005F43DF">
      <w:pPr>
        <w:pStyle w:val="kapitola2B"/>
        <w:numPr>
          <w:ilvl w:val="2"/>
          <w:numId w:val="12"/>
        </w:numPr>
        <w:ind w:left="709"/>
      </w:pPr>
      <w:bookmarkStart w:id="111" w:name="_Toc129005440"/>
      <w:r w:rsidRPr="00DD47DF">
        <w:lastRenderedPageBreak/>
        <w:t>Opatření, která mají být podpořena, a jejich očekávaný přínos ke specifickým cílům</w:t>
      </w:r>
      <w:bookmarkEnd w:id="111"/>
    </w:p>
    <w:p w14:paraId="10D1B18E" w14:textId="77777777" w:rsidR="00C969F4" w:rsidRPr="00DD47DF" w:rsidRDefault="00DD2263" w:rsidP="005F43DF">
      <w:pPr>
        <w:pStyle w:val="Nadpis5"/>
        <w:numPr>
          <w:ilvl w:val="4"/>
          <w:numId w:val="13"/>
        </w:numPr>
      </w:pPr>
      <w:r w:rsidRPr="00DD47DF">
        <w:t>Popis opatření, která mají bý</w:t>
      </w:r>
      <w:r w:rsidR="008C1E31" w:rsidRPr="00DD47DF">
        <w:t>t</w:t>
      </w:r>
      <w:r w:rsidRPr="00DD47DF">
        <w:t xml:space="preserve"> podpořena, a jejich očekávaný přínos ke specifickým cílům</w:t>
      </w:r>
    </w:p>
    <w:p w14:paraId="57953E8B" w14:textId="77777777" w:rsidR="000E7F90" w:rsidRPr="00DD47DF" w:rsidRDefault="000E7F90" w:rsidP="000E7F90">
      <w:pPr>
        <w:pStyle w:val="Modrnadpis"/>
        <w:rPr>
          <w:rFonts w:cs="Calibri"/>
          <w:szCs w:val="24"/>
        </w:rPr>
      </w:pPr>
      <w:r w:rsidRPr="00DD47DF">
        <w:t>SPECIFICKÝ CÍL 5.1: Zajištění efektivního řízení a administrace operačního programu</w:t>
      </w:r>
    </w:p>
    <w:p w14:paraId="138D4FE9" w14:textId="57969B88" w:rsidR="0049001E" w:rsidRPr="00DD47DF" w:rsidRDefault="0049001E" w:rsidP="0049001E">
      <w:pPr>
        <w:spacing w:before="120" w:after="60"/>
        <w:jc w:val="both"/>
        <w:rPr>
          <w:bCs/>
          <w:sz w:val="24"/>
        </w:rPr>
      </w:pPr>
      <w:r w:rsidRPr="00DD47DF">
        <w:rPr>
          <w:bCs/>
          <w:sz w:val="24"/>
        </w:rPr>
        <w:t xml:space="preserve">Jedná se o aktivity operačního programu, které jsou zaměřeny na jeho přípravu, řízení, implementaci, vzdělávání implementační struktury, monitorování, hodnocení a kontrolu. Z prostředků technické pomoci OP PIK budou rovněž hrazeny náklady spojené se zasedáním </w:t>
      </w:r>
      <w:r w:rsidR="00BA68C1">
        <w:rPr>
          <w:bCs/>
          <w:sz w:val="24"/>
        </w:rPr>
        <w:t>výběrových</w:t>
      </w:r>
      <w:r w:rsidR="00BA68C1" w:rsidRPr="00DD47DF">
        <w:rPr>
          <w:bCs/>
          <w:sz w:val="24"/>
        </w:rPr>
        <w:t xml:space="preserve"> </w:t>
      </w:r>
      <w:r w:rsidRPr="00DD47DF">
        <w:rPr>
          <w:bCs/>
          <w:sz w:val="24"/>
        </w:rPr>
        <w:t>komisí a Monitorovacího výboru a dále aktivity spojené se zpracováním odborných externích posudků a analýz.  V neposlední řadě bude hrazena příprava nového programovacího období po roce 2020 a výdaje související s realizací SC 4.1.</w:t>
      </w:r>
    </w:p>
    <w:p w14:paraId="2F3F6953" w14:textId="77777777" w:rsidR="0049001E" w:rsidRPr="00DD47DF" w:rsidRDefault="0049001E" w:rsidP="0049001E">
      <w:pPr>
        <w:pStyle w:val="Standardntext"/>
        <w:rPr>
          <w:b/>
        </w:rPr>
      </w:pPr>
      <w:r w:rsidRPr="00DD47DF">
        <w:rPr>
          <w:bCs/>
          <w:szCs w:val="20"/>
        </w:rPr>
        <w:t>Jde o veškeré potřebné podpůrné aktivity prováděné Řídicím orgánem OP PIK a subjekty implementační struktury s cílem zvýšit účinnost prováděné podpory.</w:t>
      </w:r>
    </w:p>
    <w:p w14:paraId="2EB85A2A" w14:textId="77777777" w:rsidR="000E7F90" w:rsidRPr="00DD47DF" w:rsidRDefault="000E7F90" w:rsidP="000E7F90">
      <w:pPr>
        <w:pStyle w:val="Standardntext"/>
        <w:rPr>
          <w:b/>
        </w:rPr>
      </w:pPr>
      <w:r w:rsidRPr="00DD47DF">
        <w:rPr>
          <w:b/>
        </w:rPr>
        <w:t>Podporovan</w:t>
      </w:r>
      <w:r w:rsidR="00C05A7E" w:rsidRPr="00DD47DF">
        <w:rPr>
          <w:b/>
        </w:rPr>
        <w:t>é aktivity</w:t>
      </w:r>
      <w:r w:rsidRPr="00DD47DF">
        <w:rPr>
          <w:b/>
        </w:rPr>
        <w:t xml:space="preserve">: </w:t>
      </w:r>
    </w:p>
    <w:p w14:paraId="7167BBE5" w14:textId="77777777" w:rsidR="000E7F90" w:rsidRPr="00DD47DF" w:rsidRDefault="000E7F90" w:rsidP="00DA3512">
      <w:pPr>
        <w:pStyle w:val="Standardntext"/>
        <w:numPr>
          <w:ilvl w:val="0"/>
          <w:numId w:val="61"/>
        </w:numPr>
      </w:pPr>
      <w:r w:rsidRPr="00DD47DF">
        <w:t xml:space="preserve">Příprava, řízení, administrace, monitorování programu (činnosti bezprostředně související s implementací programu), tj.: </w:t>
      </w:r>
    </w:p>
    <w:p w14:paraId="33A03AB3" w14:textId="77777777" w:rsidR="000E7F90" w:rsidRPr="00DD47DF" w:rsidRDefault="0049001E" w:rsidP="00DA3512">
      <w:pPr>
        <w:pStyle w:val="Standardntext"/>
        <w:numPr>
          <w:ilvl w:val="1"/>
          <w:numId w:val="61"/>
        </w:numPr>
      </w:pPr>
      <w:r w:rsidRPr="00DD47DF">
        <w:t xml:space="preserve">audity a </w:t>
      </w:r>
      <w:r w:rsidR="000E7F90" w:rsidRPr="00DD47DF">
        <w:t>veřejnosprávní kontroly na místě</w:t>
      </w:r>
    </w:p>
    <w:p w14:paraId="24F8BE45" w14:textId="77777777" w:rsidR="000E7F90" w:rsidRPr="00DD47DF" w:rsidRDefault="000E7F90" w:rsidP="00DA3512">
      <w:pPr>
        <w:pStyle w:val="Standardntext"/>
        <w:numPr>
          <w:ilvl w:val="1"/>
          <w:numId w:val="61"/>
        </w:numPr>
      </w:pPr>
      <w:r w:rsidRPr="00DD47DF">
        <w:t>technické a provozní zajištění funkcí řídicího orgánu, zprostředkující</w:t>
      </w:r>
      <w:r w:rsidR="00B72B46" w:rsidRPr="00DD47DF">
        <w:t>ho</w:t>
      </w:r>
      <w:r w:rsidRPr="00DD47DF">
        <w:t xml:space="preserve"> subjekt</w:t>
      </w:r>
      <w:r w:rsidR="00B72B46" w:rsidRPr="00DD47DF">
        <w:t>u</w:t>
      </w:r>
    </w:p>
    <w:p w14:paraId="75A81D5A" w14:textId="77777777" w:rsidR="000E7F90" w:rsidRPr="00DD47DF" w:rsidRDefault="000E7F90" w:rsidP="00DA3512">
      <w:pPr>
        <w:pStyle w:val="Standardntext"/>
        <w:numPr>
          <w:ilvl w:val="1"/>
          <w:numId w:val="61"/>
        </w:numPr>
      </w:pPr>
      <w:r w:rsidRPr="00DD47DF">
        <w:t>odměňování zaměstnanců (včetně zákonných odvodů podílejí</w:t>
      </w:r>
      <w:r w:rsidR="00C05A7E" w:rsidRPr="00DD47DF">
        <w:t>cích se</w:t>
      </w:r>
      <w:r w:rsidRPr="00DD47DF">
        <w:t xml:space="preserve"> na přípravě, </w:t>
      </w:r>
      <w:r w:rsidR="00C05A7E" w:rsidRPr="00DD47DF">
        <w:t>implementaci</w:t>
      </w:r>
      <w:r w:rsidR="007300F9" w:rsidRPr="00DD47DF">
        <w:t>,</w:t>
      </w:r>
      <w:r w:rsidRPr="00DD47DF">
        <w:t xml:space="preserve"> hodnocení a monitorování programu a kontrolách</w:t>
      </w:r>
    </w:p>
    <w:p w14:paraId="4D7B000D" w14:textId="77777777" w:rsidR="000E7F90" w:rsidRPr="00DD47DF" w:rsidRDefault="0049001E" w:rsidP="00DA3512">
      <w:pPr>
        <w:pStyle w:val="Standardntext"/>
        <w:numPr>
          <w:ilvl w:val="1"/>
          <w:numId w:val="61"/>
        </w:numPr>
      </w:pPr>
      <w:r w:rsidRPr="00DD47DF">
        <w:t xml:space="preserve">vzdělávání implementační struktury: </w:t>
      </w:r>
      <w:r w:rsidR="000E7F90" w:rsidRPr="00DD47DF">
        <w:t>školení, semináře, workshopy</w:t>
      </w:r>
      <w:r w:rsidR="00870B7F" w:rsidRPr="00DD47DF">
        <w:t>,</w:t>
      </w:r>
      <w:r w:rsidR="000E7F90" w:rsidRPr="00DD47DF">
        <w:t xml:space="preserve"> vzdělávání pracovníků implementačních orgánů</w:t>
      </w:r>
    </w:p>
    <w:p w14:paraId="02BDE465" w14:textId="039E7644" w:rsidR="000E7F90" w:rsidRPr="00DD47DF" w:rsidRDefault="000E7F90" w:rsidP="00DA3512">
      <w:pPr>
        <w:pStyle w:val="Standardntext"/>
        <w:numPr>
          <w:ilvl w:val="1"/>
          <w:numId w:val="61"/>
        </w:numPr>
      </w:pPr>
      <w:r w:rsidRPr="00DD47DF">
        <w:t xml:space="preserve">zasedání </w:t>
      </w:r>
      <w:r w:rsidR="00BA68C1">
        <w:t>výběrových</w:t>
      </w:r>
      <w:r w:rsidR="00BA68C1" w:rsidRPr="00DD47DF">
        <w:t xml:space="preserve"> </w:t>
      </w:r>
      <w:r w:rsidRPr="00DD47DF">
        <w:t>komisí, včetně nákladů na činnost externích odborníků</w:t>
      </w:r>
    </w:p>
    <w:p w14:paraId="49EF98DC" w14:textId="77777777" w:rsidR="000E7F90" w:rsidRPr="00DD47DF" w:rsidRDefault="000E7F90" w:rsidP="00DA3512">
      <w:pPr>
        <w:pStyle w:val="Standardntext"/>
        <w:numPr>
          <w:ilvl w:val="1"/>
          <w:numId w:val="61"/>
        </w:numPr>
      </w:pPr>
      <w:r w:rsidRPr="00DD47DF">
        <w:t xml:space="preserve">činnost </w:t>
      </w:r>
      <w:r w:rsidR="007300F9" w:rsidRPr="00DD47DF">
        <w:t xml:space="preserve">Monitorovacího </w:t>
      </w:r>
      <w:r w:rsidRPr="00DD47DF">
        <w:t xml:space="preserve">výboru </w:t>
      </w:r>
      <w:r w:rsidR="007300F9" w:rsidRPr="00DD47DF">
        <w:t>OP PIK, platformy pro plánování výzev</w:t>
      </w:r>
    </w:p>
    <w:p w14:paraId="07C8032C" w14:textId="77777777" w:rsidR="000E7F90" w:rsidRPr="00DD47DF" w:rsidRDefault="000E7F90" w:rsidP="00DA3512">
      <w:pPr>
        <w:pStyle w:val="Standardntext"/>
        <w:numPr>
          <w:ilvl w:val="1"/>
          <w:numId w:val="61"/>
        </w:numPr>
      </w:pPr>
      <w:r w:rsidRPr="00DD47DF">
        <w:t>zpracování odborných externích posudků, analýz a metodik pro posouzení správnosti nastavení a funkčnosti procesních systémů implementace</w:t>
      </w:r>
    </w:p>
    <w:p w14:paraId="1F2E71E6" w14:textId="77777777" w:rsidR="000E7F90" w:rsidRPr="00DD47DF" w:rsidRDefault="000E7F90" w:rsidP="000E7F90">
      <w:pPr>
        <w:pStyle w:val="Standardntext"/>
        <w:numPr>
          <w:ilvl w:val="0"/>
          <w:numId w:val="29"/>
        </w:numPr>
      </w:pPr>
      <w:r w:rsidRPr="00DD47DF">
        <w:t>přenos dobrých zkušeností do přípravy programovacího období 2021+</w:t>
      </w:r>
    </w:p>
    <w:p w14:paraId="53D43FE6" w14:textId="77777777" w:rsidR="000E7F90" w:rsidRPr="00DD47DF" w:rsidRDefault="000E7F90" w:rsidP="000E7F90">
      <w:pPr>
        <w:pStyle w:val="Standardntext"/>
        <w:numPr>
          <w:ilvl w:val="0"/>
          <w:numId w:val="29"/>
        </w:numPr>
      </w:pPr>
      <w:r w:rsidRPr="00DD47DF">
        <w:rPr>
          <w:iCs/>
        </w:rPr>
        <w:t xml:space="preserve">realizace opatření v souvislosti s implementací </w:t>
      </w:r>
      <w:r w:rsidR="007300F9" w:rsidRPr="00DD47DF">
        <w:rPr>
          <w:iCs/>
        </w:rPr>
        <w:t>SC</w:t>
      </w:r>
      <w:r w:rsidRPr="00DD47DF">
        <w:rPr>
          <w:iCs/>
        </w:rPr>
        <w:t xml:space="preserve"> 4.1 zejména s ohledem na mapování infrastruktury</w:t>
      </w:r>
      <w:r w:rsidR="00783C22" w:rsidRPr="00DD47DF">
        <w:rPr>
          <w:iCs/>
        </w:rPr>
        <w:t>, tj. s</w:t>
      </w:r>
      <w:r w:rsidR="007300F9" w:rsidRPr="00DD47DF">
        <w:rPr>
          <w:iCs/>
        </w:rPr>
        <w:t>tanovení lokalit, které mohou být předmětem podpory</w:t>
      </w:r>
      <w:r w:rsidR="00783C22" w:rsidRPr="00DD47DF">
        <w:rPr>
          <w:iCs/>
        </w:rPr>
        <w:t xml:space="preserve"> (blíže viz SC 4.1</w:t>
      </w:r>
      <w:r w:rsidR="007300F9" w:rsidRPr="00DD47DF">
        <w:rPr>
          <w:iCs/>
        </w:rPr>
        <w:t>)</w:t>
      </w:r>
    </w:p>
    <w:p w14:paraId="10A42F01" w14:textId="77777777" w:rsidR="00C47A18" w:rsidRPr="00DD47DF" w:rsidRDefault="00C47A18" w:rsidP="00C47A18">
      <w:pPr>
        <w:pStyle w:val="Standardntext"/>
        <w:numPr>
          <w:ilvl w:val="0"/>
          <w:numId w:val="29"/>
        </w:numPr>
      </w:pPr>
      <w:r w:rsidRPr="00DD47DF">
        <w:t>dokončení implementace programového období 2007-2013, včetně ex-post evaluace OPPI</w:t>
      </w:r>
    </w:p>
    <w:p w14:paraId="05ABE1AE" w14:textId="77777777" w:rsidR="000E7F90" w:rsidRPr="00DD47DF" w:rsidRDefault="000E7F90" w:rsidP="00284818">
      <w:pPr>
        <w:pStyle w:val="Standardntext"/>
      </w:pPr>
      <w:r w:rsidRPr="00DD47DF">
        <w:rPr>
          <w:u w:val="single"/>
        </w:rPr>
        <w:t xml:space="preserve">Vybrané oblasti </w:t>
      </w:r>
      <w:r w:rsidR="007300F9" w:rsidRPr="00DD47DF">
        <w:rPr>
          <w:u w:val="single"/>
        </w:rPr>
        <w:t>SC 5.1</w:t>
      </w:r>
      <w:r w:rsidRPr="00DD47DF">
        <w:rPr>
          <w:u w:val="single"/>
        </w:rPr>
        <w:t xml:space="preserve"> v kontextu vyhodnocení zkušeností z implementace OPPI</w:t>
      </w:r>
      <w:r w:rsidRPr="00DD47DF">
        <w:t xml:space="preserve"> (dále </w:t>
      </w:r>
      <w:r w:rsidR="001A4D0A" w:rsidRPr="00DD47DF">
        <w:t xml:space="preserve">Nepovinná </w:t>
      </w:r>
      <w:r w:rsidRPr="00DD47DF">
        <w:t xml:space="preserve">příloha č. 1): </w:t>
      </w:r>
    </w:p>
    <w:p w14:paraId="2DFD790C" w14:textId="77777777" w:rsidR="000E7F90" w:rsidRPr="00DD47DF" w:rsidRDefault="000E7F90" w:rsidP="00284818">
      <w:pPr>
        <w:pStyle w:val="Standardntext"/>
      </w:pPr>
      <w:r w:rsidRPr="00DD47DF">
        <w:t xml:space="preserve">(i) Stabilizace zaměstnanců, snížení fluktuace: Zajištění stálé zaměstnanecké sestavy řídícího orgánu, proškolování pracovníků, zajištění dostatečné administrativní kapacity řídícího orgánu a </w:t>
      </w:r>
      <w:r w:rsidR="00B72B46" w:rsidRPr="00DD47DF">
        <w:t xml:space="preserve">zprostředkujícího </w:t>
      </w:r>
      <w:r w:rsidRPr="00DD47DF">
        <w:t>subjekt</w:t>
      </w:r>
      <w:r w:rsidR="00B72B46" w:rsidRPr="00DD47DF">
        <w:t>u</w:t>
      </w:r>
      <w:r w:rsidRPr="00DD47DF">
        <w:t xml:space="preserve">. </w:t>
      </w:r>
      <w:r w:rsidR="00FA33B7" w:rsidRPr="00DD47DF">
        <w:t xml:space="preserve">Řídící orgán </w:t>
      </w:r>
      <w:r w:rsidR="007300F9" w:rsidRPr="00DD47DF">
        <w:t>zde</w:t>
      </w:r>
      <w:r w:rsidR="00FA33B7" w:rsidRPr="00DD47DF">
        <w:t xml:space="preserve"> spolupracuje s NOK a naplňuje povinnosti, které </w:t>
      </w:r>
      <w:r w:rsidR="00FA33B7" w:rsidRPr="00DD47DF">
        <w:lastRenderedPageBreak/>
        <w:t>stanovuje Metodický pokyn pro rozvoj lidských zdrojů</w:t>
      </w:r>
      <w:r w:rsidR="006E0874" w:rsidRPr="00DD47DF">
        <w:rPr>
          <w:rStyle w:val="Znakapoznpodarou"/>
        </w:rPr>
        <w:t xml:space="preserve"> </w:t>
      </w:r>
      <w:r w:rsidR="006E0874" w:rsidRPr="00DD47DF">
        <w:t>schválený vládou ČR v červnu 2014</w:t>
      </w:r>
      <w:r w:rsidR="00BA7741" w:rsidRPr="00DD47DF">
        <w:rPr>
          <w:rStyle w:val="Znakapoznpodarou"/>
        </w:rPr>
        <w:footnoteReference w:id="75"/>
      </w:r>
      <w:r w:rsidR="00FA33B7" w:rsidRPr="00DD47DF">
        <w:t xml:space="preserve">. Metodický pokyn pokrývá problematiku nastavení administrativní kapacity </w:t>
      </w:r>
      <w:r w:rsidR="007300F9" w:rsidRPr="00DD47DF">
        <w:t xml:space="preserve">a vychází z </w:t>
      </w:r>
      <w:r w:rsidR="00FA33B7" w:rsidRPr="00DD47DF">
        <w:t>analýz</w:t>
      </w:r>
      <w:r w:rsidR="007300F9" w:rsidRPr="00DD47DF">
        <w:t>y</w:t>
      </w:r>
      <w:r w:rsidR="00FA33B7" w:rsidRPr="00DD47DF">
        <w:t xml:space="preserve"> administrativní kapacity v programovém období 2007 - 2013. Cílem opatření v Metodickém pokynu je </w:t>
      </w:r>
      <w:r w:rsidR="00BA7741" w:rsidRPr="00DD47DF">
        <w:t xml:space="preserve">vytvoření ucelené metodiky rozvoje lidských zdrojů v rámci implementační struktury fondů EU, </w:t>
      </w:r>
      <w:r w:rsidR="00FA33B7" w:rsidRPr="00DD47DF">
        <w:t xml:space="preserve">stabilizace </w:t>
      </w:r>
      <w:r w:rsidR="00BA7741" w:rsidRPr="00DD47DF">
        <w:t xml:space="preserve">a motivace </w:t>
      </w:r>
      <w:r w:rsidR="00FA33B7" w:rsidRPr="00DD47DF">
        <w:t>zaměstnanců</w:t>
      </w:r>
      <w:r w:rsidR="007300F9" w:rsidRPr="00DD47DF">
        <w:t xml:space="preserve"> </w:t>
      </w:r>
      <w:r w:rsidR="00BA7741" w:rsidRPr="00DD47DF">
        <w:t>v návaznosti na potřeby jejich odborného růstu a zvyšování znalostí a dovedností prostřednictvím finanční i nefinanční motivace,</w:t>
      </w:r>
      <w:r w:rsidR="007300F9" w:rsidRPr="00DD47DF">
        <w:t xml:space="preserve"> </w:t>
      </w:r>
      <w:r w:rsidR="00FA33B7" w:rsidRPr="00DD47DF">
        <w:t xml:space="preserve">snižování fluktuace, </w:t>
      </w:r>
      <w:r w:rsidR="00BA7741" w:rsidRPr="00DD47DF">
        <w:t xml:space="preserve">vytvoření systému vzdělávání odpovídajícímu potřebám pro výkon funkce na pozicích popsaných v řídicích dokumentech programů, řízení a koordinace DoP/NSRR, který zajistí podmínky pro prosazování principu transparentnosti a protikorupčního jednání, v neposlední řadě také zajištění transparentního </w:t>
      </w:r>
      <w:r w:rsidR="00FA33B7" w:rsidRPr="00DD47DF">
        <w:t>výběr</w:t>
      </w:r>
      <w:r w:rsidR="00BA7741" w:rsidRPr="00DD47DF">
        <w:t>u</w:t>
      </w:r>
      <w:r w:rsidR="00FA33B7" w:rsidRPr="00DD47DF">
        <w:t xml:space="preserve"> kvalifikovaných zaměstnanců </w:t>
      </w:r>
      <w:r w:rsidR="00BA7741" w:rsidRPr="00DD47DF">
        <w:t xml:space="preserve">se zřetelem na obsazování manažerských pozic a s ohledem na zajištění rovných příležitostí a nediskriminaci uchazečů </w:t>
      </w:r>
      <w:r w:rsidR="00FA33B7" w:rsidRPr="00DD47DF">
        <w:t>a nastavení pravidel odměňování</w:t>
      </w:r>
      <w:r w:rsidR="007300F9" w:rsidRPr="00DD47DF">
        <w:t xml:space="preserve"> zaměstnanců</w:t>
      </w:r>
      <w:r w:rsidR="00FA33B7" w:rsidRPr="00DD47DF">
        <w:t>.</w:t>
      </w:r>
      <w:r w:rsidR="002C1372" w:rsidRPr="00DD47DF">
        <w:t xml:space="preserve"> Výhodou ŘO je nízká míra fluktuace (v roce 2013 méně než 10%) a udržování tzv. institucionální paměti, kdy se na přípravě OP PIK podílejí pracovníci, kteří mají zkušenost s přípravou OPPP a OPPI.</w:t>
      </w:r>
    </w:p>
    <w:p w14:paraId="70199AF9" w14:textId="77777777" w:rsidR="008525FB" w:rsidRPr="00DD47DF" w:rsidRDefault="008525FB" w:rsidP="00284818">
      <w:pPr>
        <w:pStyle w:val="Standardntext"/>
      </w:pPr>
      <w:r w:rsidRPr="00DD47DF">
        <w:t>Pokud jde o předpokládaný nárůst počtu zaměstnanců v souvislosti s postupným náběhem implementace OP PIK</w:t>
      </w:r>
      <w:r w:rsidR="00D9644E" w:rsidRPr="00DD47DF">
        <w:t xml:space="preserve"> (zhruba o 13 % dle provedené analýzy administrativní kapacity</w:t>
      </w:r>
      <w:r w:rsidR="000F38A4" w:rsidRPr="00DD47DF">
        <w:rPr>
          <w:rStyle w:val="Znakapoznpodarou"/>
        </w:rPr>
        <w:footnoteReference w:id="76"/>
      </w:r>
      <w:r w:rsidR="00D9644E" w:rsidRPr="00DD47DF">
        <w:t>)</w:t>
      </w:r>
      <w:r w:rsidRPr="00DD47DF">
        <w:t>, je potřeba uvést, že</w:t>
      </w:r>
      <w:r w:rsidR="00781A90" w:rsidRPr="00DD47DF">
        <w:t xml:space="preserve"> budou posilováni zejména odborní interní hodnotitelé projektů pro jednotlivé prioritní osy (při souběžném výrazném omezení externích hodnotitelů prakticky jen na případy nezbytného ad-hoc vyžádání externího posudku ve zcela specifických oblastech, kde interní hodnotitel nebude schopen daný projekt odborně posoudit), posílena bude také kapacita kontrolorů u Řídícího orgánu OP PIK, zejména ve vztahu k ex-ante kontrole zadávacích řízení pro následná výběrová řízení konaná podle pravidel pro výběr dodavatelů, s cílem zamezit budoucím nesrovnalostem.</w:t>
      </w:r>
      <w:r w:rsidR="00BA7741" w:rsidRPr="00DD47DF">
        <w:t xml:space="preserve"> Předpokládaný počet zaměstnanců implementační struktury je 350, kteří budou rovnoměrně rozděleni mezi Řídící orgán a Zprostředkující subjekt.</w:t>
      </w:r>
    </w:p>
    <w:p w14:paraId="215B2597" w14:textId="77777777" w:rsidR="000E7F90" w:rsidRPr="00DD47DF" w:rsidRDefault="000E7F90" w:rsidP="000E7F90">
      <w:pPr>
        <w:pStyle w:val="Standardntext"/>
      </w:pPr>
      <w:r w:rsidRPr="00DD47DF">
        <w:t>(ii) Veřejné zakázky</w:t>
      </w:r>
      <w:r w:rsidR="007300F9" w:rsidRPr="00DD47DF">
        <w:t>,</w:t>
      </w:r>
      <w:r w:rsidRPr="00DD47DF">
        <w:t xml:space="preserve"> outsourcing služeb: Nebudou outsourcovány služby </w:t>
      </w:r>
      <w:r w:rsidR="007300F9" w:rsidRPr="00DD47DF">
        <w:t xml:space="preserve">typu </w:t>
      </w:r>
      <w:r w:rsidRPr="00DD47DF">
        <w:t xml:space="preserve">externí spolupráce na výkonu kontrol, právní poradenství, řídící orgán si je ponechá ve své kompetenci. Je potřeba zohlednit skutečnost, že řídící orgán nemá administrativní a odbornou kapacitu, aby od outsourcování některých služeb mohl plně odstoupit. Zadávány budou pouze vysoce specializované zakázky v oblastech, které není schopen řídící orgán pokrýt vlastní administrativou. V oblasti publicity budou zakázky zadávány dle finančních limitů v souladu se zákonem o veřejných zakázkách. Kontrolní činnost nebude outsourcována. </w:t>
      </w:r>
    </w:p>
    <w:p w14:paraId="40BDD152" w14:textId="77777777" w:rsidR="000E7F90" w:rsidRPr="00DD47DF" w:rsidRDefault="000E7F90" w:rsidP="000E7F90">
      <w:pPr>
        <w:pStyle w:val="Standardntext"/>
      </w:pPr>
      <w:r w:rsidRPr="00DD47DF">
        <w:t>(i</w:t>
      </w:r>
      <w:r w:rsidR="00CB2164" w:rsidRPr="00DD47DF">
        <w:t>ii</w:t>
      </w:r>
      <w:r w:rsidRPr="00DD47DF">
        <w:t>) Řízení a administrace programu, zejména opatření v oblasti elektronické administrace projektů (</w:t>
      </w:r>
      <w:r w:rsidRPr="00DD47DF">
        <w:rPr>
          <w:szCs w:val="22"/>
        </w:rPr>
        <w:t>systém elektronického podávání žádostí s cílem jednodušších administrativních úkonů u řídícího orgánu a žadatelů a příjemců), optimalizace administrativních procesů, plánování a vyhlašování výzev.</w:t>
      </w:r>
    </w:p>
    <w:p w14:paraId="4D140ADC" w14:textId="77777777" w:rsidR="000E7F90" w:rsidRPr="00DD47DF" w:rsidRDefault="000E7F90" w:rsidP="000E7F90">
      <w:pPr>
        <w:pStyle w:val="Modrnadpis"/>
      </w:pPr>
      <w:r w:rsidRPr="00DD47DF">
        <w:t>SPECIFICKÝ CÍL 5.2: Zajištění informovanosti, publicity a absorpční kapacity operačního programu</w:t>
      </w:r>
    </w:p>
    <w:p w14:paraId="14F16C1F" w14:textId="77777777" w:rsidR="0049001E" w:rsidRPr="00DD47DF" w:rsidRDefault="0049001E" w:rsidP="000E7F90">
      <w:pPr>
        <w:pStyle w:val="Standardntext"/>
        <w:rPr>
          <w:b/>
        </w:rPr>
      </w:pPr>
      <w:r w:rsidRPr="00DD47DF">
        <w:t xml:space="preserve">Řídicí orgán je odpovědný za zajištění propagace podpory a zejména za to, že budou informováni potenciální příjemci / uživatelé, obchodní a profesní subjekty, hospodářští a </w:t>
      </w:r>
      <w:r w:rsidRPr="00DD47DF">
        <w:lastRenderedPageBreak/>
        <w:t>sociální partneři o možnostech, které podpora nabízí, a veřejnost o úloze, kterou hraje Evropská unie v dotyčné pomoci a o jejích výsledcích.</w:t>
      </w:r>
    </w:p>
    <w:p w14:paraId="0CCD9EB5" w14:textId="77777777" w:rsidR="000E7F90" w:rsidRPr="00DD47DF" w:rsidRDefault="005D5EB8" w:rsidP="000E7F90">
      <w:pPr>
        <w:pStyle w:val="Standardntext"/>
        <w:rPr>
          <w:b/>
        </w:rPr>
      </w:pPr>
      <w:r w:rsidRPr="00DD47DF">
        <w:rPr>
          <w:b/>
        </w:rPr>
        <w:t>Podporované aktivity</w:t>
      </w:r>
      <w:r w:rsidR="000E7F90" w:rsidRPr="00DD47DF">
        <w:rPr>
          <w:b/>
        </w:rPr>
        <w:t xml:space="preserve">: </w:t>
      </w:r>
    </w:p>
    <w:p w14:paraId="474E3722" w14:textId="77777777" w:rsidR="000E7F90" w:rsidRPr="00DD47DF" w:rsidRDefault="0049001E" w:rsidP="0049001E">
      <w:pPr>
        <w:pStyle w:val="Standardntext"/>
        <w:numPr>
          <w:ilvl w:val="0"/>
          <w:numId w:val="29"/>
        </w:numPr>
      </w:pPr>
      <w:r w:rsidRPr="00DD47DF">
        <w:t>Zajištění informovanosti příjemců podpory a široké, především podnikatelské veřejnosti </w:t>
      </w:r>
    </w:p>
    <w:p w14:paraId="1EA5E1BB" w14:textId="77777777" w:rsidR="0049001E" w:rsidRPr="00DD47DF" w:rsidRDefault="0049001E" w:rsidP="0049001E">
      <w:pPr>
        <w:pStyle w:val="Standardntext"/>
        <w:numPr>
          <w:ilvl w:val="0"/>
          <w:numId w:val="29"/>
        </w:numPr>
      </w:pPr>
      <w:r w:rsidRPr="00DD47DF">
        <w:t>komunikace s příjemci podpory a veřejností</w:t>
      </w:r>
    </w:p>
    <w:p w14:paraId="5CD17642" w14:textId="77777777" w:rsidR="000E7F90" w:rsidRPr="00DD47DF" w:rsidRDefault="000E7F90" w:rsidP="000E7F90">
      <w:pPr>
        <w:pStyle w:val="Standardntext"/>
        <w:numPr>
          <w:ilvl w:val="0"/>
          <w:numId w:val="29"/>
        </w:numPr>
      </w:pPr>
      <w:r w:rsidRPr="00DD47DF">
        <w:t>vypracování výzkumných studií a šetření zaměřených na další rozvoj programu</w:t>
      </w:r>
    </w:p>
    <w:p w14:paraId="6AB2AC13" w14:textId="77777777" w:rsidR="0049001E" w:rsidRPr="00DD47DF" w:rsidRDefault="000E7F90" w:rsidP="000E7F90">
      <w:pPr>
        <w:pStyle w:val="Standardntext"/>
        <w:numPr>
          <w:ilvl w:val="0"/>
          <w:numId w:val="29"/>
        </w:numPr>
      </w:pPr>
      <w:r w:rsidRPr="00DD47DF">
        <w:t>propagace programu na veřejnosti</w:t>
      </w:r>
      <w:r w:rsidR="0049001E" w:rsidRPr="00DD47DF">
        <w:t xml:space="preserve"> prostřednictvím</w:t>
      </w:r>
      <w:r w:rsidRPr="00DD47DF">
        <w:t xml:space="preserve"> seminář</w:t>
      </w:r>
      <w:r w:rsidR="0049001E" w:rsidRPr="00DD47DF">
        <w:t>ů</w:t>
      </w:r>
      <w:r w:rsidRPr="00DD47DF">
        <w:t>, informační</w:t>
      </w:r>
      <w:r w:rsidR="0049001E" w:rsidRPr="00DD47DF">
        <w:t>ch</w:t>
      </w:r>
      <w:r w:rsidRPr="00DD47DF">
        <w:t xml:space="preserve"> akc</w:t>
      </w:r>
      <w:r w:rsidR="0049001E" w:rsidRPr="00DD47DF">
        <w:t>í</w:t>
      </w:r>
      <w:r w:rsidRPr="00DD47DF">
        <w:t>, komunikace</w:t>
      </w:r>
      <w:r w:rsidR="0049001E" w:rsidRPr="00DD47DF">
        <w:t xml:space="preserve"> přes média</w:t>
      </w:r>
    </w:p>
    <w:p w14:paraId="63803688" w14:textId="77777777" w:rsidR="000E7F90" w:rsidRPr="00DD47DF" w:rsidRDefault="0049001E" w:rsidP="000E7F90">
      <w:pPr>
        <w:pStyle w:val="Standardntext"/>
        <w:numPr>
          <w:ilvl w:val="0"/>
          <w:numId w:val="29"/>
        </w:numPr>
      </w:pPr>
      <w:r w:rsidRPr="00DD47DF">
        <w:t xml:space="preserve">zajištění </w:t>
      </w:r>
      <w:r w:rsidR="000E7F90" w:rsidRPr="00DD47DF">
        <w:t>publicit</w:t>
      </w:r>
      <w:r w:rsidRPr="00DD47DF">
        <w:t>y programu prostřednictvím vhodných propagačních materiálů</w:t>
      </w:r>
    </w:p>
    <w:p w14:paraId="48B8F33F" w14:textId="77777777" w:rsidR="000E7F90" w:rsidRPr="00DD47DF" w:rsidRDefault="000E7F90" w:rsidP="000E7F90">
      <w:pPr>
        <w:pStyle w:val="Standardntext"/>
        <w:numPr>
          <w:ilvl w:val="0"/>
          <w:numId w:val="29"/>
        </w:numPr>
      </w:pPr>
      <w:r w:rsidRPr="00DD47DF">
        <w:t>výměna zkušeností, best practises, networking</w:t>
      </w:r>
    </w:p>
    <w:p w14:paraId="7A588AAE" w14:textId="77777777" w:rsidR="000E7F90" w:rsidRPr="00DD47DF" w:rsidRDefault="000E7F90" w:rsidP="000E7F90">
      <w:pPr>
        <w:pStyle w:val="Standardntext"/>
        <w:numPr>
          <w:ilvl w:val="0"/>
          <w:numId w:val="29"/>
        </w:numPr>
      </w:pPr>
      <w:r w:rsidRPr="00DD47DF">
        <w:t>vypracování evalua</w:t>
      </w:r>
      <w:r w:rsidR="005D5EB8" w:rsidRPr="00DD47DF">
        <w:t>cí</w:t>
      </w:r>
      <w:r w:rsidRPr="00DD47DF">
        <w:t xml:space="preserve"> dle čl. 54-57 obecného nařízení, realizace Evaluačního plánu </w:t>
      </w:r>
      <w:r w:rsidR="005D5EB8" w:rsidRPr="00DD47DF">
        <w:t>OP PIK</w:t>
      </w:r>
      <w:r w:rsidRPr="00DD47DF">
        <w:t>, podpůrných studií a analýz</w:t>
      </w:r>
    </w:p>
    <w:p w14:paraId="31CD2A66" w14:textId="77777777" w:rsidR="000E7F90" w:rsidRPr="00DD47DF" w:rsidRDefault="000E7F90" w:rsidP="000E7F90">
      <w:pPr>
        <w:pStyle w:val="Standardntext"/>
        <w:numPr>
          <w:ilvl w:val="0"/>
          <w:numId w:val="29"/>
        </w:numPr>
      </w:pPr>
      <w:r w:rsidRPr="00DD47DF">
        <w:t>opatření ke snižování administrativní zátěže žadatelů, příjemců a subjektů implementační struktury, poradenství žadatelům vedoucí ke zvyšování absorpční kapacity programu</w:t>
      </w:r>
    </w:p>
    <w:p w14:paraId="26E06831" w14:textId="77777777" w:rsidR="000E7F90" w:rsidRPr="00DD47DF" w:rsidRDefault="000E7F90" w:rsidP="000E7F90">
      <w:pPr>
        <w:pStyle w:val="Standardntext"/>
        <w:numPr>
          <w:ilvl w:val="0"/>
          <w:numId w:val="29"/>
        </w:numPr>
      </w:pPr>
      <w:r w:rsidRPr="00DD47DF">
        <w:t>konzultační služby a poradenství žadatelům a potenciálním příjemcům při přípravě projektů</w:t>
      </w:r>
    </w:p>
    <w:p w14:paraId="0A09F12D" w14:textId="77777777" w:rsidR="000E7F90" w:rsidRPr="00DD47DF" w:rsidRDefault="000E7F90" w:rsidP="000E7F90">
      <w:pPr>
        <w:pStyle w:val="Standardntext"/>
        <w:numPr>
          <w:ilvl w:val="0"/>
          <w:numId w:val="29"/>
        </w:numPr>
      </w:pPr>
      <w:r w:rsidRPr="00DD47DF">
        <w:t>pilotní projekty a hodnocení</w:t>
      </w:r>
    </w:p>
    <w:p w14:paraId="3A7608DD" w14:textId="77777777" w:rsidR="000E7F90" w:rsidRPr="00DD47DF" w:rsidRDefault="000E7F90" w:rsidP="000E7F90">
      <w:pPr>
        <w:pStyle w:val="Standardntext"/>
        <w:numPr>
          <w:ilvl w:val="0"/>
          <w:numId w:val="29"/>
        </w:numPr>
      </w:pPr>
      <w:r w:rsidRPr="00DD47DF">
        <w:t>příprava programových dokumentů pro programovací období 2021+, vč. ex-ante hodnocení a hodnocení SEA</w:t>
      </w:r>
    </w:p>
    <w:p w14:paraId="5D3EE4FE" w14:textId="77777777" w:rsidR="000E7F90" w:rsidRPr="00DD47DF" w:rsidRDefault="000E7F90" w:rsidP="000E7F90">
      <w:pPr>
        <w:pStyle w:val="Standardntext"/>
      </w:pPr>
      <w:r w:rsidRPr="00DD47DF">
        <w:rPr>
          <w:u w:val="single"/>
        </w:rPr>
        <w:t xml:space="preserve">Vybrané oblasti </w:t>
      </w:r>
      <w:r w:rsidR="005D5EB8" w:rsidRPr="00DD47DF">
        <w:rPr>
          <w:u w:val="single"/>
        </w:rPr>
        <w:t>SC 5.2</w:t>
      </w:r>
      <w:r w:rsidRPr="00DD47DF">
        <w:rPr>
          <w:u w:val="single"/>
        </w:rPr>
        <w:t xml:space="preserve"> v kontextu vyhodnocení zkušeností z implementace OPPI</w:t>
      </w:r>
      <w:r w:rsidRPr="00DD47DF">
        <w:t xml:space="preserve"> (dále </w:t>
      </w:r>
      <w:r w:rsidR="001A4D0A" w:rsidRPr="00DD47DF">
        <w:t xml:space="preserve">Nepovinná </w:t>
      </w:r>
      <w:r w:rsidRPr="00DD47DF">
        <w:t>příloha č. 1):</w:t>
      </w:r>
    </w:p>
    <w:p w14:paraId="50E3D4E4" w14:textId="77777777" w:rsidR="00024756" w:rsidRPr="00DD47DF" w:rsidRDefault="000E7F90" w:rsidP="000E7F90">
      <w:pPr>
        <w:pStyle w:val="Standardntext"/>
      </w:pPr>
      <w:r w:rsidRPr="00DD47DF">
        <w:t xml:space="preserve">(i) Informovanost veřejnosti: </w:t>
      </w:r>
      <w:r w:rsidR="00024756" w:rsidRPr="00DD47DF">
        <w:t>Výhodou rozdělení cílových skupin komunikační strategie OPPI ve vztahu k informovanosti veřejnosti byl jeho záběr a zapojení širokého spektra zainteresovaných stran. Tyto prvky  je proto vhodné převzít. Nevýhodou pak bylo nastavení cílových skupin, které se často překrývaly a jejich vymezení bylo nejasné, kdy mezi cílovými skupinami nebyla stanovena prioritizace a celkově lze říci, že cílové skupiny byly velmi obecné. Rovněž nebylo vysvětleno, na jakém základě byly segmentům přiřazeny jednotlivé kanály a stupeň jejich důležitosti.</w:t>
      </w:r>
    </w:p>
    <w:p w14:paraId="4F6B08E4" w14:textId="77777777" w:rsidR="000E7F90" w:rsidRPr="00DD47DF" w:rsidRDefault="00024756" w:rsidP="000E7F90">
      <w:pPr>
        <w:pStyle w:val="Standardntext"/>
      </w:pPr>
      <w:r w:rsidRPr="00DD47DF">
        <w:t>Cílem tak bude z</w:t>
      </w:r>
      <w:r w:rsidR="000E7F90" w:rsidRPr="00DD47DF">
        <w:t>kvalitnit medializaci a cílení informačních a komunikačních kampaní. Nerealizovat příliš obecné a rozsáhlé kampaně, nýbrž kampaně cílit přímo na potenciální žadatele a příjemce, a to prostřednictvím přímých kontaktů. K publicitě programu patří informace o úspěšných projektech, informace o administraci projektů, úspěšnosti podaných žádostí. V omezené míře bude přistupováno k placené inzerci v tisku a médiích. V návaznosti na centrální OPTP bude technická pomoc OP PIK spoluvytvářet Společnou komunikační strategii.</w:t>
      </w:r>
      <w:r w:rsidR="00BA4E72" w:rsidRPr="00DD47DF">
        <w:t xml:space="preserve"> </w:t>
      </w:r>
    </w:p>
    <w:p w14:paraId="5840F967" w14:textId="77777777" w:rsidR="00BA7741" w:rsidRPr="00DD47DF" w:rsidRDefault="00024756" w:rsidP="000E7F90">
      <w:pPr>
        <w:pStyle w:val="Standardntext"/>
      </w:pPr>
      <w:r w:rsidRPr="00DD47DF">
        <w:t xml:space="preserve"> </w:t>
      </w:r>
      <w:r w:rsidR="000E7F90" w:rsidRPr="00DD47DF">
        <w:t xml:space="preserve">(ii) Protikorupční opatření: Veřejnost má mnohdy negativní povědomí o fondech EU a dosažených výsledcích, neboť si často tuto problematiku spojuje s podvody a korupcí. Česká republika přijala Strategii pro boj s podvody a korupcí a pro její naplnění byl připraven Akční </w:t>
      </w:r>
      <w:r w:rsidR="000E7F90" w:rsidRPr="00DD47DF">
        <w:lastRenderedPageBreak/>
        <w:t>plán. Řídící orgán OP PIK se bude řídit touto strategií, resp. Akčním plánem.</w:t>
      </w:r>
      <w:r w:rsidR="00FA33B7" w:rsidRPr="00DD47DF">
        <w:t xml:space="preserve"> Nad rámec tohoto Akčního plánu </w:t>
      </w:r>
      <w:r w:rsidR="005D5EB8" w:rsidRPr="00DD47DF">
        <w:t xml:space="preserve">postupuje </w:t>
      </w:r>
      <w:r w:rsidR="00FA33B7" w:rsidRPr="00DD47DF">
        <w:t xml:space="preserve">Řídící orgán </w:t>
      </w:r>
      <w:r w:rsidR="005D5EB8" w:rsidRPr="00DD47DF">
        <w:t xml:space="preserve">OP PIK </w:t>
      </w:r>
      <w:r w:rsidR="00FA33B7" w:rsidRPr="00DD47DF">
        <w:t>v souladu s Interním protikorupčním programem M</w:t>
      </w:r>
      <w:r w:rsidR="005D5EB8" w:rsidRPr="00DD47DF">
        <w:t>PO</w:t>
      </w:r>
      <w:r w:rsidR="00FA33B7" w:rsidRPr="00DD47DF">
        <w:t xml:space="preserve">. Cílem protikorupčního programu je odstranit nebo v maximální možné míře omezit předpoklady pro vznik korupčního jednání v rámci MPO. </w:t>
      </w:r>
      <w:r w:rsidR="00BA7741" w:rsidRPr="00DD47DF">
        <w:t>Mezi konkrétní protikorupční opatření na straně ŘO patří a) zapracování prvků bránících vzniku korupčního prostředí (výběrová řízení, rozhodování více osobami, jednoznačný a jednotný výklad sporných zákonných ustanovení, vyloučení střetu zájmů a možné podjatosti, kontrolní mechanismy aj.) do systému řízení formou interních předpisů, b) důsledné provádění kontroly jejich aktuálnosti a dodržování, c) jednoznačné určení kompetencí - vymezení pravomocí a odpovědností za činnosti s možným korupčním jednáním, d) proškolování zaměstnanců, e) poskytování maxima možných informací o rozhodovacích procesech v implementační struktuře veřejnosti, f) zajištění otevřeného a rovného přístupu k informacím a g) důsledné prošetřování podnětů signalizujících podezření na korupci.</w:t>
      </w:r>
    </w:p>
    <w:p w14:paraId="4FACD7CF" w14:textId="77777777" w:rsidR="000E7F90" w:rsidRPr="00DD47DF" w:rsidRDefault="000E79E7" w:rsidP="000E7F90">
      <w:pPr>
        <w:pStyle w:val="Standardntext"/>
      </w:pPr>
      <w:r w:rsidRPr="00DD47DF">
        <w:t>ŘO OP PIK zohlední při implementaci operačního programu etický kodex a zajistí seznámení s ním všech zaměstnanců implementační struktury a členů Monitorovacího výboru OP PIK, kteří jej podepíší společně s čestným prohlášením  vylučujícím korupční jednání z jejich strany.</w:t>
      </w:r>
      <w:r w:rsidR="002C1372" w:rsidRPr="00DD47DF">
        <w:rPr>
          <w:rStyle w:val="Znakapoznpodarou"/>
        </w:rPr>
        <w:footnoteReference w:id="77"/>
      </w:r>
    </w:p>
    <w:p w14:paraId="34DFEF8D" w14:textId="77777777" w:rsidR="00597E55" w:rsidRPr="00DD47DF" w:rsidRDefault="00597E55" w:rsidP="000E7F90">
      <w:pPr>
        <w:pStyle w:val="Standardntext"/>
      </w:pPr>
      <w:r w:rsidRPr="00DD47DF">
        <w:t>ŘO OP PIK bude i nadále využívat nástroje Arachne, který odkrývá vlastnickou strukturu potencionálních žadatelů a předchází tak případnému střetu zájmů.</w:t>
      </w:r>
    </w:p>
    <w:p w14:paraId="0DF5B56A" w14:textId="77777777" w:rsidR="000E7F90" w:rsidRPr="00DD47DF" w:rsidRDefault="000E7F90" w:rsidP="004A282B">
      <w:pPr>
        <w:pStyle w:val="Standardntext"/>
        <w:keepNext/>
        <w:keepLines/>
        <w:rPr>
          <w:b/>
        </w:rPr>
      </w:pPr>
      <w:r w:rsidRPr="00DD47DF">
        <w:rPr>
          <w:b/>
        </w:rPr>
        <w:t>Vazby mezi OPTP a OP PIK:</w:t>
      </w:r>
      <w:r w:rsidR="00BA4E72" w:rsidRPr="00DD47DF">
        <w:rPr>
          <w:b/>
        </w:rPr>
        <w:t xml:space="preserve"> </w:t>
      </w:r>
    </w:p>
    <w:p w14:paraId="263D5809" w14:textId="77777777" w:rsidR="000E7F90" w:rsidRPr="00DD47DF" w:rsidRDefault="000E7F90" w:rsidP="004A282B">
      <w:pPr>
        <w:pStyle w:val="Standardntext"/>
        <w:keepNext/>
        <w:keepLines/>
      </w:pPr>
      <w:r w:rsidRPr="00DD47DF">
        <w:t xml:space="preserve">V návaznosti na OPTP bude OP PIK spoluvytvářet Společnou komunikační strategii. Komunikační aktivity nebudou roztříštěné, ale cílené efektivně dle charakteru cílové skupiny. Z OPTP bude řízen jednotný metodický přístup. Mzdové prostředky pracovníků implementační struktury OP PIK budou hrazeny z technické pomoci programu, stejně jako část vzdělávání. Obecné vzdělávání zaměstnanců implementujících ESI fondy bude hrazeno i z OPTP. </w:t>
      </w:r>
      <w:r w:rsidR="00E35B78" w:rsidRPr="00DD47DF">
        <w:t>Jedná se zejména o vzdělávání potřebná napříč operačními programy, jako jsou legislativní školení, např. veřejné zakázky. Z </w:t>
      </w:r>
      <w:r w:rsidR="005D5EB8" w:rsidRPr="00DD47DF">
        <w:t>technické pomoci</w:t>
      </w:r>
      <w:r w:rsidR="00E35B78" w:rsidRPr="00DD47DF">
        <w:t xml:space="preserve"> OP</w:t>
      </w:r>
      <w:r w:rsidR="00870B7F" w:rsidRPr="00DD47DF">
        <w:t xml:space="preserve"> </w:t>
      </w:r>
      <w:r w:rsidR="00E35B78" w:rsidRPr="00DD47DF">
        <w:t xml:space="preserve">PIK budou hrazena školení zaměřená specificky na potřeby žadatelů v programu, a to s ohledem na zajištění </w:t>
      </w:r>
      <w:r w:rsidR="005D5EB8" w:rsidRPr="00DD47DF">
        <w:t xml:space="preserve">jeho </w:t>
      </w:r>
      <w:r w:rsidR="00E35B78" w:rsidRPr="00DD47DF">
        <w:t>bezproblémové</w:t>
      </w:r>
      <w:r w:rsidR="005D5EB8" w:rsidRPr="00DD47DF">
        <w:t>ho</w:t>
      </w:r>
      <w:r w:rsidR="00E35B78" w:rsidRPr="00DD47DF">
        <w:t xml:space="preserve"> čerpání </w:t>
      </w:r>
      <w:r w:rsidR="005D5EB8" w:rsidRPr="00DD47DF">
        <w:t>(</w:t>
      </w:r>
      <w:r w:rsidR="00E35B78" w:rsidRPr="00DD47DF">
        <w:t>např. školení na žádosti o platbu</w:t>
      </w:r>
      <w:r w:rsidR="005D5EB8" w:rsidRPr="00DD47DF">
        <w:t>)</w:t>
      </w:r>
      <w:r w:rsidR="00E35B78" w:rsidRPr="00DD47DF">
        <w:t xml:space="preserve">. </w:t>
      </w:r>
      <w:r w:rsidRPr="00DD47DF">
        <w:t>Publicita bude jak společná (hrazená z OPTP, společná strategie, obecné a rozsáhlejší komunikační kampaně), tak specifická pro OP PIK hrazená z technické pomoci OP PIK. Publicita OP PIK, návrhy ročních komunikačních plánů budou schvalovány ze strany ŘO OPTP. Koordinace implementace technické pomoci programu s OPTP probíhá prostřednictvím PS pro informovanost a publicitu.</w:t>
      </w:r>
    </w:p>
    <w:p w14:paraId="1A671169" w14:textId="77777777" w:rsidR="000E7F90" w:rsidRPr="00DD47DF" w:rsidRDefault="000E7F90" w:rsidP="000E7F90">
      <w:pPr>
        <w:spacing w:after="120"/>
        <w:jc w:val="both"/>
        <w:rPr>
          <w:rFonts w:cs="Calibri"/>
          <w:sz w:val="24"/>
          <w:szCs w:val="24"/>
        </w:rPr>
      </w:pPr>
      <w:r w:rsidRPr="00DD47DF">
        <w:rPr>
          <w:rFonts w:cs="Calibri"/>
          <w:b/>
          <w:sz w:val="24"/>
          <w:szCs w:val="24"/>
        </w:rPr>
        <w:t xml:space="preserve">Příjemci podpory </w:t>
      </w:r>
      <w:r w:rsidRPr="00DD47DF">
        <w:rPr>
          <w:rFonts w:cs="Calibri"/>
          <w:sz w:val="24"/>
          <w:szCs w:val="24"/>
        </w:rPr>
        <w:t>v </w:t>
      </w:r>
      <w:r w:rsidR="00E35B78" w:rsidRPr="00DD47DF">
        <w:rPr>
          <w:rFonts w:cs="Calibri"/>
          <w:sz w:val="24"/>
          <w:szCs w:val="24"/>
        </w:rPr>
        <w:t>PO</w:t>
      </w:r>
      <w:r w:rsidR="005D5EB8" w:rsidRPr="00DD47DF">
        <w:rPr>
          <w:rFonts w:cs="Calibri"/>
          <w:sz w:val="24"/>
          <w:szCs w:val="24"/>
        </w:rPr>
        <w:t xml:space="preserve"> 5:</w:t>
      </w:r>
      <w:r w:rsidRPr="00DD47DF">
        <w:rPr>
          <w:rFonts w:cs="Calibri"/>
          <w:sz w:val="24"/>
          <w:szCs w:val="24"/>
        </w:rPr>
        <w:t xml:space="preserve"> Říd</w:t>
      </w:r>
      <w:r w:rsidR="00870B7F" w:rsidRPr="00DD47DF">
        <w:rPr>
          <w:rFonts w:cs="Calibri"/>
          <w:sz w:val="24"/>
          <w:szCs w:val="24"/>
        </w:rPr>
        <w:t>í</w:t>
      </w:r>
      <w:r w:rsidRPr="00DD47DF">
        <w:rPr>
          <w:rFonts w:cs="Calibri"/>
          <w:sz w:val="24"/>
          <w:szCs w:val="24"/>
        </w:rPr>
        <w:t>cí orgán OP PIK</w:t>
      </w:r>
      <w:r w:rsidR="00F229AC" w:rsidRPr="00DD47DF">
        <w:rPr>
          <w:rFonts w:cs="Calibri"/>
          <w:sz w:val="24"/>
          <w:szCs w:val="24"/>
        </w:rPr>
        <w:t xml:space="preserve">, </w:t>
      </w:r>
      <w:r w:rsidRPr="00DD47DF">
        <w:rPr>
          <w:rFonts w:cs="Calibri"/>
          <w:sz w:val="24"/>
          <w:szCs w:val="24"/>
        </w:rPr>
        <w:t xml:space="preserve">zprostředkující subjekt </w:t>
      </w:r>
      <w:r w:rsidR="00F229AC" w:rsidRPr="00DD47DF">
        <w:rPr>
          <w:rFonts w:cs="Calibri"/>
          <w:sz w:val="24"/>
          <w:szCs w:val="24"/>
        </w:rPr>
        <w:t xml:space="preserve">(charakterizován v tab. 23, kapitole 7.1). </w:t>
      </w:r>
      <w:r w:rsidRPr="00DD47DF">
        <w:rPr>
          <w:rFonts w:cs="Calibri"/>
          <w:sz w:val="24"/>
          <w:szCs w:val="24"/>
        </w:rPr>
        <w:t xml:space="preserve"> </w:t>
      </w:r>
    </w:p>
    <w:p w14:paraId="7F13AF33" w14:textId="77777777" w:rsidR="000E7F90" w:rsidRPr="00DD47DF" w:rsidRDefault="000E7F90" w:rsidP="000E7F90">
      <w:pPr>
        <w:spacing w:after="120"/>
        <w:jc w:val="both"/>
        <w:rPr>
          <w:rFonts w:cs="Calibri"/>
          <w:b/>
          <w:sz w:val="24"/>
          <w:szCs w:val="24"/>
        </w:rPr>
      </w:pPr>
      <w:r w:rsidRPr="00DD47DF">
        <w:rPr>
          <w:rFonts w:cs="Calibri"/>
          <w:b/>
          <w:sz w:val="24"/>
          <w:szCs w:val="24"/>
        </w:rPr>
        <w:t>Monitoring technické pomoci:</w:t>
      </w:r>
    </w:p>
    <w:p w14:paraId="3135315D" w14:textId="77777777" w:rsidR="000E7F90" w:rsidRPr="00DD47DF" w:rsidRDefault="00E1181F" w:rsidP="000E7F90">
      <w:pPr>
        <w:spacing w:after="120"/>
        <w:jc w:val="both"/>
        <w:rPr>
          <w:rFonts w:cs="Calibri"/>
          <w:sz w:val="24"/>
          <w:szCs w:val="24"/>
        </w:rPr>
      </w:pPr>
      <w:r w:rsidRPr="00DD47DF">
        <w:rPr>
          <w:rFonts w:cs="Calibri"/>
          <w:sz w:val="24"/>
          <w:szCs w:val="24"/>
        </w:rPr>
        <w:t xml:space="preserve">Závazně bude sledován indikátor výstupu pro plnění aktivit školení žadatelů OP PIK, stejně jako implementační struktury, seminářů, workshopů, konferencí, a dále indikátor sledující zrealizované analytické studie a evaluace. Tyto aktivity mají přispět ke zvýšení absorpční kapacity programu s pevnou vazbou na zvýšení míry povědomí veřejnosti o fondech EU. Tím je plněn výsledkový indikátor navržený MMR-NOK a zakomponovaný do textu OPTP, </w:t>
      </w:r>
      <w:r w:rsidRPr="00DD47DF">
        <w:rPr>
          <w:rFonts w:cs="Calibri"/>
          <w:sz w:val="24"/>
          <w:szCs w:val="24"/>
        </w:rPr>
        <w:lastRenderedPageBreak/>
        <w:t>sledovaný centrálně na úrovni MMR-NOK. Ve vztahu k interním potřebám programu pak plnění výstupových indikátorů programu směřuje na vyšší míru stabilizace zaměstnanců implementační struktury (indikátor výsledku) a vyšší míru úspěšnosti projektových žádostí.</w:t>
      </w:r>
    </w:p>
    <w:p w14:paraId="60B37DBF" w14:textId="77777777" w:rsidR="00CF5E63" w:rsidRPr="00DD47DF" w:rsidRDefault="00DD2263" w:rsidP="005F43DF">
      <w:pPr>
        <w:pStyle w:val="Nadpis5"/>
        <w:numPr>
          <w:ilvl w:val="4"/>
          <w:numId w:val="13"/>
        </w:numPr>
      </w:pPr>
      <w:r w:rsidRPr="00DD47DF">
        <w:t>Ukazatele výstupů, které by podle očekávání měly přispět k dosažení výsledků</w:t>
      </w:r>
    </w:p>
    <w:p w14:paraId="60EBF4BB" w14:textId="77777777" w:rsidR="005359A1" w:rsidRPr="00DD47DF" w:rsidRDefault="005359A1" w:rsidP="00720FD1">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13</w:t>
      </w:r>
      <w:r w:rsidR="002756E7" w:rsidRPr="00DD47DF">
        <w:rPr>
          <w:noProof/>
        </w:rPr>
        <w:fldChar w:fldCharType="end"/>
      </w:r>
      <w:r w:rsidRPr="00DD47DF">
        <w:t xml:space="preserve">: </w:t>
      </w:r>
      <w:r w:rsidR="00DD2263" w:rsidRPr="00DD47DF">
        <w:t>Ukazatele výstupu</w:t>
      </w:r>
    </w:p>
    <w:tbl>
      <w:tblPr>
        <w:tblW w:w="0" w:type="auto"/>
        <w:tblCellMar>
          <w:left w:w="57" w:type="dxa"/>
          <w:right w:w="57" w:type="dxa"/>
        </w:tblCellMar>
        <w:tblLook w:val="01E0" w:firstRow="1" w:lastRow="1" w:firstColumn="1" w:lastColumn="1" w:noHBand="0" w:noVBand="0"/>
      </w:tblPr>
      <w:tblGrid>
        <w:gridCol w:w="907"/>
        <w:gridCol w:w="4518"/>
        <w:gridCol w:w="1153"/>
        <w:gridCol w:w="1984"/>
        <w:gridCol w:w="764"/>
      </w:tblGrid>
      <w:tr w:rsidR="005359A1" w:rsidRPr="00DD47DF" w14:paraId="4BD2A60F" w14:textId="77777777">
        <w:trPr>
          <w:trHeight w:hRule="exact" w:val="808"/>
        </w:trPr>
        <w:tc>
          <w:tcPr>
            <w:tcW w:w="90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7189CCC" w14:textId="77777777" w:rsidR="005359A1" w:rsidRPr="00DD47DF" w:rsidRDefault="005359A1" w:rsidP="00720FD1">
            <w:pPr>
              <w:pStyle w:val="Tabulka"/>
              <w:keepNext/>
              <w:keepLines/>
              <w:rPr>
                <w:rFonts w:cs="Calibri"/>
              </w:rPr>
            </w:pPr>
            <w:r w:rsidRPr="00DD47DF">
              <w:rPr>
                <w:rFonts w:cs="Calibri"/>
                <w:b/>
                <w:bCs/>
              </w:rPr>
              <w:t>ID</w:t>
            </w:r>
          </w:p>
        </w:tc>
        <w:tc>
          <w:tcPr>
            <w:tcW w:w="4518"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6442968" w14:textId="77777777" w:rsidR="005359A1" w:rsidRPr="00DD47DF" w:rsidRDefault="00DD2263" w:rsidP="00720FD1">
            <w:pPr>
              <w:pStyle w:val="Tabulka"/>
              <w:keepNext/>
              <w:keepLines/>
              <w:rPr>
                <w:rFonts w:cs="Calibri"/>
              </w:rPr>
            </w:pPr>
            <w:r w:rsidRPr="00DD47DF">
              <w:rPr>
                <w:rFonts w:cs="Calibri"/>
                <w:b/>
                <w:bCs/>
              </w:rPr>
              <w:t>Ukazatel</w:t>
            </w:r>
          </w:p>
        </w:tc>
        <w:tc>
          <w:tcPr>
            <w:tcW w:w="1153"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5FF558D1" w14:textId="77777777" w:rsidR="005359A1" w:rsidRPr="00DD47DF" w:rsidRDefault="005359A1" w:rsidP="00720FD1">
            <w:pPr>
              <w:pStyle w:val="Tabulka"/>
              <w:keepNext/>
              <w:keepLines/>
              <w:rPr>
                <w:rFonts w:cs="Calibri"/>
              </w:rPr>
            </w:pPr>
            <w:r w:rsidRPr="00DD47DF">
              <w:rPr>
                <w:rFonts w:cs="Calibri"/>
                <w:b/>
                <w:bCs/>
              </w:rPr>
              <w:t>Měrná</w:t>
            </w:r>
            <w:r w:rsidR="00720FD1" w:rsidRPr="00DD47DF">
              <w:rPr>
                <w:rFonts w:cs="Calibri"/>
                <w:b/>
                <w:bCs/>
              </w:rPr>
              <w:t xml:space="preserve"> </w:t>
            </w:r>
            <w:r w:rsidRPr="00DD47DF">
              <w:rPr>
                <w:rFonts w:cs="Calibri"/>
                <w:b/>
                <w:bCs/>
              </w:rPr>
              <w:t>jednotka</w:t>
            </w:r>
          </w:p>
        </w:tc>
        <w:tc>
          <w:tcPr>
            <w:tcW w:w="198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625D2231" w14:textId="77777777" w:rsidR="005359A1" w:rsidRPr="00DD47DF" w:rsidRDefault="009E5CFE" w:rsidP="00720FD1">
            <w:pPr>
              <w:pStyle w:val="Tabulka"/>
              <w:keepNext/>
              <w:keepLines/>
              <w:rPr>
                <w:rFonts w:cs="Calibri"/>
              </w:rPr>
            </w:pPr>
            <w:r w:rsidRPr="00DD47DF">
              <w:rPr>
                <w:rFonts w:cs="Calibri"/>
                <w:b/>
                <w:bCs/>
              </w:rPr>
              <w:t>Cílová hodnota (2023)</w:t>
            </w:r>
            <w:r w:rsidR="005359A1" w:rsidRPr="00DD47DF">
              <w:rPr>
                <w:rFonts w:cs="Calibri"/>
                <w:b/>
                <w:bCs/>
              </w:rPr>
              <w:t xml:space="preserve"> (</w:t>
            </w:r>
            <w:r w:rsidR="00DD2263" w:rsidRPr="00DD47DF">
              <w:rPr>
                <w:rFonts w:cs="Calibri"/>
                <w:b/>
                <w:bCs/>
              </w:rPr>
              <w:t>nepovinné</w:t>
            </w:r>
            <w:r w:rsidR="005359A1" w:rsidRPr="00DD47DF">
              <w:rPr>
                <w:rFonts w:cs="Calibri"/>
                <w:b/>
                <w:bCs/>
              </w:rPr>
              <w:t>)</w:t>
            </w:r>
          </w:p>
        </w:tc>
        <w:tc>
          <w:tcPr>
            <w:tcW w:w="764"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29F58A98" w14:textId="77777777" w:rsidR="005359A1" w:rsidRPr="00DD47DF" w:rsidRDefault="005359A1" w:rsidP="00720FD1">
            <w:pPr>
              <w:pStyle w:val="Tabulka"/>
              <w:keepNext/>
              <w:keepLines/>
              <w:rPr>
                <w:rFonts w:cs="Calibri"/>
              </w:rPr>
            </w:pPr>
            <w:r w:rsidRPr="00DD47DF">
              <w:rPr>
                <w:rFonts w:cs="Calibri"/>
                <w:b/>
                <w:bCs/>
              </w:rPr>
              <w:t xml:space="preserve">Zdroj </w:t>
            </w:r>
            <w:r w:rsidR="00DD2263" w:rsidRPr="00DD47DF">
              <w:rPr>
                <w:rFonts w:cs="Calibri"/>
                <w:b/>
                <w:bCs/>
              </w:rPr>
              <w:t>údajů</w:t>
            </w:r>
          </w:p>
        </w:tc>
      </w:tr>
      <w:tr w:rsidR="005359A1" w:rsidRPr="00DD47DF" w14:paraId="12EF2916"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6B397A2B" w14:textId="77777777" w:rsidR="005359A1" w:rsidRPr="00DD47DF" w:rsidRDefault="0065318C" w:rsidP="00720FD1">
            <w:pPr>
              <w:pStyle w:val="Tabulka"/>
              <w:keepNext/>
              <w:keepLines/>
              <w:rPr>
                <w:rFonts w:cs="Calibri"/>
              </w:rPr>
            </w:pPr>
            <w:r w:rsidRPr="00DD47DF">
              <w:rPr>
                <w:rFonts w:cs="Calibri"/>
              </w:rPr>
              <w:t>82000</w:t>
            </w:r>
          </w:p>
        </w:tc>
        <w:tc>
          <w:tcPr>
            <w:tcW w:w="4518" w:type="dxa"/>
            <w:tcBorders>
              <w:top w:val="single" w:sz="4" w:space="0" w:color="000000"/>
              <w:left w:val="single" w:sz="4" w:space="0" w:color="000000"/>
              <w:bottom w:val="single" w:sz="4" w:space="0" w:color="000000"/>
              <w:right w:val="single" w:sz="4" w:space="0" w:color="000000"/>
            </w:tcBorders>
            <w:vAlign w:val="center"/>
          </w:tcPr>
          <w:p w14:paraId="1710B2F8" w14:textId="77777777" w:rsidR="005359A1" w:rsidRPr="00DD47DF" w:rsidRDefault="00946A81" w:rsidP="0097571A">
            <w:pPr>
              <w:pStyle w:val="Tabulka"/>
              <w:keepNext/>
              <w:keepLines/>
              <w:jc w:val="left"/>
              <w:rPr>
                <w:rFonts w:cs="Calibri"/>
              </w:rPr>
            </w:pPr>
            <w:r w:rsidRPr="00DD47DF">
              <w:rPr>
                <w:rFonts w:cs="Calibri"/>
              </w:rPr>
              <w:t>Počet uskutečněnýc</w:t>
            </w:r>
            <w:r w:rsidR="00B44F8D" w:rsidRPr="00DD47DF">
              <w:rPr>
                <w:rFonts w:cs="Calibri"/>
              </w:rPr>
              <w:t xml:space="preserve">h školení, seminářů, workshopů a </w:t>
            </w:r>
            <w:r w:rsidRPr="00DD47DF">
              <w:rPr>
                <w:rFonts w:cs="Calibri"/>
              </w:rPr>
              <w:t>konferencí</w:t>
            </w:r>
          </w:p>
        </w:tc>
        <w:tc>
          <w:tcPr>
            <w:tcW w:w="1153" w:type="dxa"/>
            <w:tcBorders>
              <w:top w:val="single" w:sz="4" w:space="0" w:color="000000"/>
              <w:left w:val="single" w:sz="4" w:space="0" w:color="000000"/>
              <w:bottom w:val="single" w:sz="4" w:space="0" w:color="000000"/>
              <w:right w:val="single" w:sz="4" w:space="0" w:color="000000"/>
            </w:tcBorders>
            <w:vAlign w:val="center"/>
          </w:tcPr>
          <w:p w14:paraId="76AE8492" w14:textId="77777777" w:rsidR="005359A1" w:rsidRPr="00DD47DF" w:rsidRDefault="006B31B5" w:rsidP="00720FD1">
            <w:pPr>
              <w:pStyle w:val="Tabulka"/>
              <w:keepNext/>
              <w:keepLines/>
              <w:rPr>
                <w:rFonts w:cs="Calibri"/>
              </w:rPr>
            </w:pPr>
            <w:r w:rsidRPr="00DD47DF">
              <w:rPr>
                <w:rFonts w:cs="Calibri"/>
              </w:rPr>
              <w:t>Aktivity</w:t>
            </w:r>
          </w:p>
        </w:tc>
        <w:tc>
          <w:tcPr>
            <w:tcW w:w="1984" w:type="dxa"/>
            <w:tcBorders>
              <w:top w:val="single" w:sz="4" w:space="0" w:color="000000"/>
              <w:left w:val="single" w:sz="4" w:space="0" w:color="000000"/>
              <w:bottom w:val="single" w:sz="4" w:space="0" w:color="000000"/>
              <w:right w:val="single" w:sz="4" w:space="0" w:color="000000"/>
            </w:tcBorders>
            <w:vAlign w:val="center"/>
          </w:tcPr>
          <w:p w14:paraId="2020C2E3" w14:textId="3D5C2978" w:rsidR="005359A1" w:rsidRPr="00DD47DF" w:rsidRDefault="00A87D78" w:rsidP="00720FD1">
            <w:pPr>
              <w:pStyle w:val="Tabulka"/>
              <w:keepNext/>
              <w:keepLines/>
              <w:rPr>
                <w:rFonts w:cs="Calibri"/>
              </w:rPr>
            </w:pPr>
            <w:r>
              <w:rPr>
                <w:rFonts w:cs="Calibri"/>
              </w:rPr>
              <w:t>1 300</w:t>
            </w:r>
          </w:p>
        </w:tc>
        <w:tc>
          <w:tcPr>
            <w:tcW w:w="764" w:type="dxa"/>
            <w:tcBorders>
              <w:top w:val="single" w:sz="4" w:space="0" w:color="000000"/>
              <w:left w:val="single" w:sz="4" w:space="0" w:color="000000"/>
              <w:bottom w:val="single" w:sz="4" w:space="0" w:color="000000"/>
              <w:right w:val="single" w:sz="4" w:space="0" w:color="000000"/>
            </w:tcBorders>
            <w:vAlign w:val="center"/>
          </w:tcPr>
          <w:p w14:paraId="23E13D08" w14:textId="77777777" w:rsidR="005359A1" w:rsidRPr="00DD47DF" w:rsidRDefault="00CB5255" w:rsidP="00720FD1">
            <w:pPr>
              <w:pStyle w:val="Tabulka"/>
              <w:keepNext/>
              <w:keepLines/>
              <w:rPr>
                <w:rFonts w:cs="Calibri"/>
              </w:rPr>
            </w:pPr>
            <w:r w:rsidRPr="00DD47DF">
              <w:rPr>
                <w:rFonts w:cs="Calibri"/>
              </w:rPr>
              <w:t xml:space="preserve">Ž/P </w:t>
            </w:r>
          </w:p>
        </w:tc>
      </w:tr>
      <w:tr w:rsidR="005359A1" w:rsidRPr="00DD47DF" w14:paraId="40629DDF"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7C07E7E9" w14:textId="77777777" w:rsidR="005359A1" w:rsidRPr="00DD47DF" w:rsidRDefault="0065318C" w:rsidP="004E6DD3">
            <w:pPr>
              <w:pStyle w:val="Tabulka"/>
              <w:rPr>
                <w:rFonts w:cs="Calibri"/>
              </w:rPr>
            </w:pPr>
            <w:r w:rsidRPr="00DD47DF">
              <w:rPr>
                <w:rFonts w:cs="Calibri"/>
              </w:rPr>
              <w:t>80500</w:t>
            </w:r>
          </w:p>
        </w:tc>
        <w:tc>
          <w:tcPr>
            <w:tcW w:w="4518" w:type="dxa"/>
            <w:tcBorders>
              <w:top w:val="single" w:sz="4" w:space="0" w:color="000000"/>
              <w:left w:val="single" w:sz="4" w:space="0" w:color="000000"/>
              <w:bottom w:val="single" w:sz="4" w:space="0" w:color="000000"/>
              <w:right w:val="single" w:sz="4" w:space="0" w:color="000000"/>
            </w:tcBorders>
            <w:vAlign w:val="center"/>
          </w:tcPr>
          <w:p w14:paraId="5658DB51" w14:textId="77777777" w:rsidR="005359A1" w:rsidRPr="00DD47DF" w:rsidRDefault="00946A81" w:rsidP="004E6DD3">
            <w:pPr>
              <w:pStyle w:val="Tabulka"/>
              <w:jc w:val="left"/>
              <w:rPr>
                <w:rFonts w:cs="Calibri"/>
              </w:rPr>
            </w:pPr>
            <w:r w:rsidRPr="00DD47DF">
              <w:rPr>
                <w:rFonts w:cs="Calibri"/>
              </w:rPr>
              <w:t xml:space="preserve">Počet napsaných a zveřejněných analytických </w:t>
            </w:r>
            <w:r w:rsidR="00EC248D" w:rsidRPr="00DD47DF">
              <w:rPr>
                <w:rFonts w:cs="Calibri"/>
              </w:rPr>
              <w:t xml:space="preserve">a strategických </w:t>
            </w:r>
            <w:r w:rsidRPr="00DD47DF">
              <w:rPr>
                <w:rFonts w:cs="Calibri"/>
              </w:rPr>
              <w:t>dokumentů (vč. evaluačních)</w:t>
            </w:r>
          </w:p>
        </w:tc>
        <w:tc>
          <w:tcPr>
            <w:tcW w:w="1153" w:type="dxa"/>
            <w:tcBorders>
              <w:top w:val="single" w:sz="4" w:space="0" w:color="000000"/>
              <w:left w:val="single" w:sz="4" w:space="0" w:color="000000"/>
              <w:bottom w:val="single" w:sz="4" w:space="0" w:color="000000"/>
              <w:right w:val="single" w:sz="4" w:space="0" w:color="000000"/>
            </w:tcBorders>
            <w:vAlign w:val="center"/>
          </w:tcPr>
          <w:p w14:paraId="29E28E11" w14:textId="77777777" w:rsidR="005359A1" w:rsidRPr="00DD47DF" w:rsidRDefault="006B31B5" w:rsidP="004E6DD3">
            <w:pPr>
              <w:pStyle w:val="Tabulka"/>
              <w:rPr>
                <w:rFonts w:cs="Calibri"/>
              </w:rPr>
            </w:pPr>
            <w:r w:rsidRPr="00DD47DF">
              <w:rPr>
                <w:rFonts w:cs="Calibri"/>
              </w:rPr>
              <w:t>Dokumenty</w:t>
            </w:r>
          </w:p>
        </w:tc>
        <w:tc>
          <w:tcPr>
            <w:tcW w:w="1984" w:type="dxa"/>
            <w:tcBorders>
              <w:top w:val="single" w:sz="4" w:space="0" w:color="000000"/>
              <w:left w:val="single" w:sz="4" w:space="0" w:color="000000"/>
              <w:bottom w:val="single" w:sz="4" w:space="0" w:color="000000"/>
              <w:right w:val="single" w:sz="4" w:space="0" w:color="000000"/>
            </w:tcBorders>
            <w:vAlign w:val="center"/>
          </w:tcPr>
          <w:p w14:paraId="7370DB45" w14:textId="77777777" w:rsidR="005359A1" w:rsidRPr="00DD47DF" w:rsidRDefault="00DA2ECC" w:rsidP="004E6DD3">
            <w:pPr>
              <w:pStyle w:val="Tabulka"/>
              <w:rPr>
                <w:rFonts w:cs="Calibri"/>
              </w:rPr>
            </w:pPr>
            <w:r w:rsidRPr="00DD47DF">
              <w:rPr>
                <w:rFonts w:cs="Calibri"/>
              </w:rPr>
              <w:t>30</w:t>
            </w:r>
          </w:p>
        </w:tc>
        <w:tc>
          <w:tcPr>
            <w:tcW w:w="764" w:type="dxa"/>
            <w:tcBorders>
              <w:top w:val="single" w:sz="4" w:space="0" w:color="000000"/>
              <w:left w:val="single" w:sz="4" w:space="0" w:color="000000"/>
              <w:bottom w:val="single" w:sz="4" w:space="0" w:color="000000"/>
              <w:right w:val="single" w:sz="4" w:space="0" w:color="000000"/>
            </w:tcBorders>
            <w:vAlign w:val="center"/>
          </w:tcPr>
          <w:p w14:paraId="4B98CFA4" w14:textId="77777777" w:rsidR="005359A1" w:rsidRPr="00DD47DF" w:rsidRDefault="00CB5255" w:rsidP="004E6DD3">
            <w:pPr>
              <w:pStyle w:val="Tabulka"/>
              <w:rPr>
                <w:rFonts w:cs="Calibri"/>
              </w:rPr>
            </w:pPr>
            <w:r w:rsidRPr="00DD47DF">
              <w:rPr>
                <w:rFonts w:cs="Calibri"/>
              </w:rPr>
              <w:t>Ž/P</w:t>
            </w:r>
          </w:p>
        </w:tc>
      </w:tr>
      <w:tr w:rsidR="008155D6" w:rsidRPr="00DD47DF" w14:paraId="5AA3FD50"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224F3EF1" w14:textId="77777777" w:rsidR="008155D6" w:rsidRPr="00DD47DF" w:rsidRDefault="00802863" w:rsidP="004E6DD3">
            <w:pPr>
              <w:pStyle w:val="Tabulka"/>
              <w:rPr>
                <w:rFonts w:cs="Calibri"/>
              </w:rPr>
            </w:pPr>
            <w:r w:rsidRPr="00DD47DF">
              <w:rPr>
                <w:rFonts w:cs="Calibri"/>
              </w:rPr>
              <w:t>82500</w:t>
            </w:r>
          </w:p>
        </w:tc>
        <w:tc>
          <w:tcPr>
            <w:tcW w:w="4518" w:type="dxa"/>
            <w:tcBorders>
              <w:top w:val="single" w:sz="4" w:space="0" w:color="000000"/>
              <w:left w:val="single" w:sz="4" w:space="0" w:color="000000"/>
              <w:bottom w:val="single" w:sz="4" w:space="0" w:color="000000"/>
              <w:right w:val="single" w:sz="4" w:space="0" w:color="000000"/>
            </w:tcBorders>
            <w:vAlign w:val="center"/>
          </w:tcPr>
          <w:p w14:paraId="552E6F9A" w14:textId="77777777" w:rsidR="008155D6" w:rsidRPr="00DD47DF" w:rsidRDefault="008155D6" w:rsidP="004E6DD3">
            <w:pPr>
              <w:pStyle w:val="Tabulka"/>
              <w:jc w:val="left"/>
              <w:rPr>
                <w:rFonts w:cs="Calibri"/>
              </w:rPr>
            </w:pPr>
            <w:r w:rsidRPr="00DD47DF">
              <w:rPr>
                <w:rFonts w:cs="Calibri"/>
              </w:rPr>
              <w:t>Počet pracovních míst financovaných z programu</w:t>
            </w:r>
          </w:p>
        </w:tc>
        <w:tc>
          <w:tcPr>
            <w:tcW w:w="1153" w:type="dxa"/>
            <w:tcBorders>
              <w:top w:val="single" w:sz="4" w:space="0" w:color="000000"/>
              <w:left w:val="single" w:sz="4" w:space="0" w:color="000000"/>
              <w:bottom w:val="single" w:sz="4" w:space="0" w:color="000000"/>
              <w:right w:val="single" w:sz="4" w:space="0" w:color="000000"/>
            </w:tcBorders>
            <w:vAlign w:val="center"/>
          </w:tcPr>
          <w:p w14:paraId="717C4ECB" w14:textId="77777777" w:rsidR="008155D6" w:rsidRPr="00DD47DF" w:rsidRDefault="008155D6" w:rsidP="004E6DD3">
            <w:pPr>
              <w:pStyle w:val="Tabulka"/>
              <w:rPr>
                <w:rFonts w:cs="Calibri"/>
              </w:rPr>
            </w:pPr>
            <w:r w:rsidRPr="00DD47DF">
              <w:rPr>
                <w:rFonts w:cs="Calibri"/>
              </w:rPr>
              <w:t>FTE</w:t>
            </w:r>
          </w:p>
        </w:tc>
        <w:tc>
          <w:tcPr>
            <w:tcW w:w="1984" w:type="dxa"/>
            <w:tcBorders>
              <w:top w:val="single" w:sz="4" w:space="0" w:color="000000"/>
              <w:left w:val="single" w:sz="4" w:space="0" w:color="000000"/>
              <w:bottom w:val="single" w:sz="4" w:space="0" w:color="000000"/>
              <w:right w:val="single" w:sz="4" w:space="0" w:color="000000"/>
            </w:tcBorders>
            <w:vAlign w:val="center"/>
          </w:tcPr>
          <w:p w14:paraId="48E7B882" w14:textId="77777777" w:rsidR="008155D6" w:rsidRPr="00DD47DF" w:rsidRDefault="00AE01CD" w:rsidP="00AE01CD">
            <w:pPr>
              <w:pStyle w:val="Tabulka"/>
              <w:rPr>
                <w:rFonts w:cs="Calibri"/>
              </w:rPr>
            </w:pPr>
            <w:r w:rsidRPr="00DD47DF">
              <w:rPr>
                <w:rFonts w:cs="Calibri"/>
              </w:rPr>
              <w:t>N/R</w:t>
            </w:r>
          </w:p>
        </w:tc>
        <w:tc>
          <w:tcPr>
            <w:tcW w:w="764" w:type="dxa"/>
            <w:tcBorders>
              <w:top w:val="single" w:sz="4" w:space="0" w:color="000000"/>
              <w:left w:val="single" w:sz="4" w:space="0" w:color="000000"/>
              <w:bottom w:val="single" w:sz="4" w:space="0" w:color="000000"/>
              <w:right w:val="single" w:sz="4" w:space="0" w:color="000000"/>
            </w:tcBorders>
            <w:vAlign w:val="center"/>
          </w:tcPr>
          <w:p w14:paraId="7C9E2951" w14:textId="77777777" w:rsidR="008155D6" w:rsidRPr="00DD47DF" w:rsidRDefault="008155D6" w:rsidP="004E6DD3">
            <w:pPr>
              <w:pStyle w:val="Tabulka"/>
              <w:rPr>
                <w:rFonts w:cs="Calibri"/>
              </w:rPr>
            </w:pPr>
            <w:r w:rsidRPr="00DD47DF">
              <w:rPr>
                <w:rFonts w:cs="Calibri"/>
              </w:rPr>
              <w:t>Ž/P</w:t>
            </w:r>
          </w:p>
        </w:tc>
      </w:tr>
      <w:tr w:rsidR="00790493" w:rsidRPr="00DD47DF" w14:paraId="7B4258A4" w14:textId="77777777" w:rsidTr="00342AA5">
        <w:trPr>
          <w:trHeight w:val="680"/>
        </w:trPr>
        <w:tc>
          <w:tcPr>
            <w:tcW w:w="907" w:type="dxa"/>
            <w:tcBorders>
              <w:top w:val="single" w:sz="4" w:space="0" w:color="000000"/>
              <w:left w:val="single" w:sz="4" w:space="0" w:color="000000"/>
              <w:bottom w:val="single" w:sz="4" w:space="0" w:color="000000"/>
              <w:right w:val="single" w:sz="4" w:space="0" w:color="000000"/>
            </w:tcBorders>
            <w:vAlign w:val="center"/>
          </w:tcPr>
          <w:p w14:paraId="6039CDB0" w14:textId="77777777" w:rsidR="00790493" w:rsidRPr="00DD47DF" w:rsidRDefault="006E18B4" w:rsidP="004E6DD3">
            <w:pPr>
              <w:pStyle w:val="Tabulka"/>
              <w:rPr>
                <w:rFonts w:cs="Calibri"/>
              </w:rPr>
            </w:pPr>
            <w:r w:rsidRPr="00DD47DF">
              <w:rPr>
                <w:rFonts w:cs="Calibri"/>
              </w:rPr>
              <w:t>80901</w:t>
            </w:r>
          </w:p>
        </w:tc>
        <w:tc>
          <w:tcPr>
            <w:tcW w:w="4518" w:type="dxa"/>
            <w:tcBorders>
              <w:top w:val="single" w:sz="4" w:space="0" w:color="000000"/>
              <w:left w:val="single" w:sz="4" w:space="0" w:color="000000"/>
              <w:bottom w:val="single" w:sz="4" w:space="0" w:color="000000"/>
              <w:right w:val="single" w:sz="4" w:space="0" w:color="000000"/>
            </w:tcBorders>
            <w:vAlign w:val="center"/>
          </w:tcPr>
          <w:p w14:paraId="2494BACC" w14:textId="77777777" w:rsidR="00790493" w:rsidRPr="00DD47DF" w:rsidRDefault="00790493" w:rsidP="004E6DD3">
            <w:pPr>
              <w:pStyle w:val="Tabulka"/>
              <w:jc w:val="left"/>
              <w:rPr>
                <w:rFonts w:cs="Calibri"/>
              </w:rPr>
            </w:pPr>
            <w:r w:rsidRPr="00DD47DF">
              <w:rPr>
                <w:rFonts w:cs="Calibri"/>
              </w:rPr>
              <w:t>Počet uskutečněných kontrol na místě</w:t>
            </w:r>
          </w:p>
        </w:tc>
        <w:tc>
          <w:tcPr>
            <w:tcW w:w="1153" w:type="dxa"/>
            <w:tcBorders>
              <w:top w:val="single" w:sz="4" w:space="0" w:color="000000"/>
              <w:left w:val="single" w:sz="4" w:space="0" w:color="000000"/>
              <w:bottom w:val="single" w:sz="4" w:space="0" w:color="000000"/>
              <w:right w:val="single" w:sz="4" w:space="0" w:color="000000"/>
            </w:tcBorders>
            <w:vAlign w:val="center"/>
          </w:tcPr>
          <w:p w14:paraId="78CEE020" w14:textId="77777777" w:rsidR="00790493" w:rsidRPr="00DD47DF" w:rsidRDefault="00790493" w:rsidP="004E6DD3">
            <w:pPr>
              <w:pStyle w:val="Tabulka"/>
              <w:rPr>
                <w:rFonts w:cs="Calibri"/>
              </w:rPr>
            </w:pPr>
            <w:r w:rsidRPr="00DD47DF">
              <w:rPr>
                <w:rFonts w:cs="Calibri"/>
              </w:rPr>
              <w:t>kontroly</w:t>
            </w:r>
          </w:p>
        </w:tc>
        <w:tc>
          <w:tcPr>
            <w:tcW w:w="1984" w:type="dxa"/>
            <w:tcBorders>
              <w:top w:val="single" w:sz="4" w:space="0" w:color="000000"/>
              <w:left w:val="single" w:sz="4" w:space="0" w:color="000000"/>
              <w:bottom w:val="single" w:sz="4" w:space="0" w:color="000000"/>
              <w:right w:val="single" w:sz="4" w:space="0" w:color="000000"/>
            </w:tcBorders>
            <w:vAlign w:val="center"/>
          </w:tcPr>
          <w:p w14:paraId="3379186C" w14:textId="13AFB783" w:rsidR="00790493" w:rsidRPr="00DD47DF" w:rsidRDefault="00A87D78" w:rsidP="004E6DD3">
            <w:pPr>
              <w:pStyle w:val="Tabulka"/>
              <w:rPr>
                <w:rFonts w:cs="Calibri"/>
              </w:rPr>
            </w:pPr>
            <w:r>
              <w:rPr>
                <w:rFonts w:cs="Calibri"/>
              </w:rPr>
              <w:t>1 600</w:t>
            </w:r>
          </w:p>
        </w:tc>
        <w:tc>
          <w:tcPr>
            <w:tcW w:w="764" w:type="dxa"/>
            <w:tcBorders>
              <w:top w:val="single" w:sz="4" w:space="0" w:color="000000"/>
              <w:left w:val="single" w:sz="4" w:space="0" w:color="000000"/>
              <w:bottom w:val="single" w:sz="4" w:space="0" w:color="000000"/>
              <w:right w:val="single" w:sz="4" w:space="0" w:color="000000"/>
            </w:tcBorders>
            <w:vAlign w:val="center"/>
          </w:tcPr>
          <w:p w14:paraId="47AAB72F" w14:textId="77777777" w:rsidR="00790493" w:rsidRPr="00DD47DF" w:rsidRDefault="00790493" w:rsidP="004E6DD3">
            <w:pPr>
              <w:pStyle w:val="Tabulka"/>
              <w:rPr>
                <w:rFonts w:cs="Calibri"/>
              </w:rPr>
            </w:pPr>
            <w:r w:rsidRPr="00DD47DF">
              <w:rPr>
                <w:rFonts w:cs="Calibri"/>
              </w:rPr>
              <w:t>ŘO</w:t>
            </w:r>
          </w:p>
        </w:tc>
      </w:tr>
    </w:tbl>
    <w:p w14:paraId="3B4F923A" w14:textId="77777777" w:rsidR="00CF5E63" w:rsidRPr="00DD47DF" w:rsidRDefault="00564523" w:rsidP="005F43DF">
      <w:pPr>
        <w:pStyle w:val="kapitola2B"/>
        <w:numPr>
          <w:ilvl w:val="2"/>
          <w:numId w:val="12"/>
        </w:numPr>
        <w:ind w:left="709"/>
      </w:pPr>
      <w:bookmarkStart w:id="112" w:name="_Toc129005441"/>
      <w:r w:rsidRPr="00DD47DF">
        <w:t xml:space="preserve">Kategorie </w:t>
      </w:r>
      <w:r w:rsidR="00F2469F" w:rsidRPr="00DD47DF">
        <w:t>zásahů</w:t>
      </w:r>
      <w:bookmarkEnd w:id="112"/>
    </w:p>
    <w:p w14:paraId="76A97E47" w14:textId="77777777" w:rsidR="005359A1" w:rsidRPr="00DD47DF" w:rsidRDefault="005359A1" w:rsidP="004E6DD3">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14</w:t>
      </w:r>
      <w:r w:rsidR="002756E7" w:rsidRPr="00DD47DF">
        <w:rPr>
          <w:noProof/>
        </w:rPr>
        <w:fldChar w:fldCharType="end"/>
      </w:r>
      <w:r w:rsidRPr="00DD47DF">
        <w:t xml:space="preserve"> - </w:t>
      </w:r>
      <w:r w:rsidR="002756E7" w:rsidRPr="00DD47DF">
        <w:fldChar w:fldCharType="begin"/>
      </w:r>
      <w:r w:rsidR="000E35F2" w:rsidRPr="00DD47DF">
        <w:instrText xml:space="preserve"> SEQ Tabulka \* ARABIC \r16 </w:instrText>
      </w:r>
      <w:r w:rsidR="002756E7" w:rsidRPr="00DD47DF">
        <w:fldChar w:fldCharType="separate"/>
      </w:r>
      <w:r w:rsidR="00117847">
        <w:rPr>
          <w:noProof/>
        </w:rPr>
        <w:t>16</w:t>
      </w:r>
      <w:r w:rsidR="002756E7" w:rsidRPr="00DD47DF">
        <w:rPr>
          <w:noProof/>
        </w:rPr>
        <w:fldChar w:fldCharType="end"/>
      </w:r>
      <w:r w:rsidRPr="00DD47DF">
        <w:t xml:space="preserve">: Kategorie </w:t>
      </w:r>
      <w:r w:rsidR="00F2469F" w:rsidRPr="00DD47DF">
        <w:t>zásahů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
        <w:gridCol w:w="2128"/>
        <w:gridCol w:w="851"/>
        <w:gridCol w:w="2270"/>
        <w:gridCol w:w="849"/>
        <w:gridCol w:w="2322"/>
      </w:tblGrid>
      <w:tr w:rsidR="00BA5EF7" w:rsidRPr="00DD47DF" w14:paraId="67D78EEA" w14:textId="77777777">
        <w:tc>
          <w:tcPr>
            <w:tcW w:w="5000" w:type="pct"/>
            <w:gridSpan w:val="6"/>
            <w:shd w:val="clear" w:color="auto" w:fill="B8CCE4"/>
            <w:vAlign w:val="center"/>
          </w:tcPr>
          <w:p w14:paraId="5F5E675F" w14:textId="77777777" w:rsidR="009F18F5" w:rsidRPr="00DD47DF" w:rsidRDefault="009F18F5" w:rsidP="009F18F5">
            <w:pPr>
              <w:pStyle w:val="Tabulka"/>
              <w:keepNext/>
              <w:keepLines/>
              <w:rPr>
                <w:rFonts w:cs="Calibri"/>
                <w:b/>
              </w:rPr>
            </w:pPr>
            <w:r w:rsidRPr="00DD47DF">
              <w:rPr>
                <w:rFonts w:cs="Calibri"/>
                <w:b/>
              </w:rPr>
              <w:t xml:space="preserve">Fond: </w:t>
            </w:r>
            <w:r w:rsidRPr="00DD47DF">
              <w:rPr>
                <w:rFonts w:cs="Calibri"/>
              </w:rPr>
              <w:t>EFRR</w:t>
            </w:r>
          </w:p>
          <w:p w14:paraId="43B091D6" w14:textId="77777777" w:rsidR="00BA5EF7" w:rsidRPr="00DD47DF" w:rsidRDefault="009F18F5" w:rsidP="009F18F5">
            <w:pPr>
              <w:pStyle w:val="Tabulka"/>
              <w:keepNext/>
              <w:keepLines/>
              <w:rPr>
                <w:rFonts w:cs="Calibri"/>
                <w:i/>
              </w:rPr>
            </w:pPr>
            <w:r w:rsidRPr="00DD47DF">
              <w:rPr>
                <w:rFonts w:cs="Calibri"/>
                <w:b/>
              </w:rPr>
              <w:t xml:space="preserve">Kategorie regionů: </w:t>
            </w:r>
            <w:r w:rsidRPr="00DD47DF">
              <w:rPr>
                <w:rFonts w:cs="Calibri"/>
              </w:rPr>
              <w:t>Méně rozvinuté regiony</w:t>
            </w:r>
          </w:p>
        </w:tc>
      </w:tr>
      <w:tr w:rsidR="005359A1" w:rsidRPr="00DD47DF" w14:paraId="62C4DF32" w14:textId="77777777">
        <w:tc>
          <w:tcPr>
            <w:tcW w:w="1627" w:type="pct"/>
            <w:gridSpan w:val="2"/>
            <w:shd w:val="clear" w:color="auto" w:fill="B8CCE4"/>
            <w:vAlign w:val="center"/>
          </w:tcPr>
          <w:p w14:paraId="53928E7C" w14:textId="77777777" w:rsidR="005359A1" w:rsidRPr="00DD47DF" w:rsidRDefault="005359A1" w:rsidP="004E6DD3">
            <w:pPr>
              <w:pStyle w:val="Tabulka"/>
              <w:keepNext/>
              <w:keepLines/>
              <w:rPr>
                <w:rFonts w:cs="Calibri"/>
              </w:rPr>
            </w:pPr>
            <w:r w:rsidRPr="00DD47DF">
              <w:rPr>
                <w:rFonts w:cs="Calibri"/>
              </w:rPr>
              <w:t>Tabulka č. 14:</w:t>
            </w:r>
          </w:p>
          <w:p w14:paraId="3870FEF8" w14:textId="77777777" w:rsidR="005359A1" w:rsidRPr="00DD47DF" w:rsidRDefault="005359A1" w:rsidP="004E6DD3">
            <w:pPr>
              <w:pStyle w:val="Tabulka"/>
              <w:keepNext/>
              <w:keepLines/>
              <w:rPr>
                <w:rFonts w:cs="Calibri"/>
              </w:rPr>
            </w:pPr>
            <w:r w:rsidRPr="00DD47DF">
              <w:rPr>
                <w:rFonts w:cs="Calibri"/>
              </w:rPr>
              <w:t>Dimenze 1</w:t>
            </w:r>
          </w:p>
          <w:p w14:paraId="61F2345A" w14:textId="77777777" w:rsidR="005359A1" w:rsidRPr="00DD47DF" w:rsidRDefault="00DF23DE" w:rsidP="004E6DD3">
            <w:pPr>
              <w:pStyle w:val="Tabulka"/>
              <w:keepNext/>
              <w:keepLines/>
              <w:rPr>
                <w:rFonts w:cs="Calibri"/>
              </w:rPr>
            </w:pPr>
            <w:r w:rsidRPr="00DD47DF">
              <w:rPr>
                <w:rFonts w:cs="Calibri"/>
              </w:rPr>
              <w:t>Oblast zásahů</w:t>
            </w:r>
          </w:p>
        </w:tc>
        <w:tc>
          <w:tcPr>
            <w:tcW w:w="1673" w:type="pct"/>
            <w:gridSpan w:val="2"/>
            <w:shd w:val="clear" w:color="auto" w:fill="B8CCE4"/>
            <w:vAlign w:val="center"/>
          </w:tcPr>
          <w:p w14:paraId="23CF4CBE" w14:textId="77777777" w:rsidR="005359A1" w:rsidRPr="00DD47DF" w:rsidRDefault="005359A1" w:rsidP="004E6DD3">
            <w:pPr>
              <w:pStyle w:val="Tabulka"/>
              <w:keepNext/>
              <w:keepLines/>
              <w:rPr>
                <w:rFonts w:cs="Calibri"/>
              </w:rPr>
            </w:pPr>
            <w:r w:rsidRPr="00DD47DF">
              <w:rPr>
                <w:rFonts w:cs="Calibri"/>
              </w:rPr>
              <w:t>Tabulka č. 15:</w:t>
            </w:r>
          </w:p>
          <w:p w14:paraId="62BFEC03" w14:textId="77777777" w:rsidR="005359A1" w:rsidRPr="00DD47DF" w:rsidRDefault="005359A1" w:rsidP="004E6DD3">
            <w:pPr>
              <w:pStyle w:val="Tabulka"/>
              <w:keepNext/>
              <w:keepLines/>
              <w:rPr>
                <w:rFonts w:cs="Calibri"/>
              </w:rPr>
            </w:pPr>
            <w:r w:rsidRPr="00DD47DF">
              <w:rPr>
                <w:rFonts w:cs="Calibri"/>
              </w:rPr>
              <w:t>Dimenze 2</w:t>
            </w:r>
          </w:p>
          <w:p w14:paraId="77CE2ADE" w14:textId="77777777" w:rsidR="005359A1" w:rsidRPr="00DD47DF" w:rsidRDefault="005359A1" w:rsidP="00DF23DE">
            <w:pPr>
              <w:pStyle w:val="Tabulka"/>
              <w:keepNext/>
              <w:keepLines/>
              <w:rPr>
                <w:rFonts w:cs="Calibri"/>
              </w:rPr>
            </w:pPr>
            <w:r w:rsidRPr="00DD47DF">
              <w:rPr>
                <w:rFonts w:cs="Calibri"/>
              </w:rPr>
              <w:t>Forma finan</w:t>
            </w:r>
            <w:r w:rsidR="00DF23DE" w:rsidRPr="00DD47DF">
              <w:rPr>
                <w:rFonts w:cs="Calibri"/>
              </w:rPr>
              <w:t>čních prostředků</w:t>
            </w:r>
          </w:p>
        </w:tc>
        <w:tc>
          <w:tcPr>
            <w:tcW w:w="1700" w:type="pct"/>
            <w:gridSpan w:val="2"/>
            <w:shd w:val="clear" w:color="auto" w:fill="B8CCE4"/>
            <w:vAlign w:val="center"/>
          </w:tcPr>
          <w:p w14:paraId="3B4F898C" w14:textId="77777777" w:rsidR="005359A1" w:rsidRPr="00DD47DF" w:rsidRDefault="005359A1" w:rsidP="004E6DD3">
            <w:pPr>
              <w:pStyle w:val="Tabulka"/>
              <w:keepNext/>
              <w:keepLines/>
              <w:rPr>
                <w:rFonts w:cs="Calibri"/>
              </w:rPr>
            </w:pPr>
            <w:r w:rsidRPr="00DD47DF">
              <w:rPr>
                <w:rFonts w:cs="Calibri"/>
              </w:rPr>
              <w:t>Tabulka č. 16:</w:t>
            </w:r>
          </w:p>
          <w:p w14:paraId="755CA649" w14:textId="77777777" w:rsidR="005359A1" w:rsidRPr="00DD47DF" w:rsidRDefault="005359A1" w:rsidP="004E6DD3">
            <w:pPr>
              <w:pStyle w:val="Tabulka"/>
              <w:keepNext/>
              <w:keepLines/>
              <w:rPr>
                <w:rFonts w:cs="Calibri"/>
              </w:rPr>
            </w:pPr>
            <w:r w:rsidRPr="00DD47DF">
              <w:rPr>
                <w:rFonts w:cs="Calibri"/>
              </w:rPr>
              <w:t>Dimenze 3</w:t>
            </w:r>
          </w:p>
          <w:p w14:paraId="7E6423F8" w14:textId="77777777" w:rsidR="005359A1" w:rsidRPr="00DD47DF" w:rsidRDefault="00DF23DE" w:rsidP="004E6DD3">
            <w:pPr>
              <w:pStyle w:val="Tabulka"/>
              <w:keepNext/>
              <w:keepLines/>
              <w:rPr>
                <w:rFonts w:cs="Calibri"/>
              </w:rPr>
            </w:pPr>
            <w:r w:rsidRPr="00DD47DF">
              <w:rPr>
                <w:rFonts w:cs="Calibri"/>
              </w:rPr>
              <w:t>Typ ú</w:t>
            </w:r>
            <w:r w:rsidR="005359A1" w:rsidRPr="00DD47DF">
              <w:rPr>
                <w:rFonts w:cs="Calibri"/>
              </w:rPr>
              <w:t>zemí</w:t>
            </w:r>
          </w:p>
        </w:tc>
      </w:tr>
      <w:tr w:rsidR="00C00E7A" w:rsidRPr="00DD47DF" w14:paraId="4CFAF319" w14:textId="77777777">
        <w:tc>
          <w:tcPr>
            <w:tcW w:w="486" w:type="pct"/>
            <w:shd w:val="clear" w:color="auto" w:fill="DBE5F1"/>
            <w:vAlign w:val="center"/>
          </w:tcPr>
          <w:p w14:paraId="35B375FA" w14:textId="77777777" w:rsidR="005359A1" w:rsidRPr="00DD47DF" w:rsidRDefault="005359A1" w:rsidP="004E6DD3">
            <w:pPr>
              <w:pStyle w:val="Tabulka"/>
              <w:keepNext/>
              <w:keepLines/>
              <w:rPr>
                <w:rFonts w:cs="Calibri"/>
              </w:rPr>
            </w:pPr>
            <w:r w:rsidRPr="00DD47DF">
              <w:rPr>
                <w:rFonts w:cs="Calibri"/>
              </w:rPr>
              <w:t>Kód</w:t>
            </w:r>
          </w:p>
        </w:tc>
        <w:tc>
          <w:tcPr>
            <w:tcW w:w="1141" w:type="pct"/>
            <w:shd w:val="clear" w:color="auto" w:fill="DBE5F1"/>
            <w:vAlign w:val="center"/>
          </w:tcPr>
          <w:p w14:paraId="40C1D87A" w14:textId="77777777" w:rsidR="005359A1" w:rsidRPr="00DD47DF" w:rsidRDefault="00D16DE9" w:rsidP="004E6DD3">
            <w:pPr>
              <w:pStyle w:val="Tabulka"/>
              <w:keepNext/>
              <w:keepLines/>
              <w:rPr>
                <w:rFonts w:cs="Calibri"/>
              </w:rPr>
            </w:pPr>
            <w:r w:rsidRPr="00DD47DF">
              <w:rPr>
                <w:rFonts w:cs="Calibri"/>
              </w:rPr>
              <w:t>Částka (v EUR)</w:t>
            </w:r>
          </w:p>
        </w:tc>
        <w:tc>
          <w:tcPr>
            <w:tcW w:w="456" w:type="pct"/>
            <w:shd w:val="clear" w:color="auto" w:fill="DBE5F1"/>
            <w:vAlign w:val="center"/>
          </w:tcPr>
          <w:p w14:paraId="679AA64C" w14:textId="77777777" w:rsidR="005359A1" w:rsidRPr="00DD47DF" w:rsidRDefault="005359A1" w:rsidP="004E6DD3">
            <w:pPr>
              <w:pStyle w:val="Tabulka"/>
              <w:keepNext/>
              <w:keepLines/>
              <w:rPr>
                <w:rFonts w:cs="Calibri"/>
              </w:rPr>
            </w:pPr>
            <w:r w:rsidRPr="00DD47DF">
              <w:rPr>
                <w:rFonts w:cs="Calibri"/>
              </w:rPr>
              <w:t>Kód</w:t>
            </w:r>
          </w:p>
        </w:tc>
        <w:tc>
          <w:tcPr>
            <w:tcW w:w="1217" w:type="pct"/>
            <w:shd w:val="clear" w:color="auto" w:fill="DBE5F1"/>
            <w:vAlign w:val="center"/>
          </w:tcPr>
          <w:p w14:paraId="32EA939E" w14:textId="77777777" w:rsidR="005359A1" w:rsidRPr="00DD47DF" w:rsidRDefault="00D16DE9" w:rsidP="004E6DD3">
            <w:pPr>
              <w:pStyle w:val="Tabulka"/>
              <w:keepNext/>
              <w:keepLines/>
              <w:rPr>
                <w:rFonts w:cs="Calibri"/>
              </w:rPr>
            </w:pPr>
            <w:r w:rsidRPr="00DD47DF">
              <w:rPr>
                <w:rFonts w:cs="Calibri"/>
              </w:rPr>
              <w:t>Částka (v EUR)</w:t>
            </w:r>
          </w:p>
        </w:tc>
        <w:tc>
          <w:tcPr>
            <w:tcW w:w="455" w:type="pct"/>
            <w:shd w:val="clear" w:color="auto" w:fill="DBE5F1"/>
            <w:vAlign w:val="center"/>
          </w:tcPr>
          <w:p w14:paraId="6C2DDE5A" w14:textId="77777777" w:rsidR="005359A1" w:rsidRPr="00DD47DF" w:rsidRDefault="005359A1" w:rsidP="004E6DD3">
            <w:pPr>
              <w:pStyle w:val="Tabulka"/>
              <w:keepNext/>
              <w:keepLines/>
              <w:rPr>
                <w:rFonts w:cs="Calibri"/>
              </w:rPr>
            </w:pPr>
            <w:r w:rsidRPr="00DD47DF">
              <w:rPr>
                <w:rFonts w:cs="Calibri"/>
              </w:rPr>
              <w:t>Kód</w:t>
            </w:r>
          </w:p>
        </w:tc>
        <w:tc>
          <w:tcPr>
            <w:tcW w:w="1245" w:type="pct"/>
            <w:shd w:val="clear" w:color="auto" w:fill="DBE5F1"/>
            <w:vAlign w:val="center"/>
          </w:tcPr>
          <w:p w14:paraId="36B80740" w14:textId="77777777" w:rsidR="005359A1" w:rsidRPr="00DD47DF" w:rsidRDefault="00D16DE9" w:rsidP="004E6DD3">
            <w:pPr>
              <w:pStyle w:val="Tabulka"/>
              <w:keepNext/>
              <w:keepLines/>
              <w:rPr>
                <w:rFonts w:cs="Calibri"/>
              </w:rPr>
            </w:pPr>
            <w:r w:rsidRPr="00DD47DF">
              <w:rPr>
                <w:rFonts w:cs="Calibri"/>
              </w:rPr>
              <w:t>Částka (v EUR)</w:t>
            </w:r>
          </w:p>
        </w:tc>
      </w:tr>
      <w:tr w:rsidR="002E2FA8" w:rsidRPr="00DD47DF" w14:paraId="2978E586" w14:textId="77777777">
        <w:tc>
          <w:tcPr>
            <w:tcW w:w="486" w:type="pct"/>
            <w:shd w:val="clear" w:color="auto" w:fill="auto"/>
            <w:vAlign w:val="center"/>
          </w:tcPr>
          <w:p w14:paraId="524CDF8C" w14:textId="77777777" w:rsidR="002E2FA8" w:rsidRPr="00DD47DF" w:rsidRDefault="002E2FA8" w:rsidP="00DD63AD">
            <w:pPr>
              <w:pStyle w:val="Tabulka"/>
              <w:rPr>
                <w:rFonts w:cs="Calibri"/>
              </w:rPr>
            </w:pPr>
            <w:r w:rsidRPr="00DD47DF">
              <w:rPr>
                <w:rFonts w:cs="Calibri"/>
              </w:rPr>
              <w:t>121</w:t>
            </w:r>
          </w:p>
        </w:tc>
        <w:tc>
          <w:tcPr>
            <w:tcW w:w="1141" w:type="pct"/>
            <w:shd w:val="clear" w:color="auto" w:fill="auto"/>
            <w:vAlign w:val="center"/>
          </w:tcPr>
          <w:p w14:paraId="6A28D30D" w14:textId="77777777" w:rsidR="002E2FA8" w:rsidRPr="00DD47DF" w:rsidRDefault="002E2FA8" w:rsidP="00720FD1">
            <w:pPr>
              <w:pStyle w:val="Tabulka"/>
              <w:jc w:val="right"/>
              <w:rPr>
                <w:rFonts w:cs="Calibri"/>
              </w:rPr>
            </w:pPr>
            <w:r w:rsidRPr="00DD47DF">
              <w:rPr>
                <w:rFonts w:cs="Calibri"/>
              </w:rPr>
              <w:t>106 825 944</w:t>
            </w:r>
          </w:p>
        </w:tc>
        <w:tc>
          <w:tcPr>
            <w:tcW w:w="456" w:type="pct"/>
            <w:shd w:val="clear" w:color="auto" w:fill="auto"/>
            <w:vAlign w:val="center"/>
          </w:tcPr>
          <w:p w14:paraId="3B3587B8" w14:textId="77777777" w:rsidR="002E2FA8" w:rsidRPr="00DD47DF" w:rsidRDefault="002E2FA8" w:rsidP="00DD63AD">
            <w:pPr>
              <w:pStyle w:val="Tabulka"/>
              <w:rPr>
                <w:rFonts w:cs="Calibri"/>
              </w:rPr>
            </w:pPr>
            <w:r w:rsidRPr="00DD47DF">
              <w:rPr>
                <w:rFonts w:cs="Calibri"/>
              </w:rPr>
              <w:t>01</w:t>
            </w:r>
          </w:p>
        </w:tc>
        <w:tc>
          <w:tcPr>
            <w:tcW w:w="1217" w:type="pct"/>
            <w:shd w:val="clear" w:color="auto" w:fill="auto"/>
            <w:vAlign w:val="center"/>
          </w:tcPr>
          <w:p w14:paraId="0FA46A33" w14:textId="77777777" w:rsidR="002E2FA8" w:rsidRPr="00DD47DF" w:rsidRDefault="002E2FA8" w:rsidP="00720FD1">
            <w:pPr>
              <w:pStyle w:val="Tabulka"/>
              <w:jc w:val="right"/>
              <w:rPr>
                <w:rFonts w:cs="Calibri"/>
              </w:rPr>
            </w:pPr>
            <w:r w:rsidRPr="00DD47DF">
              <w:rPr>
                <w:rFonts w:cs="Calibri"/>
              </w:rPr>
              <w:t>125 600 816</w:t>
            </w:r>
          </w:p>
        </w:tc>
        <w:tc>
          <w:tcPr>
            <w:tcW w:w="455" w:type="pct"/>
            <w:shd w:val="clear" w:color="auto" w:fill="auto"/>
            <w:vAlign w:val="center"/>
          </w:tcPr>
          <w:p w14:paraId="318ADD87" w14:textId="5B820005" w:rsidR="002E2FA8" w:rsidRPr="00DD47DF" w:rsidRDefault="003E0063" w:rsidP="003E0063">
            <w:pPr>
              <w:pStyle w:val="Tabulka"/>
              <w:rPr>
                <w:rFonts w:cs="Calibri"/>
              </w:rPr>
            </w:pPr>
            <w:r w:rsidRPr="00DD47DF">
              <w:rPr>
                <w:rFonts w:cs="Calibri"/>
              </w:rPr>
              <w:t>0</w:t>
            </w:r>
            <w:r>
              <w:rPr>
                <w:rFonts w:cs="Calibri"/>
              </w:rPr>
              <w:t>7</w:t>
            </w:r>
          </w:p>
        </w:tc>
        <w:tc>
          <w:tcPr>
            <w:tcW w:w="1245" w:type="pct"/>
            <w:shd w:val="clear" w:color="auto" w:fill="auto"/>
            <w:vAlign w:val="center"/>
          </w:tcPr>
          <w:p w14:paraId="376143F5" w14:textId="77777777" w:rsidR="002E2FA8" w:rsidRPr="00DD47DF" w:rsidRDefault="002E2FA8" w:rsidP="00720FD1">
            <w:pPr>
              <w:pStyle w:val="Tabulka"/>
              <w:jc w:val="right"/>
              <w:rPr>
                <w:rFonts w:cs="Calibri"/>
              </w:rPr>
            </w:pPr>
            <w:r w:rsidRPr="00DD47DF">
              <w:rPr>
                <w:rFonts w:cs="Calibri"/>
              </w:rPr>
              <w:t>125 600 816</w:t>
            </w:r>
          </w:p>
        </w:tc>
      </w:tr>
      <w:tr w:rsidR="002E2FA8" w:rsidRPr="00DD47DF" w14:paraId="53DF7C8A" w14:textId="77777777">
        <w:tc>
          <w:tcPr>
            <w:tcW w:w="486" w:type="pct"/>
            <w:shd w:val="clear" w:color="auto" w:fill="auto"/>
            <w:vAlign w:val="center"/>
          </w:tcPr>
          <w:p w14:paraId="1E09FF27" w14:textId="77777777" w:rsidR="002E2FA8" w:rsidRPr="00DD47DF" w:rsidRDefault="002E2FA8" w:rsidP="00DD63AD">
            <w:pPr>
              <w:pStyle w:val="Tabulka"/>
              <w:rPr>
                <w:rFonts w:cs="Calibri"/>
              </w:rPr>
            </w:pPr>
            <w:r w:rsidRPr="00DD47DF">
              <w:rPr>
                <w:rFonts w:cs="Calibri"/>
              </w:rPr>
              <w:t>122</w:t>
            </w:r>
          </w:p>
        </w:tc>
        <w:tc>
          <w:tcPr>
            <w:tcW w:w="1141" w:type="pct"/>
            <w:shd w:val="clear" w:color="auto" w:fill="auto"/>
            <w:vAlign w:val="center"/>
          </w:tcPr>
          <w:p w14:paraId="008E3ADC" w14:textId="77777777" w:rsidR="002E2FA8" w:rsidRPr="00DD47DF" w:rsidRDefault="002E2FA8" w:rsidP="00720FD1">
            <w:pPr>
              <w:pStyle w:val="Tabulka"/>
              <w:jc w:val="right"/>
              <w:rPr>
                <w:rFonts w:cs="Calibri"/>
              </w:rPr>
            </w:pPr>
            <w:r w:rsidRPr="00DD47DF">
              <w:rPr>
                <w:rFonts w:cs="Calibri"/>
              </w:rPr>
              <w:t>3 754 974</w:t>
            </w:r>
          </w:p>
        </w:tc>
        <w:tc>
          <w:tcPr>
            <w:tcW w:w="456" w:type="pct"/>
            <w:shd w:val="clear" w:color="auto" w:fill="auto"/>
            <w:vAlign w:val="center"/>
          </w:tcPr>
          <w:p w14:paraId="6B74CC88" w14:textId="77777777" w:rsidR="002E2FA8" w:rsidRPr="00DD47DF" w:rsidRDefault="002E2FA8" w:rsidP="00DD63AD">
            <w:pPr>
              <w:pStyle w:val="Tabulka"/>
              <w:rPr>
                <w:rFonts w:cs="Calibri"/>
              </w:rPr>
            </w:pPr>
          </w:p>
        </w:tc>
        <w:tc>
          <w:tcPr>
            <w:tcW w:w="1217" w:type="pct"/>
            <w:shd w:val="clear" w:color="auto" w:fill="auto"/>
            <w:vAlign w:val="center"/>
          </w:tcPr>
          <w:p w14:paraId="7AD7699A" w14:textId="77777777" w:rsidR="002E2FA8" w:rsidRPr="00DD47DF" w:rsidRDefault="002E2FA8" w:rsidP="00720FD1">
            <w:pPr>
              <w:pStyle w:val="Tabulka"/>
              <w:jc w:val="right"/>
              <w:rPr>
                <w:rFonts w:cs="Calibri"/>
              </w:rPr>
            </w:pPr>
          </w:p>
        </w:tc>
        <w:tc>
          <w:tcPr>
            <w:tcW w:w="455" w:type="pct"/>
            <w:shd w:val="clear" w:color="auto" w:fill="auto"/>
            <w:vAlign w:val="center"/>
          </w:tcPr>
          <w:p w14:paraId="34FB296A" w14:textId="77777777" w:rsidR="002E2FA8" w:rsidRPr="00DD47DF" w:rsidRDefault="002E2FA8" w:rsidP="00DD63AD">
            <w:pPr>
              <w:pStyle w:val="Tabulka"/>
              <w:rPr>
                <w:rFonts w:cs="Calibri"/>
              </w:rPr>
            </w:pPr>
          </w:p>
        </w:tc>
        <w:tc>
          <w:tcPr>
            <w:tcW w:w="1245" w:type="pct"/>
            <w:shd w:val="clear" w:color="auto" w:fill="auto"/>
            <w:vAlign w:val="center"/>
          </w:tcPr>
          <w:p w14:paraId="227093B6" w14:textId="77777777" w:rsidR="002E2FA8" w:rsidRPr="00DD47DF" w:rsidRDefault="002E2FA8" w:rsidP="00720FD1">
            <w:pPr>
              <w:pStyle w:val="Tabulka"/>
              <w:jc w:val="right"/>
              <w:rPr>
                <w:rFonts w:cs="Calibri"/>
              </w:rPr>
            </w:pPr>
          </w:p>
        </w:tc>
      </w:tr>
      <w:tr w:rsidR="002E2FA8" w:rsidRPr="00DD47DF" w14:paraId="2BE8F632" w14:textId="77777777">
        <w:tc>
          <w:tcPr>
            <w:tcW w:w="486" w:type="pct"/>
            <w:shd w:val="clear" w:color="auto" w:fill="auto"/>
            <w:vAlign w:val="center"/>
          </w:tcPr>
          <w:p w14:paraId="3FB9A8A7" w14:textId="77777777" w:rsidR="002E2FA8" w:rsidRPr="00DD47DF" w:rsidRDefault="002E2FA8" w:rsidP="00DD63AD">
            <w:pPr>
              <w:pStyle w:val="Tabulka"/>
              <w:rPr>
                <w:rFonts w:cs="Calibri"/>
              </w:rPr>
            </w:pPr>
            <w:r w:rsidRPr="00DD47DF">
              <w:rPr>
                <w:rFonts w:cs="Calibri"/>
              </w:rPr>
              <w:t>123</w:t>
            </w:r>
          </w:p>
        </w:tc>
        <w:tc>
          <w:tcPr>
            <w:tcW w:w="1141" w:type="pct"/>
            <w:shd w:val="clear" w:color="auto" w:fill="auto"/>
            <w:vAlign w:val="center"/>
          </w:tcPr>
          <w:p w14:paraId="5087E56F" w14:textId="77777777" w:rsidR="002E2FA8" w:rsidRPr="00DD47DF" w:rsidRDefault="002E2FA8" w:rsidP="00720FD1">
            <w:pPr>
              <w:pStyle w:val="Tabulka"/>
              <w:jc w:val="right"/>
              <w:rPr>
                <w:rFonts w:cs="Calibri"/>
              </w:rPr>
            </w:pPr>
            <w:r w:rsidRPr="00DD47DF">
              <w:rPr>
                <w:rFonts w:cs="Calibri"/>
              </w:rPr>
              <w:t>15 019 898</w:t>
            </w:r>
          </w:p>
        </w:tc>
        <w:tc>
          <w:tcPr>
            <w:tcW w:w="456" w:type="pct"/>
            <w:shd w:val="clear" w:color="auto" w:fill="auto"/>
            <w:vAlign w:val="center"/>
          </w:tcPr>
          <w:p w14:paraId="0879BA34" w14:textId="77777777" w:rsidR="002E2FA8" w:rsidRPr="00DD47DF" w:rsidRDefault="002E2FA8" w:rsidP="00DD63AD">
            <w:pPr>
              <w:pStyle w:val="Tabulka"/>
              <w:rPr>
                <w:rFonts w:cs="Calibri"/>
              </w:rPr>
            </w:pPr>
          </w:p>
        </w:tc>
        <w:tc>
          <w:tcPr>
            <w:tcW w:w="1217" w:type="pct"/>
            <w:shd w:val="clear" w:color="auto" w:fill="auto"/>
            <w:vAlign w:val="center"/>
          </w:tcPr>
          <w:p w14:paraId="40E91F6D" w14:textId="77777777" w:rsidR="002E2FA8" w:rsidRPr="00DD47DF" w:rsidRDefault="002E2FA8" w:rsidP="00720FD1">
            <w:pPr>
              <w:pStyle w:val="Tabulka"/>
              <w:jc w:val="right"/>
              <w:rPr>
                <w:rFonts w:cs="Calibri"/>
              </w:rPr>
            </w:pPr>
          </w:p>
        </w:tc>
        <w:tc>
          <w:tcPr>
            <w:tcW w:w="455" w:type="pct"/>
            <w:shd w:val="clear" w:color="auto" w:fill="auto"/>
            <w:vAlign w:val="center"/>
          </w:tcPr>
          <w:p w14:paraId="4A677DD3" w14:textId="77777777" w:rsidR="002E2FA8" w:rsidRPr="00DD47DF" w:rsidRDefault="002E2FA8" w:rsidP="00DD63AD">
            <w:pPr>
              <w:pStyle w:val="Tabulka"/>
              <w:rPr>
                <w:rFonts w:cs="Calibri"/>
              </w:rPr>
            </w:pPr>
          </w:p>
        </w:tc>
        <w:tc>
          <w:tcPr>
            <w:tcW w:w="1245" w:type="pct"/>
            <w:shd w:val="clear" w:color="auto" w:fill="auto"/>
            <w:vAlign w:val="center"/>
          </w:tcPr>
          <w:p w14:paraId="7F52F0B3" w14:textId="77777777" w:rsidR="002E2FA8" w:rsidRPr="00DD47DF" w:rsidRDefault="002E2FA8" w:rsidP="00720FD1">
            <w:pPr>
              <w:pStyle w:val="Tabulka"/>
              <w:jc w:val="right"/>
              <w:rPr>
                <w:rFonts w:cs="Calibri"/>
              </w:rPr>
            </w:pPr>
          </w:p>
        </w:tc>
      </w:tr>
    </w:tbl>
    <w:p w14:paraId="233996AF" w14:textId="77777777" w:rsidR="006C0BF1" w:rsidRPr="00DD47DF" w:rsidRDefault="006C0BF1" w:rsidP="006C0BF1">
      <w:pPr>
        <w:overflowPunct/>
        <w:jc w:val="both"/>
        <w:textAlignment w:val="auto"/>
        <w:rPr>
          <w:rFonts w:ascii="Calibri" w:hAnsi="Calibri" w:cs="Calibri"/>
          <w:b/>
          <w:bCs/>
          <w:color w:val="FF0000"/>
          <w:sz w:val="28"/>
          <w:szCs w:val="28"/>
        </w:rPr>
        <w:sectPr w:rsidR="006C0BF1" w:rsidRPr="00DD47DF" w:rsidSect="004126CC">
          <w:headerReference w:type="default" r:id="rId45"/>
          <w:footerReference w:type="default" r:id="rId46"/>
          <w:pgSz w:w="11906" w:h="16838"/>
          <w:pgMar w:top="1418" w:right="1276" w:bottom="1276" w:left="1418" w:header="709" w:footer="709" w:gutter="0"/>
          <w:cols w:space="708"/>
          <w:docGrid w:linePitch="272"/>
        </w:sectPr>
      </w:pPr>
      <w:r w:rsidRPr="00DD47DF">
        <w:rPr>
          <w:rFonts w:ascii="Calibri" w:hAnsi="Calibri" w:cs="Calibri"/>
          <w:bCs/>
          <w:color w:val="FF0000"/>
          <w:sz w:val="24"/>
          <w:szCs w:val="24"/>
        </w:rPr>
        <w:t xml:space="preserve"> </w:t>
      </w:r>
    </w:p>
    <w:p w14:paraId="73568C17" w14:textId="77777777" w:rsidR="008428E3" w:rsidRPr="00DD47DF" w:rsidRDefault="00DD2263" w:rsidP="008428E3">
      <w:pPr>
        <w:pStyle w:val="Nadpis1"/>
      </w:pPr>
      <w:bookmarkStart w:id="113" w:name="_Toc129005442"/>
      <w:r w:rsidRPr="00DD47DF">
        <w:lastRenderedPageBreak/>
        <w:t>Plán financování</w:t>
      </w:r>
      <w:bookmarkEnd w:id="113"/>
    </w:p>
    <w:p w14:paraId="5A494A5C" w14:textId="77777777" w:rsidR="00D97F09" w:rsidRPr="00DD47DF" w:rsidRDefault="00DD2263" w:rsidP="00DD2263">
      <w:pPr>
        <w:pStyle w:val="Nadpis2"/>
        <w:rPr>
          <w:rFonts w:cs="Calibri"/>
        </w:rPr>
      </w:pPr>
      <w:bookmarkStart w:id="114" w:name="_Toc129005443"/>
      <w:r w:rsidRPr="00DD47DF">
        <w:rPr>
          <w:rFonts w:cs="Calibri"/>
        </w:rPr>
        <w:t>Finanční podpora z každého fondu a částky týkající se výkonnostní rezervy</w:t>
      </w:r>
      <w:bookmarkEnd w:id="114"/>
    </w:p>
    <w:p w14:paraId="48B69CF0" w14:textId="77777777" w:rsidR="003520F2" w:rsidRPr="00DD47DF" w:rsidRDefault="00434475" w:rsidP="000835C2">
      <w:pPr>
        <w:pStyle w:val="Titulek"/>
        <w:rPr>
          <w:noProof/>
        </w:rPr>
      </w:pPr>
      <w:r w:rsidRPr="00DD47DF">
        <w:rPr>
          <w:rFonts w:cs="Calibri"/>
          <w:szCs w:val="24"/>
        </w:rPr>
        <w:t>Tabulka</w:t>
      </w:r>
      <w:r w:rsidR="000835C2" w:rsidRPr="00DD47DF">
        <w:rPr>
          <w:rFonts w:cs="Calibri"/>
          <w:szCs w:val="24"/>
        </w:rPr>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17</w:t>
      </w:r>
      <w:r w:rsidR="002756E7" w:rsidRPr="00DD47DF">
        <w:rPr>
          <w:noProof/>
        </w:rPr>
        <w:fldChar w:fldCharType="end"/>
      </w:r>
    </w:p>
    <w:tbl>
      <w:tblPr>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31"/>
        <w:gridCol w:w="660"/>
        <w:gridCol w:w="965"/>
        <w:gridCol w:w="742"/>
        <w:gridCol w:w="854"/>
        <w:gridCol w:w="651"/>
        <w:gridCol w:w="854"/>
        <w:gridCol w:w="651"/>
        <w:gridCol w:w="854"/>
        <w:gridCol w:w="651"/>
        <w:gridCol w:w="854"/>
        <w:gridCol w:w="651"/>
        <w:gridCol w:w="854"/>
        <w:gridCol w:w="651"/>
        <w:gridCol w:w="854"/>
        <w:gridCol w:w="651"/>
        <w:gridCol w:w="854"/>
        <w:gridCol w:w="651"/>
        <w:gridCol w:w="842"/>
      </w:tblGrid>
      <w:tr w:rsidR="00CE6DD0" w:rsidRPr="00DD47DF" w14:paraId="3E6F0FBD" w14:textId="77777777" w:rsidTr="000435CB">
        <w:trPr>
          <w:trHeight w:val="525"/>
        </w:trPr>
        <w:tc>
          <w:tcPr>
            <w:tcW w:w="186" w:type="pct"/>
            <w:vMerge w:val="restart"/>
            <w:shd w:val="clear" w:color="auto" w:fill="auto"/>
          </w:tcPr>
          <w:p w14:paraId="20AF8426" w14:textId="77777777" w:rsidR="00CE6DD0" w:rsidRPr="00DD47DF" w:rsidRDefault="00CE6DD0" w:rsidP="000435CB">
            <w:pPr>
              <w:pStyle w:val="Tabulka"/>
              <w:rPr>
                <w:rFonts w:cs="Calibri"/>
                <w:b/>
                <w:sz w:val="16"/>
                <w:szCs w:val="16"/>
              </w:rPr>
            </w:pPr>
          </w:p>
          <w:p w14:paraId="086D5AEF" w14:textId="77777777" w:rsidR="00CE6DD0" w:rsidRPr="00DD47DF" w:rsidRDefault="00CE6DD0" w:rsidP="000435CB">
            <w:pPr>
              <w:pStyle w:val="Tabulka"/>
              <w:rPr>
                <w:rFonts w:cs="Calibri"/>
                <w:b/>
                <w:sz w:val="16"/>
                <w:szCs w:val="16"/>
              </w:rPr>
            </w:pPr>
          </w:p>
        </w:tc>
        <w:tc>
          <w:tcPr>
            <w:tcW w:w="231" w:type="pct"/>
            <w:vMerge w:val="restart"/>
            <w:shd w:val="clear" w:color="auto" w:fill="B8CCE4"/>
          </w:tcPr>
          <w:p w14:paraId="66462DFB" w14:textId="77777777" w:rsidR="00CE6DD0" w:rsidRPr="00DD47DF" w:rsidRDefault="00CE6DD0" w:rsidP="000435CB">
            <w:pPr>
              <w:pStyle w:val="Tabulka"/>
              <w:rPr>
                <w:rFonts w:cs="Calibri"/>
                <w:b/>
                <w:sz w:val="16"/>
                <w:szCs w:val="16"/>
              </w:rPr>
            </w:pPr>
            <w:r w:rsidRPr="00DD47DF">
              <w:rPr>
                <w:rFonts w:cs="Calibri"/>
                <w:b/>
                <w:sz w:val="16"/>
                <w:szCs w:val="16"/>
              </w:rPr>
              <w:t>Fond</w:t>
            </w:r>
          </w:p>
        </w:tc>
        <w:tc>
          <w:tcPr>
            <w:tcW w:w="338" w:type="pct"/>
            <w:vMerge w:val="restart"/>
            <w:shd w:val="clear" w:color="auto" w:fill="B8CCE4"/>
          </w:tcPr>
          <w:p w14:paraId="2D5EE800" w14:textId="77777777" w:rsidR="00CE6DD0" w:rsidRPr="00DD47DF" w:rsidRDefault="00CE6DD0" w:rsidP="000435CB">
            <w:pPr>
              <w:pStyle w:val="Tabulka"/>
              <w:rPr>
                <w:rFonts w:cs="Calibri"/>
                <w:b/>
                <w:sz w:val="16"/>
                <w:szCs w:val="16"/>
              </w:rPr>
            </w:pPr>
            <w:r w:rsidRPr="00DD47DF">
              <w:rPr>
                <w:rFonts w:cs="Calibri"/>
                <w:b/>
                <w:sz w:val="16"/>
                <w:szCs w:val="16"/>
              </w:rPr>
              <w:t> Kategorie regionu</w:t>
            </w:r>
          </w:p>
        </w:tc>
        <w:tc>
          <w:tcPr>
            <w:tcW w:w="559" w:type="pct"/>
            <w:gridSpan w:val="2"/>
            <w:shd w:val="clear" w:color="auto" w:fill="B8CCE4"/>
          </w:tcPr>
          <w:p w14:paraId="2CF71E78" w14:textId="77777777" w:rsidR="00CE6DD0" w:rsidRPr="00DD47DF" w:rsidRDefault="00CE6DD0" w:rsidP="000435CB">
            <w:pPr>
              <w:pStyle w:val="Tabulka"/>
              <w:rPr>
                <w:rFonts w:cs="Calibri"/>
                <w:b/>
                <w:sz w:val="16"/>
                <w:szCs w:val="16"/>
              </w:rPr>
            </w:pPr>
            <w:r w:rsidRPr="00DD47DF">
              <w:rPr>
                <w:rFonts w:cs="Calibri"/>
                <w:b/>
                <w:sz w:val="16"/>
                <w:szCs w:val="16"/>
              </w:rPr>
              <w:t>2014</w:t>
            </w:r>
          </w:p>
        </w:tc>
        <w:tc>
          <w:tcPr>
            <w:tcW w:w="527" w:type="pct"/>
            <w:gridSpan w:val="2"/>
            <w:shd w:val="clear" w:color="auto" w:fill="B8CCE4"/>
          </w:tcPr>
          <w:p w14:paraId="1F58AC99" w14:textId="77777777" w:rsidR="00CE6DD0" w:rsidRPr="00DD47DF" w:rsidRDefault="00CE6DD0" w:rsidP="000435CB">
            <w:pPr>
              <w:pStyle w:val="Tabulka"/>
              <w:rPr>
                <w:rFonts w:cs="Calibri"/>
                <w:b/>
                <w:sz w:val="16"/>
                <w:szCs w:val="16"/>
              </w:rPr>
            </w:pPr>
            <w:r w:rsidRPr="00DD47DF">
              <w:rPr>
                <w:rFonts w:cs="Calibri"/>
                <w:b/>
                <w:sz w:val="16"/>
                <w:szCs w:val="16"/>
              </w:rPr>
              <w:t>2015</w:t>
            </w:r>
          </w:p>
        </w:tc>
        <w:tc>
          <w:tcPr>
            <w:tcW w:w="527" w:type="pct"/>
            <w:gridSpan w:val="2"/>
            <w:shd w:val="clear" w:color="auto" w:fill="B8CCE4"/>
          </w:tcPr>
          <w:p w14:paraId="27E23C9B" w14:textId="77777777" w:rsidR="00CE6DD0" w:rsidRPr="00DD47DF" w:rsidRDefault="00CE6DD0" w:rsidP="000435CB">
            <w:pPr>
              <w:pStyle w:val="Tabulka"/>
              <w:rPr>
                <w:rFonts w:cs="Calibri"/>
                <w:b/>
                <w:sz w:val="16"/>
                <w:szCs w:val="16"/>
              </w:rPr>
            </w:pPr>
            <w:r w:rsidRPr="00DD47DF">
              <w:rPr>
                <w:rFonts w:cs="Calibri"/>
                <w:b/>
                <w:sz w:val="16"/>
                <w:szCs w:val="16"/>
              </w:rPr>
              <w:t>2016</w:t>
            </w:r>
          </w:p>
        </w:tc>
        <w:tc>
          <w:tcPr>
            <w:tcW w:w="527" w:type="pct"/>
            <w:gridSpan w:val="2"/>
            <w:shd w:val="clear" w:color="auto" w:fill="B8CCE4"/>
          </w:tcPr>
          <w:p w14:paraId="2D3BC3AD" w14:textId="77777777" w:rsidR="00CE6DD0" w:rsidRPr="00DD47DF" w:rsidRDefault="00CE6DD0" w:rsidP="000435CB">
            <w:pPr>
              <w:pStyle w:val="Tabulka"/>
              <w:rPr>
                <w:rFonts w:cs="Calibri"/>
                <w:b/>
                <w:sz w:val="16"/>
                <w:szCs w:val="16"/>
              </w:rPr>
            </w:pPr>
            <w:r w:rsidRPr="00DD47DF">
              <w:rPr>
                <w:rFonts w:cs="Calibri"/>
                <w:b/>
                <w:sz w:val="16"/>
                <w:szCs w:val="16"/>
              </w:rPr>
              <w:t>2017</w:t>
            </w:r>
          </w:p>
        </w:tc>
        <w:tc>
          <w:tcPr>
            <w:tcW w:w="527" w:type="pct"/>
            <w:gridSpan w:val="2"/>
            <w:shd w:val="clear" w:color="auto" w:fill="B8CCE4"/>
          </w:tcPr>
          <w:p w14:paraId="68CE949E" w14:textId="77777777" w:rsidR="00CE6DD0" w:rsidRPr="00DD47DF" w:rsidRDefault="00CE6DD0" w:rsidP="000435CB">
            <w:pPr>
              <w:pStyle w:val="Tabulka"/>
              <w:rPr>
                <w:rFonts w:cs="Calibri"/>
                <w:b/>
                <w:sz w:val="16"/>
                <w:szCs w:val="16"/>
              </w:rPr>
            </w:pPr>
            <w:r w:rsidRPr="00DD47DF">
              <w:rPr>
                <w:rFonts w:cs="Calibri"/>
                <w:b/>
                <w:sz w:val="16"/>
                <w:szCs w:val="16"/>
              </w:rPr>
              <w:t>2018</w:t>
            </w:r>
          </w:p>
        </w:tc>
        <w:tc>
          <w:tcPr>
            <w:tcW w:w="527" w:type="pct"/>
            <w:gridSpan w:val="2"/>
            <w:shd w:val="clear" w:color="auto" w:fill="B8CCE4"/>
          </w:tcPr>
          <w:p w14:paraId="58286A42" w14:textId="77777777" w:rsidR="00CE6DD0" w:rsidRPr="00DD47DF" w:rsidRDefault="00CE6DD0" w:rsidP="000435CB">
            <w:pPr>
              <w:pStyle w:val="Tabulka"/>
              <w:rPr>
                <w:rFonts w:cs="Calibri"/>
                <w:b/>
                <w:sz w:val="16"/>
                <w:szCs w:val="16"/>
              </w:rPr>
            </w:pPr>
            <w:r w:rsidRPr="00DD47DF">
              <w:rPr>
                <w:rFonts w:cs="Calibri"/>
                <w:b/>
                <w:sz w:val="16"/>
                <w:szCs w:val="16"/>
              </w:rPr>
              <w:t>2019</w:t>
            </w:r>
          </w:p>
        </w:tc>
        <w:tc>
          <w:tcPr>
            <w:tcW w:w="527" w:type="pct"/>
            <w:gridSpan w:val="2"/>
            <w:shd w:val="clear" w:color="auto" w:fill="B8CCE4"/>
          </w:tcPr>
          <w:p w14:paraId="21813F4B" w14:textId="77777777" w:rsidR="00CE6DD0" w:rsidRPr="00DD47DF" w:rsidRDefault="00CE6DD0" w:rsidP="000435CB">
            <w:pPr>
              <w:pStyle w:val="Tabulka"/>
              <w:rPr>
                <w:rFonts w:cs="Calibri"/>
                <w:b/>
                <w:sz w:val="16"/>
                <w:szCs w:val="16"/>
              </w:rPr>
            </w:pPr>
            <w:r w:rsidRPr="00DD47DF">
              <w:rPr>
                <w:rFonts w:cs="Calibri"/>
                <w:b/>
                <w:sz w:val="16"/>
                <w:szCs w:val="16"/>
              </w:rPr>
              <w:t>2020</w:t>
            </w:r>
          </w:p>
        </w:tc>
        <w:tc>
          <w:tcPr>
            <w:tcW w:w="523" w:type="pct"/>
            <w:gridSpan w:val="2"/>
            <w:shd w:val="clear" w:color="auto" w:fill="B8CCE4"/>
          </w:tcPr>
          <w:p w14:paraId="7665E780" w14:textId="77777777" w:rsidR="00CE6DD0" w:rsidRPr="00DD47DF" w:rsidRDefault="00CE6DD0" w:rsidP="000435CB">
            <w:pPr>
              <w:pStyle w:val="Tabulka"/>
              <w:rPr>
                <w:rFonts w:cs="Calibri"/>
                <w:b/>
                <w:sz w:val="16"/>
                <w:szCs w:val="16"/>
              </w:rPr>
            </w:pPr>
            <w:r w:rsidRPr="00DD47DF">
              <w:rPr>
                <w:rFonts w:cs="Calibri"/>
                <w:b/>
                <w:sz w:val="16"/>
                <w:szCs w:val="16"/>
              </w:rPr>
              <w:t>Celkem</w:t>
            </w:r>
          </w:p>
        </w:tc>
      </w:tr>
      <w:tr w:rsidR="00CE6DD0" w:rsidRPr="00DD47DF" w14:paraId="10556F87" w14:textId="77777777" w:rsidTr="000435CB">
        <w:trPr>
          <w:trHeight w:val="525"/>
        </w:trPr>
        <w:tc>
          <w:tcPr>
            <w:tcW w:w="186" w:type="pct"/>
            <w:vMerge/>
            <w:shd w:val="clear" w:color="auto" w:fill="auto"/>
          </w:tcPr>
          <w:p w14:paraId="45BB916A" w14:textId="77777777" w:rsidR="00CE6DD0" w:rsidRPr="00DD47DF" w:rsidRDefault="00CE6DD0" w:rsidP="000435CB">
            <w:pPr>
              <w:pStyle w:val="Tabulka"/>
              <w:rPr>
                <w:rFonts w:cs="Calibri"/>
                <w:sz w:val="16"/>
                <w:szCs w:val="16"/>
              </w:rPr>
            </w:pPr>
          </w:p>
        </w:tc>
        <w:tc>
          <w:tcPr>
            <w:tcW w:w="231" w:type="pct"/>
            <w:vMerge/>
          </w:tcPr>
          <w:p w14:paraId="47C65B7C" w14:textId="77777777" w:rsidR="00CE6DD0" w:rsidRPr="00DD47DF" w:rsidRDefault="00CE6DD0" w:rsidP="000435CB">
            <w:pPr>
              <w:pStyle w:val="Tabulka"/>
              <w:rPr>
                <w:rFonts w:cs="Calibri"/>
                <w:sz w:val="16"/>
                <w:szCs w:val="16"/>
              </w:rPr>
            </w:pPr>
          </w:p>
        </w:tc>
        <w:tc>
          <w:tcPr>
            <w:tcW w:w="338" w:type="pct"/>
            <w:vMerge/>
            <w:shd w:val="clear" w:color="auto" w:fill="auto"/>
          </w:tcPr>
          <w:p w14:paraId="1FB084EE" w14:textId="77777777" w:rsidR="00CE6DD0" w:rsidRPr="00DD47DF" w:rsidRDefault="00CE6DD0" w:rsidP="000435CB">
            <w:pPr>
              <w:pStyle w:val="Tabulka"/>
              <w:rPr>
                <w:rFonts w:cs="Calibri"/>
                <w:sz w:val="16"/>
                <w:szCs w:val="16"/>
              </w:rPr>
            </w:pPr>
          </w:p>
        </w:tc>
        <w:tc>
          <w:tcPr>
            <w:tcW w:w="260" w:type="pct"/>
            <w:shd w:val="clear" w:color="auto" w:fill="DBE5F1"/>
          </w:tcPr>
          <w:p w14:paraId="51E872FB" w14:textId="77777777" w:rsidR="00CE6DD0" w:rsidRPr="00DD47DF" w:rsidRDefault="00CE6DD0" w:rsidP="000435CB">
            <w:pPr>
              <w:pStyle w:val="Tabulka"/>
              <w:rPr>
                <w:rFonts w:cs="Calibri"/>
                <w:sz w:val="16"/>
                <w:szCs w:val="16"/>
              </w:rPr>
            </w:pPr>
            <w:r w:rsidRPr="00DD47DF">
              <w:rPr>
                <w:rFonts w:cs="Calibri"/>
                <w:sz w:val="16"/>
                <w:szCs w:val="16"/>
              </w:rPr>
              <w:t>Hlavní příděl</w:t>
            </w:r>
            <w:r w:rsidRPr="00DD47DF">
              <w:rPr>
                <w:rStyle w:val="Znakapoznpodarou"/>
                <w:rFonts w:ascii="Arial" w:hAnsi="Arial" w:cs="Arial"/>
                <w:sz w:val="16"/>
                <w:szCs w:val="16"/>
              </w:rPr>
              <w:footnoteReference w:id="78"/>
            </w:r>
          </w:p>
        </w:tc>
        <w:tc>
          <w:tcPr>
            <w:tcW w:w="299" w:type="pct"/>
            <w:shd w:val="clear" w:color="auto" w:fill="DBE5F1"/>
          </w:tcPr>
          <w:p w14:paraId="5D8FDCD3" w14:textId="77777777" w:rsidR="00CE6DD0" w:rsidRPr="00DD47DF" w:rsidRDefault="00CE6DD0" w:rsidP="000435CB">
            <w:pPr>
              <w:pStyle w:val="Tabulka"/>
              <w:rPr>
                <w:rFonts w:cs="Calibri"/>
                <w:sz w:val="16"/>
                <w:szCs w:val="16"/>
              </w:rPr>
            </w:pPr>
            <w:r w:rsidRPr="00DD47DF">
              <w:rPr>
                <w:rFonts w:cs="Calibri"/>
                <w:sz w:val="16"/>
                <w:szCs w:val="16"/>
              </w:rPr>
              <w:t xml:space="preserve">Výkonnostní rezerva </w:t>
            </w:r>
          </w:p>
        </w:tc>
        <w:tc>
          <w:tcPr>
            <w:tcW w:w="228" w:type="pct"/>
            <w:shd w:val="clear" w:color="auto" w:fill="DBE5F1"/>
          </w:tcPr>
          <w:p w14:paraId="73177C17"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67007EB5"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1909C57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26E831CE"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34CB76B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7C952962"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01618094"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148E5781"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33BFAA03"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5AE9F244"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5C001399"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9" w:type="pct"/>
            <w:shd w:val="clear" w:color="auto" w:fill="DBE5F1"/>
          </w:tcPr>
          <w:p w14:paraId="09FCC487"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c>
          <w:tcPr>
            <w:tcW w:w="228" w:type="pct"/>
            <w:shd w:val="clear" w:color="auto" w:fill="DBE5F1"/>
          </w:tcPr>
          <w:p w14:paraId="410C30C1" w14:textId="77777777" w:rsidR="00CE6DD0" w:rsidRPr="00DD47DF" w:rsidRDefault="00CE6DD0" w:rsidP="000435CB">
            <w:pPr>
              <w:pStyle w:val="Tabulka"/>
              <w:rPr>
                <w:rFonts w:cs="Calibri"/>
                <w:sz w:val="16"/>
                <w:szCs w:val="16"/>
              </w:rPr>
            </w:pPr>
            <w:r w:rsidRPr="00DD47DF">
              <w:rPr>
                <w:rFonts w:cs="Calibri"/>
                <w:sz w:val="16"/>
                <w:szCs w:val="16"/>
              </w:rPr>
              <w:t>Hlavní příděl</w:t>
            </w:r>
          </w:p>
        </w:tc>
        <w:tc>
          <w:tcPr>
            <w:tcW w:w="295" w:type="pct"/>
            <w:shd w:val="clear" w:color="auto" w:fill="DBE5F1"/>
          </w:tcPr>
          <w:p w14:paraId="0BB7416B" w14:textId="77777777" w:rsidR="00CE6DD0" w:rsidRPr="00DD47DF" w:rsidRDefault="00CE6DD0" w:rsidP="000435CB">
            <w:pPr>
              <w:pStyle w:val="Tabulka"/>
              <w:rPr>
                <w:rFonts w:cs="Calibri"/>
                <w:sz w:val="16"/>
                <w:szCs w:val="16"/>
              </w:rPr>
            </w:pPr>
            <w:r w:rsidRPr="00DD47DF">
              <w:rPr>
                <w:rFonts w:cs="Calibri"/>
                <w:sz w:val="16"/>
                <w:szCs w:val="16"/>
              </w:rPr>
              <w:t>Výkonnostní rezerva</w:t>
            </w:r>
          </w:p>
        </w:tc>
      </w:tr>
      <w:tr w:rsidR="00501978" w:rsidRPr="00DD47DF" w14:paraId="7D4AB9D1" w14:textId="77777777" w:rsidTr="00B81F2F">
        <w:trPr>
          <w:trHeight w:val="525"/>
        </w:trPr>
        <w:tc>
          <w:tcPr>
            <w:tcW w:w="186" w:type="pct"/>
            <w:vAlign w:val="center"/>
          </w:tcPr>
          <w:p w14:paraId="38A456B9" w14:textId="77777777" w:rsidR="00501978" w:rsidRPr="00DD47DF" w:rsidRDefault="00501978" w:rsidP="000435CB">
            <w:pPr>
              <w:pStyle w:val="Tabulka"/>
              <w:rPr>
                <w:rFonts w:cs="Calibri"/>
                <w:sz w:val="16"/>
                <w:szCs w:val="16"/>
              </w:rPr>
            </w:pPr>
            <w:r w:rsidRPr="00DD47DF">
              <w:rPr>
                <w:rFonts w:cs="Calibri"/>
                <w:sz w:val="16"/>
                <w:szCs w:val="16"/>
              </w:rPr>
              <w:t>(1)</w:t>
            </w:r>
          </w:p>
        </w:tc>
        <w:tc>
          <w:tcPr>
            <w:tcW w:w="231" w:type="pct"/>
            <w:tcBorders>
              <w:right w:val="single" w:sz="4" w:space="0" w:color="auto"/>
            </w:tcBorders>
            <w:vAlign w:val="center"/>
          </w:tcPr>
          <w:p w14:paraId="139FD864" w14:textId="77777777" w:rsidR="00501978" w:rsidRPr="00DD47DF" w:rsidRDefault="00501978" w:rsidP="000435CB">
            <w:pPr>
              <w:pStyle w:val="Tabulka"/>
              <w:jc w:val="left"/>
              <w:rPr>
                <w:rFonts w:cs="Calibri"/>
                <w:sz w:val="16"/>
                <w:szCs w:val="16"/>
              </w:rPr>
            </w:pPr>
            <w:r w:rsidRPr="00DD47DF">
              <w:rPr>
                <w:rFonts w:cs="Calibri"/>
                <w:sz w:val="16"/>
                <w:szCs w:val="16"/>
              </w:rPr>
              <w:t>EFRR</w:t>
            </w:r>
          </w:p>
        </w:tc>
        <w:tc>
          <w:tcPr>
            <w:tcW w:w="338" w:type="pct"/>
            <w:tcBorders>
              <w:left w:val="single" w:sz="4" w:space="0" w:color="auto"/>
            </w:tcBorders>
            <w:shd w:val="clear" w:color="auto" w:fill="auto"/>
            <w:vAlign w:val="center"/>
          </w:tcPr>
          <w:p w14:paraId="763D3E5B" w14:textId="77777777" w:rsidR="00501978" w:rsidRPr="00DD47DF" w:rsidRDefault="00501978" w:rsidP="000435CB">
            <w:pPr>
              <w:pStyle w:val="Tabulka"/>
              <w:jc w:val="left"/>
              <w:rPr>
                <w:rFonts w:cs="Calibri"/>
                <w:sz w:val="16"/>
                <w:szCs w:val="16"/>
              </w:rPr>
            </w:pPr>
            <w:r w:rsidRPr="00DD47DF">
              <w:rPr>
                <w:rFonts w:cs="Calibri"/>
                <w:sz w:val="16"/>
                <w:szCs w:val="16"/>
              </w:rPr>
              <w:t>V méně rozvinutých regionech</w:t>
            </w:r>
          </w:p>
        </w:tc>
        <w:tc>
          <w:tcPr>
            <w:tcW w:w="260" w:type="pct"/>
            <w:shd w:val="clear" w:color="auto" w:fill="auto"/>
            <w:vAlign w:val="center"/>
          </w:tcPr>
          <w:p w14:paraId="268E1495" w14:textId="77777777" w:rsidR="00501978" w:rsidRPr="00DD47DF" w:rsidRDefault="00501978" w:rsidP="00B81F2F">
            <w:pPr>
              <w:jc w:val="right"/>
              <w:rPr>
                <w:color w:val="000000"/>
                <w:sz w:val="16"/>
                <w:szCs w:val="16"/>
              </w:rPr>
            </w:pPr>
            <w:r w:rsidRPr="00DD47DF">
              <w:rPr>
                <w:color w:val="000000"/>
                <w:sz w:val="16"/>
                <w:szCs w:val="16"/>
              </w:rPr>
              <w:t>0</w:t>
            </w:r>
          </w:p>
        </w:tc>
        <w:tc>
          <w:tcPr>
            <w:tcW w:w="299" w:type="pct"/>
            <w:shd w:val="clear" w:color="auto" w:fill="auto"/>
            <w:vAlign w:val="center"/>
          </w:tcPr>
          <w:p w14:paraId="33B864C8" w14:textId="77777777" w:rsidR="00501978" w:rsidRPr="00DD47DF" w:rsidRDefault="00501978" w:rsidP="00B81F2F">
            <w:pPr>
              <w:jc w:val="right"/>
              <w:rPr>
                <w:color w:val="000000"/>
                <w:sz w:val="16"/>
                <w:szCs w:val="16"/>
              </w:rPr>
            </w:pPr>
            <w:r w:rsidRPr="00DD47DF">
              <w:rPr>
                <w:color w:val="000000"/>
                <w:sz w:val="16"/>
                <w:szCs w:val="16"/>
              </w:rPr>
              <w:t>0</w:t>
            </w:r>
          </w:p>
        </w:tc>
        <w:tc>
          <w:tcPr>
            <w:tcW w:w="228" w:type="pct"/>
            <w:shd w:val="clear" w:color="auto" w:fill="auto"/>
            <w:vAlign w:val="center"/>
          </w:tcPr>
          <w:p w14:paraId="43FF1F87" w14:textId="77777777" w:rsidR="00501978" w:rsidRPr="00DD47DF" w:rsidRDefault="00501978" w:rsidP="00B81F2F">
            <w:pPr>
              <w:jc w:val="right"/>
              <w:rPr>
                <w:color w:val="000000"/>
                <w:sz w:val="16"/>
                <w:szCs w:val="16"/>
              </w:rPr>
            </w:pPr>
            <w:r w:rsidRPr="00DD47DF">
              <w:rPr>
                <w:color w:val="000000"/>
                <w:sz w:val="16"/>
                <w:szCs w:val="16"/>
              </w:rPr>
              <w:t>1 106 160 536</w:t>
            </w:r>
          </w:p>
        </w:tc>
        <w:tc>
          <w:tcPr>
            <w:tcW w:w="299" w:type="pct"/>
            <w:shd w:val="clear" w:color="auto" w:fill="auto"/>
            <w:vAlign w:val="center"/>
          </w:tcPr>
          <w:p w14:paraId="2D6953D6" w14:textId="77777777" w:rsidR="00501978" w:rsidRPr="00DD47DF" w:rsidRDefault="00501978" w:rsidP="00B81F2F">
            <w:pPr>
              <w:jc w:val="right"/>
              <w:rPr>
                <w:color w:val="000000"/>
                <w:sz w:val="16"/>
                <w:szCs w:val="16"/>
              </w:rPr>
            </w:pPr>
            <w:r w:rsidRPr="00DD47DF">
              <w:rPr>
                <w:color w:val="000000"/>
                <w:sz w:val="16"/>
                <w:szCs w:val="16"/>
              </w:rPr>
              <w:t>70 605 992</w:t>
            </w:r>
          </w:p>
        </w:tc>
        <w:tc>
          <w:tcPr>
            <w:tcW w:w="228" w:type="pct"/>
            <w:shd w:val="clear" w:color="auto" w:fill="auto"/>
            <w:vAlign w:val="center"/>
          </w:tcPr>
          <w:p w14:paraId="3CC211C2" w14:textId="77777777" w:rsidR="00501978" w:rsidRPr="00DD47DF" w:rsidRDefault="00501978" w:rsidP="00B81F2F">
            <w:pPr>
              <w:jc w:val="right"/>
              <w:rPr>
                <w:color w:val="000000"/>
                <w:sz w:val="16"/>
                <w:szCs w:val="16"/>
              </w:rPr>
            </w:pPr>
            <w:r w:rsidRPr="00DD47DF">
              <w:rPr>
                <w:color w:val="000000"/>
                <w:sz w:val="16"/>
                <w:szCs w:val="16"/>
              </w:rPr>
              <w:t>569 742 747</w:t>
            </w:r>
          </w:p>
        </w:tc>
        <w:tc>
          <w:tcPr>
            <w:tcW w:w="299" w:type="pct"/>
            <w:shd w:val="clear" w:color="auto" w:fill="auto"/>
            <w:vAlign w:val="center"/>
          </w:tcPr>
          <w:p w14:paraId="7C301138" w14:textId="77777777" w:rsidR="00501978" w:rsidRPr="00DD47DF" w:rsidRDefault="00501978" w:rsidP="00B81F2F">
            <w:pPr>
              <w:jc w:val="right"/>
              <w:rPr>
                <w:color w:val="000000"/>
                <w:sz w:val="16"/>
                <w:szCs w:val="16"/>
              </w:rPr>
            </w:pPr>
            <w:r w:rsidRPr="00DD47DF">
              <w:rPr>
                <w:color w:val="000000"/>
                <w:sz w:val="16"/>
                <w:szCs w:val="16"/>
              </w:rPr>
              <w:t>36 366 558</w:t>
            </w:r>
          </w:p>
        </w:tc>
        <w:tc>
          <w:tcPr>
            <w:tcW w:w="228" w:type="pct"/>
            <w:shd w:val="clear" w:color="auto" w:fill="auto"/>
            <w:vAlign w:val="center"/>
          </w:tcPr>
          <w:p w14:paraId="5B119810" w14:textId="77777777" w:rsidR="00501978" w:rsidRPr="00DD47DF" w:rsidRDefault="00501978" w:rsidP="00B81F2F">
            <w:pPr>
              <w:jc w:val="right"/>
              <w:rPr>
                <w:color w:val="000000"/>
                <w:sz w:val="16"/>
                <w:szCs w:val="16"/>
              </w:rPr>
            </w:pPr>
            <w:r w:rsidRPr="00DD47DF">
              <w:rPr>
                <w:color w:val="000000"/>
                <w:sz w:val="16"/>
                <w:szCs w:val="16"/>
              </w:rPr>
              <w:t>581 145 153</w:t>
            </w:r>
          </w:p>
        </w:tc>
        <w:tc>
          <w:tcPr>
            <w:tcW w:w="299" w:type="pct"/>
            <w:shd w:val="clear" w:color="auto" w:fill="auto"/>
            <w:vAlign w:val="center"/>
          </w:tcPr>
          <w:p w14:paraId="4D038E6E" w14:textId="77777777" w:rsidR="00501978" w:rsidRPr="00DD47DF" w:rsidRDefault="00501978" w:rsidP="00B81F2F">
            <w:pPr>
              <w:jc w:val="right"/>
              <w:rPr>
                <w:color w:val="000000"/>
                <w:sz w:val="16"/>
                <w:szCs w:val="16"/>
              </w:rPr>
            </w:pPr>
            <w:r w:rsidRPr="00DD47DF">
              <w:rPr>
                <w:color w:val="000000"/>
                <w:sz w:val="16"/>
                <w:szCs w:val="16"/>
              </w:rPr>
              <w:t>37 094 372</w:t>
            </w:r>
          </w:p>
        </w:tc>
        <w:tc>
          <w:tcPr>
            <w:tcW w:w="228" w:type="pct"/>
            <w:shd w:val="clear" w:color="auto" w:fill="auto"/>
            <w:vAlign w:val="center"/>
          </w:tcPr>
          <w:p w14:paraId="1C7BEC07" w14:textId="77777777" w:rsidR="00501978" w:rsidRPr="00DD47DF" w:rsidRDefault="00501978" w:rsidP="00B81F2F">
            <w:pPr>
              <w:jc w:val="right"/>
              <w:rPr>
                <w:color w:val="000000"/>
                <w:sz w:val="16"/>
                <w:szCs w:val="16"/>
              </w:rPr>
            </w:pPr>
            <w:r w:rsidRPr="00DD47DF">
              <w:rPr>
                <w:color w:val="000000"/>
                <w:sz w:val="16"/>
                <w:szCs w:val="16"/>
              </w:rPr>
              <w:t>592 775 409</w:t>
            </w:r>
          </w:p>
        </w:tc>
        <w:tc>
          <w:tcPr>
            <w:tcW w:w="299" w:type="pct"/>
            <w:shd w:val="clear" w:color="auto" w:fill="auto"/>
            <w:vAlign w:val="center"/>
          </w:tcPr>
          <w:p w14:paraId="591A88C1" w14:textId="77777777" w:rsidR="00501978" w:rsidRPr="00DD47DF" w:rsidRDefault="00501978" w:rsidP="00B81F2F">
            <w:pPr>
              <w:jc w:val="right"/>
              <w:rPr>
                <w:color w:val="000000"/>
                <w:sz w:val="16"/>
                <w:szCs w:val="16"/>
              </w:rPr>
            </w:pPr>
            <w:r w:rsidRPr="00DD47DF">
              <w:rPr>
                <w:color w:val="000000"/>
                <w:sz w:val="16"/>
                <w:szCs w:val="16"/>
              </w:rPr>
              <w:t>37 836 728</w:t>
            </w:r>
          </w:p>
        </w:tc>
        <w:tc>
          <w:tcPr>
            <w:tcW w:w="228" w:type="pct"/>
            <w:shd w:val="clear" w:color="auto" w:fill="auto"/>
            <w:vAlign w:val="center"/>
          </w:tcPr>
          <w:p w14:paraId="69FD4780" w14:textId="069065AD" w:rsidR="00501978" w:rsidRPr="00DD47DF" w:rsidRDefault="00BA3C9D" w:rsidP="00B81F2F">
            <w:pPr>
              <w:jc w:val="right"/>
              <w:rPr>
                <w:color w:val="000000"/>
                <w:sz w:val="16"/>
                <w:szCs w:val="16"/>
              </w:rPr>
            </w:pPr>
            <w:r w:rsidRPr="00343373">
              <w:rPr>
                <w:color w:val="000000"/>
                <w:sz w:val="16"/>
                <w:szCs w:val="16"/>
              </w:rPr>
              <w:t>492 707 941</w:t>
            </w:r>
          </w:p>
        </w:tc>
        <w:tc>
          <w:tcPr>
            <w:tcW w:w="299" w:type="pct"/>
            <w:shd w:val="clear" w:color="auto" w:fill="auto"/>
            <w:vAlign w:val="center"/>
          </w:tcPr>
          <w:p w14:paraId="34ACEF37" w14:textId="6C995F1C" w:rsidR="00501978" w:rsidRPr="00DD47DF" w:rsidRDefault="00BA3C9D" w:rsidP="00B81F2F">
            <w:pPr>
              <w:jc w:val="right"/>
              <w:rPr>
                <w:color w:val="000000"/>
                <w:sz w:val="16"/>
                <w:szCs w:val="16"/>
              </w:rPr>
            </w:pPr>
            <w:r w:rsidRPr="00343373">
              <w:rPr>
                <w:color w:val="000000"/>
                <w:sz w:val="16"/>
                <w:szCs w:val="16"/>
              </w:rPr>
              <w:t>31 449 443</w:t>
            </w:r>
          </w:p>
        </w:tc>
        <w:tc>
          <w:tcPr>
            <w:tcW w:w="228" w:type="pct"/>
            <w:shd w:val="clear" w:color="auto" w:fill="auto"/>
            <w:vAlign w:val="center"/>
          </w:tcPr>
          <w:p w14:paraId="6961D22A" w14:textId="5462CEB6" w:rsidR="00501978" w:rsidRPr="00DD47DF" w:rsidRDefault="00CD6C0C" w:rsidP="00B81F2F">
            <w:pPr>
              <w:jc w:val="right"/>
              <w:rPr>
                <w:color w:val="000000"/>
                <w:sz w:val="16"/>
                <w:szCs w:val="16"/>
              </w:rPr>
            </w:pPr>
            <w:r w:rsidRPr="00CD6C0C">
              <w:rPr>
                <w:color w:val="000000"/>
                <w:sz w:val="16"/>
                <w:szCs w:val="16"/>
              </w:rPr>
              <w:t>276 571 401</w:t>
            </w:r>
          </w:p>
        </w:tc>
        <w:tc>
          <w:tcPr>
            <w:tcW w:w="299" w:type="pct"/>
            <w:shd w:val="clear" w:color="auto" w:fill="auto"/>
            <w:vAlign w:val="center"/>
          </w:tcPr>
          <w:p w14:paraId="68C89682" w14:textId="6DA103AA" w:rsidR="00501978" w:rsidRPr="00DD47DF" w:rsidRDefault="00CD6C0C" w:rsidP="00B81F2F">
            <w:pPr>
              <w:jc w:val="right"/>
              <w:rPr>
                <w:color w:val="000000"/>
                <w:sz w:val="16"/>
                <w:szCs w:val="16"/>
              </w:rPr>
            </w:pPr>
            <w:r w:rsidRPr="00CD6C0C">
              <w:rPr>
                <w:color w:val="000000"/>
                <w:sz w:val="16"/>
                <w:szCs w:val="16"/>
              </w:rPr>
              <w:t>17 653 493</w:t>
            </w:r>
          </w:p>
        </w:tc>
        <w:tc>
          <w:tcPr>
            <w:tcW w:w="228" w:type="pct"/>
            <w:shd w:val="clear" w:color="auto" w:fill="auto"/>
            <w:vAlign w:val="center"/>
          </w:tcPr>
          <w:p w14:paraId="7242DFBA" w14:textId="55169202" w:rsidR="00501978" w:rsidRPr="00DD47DF" w:rsidRDefault="00CD6C0C" w:rsidP="00B81F2F">
            <w:pPr>
              <w:jc w:val="right"/>
              <w:rPr>
                <w:color w:val="000000"/>
                <w:sz w:val="16"/>
                <w:szCs w:val="16"/>
              </w:rPr>
            </w:pPr>
            <w:r w:rsidRPr="00CD6C0C">
              <w:rPr>
                <w:color w:val="000000"/>
                <w:sz w:val="16"/>
                <w:szCs w:val="16"/>
              </w:rPr>
              <w:t>3 619 103 187</w:t>
            </w:r>
          </w:p>
        </w:tc>
        <w:tc>
          <w:tcPr>
            <w:tcW w:w="295" w:type="pct"/>
            <w:shd w:val="clear" w:color="auto" w:fill="auto"/>
            <w:vAlign w:val="center"/>
          </w:tcPr>
          <w:p w14:paraId="0A8DCEFF" w14:textId="5DEC3D4D" w:rsidR="00501978" w:rsidRPr="00DD47DF" w:rsidRDefault="00CD6C0C" w:rsidP="00B81F2F">
            <w:pPr>
              <w:jc w:val="right"/>
              <w:rPr>
                <w:color w:val="000000"/>
                <w:sz w:val="16"/>
                <w:szCs w:val="16"/>
              </w:rPr>
            </w:pPr>
            <w:r w:rsidRPr="00CD6C0C">
              <w:rPr>
                <w:color w:val="000000"/>
                <w:sz w:val="16"/>
                <w:szCs w:val="16"/>
              </w:rPr>
              <w:t>231 006 586</w:t>
            </w:r>
          </w:p>
        </w:tc>
      </w:tr>
      <w:tr w:rsidR="00501978" w:rsidRPr="00DD47DF" w14:paraId="77882DFB" w14:textId="77777777" w:rsidTr="00B81F2F">
        <w:trPr>
          <w:trHeight w:val="525"/>
        </w:trPr>
        <w:tc>
          <w:tcPr>
            <w:tcW w:w="186" w:type="pct"/>
            <w:shd w:val="clear" w:color="auto" w:fill="auto"/>
            <w:vAlign w:val="center"/>
          </w:tcPr>
          <w:p w14:paraId="36C77512" w14:textId="77777777" w:rsidR="00501978" w:rsidRPr="00DD47DF" w:rsidRDefault="00501978" w:rsidP="000435CB">
            <w:pPr>
              <w:pStyle w:val="Tabulka"/>
              <w:rPr>
                <w:rFonts w:cs="Calibri"/>
                <w:sz w:val="16"/>
                <w:szCs w:val="16"/>
              </w:rPr>
            </w:pPr>
            <w:r w:rsidRPr="00DD47DF">
              <w:rPr>
                <w:rFonts w:cs="Calibri"/>
                <w:sz w:val="16"/>
                <w:szCs w:val="16"/>
              </w:rPr>
              <w:t>(12)</w:t>
            </w:r>
          </w:p>
        </w:tc>
        <w:tc>
          <w:tcPr>
            <w:tcW w:w="231" w:type="pct"/>
            <w:tcBorders>
              <w:right w:val="single" w:sz="4" w:space="0" w:color="auto"/>
            </w:tcBorders>
            <w:shd w:val="clear" w:color="auto" w:fill="DBE5F1"/>
            <w:vAlign w:val="center"/>
          </w:tcPr>
          <w:p w14:paraId="1CE30DFB" w14:textId="77777777" w:rsidR="00501978" w:rsidRPr="00DD47DF" w:rsidRDefault="00501978" w:rsidP="000435CB">
            <w:pPr>
              <w:pStyle w:val="Tabulka"/>
              <w:jc w:val="left"/>
              <w:rPr>
                <w:rFonts w:cs="Calibri"/>
                <w:sz w:val="16"/>
                <w:szCs w:val="16"/>
              </w:rPr>
            </w:pPr>
            <w:r w:rsidRPr="00DD47DF">
              <w:rPr>
                <w:rFonts w:cs="Calibri"/>
                <w:sz w:val="16"/>
                <w:szCs w:val="16"/>
              </w:rPr>
              <w:t>Celkem</w:t>
            </w:r>
          </w:p>
        </w:tc>
        <w:tc>
          <w:tcPr>
            <w:tcW w:w="338" w:type="pct"/>
            <w:tcBorders>
              <w:left w:val="single" w:sz="4" w:space="0" w:color="auto"/>
            </w:tcBorders>
            <w:shd w:val="clear" w:color="auto" w:fill="DBE5F1"/>
            <w:vAlign w:val="center"/>
          </w:tcPr>
          <w:p w14:paraId="4D9C12E0" w14:textId="77777777" w:rsidR="00501978" w:rsidRPr="00DD47DF" w:rsidRDefault="00501978" w:rsidP="000435CB">
            <w:pPr>
              <w:pStyle w:val="Tabulka"/>
              <w:jc w:val="left"/>
              <w:rPr>
                <w:rFonts w:cs="Calibri"/>
                <w:sz w:val="16"/>
                <w:szCs w:val="16"/>
              </w:rPr>
            </w:pPr>
          </w:p>
        </w:tc>
        <w:tc>
          <w:tcPr>
            <w:tcW w:w="260" w:type="pct"/>
            <w:shd w:val="clear" w:color="auto" w:fill="DBE5F1"/>
            <w:vAlign w:val="center"/>
          </w:tcPr>
          <w:p w14:paraId="778CFA28" w14:textId="77777777" w:rsidR="00501978" w:rsidRPr="00DD47DF" w:rsidRDefault="00501978" w:rsidP="00B81F2F">
            <w:pPr>
              <w:jc w:val="right"/>
              <w:rPr>
                <w:color w:val="000000"/>
                <w:sz w:val="16"/>
                <w:szCs w:val="16"/>
              </w:rPr>
            </w:pPr>
            <w:r w:rsidRPr="00DD47DF">
              <w:rPr>
                <w:color w:val="000000"/>
                <w:sz w:val="16"/>
                <w:szCs w:val="16"/>
              </w:rPr>
              <w:t>0</w:t>
            </w:r>
          </w:p>
        </w:tc>
        <w:tc>
          <w:tcPr>
            <w:tcW w:w="299" w:type="pct"/>
            <w:shd w:val="clear" w:color="auto" w:fill="DBE5F1"/>
            <w:vAlign w:val="center"/>
          </w:tcPr>
          <w:p w14:paraId="7665C81D" w14:textId="77777777" w:rsidR="00501978" w:rsidRPr="00DD47DF" w:rsidRDefault="00501978" w:rsidP="00B81F2F">
            <w:pPr>
              <w:jc w:val="right"/>
              <w:rPr>
                <w:color w:val="000000"/>
                <w:sz w:val="16"/>
                <w:szCs w:val="16"/>
              </w:rPr>
            </w:pPr>
            <w:r w:rsidRPr="00DD47DF">
              <w:rPr>
                <w:color w:val="000000"/>
                <w:sz w:val="16"/>
                <w:szCs w:val="16"/>
              </w:rPr>
              <w:t>0</w:t>
            </w:r>
          </w:p>
        </w:tc>
        <w:tc>
          <w:tcPr>
            <w:tcW w:w="228" w:type="pct"/>
            <w:shd w:val="clear" w:color="auto" w:fill="DBE5F1"/>
            <w:vAlign w:val="center"/>
          </w:tcPr>
          <w:p w14:paraId="39BAFCD8" w14:textId="77777777" w:rsidR="00501978" w:rsidRPr="00DD47DF" w:rsidRDefault="00501978" w:rsidP="00B81F2F">
            <w:pPr>
              <w:jc w:val="right"/>
              <w:rPr>
                <w:color w:val="000000"/>
                <w:sz w:val="16"/>
                <w:szCs w:val="16"/>
              </w:rPr>
            </w:pPr>
            <w:r w:rsidRPr="00DD47DF">
              <w:rPr>
                <w:color w:val="000000"/>
                <w:sz w:val="16"/>
                <w:szCs w:val="16"/>
              </w:rPr>
              <w:t>1 106 160 536</w:t>
            </w:r>
          </w:p>
        </w:tc>
        <w:tc>
          <w:tcPr>
            <w:tcW w:w="299" w:type="pct"/>
            <w:shd w:val="clear" w:color="auto" w:fill="DBE5F1"/>
            <w:vAlign w:val="center"/>
          </w:tcPr>
          <w:p w14:paraId="5582AB22" w14:textId="77777777" w:rsidR="00501978" w:rsidRPr="00DD47DF" w:rsidRDefault="00501978" w:rsidP="00B81F2F">
            <w:pPr>
              <w:jc w:val="right"/>
              <w:rPr>
                <w:color w:val="000000"/>
                <w:sz w:val="16"/>
                <w:szCs w:val="16"/>
              </w:rPr>
            </w:pPr>
            <w:r w:rsidRPr="00DD47DF">
              <w:rPr>
                <w:color w:val="000000"/>
                <w:sz w:val="16"/>
                <w:szCs w:val="16"/>
              </w:rPr>
              <w:t>70 605 992</w:t>
            </w:r>
          </w:p>
        </w:tc>
        <w:tc>
          <w:tcPr>
            <w:tcW w:w="228" w:type="pct"/>
            <w:shd w:val="clear" w:color="auto" w:fill="DBE5F1"/>
            <w:vAlign w:val="center"/>
          </w:tcPr>
          <w:p w14:paraId="10EC07D4" w14:textId="77777777" w:rsidR="00501978" w:rsidRPr="00DD47DF" w:rsidRDefault="00501978" w:rsidP="00B81F2F">
            <w:pPr>
              <w:jc w:val="right"/>
              <w:rPr>
                <w:color w:val="000000"/>
                <w:sz w:val="16"/>
                <w:szCs w:val="16"/>
              </w:rPr>
            </w:pPr>
            <w:r w:rsidRPr="00DD47DF">
              <w:rPr>
                <w:color w:val="000000"/>
                <w:sz w:val="16"/>
                <w:szCs w:val="16"/>
              </w:rPr>
              <w:t>569 742 747</w:t>
            </w:r>
          </w:p>
        </w:tc>
        <w:tc>
          <w:tcPr>
            <w:tcW w:w="299" w:type="pct"/>
            <w:shd w:val="clear" w:color="auto" w:fill="DBE5F1"/>
            <w:vAlign w:val="center"/>
          </w:tcPr>
          <w:p w14:paraId="49F506A3" w14:textId="77777777" w:rsidR="00501978" w:rsidRPr="00DD47DF" w:rsidRDefault="00501978" w:rsidP="00B81F2F">
            <w:pPr>
              <w:jc w:val="right"/>
              <w:rPr>
                <w:color w:val="000000"/>
                <w:sz w:val="16"/>
                <w:szCs w:val="16"/>
              </w:rPr>
            </w:pPr>
            <w:r w:rsidRPr="00DD47DF">
              <w:rPr>
                <w:color w:val="000000"/>
                <w:sz w:val="16"/>
                <w:szCs w:val="16"/>
              </w:rPr>
              <w:t>36 366 558</w:t>
            </w:r>
          </w:p>
        </w:tc>
        <w:tc>
          <w:tcPr>
            <w:tcW w:w="228" w:type="pct"/>
            <w:shd w:val="clear" w:color="auto" w:fill="DBE5F1"/>
            <w:vAlign w:val="center"/>
          </w:tcPr>
          <w:p w14:paraId="580C8503" w14:textId="77777777" w:rsidR="00501978" w:rsidRPr="00DD47DF" w:rsidRDefault="00501978" w:rsidP="00B81F2F">
            <w:pPr>
              <w:jc w:val="right"/>
              <w:rPr>
                <w:color w:val="000000"/>
                <w:sz w:val="16"/>
                <w:szCs w:val="16"/>
              </w:rPr>
            </w:pPr>
            <w:r w:rsidRPr="00DD47DF">
              <w:rPr>
                <w:color w:val="000000"/>
                <w:sz w:val="16"/>
                <w:szCs w:val="16"/>
              </w:rPr>
              <w:t>581 145 153</w:t>
            </w:r>
          </w:p>
        </w:tc>
        <w:tc>
          <w:tcPr>
            <w:tcW w:w="299" w:type="pct"/>
            <w:shd w:val="clear" w:color="auto" w:fill="DBE5F1"/>
            <w:vAlign w:val="center"/>
          </w:tcPr>
          <w:p w14:paraId="7357B035" w14:textId="77777777" w:rsidR="00501978" w:rsidRPr="00DD47DF" w:rsidRDefault="00501978" w:rsidP="00B81F2F">
            <w:pPr>
              <w:jc w:val="right"/>
              <w:rPr>
                <w:color w:val="000000"/>
                <w:sz w:val="16"/>
                <w:szCs w:val="16"/>
              </w:rPr>
            </w:pPr>
            <w:r w:rsidRPr="00DD47DF">
              <w:rPr>
                <w:color w:val="000000"/>
                <w:sz w:val="16"/>
                <w:szCs w:val="16"/>
              </w:rPr>
              <w:t>37 094 372</w:t>
            </w:r>
          </w:p>
        </w:tc>
        <w:tc>
          <w:tcPr>
            <w:tcW w:w="228" w:type="pct"/>
            <w:shd w:val="clear" w:color="auto" w:fill="DBE5F1"/>
            <w:vAlign w:val="center"/>
          </w:tcPr>
          <w:p w14:paraId="060FE595" w14:textId="77777777" w:rsidR="00501978" w:rsidRPr="00DD47DF" w:rsidRDefault="00501978" w:rsidP="00B81F2F">
            <w:pPr>
              <w:jc w:val="right"/>
              <w:rPr>
                <w:color w:val="000000"/>
                <w:sz w:val="16"/>
                <w:szCs w:val="16"/>
              </w:rPr>
            </w:pPr>
            <w:r w:rsidRPr="00DD47DF">
              <w:rPr>
                <w:color w:val="000000"/>
                <w:sz w:val="16"/>
                <w:szCs w:val="16"/>
              </w:rPr>
              <w:t>592 775 409</w:t>
            </w:r>
          </w:p>
        </w:tc>
        <w:tc>
          <w:tcPr>
            <w:tcW w:w="299" w:type="pct"/>
            <w:shd w:val="clear" w:color="auto" w:fill="DBE5F1"/>
            <w:vAlign w:val="center"/>
          </w:tcPr>
          <w:p w14:paraId="2AE73037" w14:textId="77777777" w:rsidR="00501978" w:rsidRPr="00DD47DF" w:rsidRDefault="00501978" w:rsidP="00B81F2F">
            <w:pPr>
              <w:jc w:val="right"/>
              <w:rPr>
                <w:color w:val="000000"/>
                <w:sz w:val="16"/>
                <w:szCs w:val="16"/>
              </w:rPr>
            </w:pPr>
            <w:r w:rsidRPr="00DD47DF">
              <w:rPr>
                <w:color w:val="000000"/>
                <w:sz w:val="16"/>
                <w:szCs w:val="16"/>
              </w:rPr>
              <w:t>37 836 728</w:t>
            </w:r>
          </w:p>
        </w:tc>
        <w:tc>
          <w:tcPr>
            <w:tcW w:w="228" w:type="pct"/>
            <w:shd w:val="clear" w:color="auto" w:fill="DBE5F1"/>
            <w:vAlign w:val="center"/>
          </w:tcPr>
          <w:p w14:paraId="02317278" w14:textId="412A3482" w:rsidR="00501978" w:rsidRPr="00DD47DF" w:rsidRDefault="00BA3C9D" w:rsidP="00B81F2F">
            <w:pPr>
              <w:jc w:val="right"/>
              <w:rPr>
                <w:color w:val="000000"/>
                <w:sz w:val="16"/>
                <w:szCs w:val="16"/>
              </w:rPr>
            </w:pPr>
            <w:r w:rsidRPr="00343373">
              <w:rPr>
                <w:color w:val="000000"/>
                <w:sz w:val="16"/>
                <w:szCs w:val="16"/>
              </w:rPr>
              <w:t>492 707 941</w:t>
            </w:r>
          </w:p>
        </w:tc>
        <w:tc>
          <w:tcPr>
            <w:tcW w:w="299" w:type="pct"/>
            <w:shd w:val="clear" w:color="auto" w:fill="DBE5F1"/>
            <w:vAlign w:val="center"/>
          </w:tcPr>
          <w:p w14:paraId="3E0119D2" w14:textId="0B2D45E2" w:rsidR="00501978" w:rsidRPr="00DD47DF" w:rsidRDefault="00BA3C9D" w:rsidP="00B81F2F">
            <w:pPr>
              <w:jc w:val="right"/>
              <w:rPr>
                <w:color w:val="000000"/>
                <w:sz w:val="16"/>
                <w:szCs w:val="16"/>
              </w:rPr>
            </w:pPr>
            <w:r w:rsidRPr="00343373">
              <w:rPr>
                <w:color w:val="000000"/>
                <w:sz w:val="16"/>
                <w:szCs w:val="16"/>
              </w:rPr>
              <w:t>31 449 443</w:t>
            </w:r>
          </w:p>
        </w:tc>
        <w:tc>
          <w:tcPr>
            <w:tcW w:w="228" w:type="pct"/>
            <w:shd w:val="clear" w:color="auto" w:fill="DBE5F1"/>
            <w:vAlign w:val="center"/>
          </w:tcPr>
          <w:p w14:paraId="4B4857EB" w14:textId="4AF8A65D" w:rsidR="00501978" w:rsidRPr="00DD47DF" w:rsidRDefault="00CD6C0C" w:rsidP="00B81F2F">
            <w:pPr>
              <w:jc w:val="right"/>
              <w:rPr>
                <w:color w:val="000000"/>
                <w:sz w:val="16"/>
                <w:szCs w:val="16"/>
              </w:rPr>
            </w:pPr>
            <w:r w:rsidRPr="00CD6C0C">
              <w:rPr>
                <w:color w:val="000000"/>
                <w:sz w:val="16"/>
                <w:szCs w:val="16"/>
              </w:rPr>
              <w:t>276 571 401</w:t>
            </w:r>
          </w:p>
        </w:tc>
        <w:tc>
          <w:tcPr>
            <w:tcW w:w="299" w:type="pct"/>
            <w:shd w:val="clear" w:color="auto" w:fill="DBE5F1"/>
            <w:vAlign w:val="center"/>
          </w:tcPr>
          <w:p w14:paraId="3161BFEB" w14:textId="40130D22" w:rsidR="00501978" w:rsidRPr="00DD47DF" w:rsidRDefault="00CD6C0C" w:rsidP="00B81F2F">
            <w:pPr>
              <w:jc w:val="right"/>
              <w:rPr>
                <w:color w:val="000000"/>
                <w:sz w:val="16"/>
                <w:szCs w:val="16"/>
              </w:rPr>
            </w:pPr>
            <w:r w:rsidRPr="00CD6C0C">
              <w:rPr>
                <w:color w:val="000000"/>
                <w:sz w:val="16"/>
                <w:szCs w:val="16"/>
              </w:rPr>
              <w:t>17 653 493</w:t>
            </w:r>
          </w:p>
        </w:tc>
        <w:tc>
          <w:tcPr>
            <w:tcW w:w="228" w:type="pct"/>
            <w:shd w:val="clear" w:color="auto" w:fill="DBE5F1"/>
            <w:vAlign w:val="center"/>
          </w:tcPr>
          <w:p w14:paraId="0E0C6348" w14:textId="35EBB8E7" w:rsidR="00501978" w:rsidRPr="00DD47DF" w:rsidRDefault="00CD6C0C" w:rsidP="00B81F2F">
            <w:pPr>
              <w:jc w:val="right"/>
              <w:rPr>
                <w:color w:val="000000"/>
                <w:sz w:val="16"/>
                <w:szCs w:val="16"/>
              </w:rPr>
            </w:pPr>
            <w:r w:rsidRPr="00CD6C0C">
              <w:rPr>
                <w:color w:val="000000"/>
                <w:sz w:val="16"/>
                <w:szCs w:val="16"/>
              </w:rPr>
              <w:t>3 619 103 187</w:t>
            </w:r>
          </w:p>
        </w:tc>
        <w:tc>
          <w:tcPr>
            <w:tcW w:w="295" w:type="pct"/>
            <w:shd w:val="clear" w:color="auto" w:fill="DBE5F1"/>
            <w:vAlign w:val="center"/>
          </w:tcPr>
          <w:p w14:paraId="0C496A85" w14:textId="2F2150CF" w:rsidR="00501978" w:rsidRPr="00DD47DF" w:rsidRDefault="00CD6C0C" w:rsidP="00B81F2F">
            <w:pPr>
              <w:jc w:val="right"/>
              <w:rPr>
                <w:color w:val="000000"/>
                <w:sz w:val="16"/>
                <w:szCs w:val="16"/>
              </w:rPr>
            </w:pPr>
            <w:r w:rsidRPr="00CD6C0C">
              <w:rPr>
                <w:color w:val="000000"/>
                <w:sz w:val="16"/>
                <w:szCs w:val="16"/>
              </w:rPr>
              <w:t>231 006 586</w:t>
            </w:r>
          </w:p>
        </w:tc>
      </w:tr>
    </w:tbl>
    <w:p w14:paraId="3E58E2D4" w14:textId="77777777" w:rsidR="00CE6DD0" w:rsidRPr="00DD47DF" w:rsidRDefault="00CE6DD0" w:rsidP="00DD5043"/>
    <w:p w14:paraId="7302C78A" w14:textId="77777777" w:rsidR="00C46CB7" w:rsidRPr="00DD47DF" w:rsidRDefault="00DD2263" w:rsidP="00DD2263">
      <w:pPr>
        <w:pStyle w:val="Nadpis2"/>
        <w:rPr>
          <w:rStyle w:val="StandardntextChar"/>
          <w:rFonts w:cs="Times New Roman"/>
          <w:sz w:val="26"/>
          <w:szCs w:val="28"/>
        </w:rPr>
      </w:pPr>
      <w:bookmarkStart w:id="115" w:name="_Toc129005444"/>
      <w:r w:rsidRPr="00DD47DF">
        <w:lastRenderedPageBreak/>
        <w:t>Celková výše finanční podpory z každého fondu a vnitrostátního spolufinancování (v EUR)</w:t>
      </w:r>
      <w:bookmarkEnd w:id="115"/>
    </w:p>
    <w:p w14:paraId="4CADE1E2" w14:textId="77777777" w:rsidR="00C46CB7" w:rsidRPr="00DD47DF" w:rsidRDefault="00C46CB7" w:rsidP="004E6DD3">
      <w:pPr>
        <w:pStyle w:val="Titulek"/>
        <w:keepNext/>
        <w:keepLines/>
      </w:pPr>
      <w:r w:rsidRPr="00DD47DF">
        <w:t>Tab</w:t>
      </w:r>
      <w:r w:rsidR="00434475" w:rsidRPr="00DD47DF">
        <w:t>ulka</w:t>
      </w:r>
      <w:r w:rsidR="00157951" w:rsidRPr="00DD47DF">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18</w:t>
      </w:r>
      <w:r w:rsidR="002756E7" w:rsidRPr="00DD47DF">
        <w:rPr>
          <w:noProof/>
        </w:rPr>
        <w:fldChar w:fldCharType="end"/>
      </w:r>
      <w:r w:rsidR="00D93A31" w:rsidRPr="00DD47DF">
        <w:rPr>
          <w:noProof/>
        </w:rPr>
        <w:t>a</w:t>
      </w:r>
      <w:r w:rsidR="00434475" w:rsidRPr="00DD47DF">
        <w:t xml:space="preserve">: </w:t>
      </w:r>
      <w:r w:rsidR="00DD2263" w:rsidRPr="00DD47DF">
        <w:t>Plán financování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0"/>
        <w:gridCol w:w="515"/>
        <w:gridCol w:w="790"/>
        <w:gridCol w:w="755"/>
        <w:gridCol w:w="1061"/>
        <w:gridCol w:w="903"/>
        <w:gridCol w:w="994"/>
        <w:gridCol w:w="994"/>
        <w:gridCol w:w="959"/>
        <w:gridCol w:w="1279"/>
        <w:gridCol w:w="799"/>
        <w:gridCol w:w="914"/>
        <w:gridCol w:w="893"/>
        <w:gridCol w:w="824"/>
        <w:gridCol w:w="918"/>
        <w:gridCol w:w="950"/>
      </w:tblGrid>
      <w:tr w:rsidR="00226BC2" w:rsidRPr="00DD47DF" w14:paraId="69112EBD" w14:textId="77777777" w:rsidTr="00466CFC">
        <w:tc>
          <w:tcPr>
            <w:tcW w:w="249" w:type="pct"/>
            <w:vMerge w:val="restart"/>
            <w:shd w:val="clear" w:color="auto" w:fill="B8CCE4"/>
          </w:tcPr>
          <w:p w14:paraId="45BF728B" w14:textId="77777777" w:rsidR="00226BC2" w:rsidRPr="00DD47DF" w:rsidRDefault="00226BC2" w:rsidP="000435CB">
            <w:pPr>
              <w:pStyle w:val="Tabulka"/>
              <w:keepNext/>
              <w:keepLines/>
              <w:rPr>
                <w:rFonts w:cs="Calibri"/>
                <w:b/>
                <w:sz w:val="16"/>
                <w:szCs w:val="16"/>
              </w:rPr>
            </w:pPr>
            <w:r w:rsidRPr="00DD47DF">
              <w:rPr>
                <w:rFonts w:cs="Calibri"/>
                <w:b/>
                <w:sz w:val="16"/>
                <w:szCs w:val="16"/>
              </w:rPr>
              <w:t>Prioritní osa</w:t>
            </w:r>
          </w:p>
        </w:tc>
        <w:tc>
          <w:tcPr>
            <w:tcW w:w="181" w:type="pct"/>
            <w:vMerge w:val="restart"/>
            <w:shd w:val="clear" w:color="auto" w:fill="B8CCE4"/>
          </w:tcPr>
          <w:p w14:paraId="5C9A175C" w14:textId="77777777" w:rsidR="00226BC2" w:rsidRPr="00DD47DF" w:rsidRDefault="00226BC2" w:rsidP="000435CB">
            <w:pPr>
              <w:pStyle w:val="Tabulka"/>
              <w:keepNext/>
              <w:keepLines/>
              <w:rPr>
                <w:rFonts w:cs="Calibri"/>
                <w:b/>
                <w:sz w:val="16"/>
                <w:szCs w:val="16"/>
              </w:rPr>
            </w:pPr>
            <w:r w:rsidRPr="00DD47DF">
              <w:rPr>
                <w:rFonts w:cs="Calibri"/>
                <w:b/>
                <w:sz w:val="16"/>
                <w:szCs w:val="16"/>
              </w:rPr>
              <w:t>Fond</w:t>
            </w:r>
          </w:p>
        </w:tc>
        <w:tc>
          <w:tcPr>
            <w:tcW w:w="277" w:type="pct"/>
            <w:vMerge w:val="restart"/>
            <w:shd w:val="clear" w:color="auto" w:fill="B8CCE4"/>
          </w:tcPr>
          <w:p w14:paraId="1E7F0E99" w14:textId="77777777" w:rsidR="00226BC2" w:rsidRPr="00DD47DF" w:rsidRDefault="00226BC2" w:rsidP="000435CB">
            <w:pPr>
              <w:pStyle w:val="Tabulka"/>
              <w:keepNext/>
              <w:keepLines/>
              <w:rPr>
                <w:rFonts w:cs="Calibri"/>
                <w:b/>
                <w:sz w:val="16"/>
                <w:szCs w:val="16"/>
              </w:rPr>
            </w:pPr>
            <w:r w:rsidRPr="00DD47DF">
              <w:rPr>
                <w:rFonts w:cs="Calibri"/>
                <w:b/>
                <w:sz w:val="16"/>
                <w:szCs w:val="16"/>
              </w:rPr>
              <w:t xml:space="preserve">Kategorie regionů </w:t>
            </w:r>
          </w:p>
        </w:tc>
        <w:tc>
          <w:tcPr>
            <w:tcW w:w="265" w:type="pct"/>
            <w:vMerge w:val="restart"/>
            <w:shd w:val="clear" w:color="auto" w:fill="B8CCE4"/>
          </w:tcPr>
          <w:p w14:paraId="0B5FC5D2" w14:textId="77777777" w:rsidR="00226BC2" w:rsidRPr="00DD47DF" w:rsidRDefault="00226BC2" w:rsidP="000435CB">
            <w:pPr>
              <w:pStyle w:val="Tabulka"/>
              <w:keepNext/>
              <w:keepLines/>
              <w:rPr>
                <w:rFonts w:cs="Calibri"/>
                <w:b/>
                <w:sz w:val="16"/>
                <w:szCs w:val="16"/>
              </w:rPr>
            </w:pPr>
            <w:r w:rsidRPr="00DD47DF">
              <w:rPr>
                <w:rFonts w:cs="Calibri"/>
                <w:b/>
                <w:sz w:val="16"/>
                <w:szCs w:val="16"/>
              </w:rPr>
              <w:t>Základ pro výpočet podpory Unie</w:t>
            </w:r>
          </w:p>
          <w:p w14:paraId="7434D2A4" w14:textId="77777777" w:rsidR="00226BC2" w:rsidRPr="00DD47DF" w:rsidRDefault="00226BC2" w:rsidP="000435CB">
            <w:pPr>
              <w:pStyle w:val="Tabulka"/>
              <w:keepNext/>
              <w:keepLines/>
              <w:rPr>
                <w:rFonts w:cs="Calibri"/>
                <w:b/>
                <w:sz w:val="16"/>
                <w:szCs w:val="16"/>
              </w:rPr>
            </w:pPr>
            <w:r w:rsidRPr="00DD47DF">
              <w:rPr>
                <w:rFonts w:cs="Calibri"/>
                <w:b/>
                <w:sz w:val="16"/>
                <w:szCs w:val="16"/>
              </w:rPr>
              <w:t>(celkové způsobilé výdaje nebo způsobilé veřejné výdaje)</w:t>
            </w:r>
          </w:p>
        </w:tc>
        <w:tc>
          <w:tcPr>
            <w:tcW w:w="372" w:type="pct"/>
            <w:vMerge w:val="restart"/>
            <w:shd w:val="clear" w:color="auto" w:fill="B8CCE4"/>
          </w:tcPr>
          <w:p w14:paraId="2981D71D" w14:textId="77777777" w:rsidR="00226BC2" w:rsidRPr="00DD47DF" w:rsidRDefault="00226BC2" w:rsidP="000435CB">
            <w:pPr>
              <w:pStyle w:val="Tabulka"/>
              <w:keepNext/>
              <w:keepLines/>
              <w:rPr>
                <w:rFonts w:cs="Calibri"/>
                <w:b/>
                <w:sz w:val="16"/>
                <w:szCs w:val="16"/>
              </w:rPr>
            </w:pPr>
            <w:r w:rsidRPr="00DD47DF">
              <w:rPr>
                <w:rFonts w:cs="Calibri"/>
                <w:b/>
                <w:sz w:val="16"/>
                <w:szCs w:val="16"/>
              </w:rPr>
              <w:t>Podpora Unie</w:t>
            </w:r>
          </w:p>
          <w:p w14:paraId="75263EFC" w14:textId="77777777" w:rsidR="00226BC2" w:rsidRPr="00DD47DF" w:rsidRDefault="00226BC2" w:rsidP="000435CB">
            <w:pPr>
              <w:pStyle w:val="Tabulka"/>
              <w:keepNext/>
              <w:keepLines/>
              <w:jc w:val="left"/>
              <w:rPr>
                <w:rFonts w:cs="Calibri"/>
                <w:b/>
                <w:sz w:val="16"/>
                <w:szCs w:val="16"/>
              </w:rPr>
            </w:pPr>
          </w:p>
        </w:tc>
        <w:tc>
          <w:tcPr>
            <w:tcW w:w="317" w:type="pct"/>
            <w:vMerge w:val="restart"/>
            <w:shd w:val="clear" w:color="auto" w:fill="B8CCE4"/>
          </w:tcPr>
          <w:p w14:paraId="574B4660" w14:textId="77777777" w:rsidR="00226BC2" w:rsidRPr="00DD47DF" w:rsidRDefault="00226BC2" w:rsidP="000435CB">
            <w:pPr>
              <w:pStyle w:val="Tabulka"/>
              <w:keepNext/>
              <w:keepLines/>
              <w:rPr>
                <w:rFonts w:cs="Calibri"/>
                <w:b/>
                <w:sz w:val="16"/>
                <w:szCs w:val="16"/>
              </w:rPr>
            </w:pPr>
            <w:r w:rsidRPr="00DD47DF">
              <w:rPr>
                <w:rFonts w:cs="Calibri"/>
                <w:b/>
                <w:sz w:val="16"/>
                <w:szCs w:val="16"/>
              </w:rPr>
              <w:t>Příspěvek členského státu</w:t>
            </w:r>
          </w:p>
          <w:p w14:paraId="7DD7C263" w14:textId="77777777" w:rsidR="00226BC2" w:rsidRPr="00DD47DF" w:rsidRDefault="00226BC2" w:rsidP="000435CB">
            <w:pPr>
              <w:pStyle w:val="Tabulka"/>
              <w:keepNext/>
              <w:keepLines/>
              <w:jc w:val="left"/>
              <w:rPr>
                <w:rFonts w:cs="Calibri"/>
                <w:b/>
                <w:sz w:val="16"/>
                <w:szCs w:val="16"/>
              </w:rPr>
            </w:pPr>
          </w:p>
        </w:tc>
        <w:tc>
          <w:tcPr>
            <w:tcW w:w="697" w:type="pct"/>
            <w:gridSpan w:val="2"/>
            <w:shd w:val="clear" w:color="auto" w:fill="B8CCE4"/>
          </w:tcPr>
          <w:p w14:paraId="59495749" w14:textId="77777777" w:rsidR="00226BC2" w:rsidRPr="00DD47DF" w:rsidRDefault="00226BC2" w:rsidP="000435CB">
            <w:pPr>
              <w:pStyle w:val="Tabulka"/>
              <w:keepNext/>
              <w:keepLines/>
              <w:rPr>
                <w:rFonts w:cs="Calibri"/>
                <w:b/>
                <w:sz w:val="16"/>
                <w:szCs w:val="16"/>
              </w:rPr>
            </w:pPr>
            <w:r w:rsidRPr="00DD47DF">
              <w:rPr>
                <w:rFonts w:cs="Calibri"/>
                <w:b/>
                <w:sz w:val="16"/>
                <w:szCs w:val="16"/>
              </w:rPr>
              <w:t>Orientační rozdělení příspěvku členského státu</w:t>
            </w:r>
          </w:p>
        </w:tc>
        <w:tc>
          <w:tcPr>
            <w:tcW w:w="336" w:type="pct"/>
            <w:vMerge w:val="restart"/>
            <w:shd w:val="clear" w:color="auto" w:fill="B8CCE4"/>
          </w:tcPr>
          <w:p w14:paraId="6DA66728" w14:textId="77777777" w:rsidR="00226BC2" w:rsidRPr="00DD47DF" w:rsidRDefault="00226BC2" w:rsidP="000435CB">
            <w:pPr>
              <w:pStyle w:val="Tabulka"/>
              <w:keepNext/>
              <w:keepLines/>
              <w:rPr>
                <w:rFonts w:cs="Calibri"/>
                <w:b/>
                <w:sz w:val="16"/>
                <w:szCs w:val="16"/>
              </w:rPr>
            </w:pPr>
            <w:r w:rsidRPr="00DD47DF">
              <w:rPr>
                <w:rFonts w:cs="Calibri"/>
                <w:b/>
                <w:sz w:val="16"/>
                <w:szCs w:val="16"/>
              </w:rPr>
              <w:t>Financování celkem</w:t>
            </w:r>
          </w:p>
        </w:tc>
        <w:tc>
          <w:tcPr>
            <w:tcW w:w="449" w:type="pct"/>
            <w:vMerge w:val="restart"/>
            <w:shd w:val="clear" w:color="auto" w:fill="B8CCE4"/>
          </w:tcPr>
          <w:p w14:paraId="23D048FE" w14:textId="77777777" w:rsidR="00226BC2" w:rsidRPr="00DD47DF" w:rsidRDefault="00226BC2" w:rsidP="000435CB">
            <w:pPr>
              <w:pStyle w:val="Tabulka"/>
              <w:keepNext/>
              <w:keepLines/>
              <w:rPr>
                <w:rFonts w:cs="Calibri"/>
                <w:b/>
                <w:sz w:val="16"/>
                <w:szCs w:val="16"/>
              </w:rPr>
            </w:pPr>
            <w:r w:rsidRPr="00DD47DF">
              <w:rPr>
                <w:rFonts w:cs="Calibri"/>
                <w:b/>
                <w:sz w:val="16"/>
                <w:szCs w:val="16"/>
              </w:rPr>
              <w:t>Míra spolufinancování</w:t>
            </w:r>
          </w:p>
        </w:tc>
        <w:tc>
          <w:tcPr>
            <w:tcW w:w="280" w:type="pct"/>
            <w:vMerge w:val="restart"/>
            <w:shd w:val="clear" w:color="auto" w:fill="B8CCE4"/>
          </w:tcPr>
          <w:p w14:paraId="088CFBA3" w14:textId="77777777" w:rsidR="00226BC2" w:rsidRPr="00DD47DF" w:rsidRDefault="00226BC2" w:rsidP="000435CB">
            <w:pPr>
              <w:pStyle w:val="Tabulka"/>
              <w:keepNext/>
              <w:keepLines/>
              <w:rPr>
                <w:rFonts w:cs="Calibri"/>
                <w:b/>
                <w:sz w:val="16"/>
                <w:szCs w:val="16"/>
              </w:rPr>
            </w:pPr>
            <w:r w:rsidRPr="00DD47DF">
              <w:rPr>
                <w:rFonts w:cs="Calibri"/>
                <w:b/>
                <w:sz w:val="16"/>
                <w:szCs w:val="16"/>
              </w:rPr>
              <w:t>Pro informaci</w:t>
            </w:r>
          </w:p>
          <w:p w14:paraId="239E5B02" w14:textId="77777777" w:rsidR="00226BC2" w:rsidRPr="00DD47DF" w:rsidRDefault="00226BC2" w:rsidP="000435CB">
            <w:pPr>
              <w:pStyle w:val="Tabulka"/>
              <w:keepNext/>
              <w:keepLines/>
              <w:rPr>
                <w:rFonts w:cs="Calibri"/>
                <w:b/>
                <w:sz w:val="16"/>
                <w:szCs w:val="16"/>
              </w:rPr>
            </w:pPr>
          </w:p>
          <w:p w14:paraId="0D161773" w14:textId="77777777" w:rsidR="00226BC2" w:rsidRPr="00DD47DF" w:rsidRDefault="00226BC2" w:rsidP="000435CB">
            <w:pPr>
              <w:pStyle w:val="Tabulka"/>
              <w:keepNext/>
              <w:keepLines/>
              <w:rPr>
                <w:rFonts w:cs="Calibri"/>
                <w:b/>
                <w:sz w:val="16"/>
                <w:szCs w:val="16"/>
              </w:rPr>
            </w:pPr>
            <w:r w:rsidRPr="00DD47DF">
              <w:rPr>
                <w:rFonts w:cs="Calibri"/>
                <w:b/>
                <w:sz w:val="16"/>
                <w:szCs w:val="16"/>
              </w:rPr>
              <w:t>Příspěvky EIB</w:t>
            </w:r>
          </w:p>
        </w:tc>
        <w:tc>
          <w:tcPr>
            <w:tcW w:w="634" w:type="pct"/>
            <w:gridSpan w:val="2"/>
            <w:shd w:val="clear" w:color="auto" w:fill="B8CCE4"/>
          </w:tcPr>
          <w:p w14:paraId="238E4157" w14:textId="77777777" w:rsidR="00226BC2" w:rsidRPr="00DD47DF" w:rsidRDefault="00226BC2" w:rsidP="000435CB">
            <w:pPr>
              <w:pStyle w:val="Tabulka"/>
              <w:keepNext/>
              <w:keepLines/>
              <w:rPr>
                <w:rFonts w:cs="Calibri"/>
                <w:b/>
                <w:sz w:val="16"/>
                <w:szCs w:val="16"/>
              </w:rPr>
            </w:pPr>
            <w:r w:rsidRPr="00DD47DF">
              <w:rPr>
                <w:rFonts w:cs="Calibri"/>
                <w:b/>
                <w:sz w:val="16"/>
                <w:szCs w:val="16"/>
              </w:rPr>
              <w:t>Hlavní příděl (finanční prostředky celkem minus výkonnostní rezerva)</w:t>
            </w:r>
          </w:p>
        </w:tc>
        <w:tc>
          <w:tcPr>
            <w:tcW w:w="611" w:type="pct"/>
            <w:gridSpan w:val="2"/>
            <w:shd w:val="clear" w:color="auto" w:fill="B8CCE4"/>
          </w:tcPr>
          <w:p w14:paraId="236D60AD" w14:textId="77777777" w:rsidR="00226BC2" w:rsidRPr="00DD47DF" w:rsidRDefault="00226BC2" w:rsidP="000435CB">
            <w:pPr>
              <w:pStyle w:val="Tabulka"/>
              <w:keepNext/>
              <w:keepLines/>
              <w:rPr>
                <w:rFonts w:cs="Calibri"/>
                <w:b/>
                <w:sz w:val="16"/>
                <w:szCs w:val="16"/>
              </w:rPr>
            </w:pPr>
            <w:r w:rsidRPr="00DD47DF">
              <w:rPr>
                <w:rFonts w:cs="Calibri"/>
                <w:b/>
                <w:sz w:val="16"/>
                <w:szCs w:val="16"/>
              </w:rPr>
              <w:t>Výkonnostní rezerva</w:t>
            </w:r>
          </w:p>
        </w:tc>
        <w:tc>
          <w:tcPr>
            <w:tcW w:w="333" w:type="pct"/>
            <w:vMerge w:val="restart"/>
            <w:shd w:val="clear" w:color="auto" w:fill="B8CCE4"/>
          </w:tcPr>
          <w:p w14:paraId="36229DEC" w14:textId="77777777" w:rsidR="00226BC2" w:rsidRPr="00DD47DF" w:rsidRDefault="00226BC2" w:rsidP="000435CB">
            <w:pPr>
              <w:pStyle w:val="Tabulka"/>
              <w:keepNext/>
              <w:keepLines/>
              <w:rPr>
                <w:rFonts w:cs="Calibri"/>
                <w:b/>
                <w:sz w:val="16"/>
                <w:szCs w:val="16"/>
              </w:rPr>
            </w:pPr>
            <w:r w:rsidRPr="00DD47DF">
              <w:rPr>
                <w:rFonts w:cs="Calibri"/>
                <w:b/>
                <w:sz w:val="16"/>
                <w:szCs w:val="16"/>
              </w:rPr>
              <w:t>Podíl výkonnostní rezervy (podpora Unie) na celkové unijní podpoře</w:t>
            </w:r>
          </w:p>
        </w:tc>
      </w:tr>
      <w:tr w:rsidR="00226BC2" w:rsidRPr="00DD47DF" w14:paraId="63D8BE8F" w14:textId="77777777" w:rsidTr="00466CFC">
        <w:tc>
          <w:tcPr>
            <w:tcW w:w="249" w:type="pct"/>
            <w:vMerge/>
            <w:shd w:val="clear" w:color="auto" w:fill="auto"/>
          </w:tcPr>
          <w:p w14:paraId="533AF7DA" w14:textId="77777777" w:rsidR="00226BC2" w:rsidRPr="00DD47DF" w:rsidRDefault="00226BC2" w:rsidP="000435CB">
            <w:pPr>
              <w:keepNext/>
              <w:keepLines/>
            </w:pPr>
          </w:p>
        </w:tc>
        <w:tc>
          <w:tcPr>
            <w:tcW w:w="181" w:type="pct"/>
            <w:vMerge/>
            <w:shd w:val="clear" w:color="auto" w:fill="auto"/>
          </w:tcPr>
          <w:p w14:paraId="18435551" w14:textId="77777777" w:rsidR="00226BC2" w:rsidRPr="00DD47DF" w:rsidRDefault="00226BC2" w:rsidP="000435CB">
            <w:pPr>
              <w:keepNext/>
              <w:keepLines/>
            </w:pPr>
          </w:p>
        </w:tc>
        <w:tc>
          <w:tcPr>
            <w:tcW w:w="277" w:type="pct"/>
            <w:vMerge/>
            <w:shd w:val="clear" w:color="auto" w:fill="auto"/>
          </w:tcPr>
          <w:p w14:paraId="6A2CC636" w14:textId="77777777" w:rsidR="00226BC2" w:rsidRPr="00DD47DF" w:rsidRDefault="00226BC2" w:rsidP="000435CB">
            <w:pPr>
              <w:keepNext/>
              <w:keepLines/>
            </w:pPr>
          </w:p>
        </w:tc>
        <w:tc>
          <w:tcPr>
            <w:tcW w:w="265" w:type="pct"/>
            <w:vMerge/>
            <w:shd w:val="clear" w:color="auto" w:fill="auto"/>
          </w:tcPr>
          <w:p w14:paraId="52BCF1E3" w14:textId="77777777" w:rsidR="00226BC2" w:rsidRPr="00DD47DF" w:rsidRDefault="00226BC2" w:rsidP="000435CB">
            <w:pPr>
              <w:keepNext/>
              <w:keepLines/>
            </w:pPr>
          </w:p>
        </w:tc>
        <w:tc>
          <w:tcPr>
            <w:tcW w:w="372" w:type="pct"/>
            <w:vMerge/>
            <w:shd w:val="clear" w:color="auto" w:fill="auto"/>
          </w:tcPr>
          <w:p w14:paraId="35987D5D" w14:textId="77777777" w:rsidR="00226BC2" w:rsidRPr="00DD47DF" w:rsidRDefault="00226BC2" w:rsidP="000435CB">
            <w:pPr>
              <w:pStyle w:val="Tabulka"/>
              <w:keepNext/>
              <w:keepLines/>
              <w:rPr>
                <w:rFonts w:cs="Calibri"/>
                <w:sz w:val="16"/>
                <w:szCs w:val="16"/>
              </w:rPr>
            </w:pPr>
          </w:p>
        </w:tc>
        <w:tc>
          <w:tcPr>
            <w:tcW w:w="317" w:type="pct"/>
            <w:vMerge/>
            <w:shd w:val="clear" w:color="auto" w:fill="auto"/>
          </w:tcPr>
          <w:p w14:paraId="360E21D7" w14:textId="77777777" w:rsidR="00226BC2" w:rsidRPr="00DD47DF" w:rsidRDefault="00226BC2" w:rsidP="000435CB">
            <w:pPr>
              <w:pStyle w:val="Tabulka"/>
              <w:keepNext/>
              <w:keepLines/>
              <w:rPr>
                <w:rFonts w:cs="Calibri"/>
                <w:sz w:val="16"/>
                <w:szCs w:val="16"/>
              </w:rPr>
            </w:pPr>
          </w:p>
        </w:tc>
        <w:tc>
          <w:tcPr>
            <w:tcW w:w="349" w:type="pct"/>
            <w:shd w:val="clear" w:color="auto" w:fill="DBE5F1"/>
          </w:tcPr>
          <w:p w14:paraId="573512C4" w14:textId="77777777" w:rsidR="00226BC2" w:rsidRPr="00DD47DF" w:rsidRDefault="00226BC2" w:rsidP="000435CB">
            <w:pPr>
              <w:pStyle w:val="Tabulka"/>
              <w:keepNext/>
              <w:keepLines/>
              <w:rPr>
                <w:rFonts w:cs="Calibri"/>
                <w:sz w:val="16"/>
                <w:szCs w:val="16"/>
              </w:rPr>
            </w:pPr>
            <w:r w:rsidRPr="00DD47DF">
              <w:rPr>
                <w:rFonts w:cs="Calibri"/>
                <w:sz w:val="16"/>
                <w:szCs w:val="16"/>
              </w:rPr>
              <w:t>Financování z vnitrostátních veřejných zdrojů</w:t>
            </w:r>
          </w:p>
        </w:tc>
        <w:tc>
          <w:tcPr>
            <w:tcW w:w="349" w:type="pct"/>
            <w:shd w:val="clear" w:color="auto" w:fill="DBE5F1"/>
          </w:tcPr>
          <w:p w14:paraId="2A1DC4FE" w14:textId="77777777" w:rsidR="00226BC2" w:rsidRPr="00DD47DF" w:rsidRDefault="00226BC2" w:rsidP="000435CB">
            <w:pPr>
              <w:pStyle w:val="Tabulka"/>
              <w:keepNext/>
              <w:keepLines/>
              <w:rPr>
                <w:rFonts w:cs="Calibri"/>
                <w:sz w:val="16"/>
                <w:szCs w:val="16"/>
              </w:rPr>
            </w:pPr>
            <w:r w:rsidRPr="00DD47DF">
              <w:rPr>
                <w:rFonts w:cs="Calibri"/>
                <w:sz w:val="16"/>
                <w:szCs w:val="16"/>
              </w:rPr>
              <w:t>Financování z vnitrostátních soukromých zdrojů</w:t>
            </w:r>
          </w:p>
        </w:tc>
        <w:tc>
          <w:tcPr>
            <w:tcW w:w="336" w:type="pct"/>
            <w:vMerge/>
            <w:shd w:val="clear" w:color="auto" w:fill="auto"/>
          </w:tcPr>
          <w:p w14:paraId="531B0B4E" w14:textId="77777777" w:rsidR="00226BC2" w:rsidRPr="00DD47DF" w:rsidRDefault="00226BC2" w:rsidP="000435CB">
            <w:pPr>
              <w:pStyle w:val="Tabulka"/>
              <w:keepNext/>
              <w:keepLines/>
              <w:rPr>
                <w:rFonts w:cs="Calibri"/>
                <w:sz w:val="16"/>
                <w:szCs w:val="16"/>
              </w:rPr>
            </w:pPr>
          </w:p>
        </w:tc>
        <w:tc>
          <w:tcPr>
            <w:tcW w:w="449" w:type="pct"/>
            <w:vMerge/>
            <w:shd w:val="clear" w:color="auto" w:fill="auto"/>
          </w:tcPr>
          <w:p w14:paraId="4F8D90AB" w14:textId="77777777" w:rsidR="00226BC2" w:rsidRPr="00DD47DF" w:rsidRDefault="00226BC2" w:rsidP="000435CB">
            <w:pPr>
              <w:pStyle w:val="Tabulka"/>
              <w:keepNext/>
              <w:keepLines/>
              <w:rPr>
                <w:rFonts w:cs="Calibri"/>
                <w:sz w:val="16"/>
                <w:szCs w:val="16"/>
              </w:rPr>
            </w:pPr>
          </w:p>
        </w:tc>
        <w:tc>
          <w:tcPr>
            <w:tcW w:w="280" w:type="pct"/>
            <w:vMerge/>
            <w:shd w:val="clear" w:color="auto" w:fill="auto"/>
          </w:tcPr>
          <w:p w14:paraId="04F3C817" w14:textId="77777777" w:rsidR="00226BC2" w:rsidRPr="00DD47DF" w:rsidRDefault="00226BC2" w:rsidP="000435CB">
            <w:pPr>
              <w:pStyle w:val="Tabulka"/>
              <w:keepNext/>
              <w:keepLines/>
              <w:rPr>
                <w:rFonts w:cs="Calibri"/>
                <w:sz w:val="16"/>
                <w:szCs w:val="16"/>
              </w:rPr>
            </w:pPr>
          </w:p>
        </w:tc>
        <w:tc>
          <w:tcPr>
            <w:tcW w:w="321" w:type="pct"/>
            <w:shd w:val="clear" w:color="auto" w:fill="DBE5F1"/>
          </w:tcPr>
          <w:p w14:paraId="174FD746" w14:textId="77777777" w:rsidR="00226BC2" w:rsidRPr="00DD47DF" w:rsidRDefault="00226BC2" w:rsidP="000435CB">
            <w:pPr>
              <w:pStyle w:val="Tabulka"/>
              <w:keepNext/>
              <w:keepLines/>
              <w:rPr>
                <w:rFonts w:cs="Calibri"/>
                <w:sz w:val="16"/>
                <w:szCs w:val="16"/>
              </w:rPr>
            </w:pPr>
            <w:r w:rsidRPr="00DD47DF">
              <w:rPr>
                <w:rFonts w:cs="Calibri"/>
                <w:sz w:val="16"/>
                <w:szCs w:val="16"/>
              </w:rPr>
              <w:t>Podpora Unie</w:t>
            </w:r>
          </w:p>
          <w:p w14:paraId="6D0265C1" w14:textId="77777777" w:rsidR="00226BC2" w:rsidRPr="00DD47DF" w:rsidRDefault="00226BC2" w:rsidP="000435CB">
            <w:pPr>
              <w:pStyle w:val="Tabulka"/>
              <w:keepNext/>
              <w:keepLines/>
              <w:rPr>
                <w:rFonts w:cs="Calibri"/>
                <w:sz w:val="16"/>
                <w:szCs w:val="16"/>
              </w:rPr>
            </w:pPr>
          </w:p>
        </w:tc>
        <w:tc>
          <w:tcPr>
            <w:tcW w:w="313" w:type="pct"/>
            <w:shd w:val="clear" w:color="auto" w:fill="DBE5F1"/>
          </w:tcPr>
          <w:p w14:paraId="10068857" w14:textId="77777777" w:rsidR="00226BC2" w:rsidRPr="00DD47DF" w:rsidRDefault="00226BC2" w:rsidP="000435CB">
            <w:pPr>
              <w:pStyle w:val="Tabulka"/>
              <w:keepNext/>
              <w:keepLines/>
              <w:rPr>
                <w:rFonts w:cs="Calibri"/>
                <w:sz w:val="16"/>
                <w:szCs w:val="16"/>
              </w:rPr>
            </w:pPr>
            <w:r w:rsidRPr="00DD47DF">
              <w:rPr>
                <w:rFonts w:cs="Calibri"/>
                <w:sz w:val="16"/>
                <w:szCs w:val="16"/>
              </w:rPr>
              <w:t>Příspěvek členského státu</w:t>
            </w:r>
          </w:p>
        </w:tc>
        <w:tc>
          <w:tcPr>
            <w:tcW w:w="289" w:type="pct"/>
            <w:shd w:val="clear" w:color="auto" w:fill="DBE5F1"/>
          </w:tcPr>
          <w:p w14:paraId="65A92262" w14:textId="77777777" w:rsidR="00226BC2" w:rsidRPr="00DD47DF" w:rsidRDefault="00226BC2" w:rsidP="000435CB">
            <w:pPr>
              <w:pStyle w:val="Tabulka"/>
              <w:keepNext/>
              <w:keepLines/>
              <w:rPr>
                <w:rFonts w:cs="Calibri"/>
                <w:sz w:val="16"/>
                <w:szCs w:val="16"/>
              </w:rPr>
            </w:pPr>
            <w:r w:rsidRPr="00DD47DF">
              <w:rPr>
                <w:rFonts w:cs="Calibri"/>
                <w:sz w:val="16"/>
                <w:szCs w:val="16"/>
              </w:rPr>
              <w:t>Podpora Unie</w:t>
            </w:r>
          </w:p>
          <w:p w14:paraId="2498ECF5" w14:textId="77777777" w:rsidR="00226BC2" w:rsidRPr="00DD47DF" w:rsidRDefault="00226BC2" w:rsidP="000435CB">
            <w:pPr>
              <w:pStyle w:val="Tabulka"/>
              <w:keepNext/>
              <w:keepLines/>
              <w:rPr>
                <w:rFonts w:cs="Calibri"/>
                <w:sz w:val="16"/>
                <w:szCs w:val="16"/>
              </w:rPr>
            </w:pPr>
          </w:p>
        </w:tc>
        <w:tc>
          <w:tcPr>
            <w:tcW w:w="322" w:type="pct"/>
            <w:shd w:val="clear" w:color="auto" w:fill="DBE5F1"/>
          </w:tcPr>
          <w:p w14:paraId="19C7474D" w14:textId="77777777" w:rsidR="00226BC2" w:rsidRPr="00DD47DF" w:rsidRDefault="00226BC2" w:rsidP="000435CB">
            <w:pPr>
              <w:pStyle w:val="Tabulka"/>
              <w:keepNext/>
              <w:keepLines/>
              <w:rPr>
                <w:rFonts w:cs="Calibri"/>
                <w:sz w:val="16"/>
                <w:szCs w:val="16"/>
              </w:rPr>
            </w:pPr>
            <w:r w:rsidRPr="00DD47DF">
              <w:rPr>
                <w:rFonts w:cs="Calibri"/>
                <w:sz w:val="16"/>
                <w:szCs w:val="16"/>
              </w:rPr>
              <w:t>Příspěvek členského státu</w:t>
            </w:r>
            <w:r w:rsidRPr="00DD47DF">
              <w:rPr>
                <w:rStyle w:val="Znakapoznpodarou"/>
                <w:rFonts w:cs="Calibri"/>
                <w:sz w:val="16"/>
                <w:szCs w:val="16"/>
                <w:vertAlign w:val="baseline"/>
              </w:rPr>
              <w:t xml:space="preserve"> </w:t>
            </w:r>
          </w:p>
        </w:tc>
        <w:tc>
          <w:tcPr>
            <w:tcW w:w="333" w:type="pct"/>
            <w:vMerge/>
            <w:shd w:val="clear" w:color="auto" w:fill="auto"/>
          </w:tcPr>
          <w:p w14:paraId="0D0715B7" w14:textId="77777777" w:rsidR="00226BC2" w:rsidRPr="00DD47DF" w:rsidRDefault="00226BC2" w:rsidP="000435CB">
            <w:pPr>
              <w:pStyle w:val="Tabulka"/>
              <w:keepNext/>
              <w:keepLines/>
              <w:rPr>
                <w:rFonts w:cs="Calibri"/>
                <w:sz w:val="16"/>
                <w:szCs w:val="16"/>
              </w:rPr>
            </w:pPr>
          </w:p>
        </w:tc>
      </w:tr>
      <w:tr w:rsidR="00226BC2" w:rsidRPr="00DD47DF" w14:paraId="206DB989" w14:textId="77777777" w:rsidTr="00466CFC">
        <w:tc>
          <w:tcPr>
            <w:tcW w:w="249" w:type="pct"/>
            <w:shd w:val="clear" w:color="auto" w:fill="auto"/>
          </w:tcPr>
          <w:p w14:paraId="0D134CD1" w14:textId="77777777" w:rsidR="00226BC2" w:rsidRPr="00DD47DF" w:rsidRDefault="00226BC2" w:rsidP="000435CB"/>
        </w:tc>
        <w:tc>
          <w:tcPr>
            <w:tcW w:w="181" w:type="pct"/>
            <w:shd w:val="clear" w:color="auto" w:fill="auto"/>
          </w:tcPr>
          <w:p w14:paraId="3876B1BD" w14:textId="77777777" w:rsidR="00226BC2" w:rsidRPr="00DD47DF" w:rsidRDefault="00226BC2" w:rsidP="000435CB"/>
        </w:tc>
        <w:tc>
          <w:tcPr>
            <w:tcW w:w="277" w:type="pct"/>
            <w:shd w:val="clear" w:color="auto" w:fill="auto"/>
          </w:tcPr>
          <w:p w14:paraId="3C8D61E6" w14:textId="77777777" w:rsidR="00226BC2" w:rsidRPr="00DD47DF" w:rsidRDefault="00226BC2" w:rsidP="000435CB"/>
        </w:tc>
        <w:tc>
          <w:tcPr>
            <w:tcW w:w="265" w:type="pct"/>
            <w:shd w:val="clear" w:color="auto" w:fill="auto"/>
          </w:tcPr>
          <w:p w14:paraId="16F17DEA" w14:textId="77777777" w:rsidR="00226BC2" w:rsidRPr="00DD47DF" w:rsidRDefault="00226BC2" w:rsidP="000435CB"/>
        </w:tc>
        <w:tc>
          <w:tcPr>
            <w:tcW w:w="372" w:type="pct"/>
            <w:shd w:val="clear" w:color="auto" w:fill="auto"/>
          </w:tcPr>
          <w:p w14:paraId="497826D1" w14:textId="77777777" w:rsidR="00226BC2" w:rsidRPr="00DD47DF" w:rsidRDefault="00226BC2" w:rsidP="000435CB">
            <w:pPr>
              <w:pStyle w:val="Tabulka"/>
              <w:rPr>
                <w:rFonts w:cs="Calibri"/>
                <w:sz w:val="16"/>
                <w:szCs w:val="16"/>
              </w:rPr>
            </w:pPr>
            <w:r w:rsidRPr="00DD47DF">
              <w:rPr>
                <w:rFonts w:cs="Calibri"/>
                <w:sz w:val="16"/>
                <w:szCs w:val="16"/>
              </w:rPr>
              <w:t>(a)</w:t>
            </w:r>
          </w:p>
        </w:tc>
        <w:tc>
          <w:tcPr>
            <w:tcW w:w="317" w:type="pct"/>
            <w:shd w:val="clear" w:color="auto" w:fill="auto"/>
          </w:tcPr>
          <w:p w14:paraId="2175EB3B" w14:textId="77777777" w:rsidR="00226BC2" w:rsidRPr="00DD47DF" w:rsidRDefault="00226BC2" w:rsidP="000435CB">
            <w:pPr>
              <w:pStyle w:val="Tabulka"/>
              <w:rPr>
                <w:rFonts w:cs="Calibri"/>
                <w:sz w:val="16"/>
                <w:szCs w:val="16"/>
              </w:rPr>
            </w:pPr>
            <w:r w:rsidRPr="00DD47DF">
              <w:rPr>
                <w:rFonts w:cs="Calibri"/>
                <w:sz w:val="16"/>
                <w:szCs w:val="16"/>
              </w:rPr>
              <w:t>(b) = (c) + (d))</w:t>
            </w:r>
          </w:p>
        </w:tc>
        <w:tc>
          <w:tcPr>
            <w:tcW w:w="349" w:type="pct"/>
            <w:shd w:val="clear" w:color="auto" w:fill="auto"/>
          </w:tcPr>
          <w:p w14:paraId="43CDFEF7" w14:textId="77777777" w:rsidR="00226BC2" w:rsidRPr="00DD47DF" w:rsidRDefault="00226BC2" w:rsidP="000435CB">
            <w:pPr>
              <w:pStyle w:val="Tabulka"/>
              <w:rPr>
                <w:rFonts w:cs="Calibri"/>
                <w:sz w:val="16"/>
                <w:szCs w:val="16"/>
              </w:rPr>
            </w:pPr>
            <w:r w:rsidRPr="00DD47DF">
              <w:rPr>
                <w:rFonts w:cs="Calibri"/>
                <w:sz w:val="16"/>
                <w:szCs w:val="16"/>
              </w:rPr>
              <w:t>(c)</w:t>
            </w:r>
          </w:p>
        </w:tc>
        <w:tc>
          <w:tcPr>
            <w:tcW w:w="349" w:type="pct"/>
            <w:shd w:val="clear" w:color="auto" w:fill="auto"/>
          </w:tcPr>
          <w:p w14:paraId="50BB1CFA" w14:textId="77777777" w:rsidR="00226BC2" w:rsidRPr="00DD47DF" w:rsidRDefault="00226BC2" w:rsidP="000435CB">
            <w:pPr>
              <w:pStyle w:val="Tabulka"/>
              <w:rPr>
                <w:rFonts w:cs="Calibri"/>
                <w:sz w:val="16"/>
                <w:szCs w:val="16"/>
              </w:rPr>
            </w:pPr>
            <w:r w:rsidRPr="00DD47DF">
              <w:rPr>
                <w:rFonts w:cs="Calibri"/>
                <w:sz w:val="16"/>
                <w:szCs w:val="16"/>
              </w:rPr>
              <w:t>(d)</w:t>
            </w:r>
          </w:p>
        </w:tc>
        <w:tc>
          <w:tcPr>
            <w:tcW w:w="336" w:type="pct"/>
            <w:shd w:val="clear" w:color="auto" w:fill="auto"/>
          </w:tcPr>
          <w:p w14:paraId="35537518" w14:textId="77777777" w:rsidR="00226BC2" w:rsidRPr="00DD47DF" w:rsidRDefault="00226BC2" w:rsidP="000435CB">
            <w:pPr>
              <w:pStyle w:val="Tabulka"/>
              <w:rPr>
                <w:rFonts w:cs="Calibri"/>
                <w:sz w:val="16"/>
                <w:szCs w:val="16"/>
              </w:rPr>
            </w:pPr>
            <w:r w:rsidRPr="00DD47DF">
              <w:rPr>
                <w:rFonts w:cs="Calibri"/>
                <w:sz w:val="16"/>
                <w:szCs w:val="16"/>
              </w:rPr>
              <w:t>(e) = (a) + (b)</w:t>
            </w:r>
          </w:p>
        </w:tc>
        <w:tc>
          <w:tcPr>
            <w:tcW w:w="449" w:type="pct"/>
            <w:shd w:val="clear" w:color="auto" w:fill="auto"/>
          </w:tcPr>
          <w:p w14:paraId="5DBFDE20" w14:textId="77777777" w:rsidR="00226BC2" w:rsidRPr="00DD47DF" w:rsidRDefault="00226BC2" w:rsidP="000435CB">
            <w:pPr>
              <w:pStyle w:val="Tabulka"/>
              <w:rPr>
                <w:rFonts w:cs="Calibri"/>
                <w:sz w:val="16"/>
                <w:szCs w:val="16"/>
              </w:rPr>
            </w:pPr>
            <w:r w:rsidRPr="00DD47DF">
              <w:rPr>
                <w:rFonts w:cs="Calibri"/>
                <w:sz w:val="16"/>
                <w:szCs w:val="16"/>
              </w:rPr>
              <w:t xml:space="preserve">(f) = (a)/(e) </w:t>
            </w:r>
            <w:hyperlink r:id="rId47" w:anchor="E0079#E0079" w:history="1">
              <w:r w:rsidRPr="00DD47DF">
                <w:rPr>
                  <w:rFonts w:cs="Calibri"/>
                  <w:sz w:val="16"/>
                  <w:szCs w:val="16"/>
                  <w:u w:val="single"/>
                </w:rPr>
                <w:t>(2)</w:t>
              </w:r>
            </w:hyperlink>
          </w:p>
        </w:tc>
        <w:tc>
          <w:tcPr>
            <w:tcW w:w="280" w:type="pct"/>
            <w:shd w:val="clear" w:color="auto" w:fill="auto"/>
          </w:tcPr>
          <w:p w14:paraId="24B96B9C" w14:textId="77777777" w:rsidR="00226BC2" w:rsidRPr="00DD47DF" w:rsidRDefault="00226BC2" w:rsidP="000435CB">
            <w:pPr>
              <w:pStyle w:val="Tabulka"/>
              <w:rPr>
                <w:rFonts w:cs="Calibri"/>
                <w:sz w:val="16"/>
                <w:szCs w:val="16"/>
              </w:rPr>
            </w:pPr>
            <w:r w:rsidRPr="00DD47DF">
              <w:rPr>
                <w:rFonts w:cs="Calibri"/>
                <w:sz w:val="16"/>
                <w:szCs w:val="16"/>
              </w:rPr>
              <w:t>(g)</w:t>
            </w:r>
          </w:p>
        </w:tc>
        <w:tc>
          <w:tcPr>
            <w:tcW w:w="321" w:type="pct"/>
            <w:shd w:val="clear" w:color="auto" w:fill="auto"/>
          </w:tcPr>
          <w:p w14:paraId="78620E6B" w14:textId="77777777" w:rsidR="00226BC2" w:rsidRPr="00DD47DF" w:rsidRDefault="00226BC2" w:rsidP="000435CB">
            <w:pPr>
              <w:pStyle w:val="Tabulka"/>
              <w:rPr>
                <w:rFonts w:cs="Calibri"/>
                <w:sz w:val="16"/>
                <w:szCs w:val="16"/>
              </w:rPr>
            </w:pPr>
            <w:r w:rsidRPr="00DD47DF">
              <w:rPr>
                <w:rFonts w:cs="Calibri"/>
                <w:sz w:val="16"/>
                <w:szCs w:val="16"/>
              </w:rPr>
              <w:t>(h)=(a)-(j)</w:t>
            </w:r>
          </w:p>
        </w:tc>
        <w:tc>
          <w:tcPr>
            <w:tcW w:w="313" w:type="pct"/>
            <w:shd w:val="clear" w:color="auto" w:fill="auto"/>
          </w:tcPr>
          <w:p w14:paraId="64D01B66" w14:textId="77777777" w:rsidR="00226BC2" w:rsidRPr="00DD47DF" w:rsidRDefault="00226BC2" w:rsidP="000435CB">
            <w:pPr>
              <w:pStyle w:val="Tabulka"/>
              <w:rPr>
                <w:rFonts w:cs="Calibri"/>
                <w:sz w:val="16"/>
                <w:szCs w:val="16"/>
              </w:rPr>
            </w:pPr>
            <w:r w:rsidRPr="00DD47DF">
              <w:rPr>
                <w:rFonts w:cs="Calibri"/>
                <w:sz w:val="16"/>
                <w:szCs w:val="16"/>
              </w:rPr>
              <w:t>(i) = (b) – (k)</w:t>
            </w:r>
          </w:p>
        </w:tc>
        <w:tc>
          <w:tcPr>
            <w:tcW w:w="289" w:type="pct"/>
            <w:shd w:val="clear" w:color="auto" w:fill="auto"/>
          </w:tcPr>
          <w:p w14:paraId="1EB81410" w14:textId="77777777" w:rsidR="00226BC2" w:rsidRPr="00DD47DF" w:rsidRDefault="00226BC2" w:rsidP="000435CB">
            <w:pPr>
              <w:pStyle w:val="Tabulka"/>
              <w:rPr>
                <w:rFonts w:cs="Calibri"/>
                <w:sz w:val="16"/>
                <w:szCs w:val="16"/>
              </w:rPr>
            </w:pPr>
            <w:r w:rsidRPr="00DD47DF">
              <w:rPr>
                <w:rFonts w:cs="Calibri"/>
                <w:sz w:val="16"/>
                <w:szCs w:val="16"/>
              </w:rPr>
              <w:t>(j)</w:t>
            </w:r>
          </w:p>
        </w:tc>
        <w:tc>
          <w:tcPr>
            <w:tcW w:w="322" w:type="pct"/>
            <w:shd w:val="clear" w:color="auto" w:fill="auto"/>
          </w:tcPr>
          <w:p w14:paraId="16E674E5" w14:textId="77777777" w:rsidR="00226BC2" w:rsidRPr="00DD47DF" w:rsidRDefault="00226BC2" w:rsidP="000435CB">
            <w:pPr>
              <w:pStyle w:val="Tabulka"/>
              <w:rPr>
                <w:rFonts w:cs="Calibri"/>
                <w:sz w:val="16"/>
                <w:szCs w:val="16"/>
              </w:rPr>
            </w:pPr>
            <w:r w:rsidRPr="00DD47DF">
              <w:rPr>
                <w:rFonts w:cs="Calibri"/>
                <w:sz w:val="16"/>
                <w:szCs w:val="16"/>
              </w:rPr>
              <w:t>(k)= (b) * ((j)/(a))</w:t>
            </w:r>
          </w:p>
        </w:tc>
        <w:tc>
          <w:tcPr>
            <w:tcW w:w="333" w:type="pct"/>
            <w:shd w:val="clear" w:color="auto" w:fill="auto"/>
          </w:tcPr>
          <w:p w14:paraId="221F28D2" w14:textId="77777777" w:rsidR="00226BC2" w:rsidRPr="00DD47DF" w:rsidRDefault="00226BC2" w:rsidP="000435CB">
            <w:pPr>
              <w:pStyle w:val="Tabulka"/>
              <w:rPr>
                <w:rFonts w:cs="Calibri"/>
                <w:sz w:val="16"/>
                <w:szCs w:val="16"/>
              </w:rPr>
            </w:pPr>
            <w:r w:rsidRPr="00DD47DF">
              <w:rPr>
                <w:rFonts w:cs="Calibri"/>
                <w:sz w:val="16"/>
                <w:szCs w:val="16"/>
              </w:rPr>
              <w:t>(l) =(j)/(a) *100</w:t>
            </w:r>
          </w:p>
        </w:tc>
      </w:tr>
      <w:tr w:rsidR="00CE6DD0" w:rsidRPr="00DD47DF" w14:paraId="67479B3A" w14:textId="77777777" w:rsidTr="00466CFC">
        <w:tc>
          <w:tcPr>
            <w:tcW w:w="249" w:type="pct"/>
            <w:shd w:val="clear" w:color="auto" w:fill="auto"/>
          </w:tcPr>
          <w:p w14:paraId="2C738DEB" w14:textId="77777777" w:rsidR="00CE6DD0" w:rsidRPr="00DD47DF" w:rsidRDefault="00CE6DD0" w:rsidP="000435CB">
            <w:pPr>
              <w:pStyle w:val="Tabulka"/>
              <w:rPr>
                <w:rFonts w:cs="Calibri"/>
                <w:sz w:val="16"/>
                <w:szCs w:val="16"/>
              </w:rPr>
            </w:pPr>
            <w:r w:rsidRPr="00DD47DF">
              <w:rPr>
                <w:rFonts w:cs="Calibri"/>
                <w:iCs/>
                <w:sz w:val="16"/>
                <w:szCs w:val="16"/>
              </w:rPr>
              <w:t>Prioritní osa 1</w:t>
            </w:r>
          </w:p>
          <w:p w14:paraId="68183F58" w14:textId="77777777" w:rsidR="00CE6DD0" w:rsidRPr="00DD47DF" w:rsidRDefault="00CE6DD0" w:rsidP="000435CB">
            <w:pPr>
              <w:pStyle w:val="Tabulka"/>
              <w:rPr>
                <w:rFonts w:cs="Calibri"/>
                <w:sz w:val="16"/>
                <w:szCs w:val="16"/>
              </w:rPr>
            </w:pPr>
          </w:p>
        </w:tc>
        <w:tc>
          <w:tcPr>
            <w:tcW w:w="181" w:type="pct"/>
            <w:shd w:val="clear" w:color="auto" w:fill="auto"/>
          </w:tcPr>
          <w:p w14:paraId="0542FE0C"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7618B520"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2CE97141"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12AAA25B" w14:textId="2C25D557" w:rsidR="00CE6DD0" w:rsidRPr="00DD47DF" w:rsidRDefault="002A61B2" w:rsidP="000435CB">
            <w:pPr>
              <w:pStyle w:val="Tabulka"/>
              <w:jc w:val="right"/>
              <w:rPr>
                <w:rFonts w:cs="Calibri"/>
                <w:sz w:val="16"/>
              </w:rPr>
            </w:pPr>
            <w:r w:rsidRPr="00D307FE">
              <w:rPr>
                <w:rFonts w:cs="Calibri"/>
                <w:sz w:val="16"/>
              </w:rPr>
              <w:t>1</w:t>
            </w:r>
            <w:r>
              <w:rPr>
                <w:rFonts w:cs="Calibri"/>
                <w:sz w:val="16"/>
              </w:rPr>
              <w:t xml:space="preserve"> </w:t>
            </w:r>
            <w:r w:rsidRPr="00D307FE">
              <w:rPr>
                <w:rFonts w:cs="Calibri"/>
                <w:sz w:val="16"/>
              </w:rPr>
              <w:t>255</w:t>
            </w:r>
            <w:r>
              <w:rPr>
                <w:rFonts w:cs="Calibri"/>
                <w:sz w:val="16"/>
              </w:rPr>
              <w:t xml:space="preserve"> </w:t>
            </w:r>
            <w:r w:rsidRPr="00D307FE">
              <w:rPr>
                <w:rFonts w:cs="Calibri"/>
                <w:sz w:val="16"/>
              </w:rPr>
              <w:t>221</w:t>
            </w:r>
            <w:r>
              <w:rPr>
                <w:rFonts w:cs="Calibri"/>
                <w:sz w:val="16"/>
              </w:rPr>
              <w:t xml:space="preserve"> </w:t>
            </w:r>
            <w:r w:rsidRPr="00D307FE">
              <w:rPr>
                <w:rFonts w:cs="Calibri"/>
                <w:sz w:val="16"/>
              </w:rPr>
              <w:t>763</w:t>
            </w:r>
          </w:p>
        </w:tc>
        <w:tc>
          <w:tcPr>
            <w:tcW w:w="317" w:type="pct"/>
            <w:shd w:val="clear" w:color="auto" w:fill="auto"/>
          </w:tcPr>
          <w:p w14:paraId="37234B6F" w14:textId="427630AA" w:rsidR="00CE6DD0" w:rsidRPr="00DD47DF" w:rsidRDefault="002A61B2" w:rsidP="000435CB">
            <w:pPr>
              <w:pStyle w:val="Tabulka"/>
              <w:jc w:val="right"/>
              <w:rPr>
                <w:rFonts w:cs="Calibri"/>
                <w:sz w:val="16"/>
              </w:rPr>
            </w:pPr>
            <w:r w:rsidRPr="00E978B1">
              <w:rPr>
                <w:rFonts w:cs="Calibri"/>
                <w:sz w:val="16"/>
              </w:rPr>
              <w:t>1 361 681 035</w:t>
            </w:r>
          </w:p>
        </w:tc>
        <w:tc>
          <w:tcPr>
            <w:tcW w:w="349" w:type="pct"/>
            <w:shd w:val="clear" w:color="auto" w:fill="auto"/>
          </w:tcPr>
          <w:p w14:paraId="6011BB03" w14:textId="4B35BD3A" w:rsidR="00CE6DD0" w:rsidRPr="00DD47DF" w:rsidRDefault="002A61B2" w:rsidP="000435CB">
            <w:pPr>
              <w:jc w:val="right"/>
              <w:rPr>
                <w:rFonts w:cs="Calibri"/>
                <w:sz w:val="16"/>
                <w:szCs w:val="22"/>
              </w:rPr>
            </w:pPr>
            <w:r w:rsidRPr="00E978B1">
              <w:rPr>
                <w:rFonts w:cs="Calibri"/>
                <w:sz w:val="16"/>
                <w:szCs w:val="22"/>
              </w:rPr>
              <w:t>79 320 622</w:t>
            </w:r>
          </w:p>
        </w:tc>
        <w:tc>
          <w:tcPr>
            <w:tcW w:w="349" w:type="pct"/>
            <w:shd w:val="clear" w:color="auto" w:fill="auto"/>
          </w:tcPr>
          <w:p w14:paraId="23404C31" w14:textId="67A9413F" w:rsidR="00CE6DD0" w:rsidRPr="00DD47DF" w:rsidRDefault="002A61B2" w:rsidP="000435CB">
            <w:pPr>
              <w:jc w:val="right"/>
              <w:rPr>
                <w:rFonts w:cs="Calibri"/>
                <w:sz w:val="16"/>
                <w:szCs w:val="22"/>
              </w:rPr>
            </w:pPr>
            <w:r w:rsidRPr="00E978B1">
              <w:rPr>
                <w:rFonts w:cs="Calibri"/>
                <w:sz w:val="16"/>
                <w:szCs w:val="22"/>
              </w:rPr>
              <w:t>1 282 360 413</w:t>
            </w:r>
          </w:p>
        </w:tc>
        <w:tc>
          <w:tcPr>
            <w:tcW w:w="336" w:type="pct"/>
            <w:shd w:val="clear" w:color="auto" w:fill="auto"/>
          </w:tcPr>
          <w:p w14:paraId="74B7AF11" w14:textId="6338EC4B" w:rsidR="00CE6DD0" w:rsidRPr="00DD47DF" w:rsidRDefault="002A61B2" w:rsidP="000435CB">
            <w:pPr>
              <w:jc w:val="right"/>
              <w:rPr>
                <w:rFonts w:cs="Calibri"/>
                <w:sz w:val="16"/>
                <w:szCs w:val="22"/>
              </w:rPr>
            </w:pPr>
            <w:r w:rsidRPr="00E978B1">
              <w:rPr>
                <w:rFonts w:cs="Calibri"/>
                <w:sz w:val="16"/>
                <w:szCs w:val="22"/>
              </w:rPr>
              <w:t>2 616 902 798</w:t>
            </w:r>
          </w:p>
        </w:tc>
        <w:tc>
          <w:tcPr>
            <w:tcW w:w="449" w:type="pct"/>
            <w:shd w:val="clear" w:color="auto" w:fill="auto"/>
          </w:tcPr>
          <w:p w14:paraId="45C41304" w14:textId="0D240B3F" w:rsidR="00CE6DD0" w:rsidRPr="00DD47DF" w:rsidRDefault="002A61B2" w:rsidP="000435CB">
            <w:pPr>
              <w:jc w:val="right"/>
              <w:rPr>
                <w:rFonts w:cs="Calibri"/>
                <w:sz w:val="16"/>
                <w:szCs w:val="22"/>
              </w:rPr>
            </w:pPr>
            <w:r w:rsidRPr="00E978B1">
              <w:rPr>
                <w:rFonts w:cs="Calibri"/>
                <w:sz w:val="16"/>
                <w:szCs w:val="22"/>
              </w:rPr>
              <w:t>47,96%</w:t>
            </w:r>
          </w:p>
        </w:tc>
        <w:tc>
          <w:tcPr>
            <w:tcW w:w="280" w:type="pct"/>
            <w:shd w:val="clear" w:color="auto" w:fill="auto"/>
          </w:tcPr>
          <w:p w14:paraId="0E1A5367" w14:textId="77777777" w:rsidR="00CE6DD0" w:rsidRPr="00DD47DF" w:rsidRDefault="00CE6DD0" w:rsidP="000435CB">
            <w:pPr>
              <w:pStyle w:val="Tabulka"/>
              <w:jc w:val="right"/>
              <w:rPr>
                <w:rFonts w:cs="Calibri"/>
                <w:sz w:val="16"/>
              </w:rPr>
            </w:pPr>
          </w:p>
        </w:tc>
        <w:tc>
          <w:tcPr>
            <w:tcW w:w="321" w:type="pct"/>
            <w:shd w:val="clear" w:color="auto" w:fill="auto"/>
          </w:tcPr>
          <w:p w14:paraId="22FE4CD1" w14:textId="5F98A50E" w:rsidR="00CE6DD0" w:rsidRPr="00DD47DF" w:rsidRDefault="00381F10" w:rsidP="000435CB">
            <w:pPr>
              <w:jc w:val="right"/>
              <w:rPr>
                <w:rFonts w:cs="Calibri"/>
                <w:sz w:val="16"/>
                <w:szCs w:val="22"/>
              </w:rPr>
            </w:pPr>
            <w:r w:rsidRPr="00381F10">
              <w:rPr>
                <w:rFonts w:cs="Calibri"/>
                <w:sz w:val="16"/>
                <w:szCs w:val="22"/>
              </w:rPr>
              <w:t>1 149 275 174</w:t>
            </w:r>
          </w:p>
        </w:tc>
        <w:tc>
          <w:tcPr>
            <w:tcW w:w="313" w:type="pct"/>
            <w:shd w:val="clear" w:color="auto" w:fill="auto"/>
          </w:tcPr>
          <w:p w14:paraId="10D5C2D3" w14:textId="7E01057D" w:rsidR="00CE6DD0" w:rsidRPr="00DD47DF" w:rsidRDefault="00381F10" w:rsidP="000435CB">
            <w:pPr>
              <w:jc w:val="right"/>
              <w:rPr>
                <w:rFonts w:cs="Calibri"/>
                <w:sz w:val="16"/>
                <w:szCs w:val="22"/>
              </w:rPr>
            </w:pPr>
            <w:r w:rsidRPr="00381F10">
              <w:rPr>
                <w:rFonts w:cs="Calibri"/>
                <w:sz w:val="16"/>
                <w:szCs w:val="22"/>
              </w:rPr>
              <w:t>1 246 748 785</w:t>
            </w:r>
          </w:p>
        </w:tc>
        <w:tc>
          <w:tcPr>
            <w:tcW w:w="289" w:type="pct"/>
            <w:shd w:val="clear" w:color="auto" w:fill="auto"/>
          </w:tcPr>
          <w:p w14:paraId="739FC468" w14:textId="083C92D6" w:rsidR="00CE6DD0" w:rsidRPr="00DD47DF" w:rsidRDefault="00381F10" w:rsidP="000435CB">
            <w:pPr>
              <w:jc w:val="right"/>
              <w:rPr>
                <w:rFonts w:cs="Calibri"/>
                <w:sz w:val="16"/>
                <w:szCs w:val="22"/>
              </w:rPr>
            </w:pPr>
            <w:r w:rsidRPr="00381F10">
              <w:rPr>
                <w:rFonts w:cs="Calibri"/>
                <w:sz w:val="16"/>
                <w:szCs w:val="22"/>
              </w:rPr>
              <w:t>105 946 589</w:t>
            </w:r>
          </w:p>
        </w:tc>
        <w:tc>
          <w:tcPr>
            <w:tcW w:w="322" w:type="pct"/>
            <w:shd w:val="clear" w:color="auto" w:fill="auto"/>
          </w:tcPr>
          <w:p w14:paraId="533ECCFB" w14:textId="16D9CA20" w:rsidR="00CE6DD0" w:rsidRPr="00DD47DF" w:rsidRDefault="00381F10" w:rsidP="000435CB">
            <w:pPr>
              <w:jc w:val="right"/>
              <w:rPr>
                <w:rFonts w:cs="Calibri"/>
                <w:sz w:val="16"/>
                <w:szCs w:val="22"/>
              </w:rPr>
            </w:pPr>
            <w:r w:rsidRPr="00CB5F8E">
              <w:rPr>
                <w:rFonts w:cs="Calibri"/>
                <w:sz w:val="16"/>
                <w:szCs w:val="22"/>
              </w:rPr>
              <w:t>114 932 250</w:t>
            </w:r>
          </w:p>
        </w:tc>
        <w:tc>
          <w:tcPr>
            <w:tcW w:w="333" w:type="pct"/>
            <w:shd w:val="clear" w:color="auto" w:fill="auto"/>
          </w:tcPr>
          <w:p w14:paraId="2B4A951F" w14:textId="3C2BF1CF" w:rsidR="00CE6DD0" w:rsidRPr="00DD47DF" w:rsidRDefault="00381F10" w:rsidP="000435CB">
            <w:pPr>
              <w:pStyle w:val="Tabulka"/>
              <w:jc w:val="right"/>
              <w:rPr>
                <w:rFonts w:cs="Calibri"/>
                <w:sz w:val="16"/>
              </w:rPr>
            </w:pPr>
            <w:r>
              <w:rPr>
                <w:rFonts w:cs="Calibri"/>
                <w:sz w:val="16"/>
              </w:rPr>
              <w:t>8,44</w:t>
            </w:r>
          </w:p>
        </w:tc>
      </w:tr>
      <w:tr w:rsidR="00CE6DD0" w:rsidRPr="00DD47DF" w14:paraId="45218197" w14:textId="77777777" w:rsidTr="00466CFC">
        <w:tc>
          <w:tcPr>
            <w:tcW w:w="249" w:type="pct"/>
            <w:shd w:val="clear" w:color="auto" w:fill="auto"/>
          </w:tcPr>
          <w:p w14:paraId="411AFF86" w14:textId="77777777" w:rsidR="00CE6DD0" w:rsidRPr="00DD47DF" w:rsidRDefault="00CE6DD0" w:rsidP="000435CB">
            <w:pPr>
              <w:pStyle w:val="Tabulka"/>
              <w:rPr>
                <w:rFonts w:cs="Calibri"/>
                <w:i/>
                <w:iCs/>
                <w:sz w:val="16"/>
                <w:szCs w:val="16"/>
              </w:rPr>
            </w:pPr>
            <w:r w:rsidRPr="00DD47DF">
              <w:rPr>
                <w:rFonts w:cs="Calibri"/>
                <w:bCs/>
                <w:sz w:val="16"/>
                <w:szCs w:val="16"/>
              </w:rPr>
              <w:t>Prioritní osa 2</w:t>
            </w:r>
          </w:p>
        </w:tc>
        <w:tc>
          <w:tcPr>
            <w:tcW w:w="181" w:type="pct"/>
            <w:shd w:val="clear" w:color="auto" w:fill="auto"/>
          </w:tcPr>
          <w:p w14:paraId="43C99065"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26B54EEE"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14A1CAF1"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1DF34829" w14:textId="36B21B08" w:rsidR="00CE6DD0" w:rsidRPr="00DD47DF" w:rsidRDefault="0083604D" w:rsidP="000435CB">
            <w:pPr>
              <w:pStyle w:val="Tabulka"/>
              <w:jc w:val="right"/>
              <w:rPr>
                <w:rFonts w:cs="Calibri"/>
                <w:sz w:val="16"/>
              </w:rPr>
            </w:pPr>
            <w:r w:rsidRPr="00A02F79">
              <w:rPr>
                <w:rFonts w:cs="Calibri"/>
                <w:sz w:val="16"/>
              </w:rPr>
              <w:t>1 204 303 244</w:t>
            </w:r>
          </w:p>
        </w:tc>
        <w:tc>
          <w:tcPr>
            <w:tcW w:w="317" w:type="pct"/>
            <w:shd w:val="clear" w:color="auto" w:fill="auto"/>
          </w:tcPr>
          <w:p w14:paraId="192400BF" w14:textId="3FDE92F2" w:rsidR="00CE6DD0" w:rsidRPr="00DD47DF" w:rsidRDefault="00D260DF" w:rsidP="000435CB">
            <w:pPr>
              <w:pStyle w:val="Tabulka"/>
              <w:jc w:val="right"/>
              <w:rPr>
                <w:rFonts w:cs="Calibri"/>
                <w:sz w:val="16"/>
              </w:rPr>
            </w:pPr>
            <w:r>
              <w:rPr>
                <w:rFonts w:cs="Calibri"/>
                <w:sz w:val="16"/>
              </w:rPr>
              <w:t>802 940 526</w:t>
            </w:r>
          </w:p>
        </w:tc>
        <w:tc>
          <w:tcPr>
            <w:tcW w:w="349" w:type="pct"/>
            <w:shd w:val="clear" w:color="auto" w:fill="auto"/>
          </w:tcPr>
          <w:p w14:paraId="153D6D8A" w14:textId="77777777" w:rsidR="00CE6DD0" w:rsidRPr="00DD47DF" w:rsidRDefault="00CE6DD0" w:rsidP="000435CB">
            <w:pPr>
              <w:pStyle w:val="Tabulka"/>
              <w:jc w:val="right"/>
              <w:rPr>
                <w:rFonts w:cs="Calibri"/>
                <w:sz w:val="16"/>
              </w:rPr>
            </w:pPr>
            <w:r w:rsidRPr="00DD47DF">
              <w:rPr>
                <w:rFonts w:cs="Calibri"/>
                <w:sz w:val="16"/>
              </w:rPr>
              <w:t>9 909 680</w:t>
            </w:r>
          </w:p>
        </w:tc>
        <w:tc>
          <w:tcPr>
            <w:tcW w:w="349" w:type="pct"/>
            <w:shd w:val="clear" w:color="auto" w:fill="auto"/>
          </w:tcPr>
          <w:p w14:paraId="70A00BEA" w14:textId="58B826B4" w:rsidR="00CE6DD0" w:rsidRPr="00DD47DF" w:rsidRDefault="00D260DF" w:rsidP="000435CB">
            <w:pPr>
              <w:pStyle w:val="Tabulka"/>
              <w:jc w:val="right"/>
              <w:rPr>
                <w:rFonts w:cs="Calibri"/>
                <w:sz w:val="16"/>
              </w:rPr>
            </w:pPr>
            <w:r>
              <w:rPr>
                <w:rFonts w:cs="Calibri"/>
                <w:sz w:val="16"/>
              </w:rPr>
              <w:t>793 030 846</w:t>
            </w:r>
          </w:p>
        </w:tc>
        <w:tc>
          <w:tcPr>
            <w:tcW w:w="336" w:type="pct"/>
            <w:shd w:val="clear" w:color="auto" w:fill="auto"/>
          </w:tcPr>
          <w:p w14:paraId="46F60678" w14:textId="2BB1AA99" w:rsidR="00CE6DD0" w:rsidRPr="00DD47DF" w:rsidRDefault="00D260DF" w:rsidP="000435CB">
            <w:pPr>
              <w:pStyle w:val="Tabulka"/>
              <w:jc w:val="right"/>
              <w:rPr>
                <w:rFonts w:cs="Calibri"/>
                <w:sz w:val="16"/>
              </w:rPr>
            </w:pPr>
            <w:r>
              <w:rPr>
                <w:rFonts w:cs="Calibri"/>
                <w:sz w:val="16"/>
              </w:rPr>
              <w:t>2 007 243 770</w:t>
            </w:r>
          </w:p>
        </w:tc>
        <w:tc>
          <w:tcPr>
            <w:tcW w:w="449" w:type="pct"/>
            <w:shd w:val="clear" w:color="auto" w:fill="auto"/>
          </w:tcPr>
          <w:p w14:paraId="67630A2D" w14:textId="59EA75F0" w:rsidR="00CE6DD0" w:rsidRPr="00DD47DF" w:rsidRDefault="00D260DF" w:rsidP="000435CB">
            <w:pPr>
              <w:pStyle w:val="Tabulka"/>
              <w:jc w:val="right"/>
              <w:rPr>
                <w:rFonts w:cs="Calibri"/>
                <w:sz w:val="16"/>
              </w:rPr>
            </w:pPr>
            <w:r>
              <w:rPr>
                <w:rFonts w:cs="Calibri"/>
                <w:sz w:val="16"/>
              </w:rPr>
              <w:t>59,99</w:t>
            </w:r>
            <w:r w:rsidR="0083604D" w:rsidRPr="00A02F79">
              <w:rPr>
                <w:rFonts w:cs="Calibri"/>
                <w:sz w:val="16"/>
              </w:rPr>
              <w:t>%</w:t>
            </w:r>
          </w:p>
        </w:tc>
        <w:tc>
          <w:tcPr>
            <w:tcW w:w="280" w:type="pct"/>
            <w:shd w:val="clear" w:color="auto" w:fill="auto"/>
          </w:tcPr>
          <w:p w14:paraId="5D8A3F5B" w14:textId="77777777" w:rsidR="00CE6DD0" w:rsidRPr="00DD47DF" w:rsidRDefault="00CE6DD0" w:rsidP="000435CB">
            <w:pPr>
              <w:pStyle w:val="Tabulka"/>
              <w:jc w:val="right"/>
              <w:rPr>
                <w:rFonts w:cs="Calibri"/>
                <w:sz w:val="16"/>
              </w:rPr>
            </w:pPr>
          </w:p>
        </w:tc>
        <w:tc>
          <w:tcPr>
            <w:tcW w:w="321" w:type="pct"/>
            <w:shd w:val="clear" w:color="auto" w:fill="auto"/>
          </w:tcPr>
          <w:p w14:paraId="1BAD6C30" w14:textId="572DDFA5" w:rsidR="00CE6DD0" w:rsidRPr="00DD47DF" w:rsidRDefault="0083604D" w:rsidP="00CE2FC5">
            <w:pPr>
              <w:jc w:val="right"/>
              <w:rPr>
                <w:rFonts w:cs="Calibri"/>
                <w:sz w:val="16"/>
                <w:szCs w:val="22"/>
              </w:rPr>
            </w:pPr>
            <w:r w:rsidRPr="00A02F79">
              <w:rPr>
                <w:rFonts w:cs="Calibri"/>
                <w:sz w:val="16"/>
                <w:szCs w:val="22"/>
              </w:rPr>
              <w:t>1 079 243 247</w:t>
            </w:r>
          </w:p>
        </w:tc>
        <w:tc>
          <w:tcPr>
            <w:tcW w:w="313" w:type="pct"/>
            <w:shd w:val="clear" w:color="auto" w:fill="auto"/>
          </w:tcPr>
          <w:p w14:paraId="671C3704" w14:textId="12BB6789" w:rsidR="00CE6DD0" w:rsidRPr="00DD47DF" w:rsidRDefault="00D260DF" w:rsidP="00CE6DD0">
            <w:pPr>
              <w:jc w:val="right"/>
              <w:rPr>
                <w:rFonts w:cs="Calibri"/>
                <w:sz w:val="16"/>
                <w:szCs w:val="22"/>
              </w:rPr>
            </w:pPr>
            <w:r>
              <w:rPr>
                <w:rFonts w:cs="Calibri"/>
                <w:sz w:val="16"/>
                <w:szCs w:val="22"/>
              </w:rPr>
              <w:t>719 559 749</w:t>
            </w:r>
          </w:p>
        </w:tc>
        <w:tc>
          <w:tcPr>
            <w:tcW w:w="289" w:type="pct"/>
            <w:shd w:val="clear" w:color="auto" w:fill="auto"/>
          </w:tcPr>
          <w:p w14:paraId="40777C87" w14:textId="4EDBD172" w:rsidR="00CE6DD0" w:rsidRPr="00DD47DF" w:rsidRDefault="00381F10" w:rsidP="00CE2FC5">
            <w:pPr>
              <w:jc w:val="right"/>
              <w:rPr>
                <w:rFonts w:cs="Calibri"/>
                <w:sz w:val="16"/>
                <w:szCs w:val="22"/>
              </w:rPr>
            </w:pPr>
            <w:r w:rsidRPr="00381F10">
              <w:rPr>
                <w:rFonts w:cs="Calibri"/>
                <w:sz w:val="16"/>
                <w:szCs w:val="22"/>
              </w:rPr>
              <w:t>125 059 997</w:t>
            </w:r>
          </w:p>
        </w:tc>
        <w:tc>
          <w:tcPr>
            <w:tcW w:w="322" w:type="pct"/>
            <w:shd w:val="clear" w:color="auto" w:fill="auto"/>
          </w:tcPr>
          <w:p w14:paraId="42F12C59" w14:textId="3A7FA319" w:rsidR="00CE6DD0" w:rsidRPr="00DD47DF" w:rsidRDefault="00D260DF" w:rsidP="00CE6DD0">
            <w:pPr>
              <w:jc w:val="right"/>
              <w:rPr>
                <w:rFonts w:cs="Calibri"/>
                <w:sz w:val="16"/>
                <w:szCs w:val="22"/>
              </w:rPr>
            </w:pPr>
            <w:r>
              <w:rPr>
                <w:rFonts w:cs="Calibri"/>
                <w:sz w:val="16"/>
                <w:szCs w:val="22"/>
              </w:rPr>
              <w:t>83 380 777</w:t>
            </w:r>
          </w:p>
        </w:tc>
        <w:tc>
          <w:tcPr>
            <w:tcW w:w="333" w:type="pct"/>
            <w:shd w:val="clear" w:color="auto" w:fill="auto"/>
          </w:tcPr>
          <w:p w14:paraId="393F1BFD" w14:textId="0A71C6B1" w:rsidR="00CE6DD0" w:rsidRPr="00DD47DF" w:rsidRDefault="0083604D" w:rsidP="00CE6DD0">
            <w:pPr>
              <w:jc w:val="right"/>
              <w:rPr>
                <w:rFonts w:cs="Calibri"/>
                <w:sz w:val="16"/>
                <w:szCs w:val="22"/>
              </w:rPr>
            </w:pPr>
            <w:r>
              <w:rPr>
                <w:rFonts w:cs="Calibri"/>
                <w:sz w:val="16"/>
                <w:szCs w:val="22"/>
              </w:rPr>
              <w:t>10,38</w:t>
            </w:r>
          </w:p>
        </w:tc>
      </w:tr>
      <w:tr w:rsidR="00CE6DD0" w:rsidRPr="00DD47DF" w14:paraId="68422CEC" w14:textId="77777777" w:rsidTr="00466CFC">
        <w:tc>
          <w:tcPr>
            <w:tcW w:w="249" w:type="pct"/>
            <w:shd w:val="clear" w:color="auto" w:fill="auto"/>
          </w:tcPr>
          <w:p w14:paraId="31755F0A" w14:textId="77777777" w:rsidR="00CE6DD0" w:rsidRPr="00DD47DF" w:rsidRDefault="00CE6DD0" w:rsidP="000435CB">
            <w:pPr>
              <w:pStyle w:val="Tabulka"/>
              <w:rPr>
                <w:rFonts w:cs="Calibri"/>
                <w:i/>
                <w:iCs/>
                <w:sz w:val="16"/>
                <w:szCs w:val="16"/>
              </w:rPr>
            </w:pPr>
            <w:r w:rsidRPr="00DD47DF">
              <w:rPr>
                <w:rFonts w:cs="Calibri"/>
                <w:bCs/>
                <w:sz w:val="16"/>
                <w:szCs w:val="16"/>
              </w:rPr>
              <w:t>Prioritní osa 3</w:t>
            </w:r>
          </w:p>
        </w:tc>
        <w:tc>
          <w:tcPr>
            <w:tcW w:w="181" w:type="pct"/>
            <w:shd w:val="clear" w:color="auto" w:fill="auto"/>
          </w:tcPr>
          <w:p w14:paraId="7ECBCCA9"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6B775AEA"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5CE7B605"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403ED720" w14:textId="33DAFB2C" w:rsidR="00CE6DD0" w:rsidRPr="00DD47DF" w:rsidRDefault="002A61B2" w:rsidP="000435CB">
            <w:pPr>
              <w:pStyle w:val="Tabulka"/>
              <w:jc w:val="right"/>
              <w:rPr>
                <w:rFonts w:cs="Calibri"/>
                <w:sz w:val="16"/>
              </w:rPr>
            </w:pPr>
            <w:r w:rsidRPr="00E978B1">
              <w:rPr>
                <w:rFonts w:cs="Calibri"/>
                <w:sz w:val="16"/>
              </w:rPr>
              <w:t>961 564 298</w:t>
            </w:r>
          </w:p>
        </w:tc>
        <w:tc>
          <w:tcPr>
            <w:tcW w:w="317" w:type="pct"/>
            <w:shd w:val="clear" w:color="auto" w:fill="auto"/>
          </w:tcPr>
          <w:p w14:paraId="45CFC363" w14:textId="77891B21" w:rsidR="00CE6DD0" w:rsidRPr="00DD47DF" w:rsidRDefault="002A61B2" w:rsidP="000435CB">
            <w:pPr>
              <w:pStyle w:val="Tabulka"/>
              <w:jc w:val="right"/>
              <w:rPr>
                <w:rFonts w:cs="Calibri"/>
                <w:sz w:val="16"/>
              </w:rPr>
            </w:pPr>
            <w:r w:rsidRPr="00E978B1">
              <w:rPr>
                <w:rFonts w:cs="Calibri"/>
                <w:sz w:val="16"/>
              </w:rPr>
              <w:t>1 410 802 497</w:t>
            </w:r>
          </w:p>
        </w:tc>
        <w:tc>
          <w:tcPr>
            <w:tcW w:w="349" w:type="pct"/>
            <w:shd w:val="clear" w:color="auto" w:fill="auto"/>
          </w:tcPr>
          <w:p w14:paraId="4E8781DC" w14:textId="77777777" w:rsidR="00CE6DD0" w:rsidRPr="00DD47DF" w:rsidRDefault="00501978" w:rsidP="000435CB">
            <w:pPr>
              <w:pStyle w:val="Tabulka"/>
              <w:jc w:val="right"/>
              <w:rPr>
                <w:rFonts w:cs="Calibri"/>
                <w:sz w:val="16"/>
              </w:rPr>
            </w:pPr>
            <w:r w:rsidRPr="00DD47DF">
              <w:rPr>
                <w:rFonts w:cs="Calibri"/>
                <w:sz w:val="16"/>
              </w:rPr>
              <w:t>0</w:t>
            </w:r>
          </w:p>
        </w:tc>
        <w:tc>
          <w:tcPr>
            <w:tcW w:w="349" w:type="pct"/>
            <w:shd w:val="clear" w:color="auto" w:fill="auto"/>
          </w:tcPr>
          <w:p w14:paraId="3F8DA70B" w14:textId="61E2AFCE" w:rsidR="00CE6DD0" w:rsidRPr="00DD47DF" w:rsidRDefault="002A61B2" w:rsidP="000435CB">
            <w:pPr>
              <w:pStyle w:val="Tabulka"/>
              <w:jc w:val="right"/>
              <w:rPr>
                <w:rFonts w:cs="Calibri"/>
                <w:sz w:val="16"/>
              </w:rPr>
            </w:pPr>
            <w:r w:rsidRPr="00E978B1">
              <w:rPr>
                <w:rFonts w:cs="Calibri"/>
                <w:sz w:val="16"/>
              </w:rPr>
              <w:t>1 410 802 497</w:t>
            </w:r>
          </w:p>
        </w:tc>
        <w:tc>
          <w:tcPr>
            <w:tcW w:w="336" w:type="pct"/>
            <w:shd w:val="clear" w:color="auto" w:fill="auto"/>
          </w:tcPr>
          <w:p w14:paraId="384E2DD5" w14:textId="507F648D" w:rsidR="00CE6DD0" w:rsidRPr="00DD47DF" w:rsidRDefault="002A61B2" w:rsidP="000435CB">
            <w:pPr>
              <w:pStyle w:val="Tabulka"/>
              <w:jc w:val="right"/>
              <w:rPr>
                <w:rFonts w:cs="Calibri"/>
                <w:sz w:val="16"/>
              </w:rPr>
            </w:pPr>
            <w:r w:rsidRPr="00E978B1">
              <w:rPr>
                <w:rFonts w:cs="Calibri"/>
                <w:sz w:val="16"/>
              </w:rPr>
              <w:t>2 372 366 795</w:t>
            </w:r>
          </w:p>
        </w:tc>
        <w:tc>
          <w:tcPr>
            <w:tcW w:w="449" w:type="pct"/>
            <w:shd w:val="clear" w:color="auto" w:fill="auto"/>
          </w:tcPr>
          <w:p w14:paraId="2A41203E" w14:textId="37EAC88A" w:rsidR="00CE6DD0" w:rsidRPr="00DD47DF" w:rsidRDefault="00A521F7" w:rsidP="000435CB">
            <w:pPr>
              <w:pStyle w:val="Tabulka"/>
              <w:jc w:val="right"/>
              <w:rPr>
                <w:rFonts w:cs="Calibri"/>
                <w:sz w:val="16"/>
              </w:rPr>
            </w:pPr>
            <w:r w:rsidRPr="00A521F7">
              <w:rPr>
                <w:rFonts w:cs="Calibri"/>
                <w:sz w:val="16"/>
              </w:rPr>
              <w:t>40,53</w:t>
            </w:r>
            <w:r w:rsidR="009C0A48" w:rsidRPr="00540D9D">
              <w:rPr>
                <w:rFonts w:cs="Calibri"/>
                <w:sz w:val="16"/>
              </w:rPr>
              <w:t>%</w:t>
            </w:r>
          </w:p>
        </w:tc>
        <w:tc>
          <w:tcPr>
            <w:tcW w:w="280" w:type="pct"/>
            <w:shd w:val="clear" w:color="auto" w:fill="auto"/>
          </w:tcPr>
          <w:p w14:paraId="1F7EB887" w14:textId="77777777" w:rsidR="00CE6DD0" w:rsidRPr="00DD47DF" w:rsidRDefault="00CE6DD0" w:rsidP="000435CB">
            <w:pPr>
              <w:pStyle w:val="Tabulka"/>
              <w:jc w:val="right"/>
              <w:rPr>
                <w:rFonts w:cs="Calibri"/>
                <w:sz w:val="16"/>
              </w:rPr>
            </w:pPr>
          </w:p>
        </w:tc>
        <w:tc>
          <w:tcPr>
            <w:tcW w:w="321" w:type="pct"/>
            <w:shd w:val="clear" w:color="auto" w:fill="auto"/>
          </w:tcPr>
          <w:p w14:paraId="5B79C9E4" w14:textId="42415295" w:rsidR="00CE6DD0" w:rsidRPr="00DD47DF" w:rsidRDefault="002A61B2" w:rsidP="00CE6DD0">
            <w:pPr>
              <w:jc w:val="right"/>
              <w:rPr>
                <w:rFonts w:cs="Calibri"/>
                <w:sz w:val="16"/>
                <w:szCs w:val="22"/>
              </w:rPr>
            </w:pPr>
            <w:r w:rsidRPr="00E978B1">
              <w:rPr>
                <w:rFonts w:cs="Calibri"/>
                <w:sz w:val="16"/>
                <w:szCs w:val="22"/>
              </w:rPr>
              <w:t>961 564 298</w:t>
            </w:r>
          </w:p>
        </w:tc>
        <w:tc>
          <w:tcPr>
            <w:tcW w:w="313" w:type="pct"/>
            <w:shd w:val="clear" w:color="auto" w:fill="auto"/>
          </w:tcPr>
          <w:p w14:paraId="6A43082B" w14:textId="5F0A0468" w:rsidR="00CE6DD0" w:rsidRPr="00DD47DF" w:rsidRDefault="002A61B2" w:rsidP="00CE6DD0">
            <w:pPr>
              <w:jc w:val="right"/>
              <w:rPr>
                <w:rFonts w:cs="Calibri"/>
                <w:sz w:val="16"/>
                <w:szCs w:val="22"/>
              </w:rPr>
            </w:pPr>
            <w:r w:rsidRPr="00E978B1">
              <w:rPr>
                <w:rFonts w:cs="Calibri"/>
                <w:sz w:val="16"/>
                <w:szCs w:val="22"/>
              </w:rPr>
              <w:t>1 410 802 497</w:t>
            </w:r>
          </w:p>
        </w:tc>
        <w:tc>
          <w:tcPr>
            <w:tcW w:w="289" w:type="pct"/>
            <w:shd w:val="clear" w:color="auto" w:fill="auto"/>
          </w:tcPr>
          <w:p w14:paraId="289D3962" w14:textId="60AE5747" w:rsidR="00CE6DD0" w:rsidRPr="00DD47DF" w:rsidRDefault="009C0A48" w:rsidP="00CE6DD0">
            <w:pPr>
              <w:jc w:val="right"/>
              <w:rPr>
                <w:rFonts w:cs="Calibri"/>
                <w:sz w:val="16"/>
                <w:szCs w:val="22"/>
              </w:rPr>
            </w:pPr>
            <w:r>
              <w:rPr>
                <w:rFonts w:cs="Calibri"/>
                <w:sz w:val="16"/>
                <w:szCs w:val="22"/>
              </w:rPr>
              <w:t>0</w:t>
            </w:r>
          </w:p>
        </w:tc>
        <w:tc>
          <w:tcPr>
            <w:tcW w:w="322" w:type="pct"/>
            <w:shd w:val="clear" w:color="auto" w:fill="auto"/>
          </w:tcPr>
          <w:p w14:paraId="32AF1D53" w14:textId="1B573BED" w:rsidR="00CE6DD0" w:rsidRPr="00DD47DF" w:rsidRDefault="009C0A48" w:rsidP="00CE6DD0">
            <w:pPr>
              <w:jc w:val="right"/>
              <w:rPr>
                <w:rFonts w:cs="Calibri"/>
                <w:sz w:val="16"/>
                <w:szCs w:val="22"/>
              </w:rPr>
            </w:pPr>
            <w:r>
              <w:rPr>
                <w:rFonts w:cs="Calibri"/>
                <w:sz w:val="16"/>
                <w:szCs w:val="22"/>
              </w:rPr>
              <w:t>0</w:t>
            </w:r>
          </w:p>
        </w:tc>
        <w:tc>
          <w:tcPr>
            <w:tcW w:w="333" w:type="pct"/>
            <w:shd w:val="clear" w:color="auto" w:fill="auto"/>
          </w:tcPr>
          <w:p w14:paraId="0304BFE4" w14:textId="08D15093" w:rsidR="00CE6DD0" w:rsidRPr="00DD47DF" w:rsidRDefault="009C0A48" w:rsidP="00CE6DD0">
            <w:pPr>
              <w:jc w:val="right"/>
              <w:rPr>
                <w:rFonts w:cs="Calibri"/>
                <w:sz w:val="16"/>
                <w:szCs w:val="22"/>
              </w:rPr>
            </w:pPr>
            <w:r>
              <w:rPr>
                <w:rFonts w:cs="Calibri"/>
                <w:sz w:val="16"/>
                <w:szCs w:val="22"/>
              </w:rPr>
              <w:t>0</w:t>
            </w:r>
          </w:p>
        </w:tc>
      </w:tr>
      <w:tr w:rsidR="00CE6DD0" w:rsidRPr="00DD47DF" w14:paraId="0DC968FA" w14:textId="77777777" w:rsidTr="00466CFC">
        <w:tc>
          <w:tcPr>
            <w:tcW w:w="249" w:type="pct"/>
            <w:shd w:val="clear" w:color="auto" w:fill="auto"/>
          </w:tcPr>
          <w:p w14:paraId="4DC24230" w14:textId="77777777" w:rsidR="00CE6DD0" w:rsidRPr="00DD47DF" w:rsidRDefault="00CE6DD0" w:rsidP="000435CB">
            <w:pPr>
              <w:pStyle w:val="Tabulka"/>
              <w:rPr>
                <w:rFonts w:cs="Calibri"/>
                <w:bCs/>
                <w:sz w:val="16"/>
                <w:szCs w:val="16"/>
              </w:rPr>
            </w:pPr>
            <w:r w:rsidRPr="00DD47DF">
              <w:rPr>
                <w:rFonts w:cs="Calibri"/>
                <w:bCs/>
                <w:sz w:val="16"/>
                <w:szCs w:val="16"/>
              </w:rPr>
              <w:t>Prioritní osa 4</w:t>
            </w:r>
          </w:p>
        </w:tc>
        <w:tc>
          <w:tcPr>
            <w:tcW w:w="181" w:type="pct"/>
            <w:shd w:val="clear" w:color="auto" w:fill="auto"/>
          </w:tcPr>
          <w:p w14:paraId="3071FDDC" w14:textId="77777777" w:rsidR="00CE6DD0" w:rsidRPr="00DD47DF" w:rsidRDefault="00CE6DD0" w:rsidP="000435CB">
            <w:pPr>
              <w:pStyle w:val="Tabulka"/>
              <w:rPr>
                <w:rFonts w:cs="Calibri"/>
                <w:i/>
                <w:iCs/>
                <w:sz w:val="16"/>
                <w:szCs w:val="16"/>
              </w:rPr>
            </w:pPr>
            <w:r w:rsidRPr="00DD47DF">
              <w:rPr>
                <w:rFonts w:cs="Calibri"/>
                <w:sz w:val="16"/>
                <w:szCs w:val="16"/>
              </w:rPr>
              <w:t>EFRR</w:t>
            </w:r>
          </w:p>
        </w:tc>
        <w:tc>
          <w:tcPr>
            <w:tcW w:w="277" w:type="pct"/>
            <w:shd w:val="clear" w:color="auto" w:fill="auto"/>
          </w:tcPr>
          <w:p w14:paraId="2024B345"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3AFE2972"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4388C9EA" w14:textId="49E01E09" w:rsidR="00CE6DD0" w:rsidRPr="00DD47DF" w:rsidRDefault="0083604D" w:rsidP="000435CB">
            <w:pPr>
              <w:pStyle w:val="Tabulka"/>
              <w:jc w:val="right"/>
              <w:rPr>
                <w:rFonts w:cs="Calibri"/>
                <w:sz w:val="16"/>
              </w:rPr>
            </w:pPr>
            <w:r w:rsidRPr="00E46823">
              <w:rPr>
                <w:rFonts w:cs="Calibri"/>
                <w:sz w:val="16"/>
              </w:rPr>
              <w:t>303 419 652</w:t>
            </w:r>
          </w:p>
        </w:tc>
        <w:tc>
          <w:tcPr>
            <w:tcW w:w="317" w:type="pct"/>
            <w:shd w:val="clear" w:color="auto" w:fill="auto"/>
          </w:tcPr>
          <w:p w14:paraId="71B6E521" w14:textId="35ED1FC7" w:rsidR="00CE6DD0" w:rsidRPr="00DD47DF" w:rsidRDefault="0083604D" w:rsidP="000435CB">
            <w:pPr>
              <w:pStyle w:val="Tabulka"/>
              <w:jc w:val="right"/>
              <w:rPr>
                <w:rFonts w:cs="Calibri"/>
                <w:sz w:val="16"/>
              </w:rPr>
            </w:pPr>
            <w:r w:rsidRPr="00E46823">
              <w:rPr>
                <w:rFonts w:cs="Calibri"/>
                <w:sz w:val="16"/>
              </w:rPr>
              <w:t>229 485 029</w:t>
            </w:r>
          </w:p>
        </w:tc>
        <w:tc>
          <w:tcPr>
            <w:tcW w:w="349" w:type="pct"/>
            <w:shd w:val="clear" w:color="auto" w:fill="auto"/>
          </w:tcPr>
          <w:p w14:paraId="10811C00" w14:textId="77777777" w:rsidR="00CE6DD0" w:rsidRPr="00DD47DF" w:rsidRDefault="00CE6DD0" w:rsidP="000435CB">
            <w:pPr>
              <w:pStyle w:val="Tabulka"/>
              <w:jc w:val="right"/>
              <w:rPr>
                <w:rFonts w:cs="Calibri"/>
                <w:sz w:val="16"/>
              </w:rPr>
            </w:pPr>
            <w:r w:rsidRPr="00DD47DF">
              <w:rPr>
                <w:rFonts w:cs="Calibri"/>
                <w:sz w:val="16"/>
              </w:rPr>
              <w:t>0</w:t>
            </w:r>
          </w:p>
        </w:tc>
        <w:tc>
          <w:tcPr>
            <w:tcW w:w="349" w:type="pct"/>
            <w:shd w:val="clear" w:color="auto" w:fill="auto"/>
          </w:tcPr>
          <w:p w14:paraId="441BECF7" w14:textId="64E8ED55" w:rsidR="00CE6DD0" w:rsidRPr="00DD47DF" w:rsidRDefault="0083604D" w:rsidP="000435CB">
            <w:pPr>
              <w:pStyle w:val="Tabulka"/>
              <w:jc w:val="right"/>
              <w:rPr>
                <w:rFonts w:cs="Calibri"/>
                <w:sz w:val="16"/>
              </w:rPr>
            </w:pPr>
            <w:r w:rsidRPr="00E46823">
              <w:rPr>
                <w:rFonts w:cs="Calibri"/>
                <w:sz w:val="16"/>
              </w:rPr>
              <w:t>229 485 029</w:t>
            </w:r>
          </w:p>
        </w:tc>
        <w:tc>
          <w:tcPr>
            <w:tcW w:w="336" w:type="pct"/>
            <w:shd w:val="clear" w:color="auto" w:fill="auto"/>
          </w:tcPr>
          <w:p w14:paraId="7E5E85B6" w14:textId="56E5C020" w:rsidR="00CE6DD0" w:rsidRPr="00DD47DF" w:rsidRDefault="0083604D" w:rsidP="000435CB">
            <w:pPr>
              <w:pStyle w:val="Tabulka"/>
              <w:jc w:val="right"/>
              <w:rPr>
                <w:rFonts w:cs="Calibri"/>
                <w:sz w:val="16"/>
              </w:rPr>
            </w:pPr>
            <w:r w:rsidRPr="00E46823">
              <w:rPr>
                <w:rFonts w:cs="Calibri"/>
                <w:sz w:val="16"/>
              </w:rPr>
              <w:t>532 904 681</w:t>
            </w:r>
          </w:p>
        </w:tc>
        <w:tc>
          <w:tcPr>
            <w:tcW w:w="449" w:type="pct"/>
            <w:shd w:val="clear" w:color="auto" w:fill="auto"/>
          </w:tcPr>
          <w:p w14:paraId="0B3C89FC" w14:textId="47087B31" w:rsidR="00CE6DD0" w:rsidRPr="00DD47DF" w:rsidRDefault="0083604D" w:rsidP="000435CB">
            <w:pPr>
              <w:pStyle w:val="Tabulka"/>
              <w:jc w:val="right"/>
              <w:rPr>
                <w:rFonts w:cs="Calibri"/>
                <w:sz w:val="16"/>
              </w:rPr>
            </w:pPr>
            <w:r>
              <w:rPr>
                <w:rFonts w:cs="Calibri"/>
                <w:sz w:val="16"/>
              </w:rPr>
              <w:t>56,93%</w:t>
            </w:r>
          </w:p>
        </w:tc>
        <w:tc>
          <w:tcPr>
            <w:tcW w:w="280" w:type="pct"/>
            <w:shd w:val="clear" w:color="auto" w:fill="auto"/>
          </w:tcPr>
          <w:p w14:paraId="2C864D8F" w14:textId="77777777" w:rsidR="00CE6DD0" w:rsidRPr="00DD47DF" w:rsidRDefault="00CE6DD0" w:rsidP="000435CB">
            <w:pPr>
              <w:pStyle w:val="Tabulka"/>
              <w:jc w:val="right"/>
              <w:rPr>
                <w:rFonts w:cs="Calibri"/>
                <w:sz w:val="16"/>
              </w:rPr>
            </w:pPr>
          </w:p>
        </w:tc>
        <w:tc>
          <w:tcPr>
            <w:tcW w:w="321" w:type="pct"/>
            <w:shd w:val="clear" w:color="auto" w:fill="auto"/>
          </w:tcPr>
          <w:p w14:paraId="375A2597" w14:textId="2B6AF266" w:rsidR="00CE6DD0" w:rsidRPr="00DD47DF" w:rsidRDefault="0083604D" w:rsidP="00CE6DD0">
            <w:pPr>
              <w:jc w:val="right"/>
              <w:rPr>
                <w:rFonts w:cs="Calibri"/>
                <w:sz w:val="16"/>
                <w:szCs w:val="22"/>
              </w:rPr>
            </w:pPr>
            <w:r w:rsidRPr="00447910">
              <w:rPr>
                <w:rFonts w:cs="Calibri"/>
                <w:sz w:val="16"/>
                <w:szCs w:val="22"/>
              </w:rPr>
              <w:t>303 419 652</w:t>
            </w:r>
          </w:p>
        </w:tc>
        <w:tc>
          <w:tcPr>
            <w:tcW w:w="313" w:type="pct"/>
            <w:shd w:val="clear" w:color="auto" w:fill="auto"/>
          </w:tcPr>
          <w:p w14:paraId="1860E601" w14:textId="40E2069A" w:rsidR="00CE6DD0" w:rsidRPr="00DD47DF" w:rsidRDefault="0083604D" w:rsidP="00CE6DD0">
            <w:pPr>
              <w:jc w:val="right"/>
              <w:rPr>
                <w:rFonts w:cs="Calibri"/>
                <w:sz w:val="16"/>
                <w:szCs w:val="22"/>
              </w:rPr>
            </w:pPr>
            <w:r w:rsidRPr="00447910">
              <w:rPr>
                <w:rFonts w:cs="Calibri"/>
                <w:sz w:val="16"/>
                <w:szCs w:val="22"/>
              </w:rPr>
              <w:t>229 485 029</w:t>
            </w:r>
          </w:p>
        </w:tc>
        <w:tc>
          <w:tcPr>
            <w:tcW w:w="289" w:type="pct"/>
            <w:shd w:val="clear" w:color="auto" w:fill="auto"/>
          </w:tcPr>
          <w:p w14:paraId="5864672A" w14:textId="3BAD5711" w:rsidR="00CE6DD0" w:rsidRPr="00DD47DF" w:rsidRDefault="009C0A48" w:rsidP="00CE6DD0">
            <w:pPr>
              <w:jc w:val="right"/>
              <w:rPr>
                <w:rFonts w:cs="Calibri"/>
                <w:sz w:val="16"/>
                <w:szCs w:val="22"/>
              </w:rPr>
            </w:pPr>
            <w:r>
              <w:rPr>
                <w:rFonts w:cs="Calibri"/>
                <w:sz w:val="16"/>
                <w:szCs w:val="22"/>
              </w:rPr>
              <w:t>0</w:t>
            </w:r>
          </w:p>
        </w:tc>
        <w:tc>
          <w:tcPr>
            <w:tcW w:w="322" w:type="pct"/>
            <w:shd w:val="clear" w:color="auto" w:fill="auto"/>
          </w:tcPr>
          <w:p w14:paraId="1ED695F2" w14:textId="03F1F568" w:rsidR="00CE6DD0" w:rsidRPr="00DD47DF" w:rsidRDefault="009C0A48" w:rsidP="00CE6DD0">
            <w:pPr>
              <w:jc w:val="right"/>
              <w:rPr>
                <w:rFonts w:cs="Calibri"/>
                <w:sz w:val="16"/>
                <w:szCs w:val="22"/>
              </w:rPr>
            </w:pPr>
            <w:r>
              <w:rPr>
                <w:rFonts w:cs="Calibri"/>
                <w:sz w:val="16"/>
                <w:szCs w:val="22"/>
              </w:rPr>
              <w:t>0</w:t>
            </w:r>
          </w:p>
        </w:tc>
        <w:tc>
          <w:tcPr>
            <w:tcW w:w="333" w:type="pct"/>
            <w:shd w:val="clear" w:color="auto" w:fill="auto"/>
          </w:tcPr>
          <w:p w14:paraId="294316AB" w14:textId="2AF12FF7" w:rsidR="00CE6DD0" w:rsidRPr="00DD47DF" w:rsidRDefault="009C0A48" w:rsidP="002D5EA4">
            <w:pPr>
              <w:jc w:val="right"/>
              <w:rPr>
                <w:rFonts w:cs="Calibri"/>
                <w:sz w:val="16"/>
                <w:szCs w:val="22"/>
              </w:rPr>
            </w:pPr>
            <w:r>
              <w:rPr>
                <w:rFonts w:cs="Calibri"/>
                <w:sz w:val="16"/>
                <w:szCs w:val="22"/>
              </w:rPr>
              <w:t>0</w:t>
            </w:r>
          </w:p>
        </w:tc>
      </w:tr>
      <w:tr w:rsidR="00CE6DD0" w:rsidRPr="00DD47DF" w14:paraId="5BDB4F54" w14:textId="77777777" w:rsidTr="00466CFC">
        <w:tc>
          <w:tcPr>
            <w:tcW w:w="249" w:type="pct"/>
            <w:shd w:val="clear" w:color="auto" w:fill="auto"/>
          </w:tcPr>
          <w:p w14:paraId="02CD03E9" w14:textId="77777777" w:rsidR="00CE6DD0" w:rsidRPr="00DD47DF" w:rsidRDefault="00CE6DD0" w:rsidP="000435CB">
            <w:pPr>
              <w:pStyle w:val="Tabulka"/>
              <w:rPr>
                <w:rFonts w:cs="Calibri"/>
                <w:bCs/>
                <w:sz w:val="16"/>
                <w:szCs w:val="16"/>
              </w:rPr>
            </w:pPr>
            <w:r w:rsidRPr="00DD47DF">
              <w:rPr>
                <w:rFonts w:cs="Calibri"/>
                <w:bCs/>
                <w:sz w:val="16"/>
                <w:szCs w:val="16"/>
              </w:rPr>
              <w:t>Prioritní osa 5</w:t>
            </w:r>
          </w:p>
        </w:tc>
        <w:tc>
          <w:tcPr>
            <w:tcW w:w="181" w:type="pct"/>
            <w:shd w:val="clear" w:color="auto" w:fill="auto"/>
          </w:tcPr>
          <w:p w14:paraId="0E1BA0E5"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auto"/>
          </w:tcPr>
          <w:p w14:paraId="54F81ADA"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auto"/>
          </w:tcPr>
          <w:p w14:paraId="4D2B0DBD" w14:textId="77777777" w:rsidR="00CE6DD0" w:rsidRPr="00DD47DF" w:rsidRDefault="00CE6DD0" w:rsidP="000435CB">
            <w:pPr>
              <w:pStyle w:val="Tabulka"/>
              <w:rPr>
                <w:rFonts w:cs="Calibri"/>
                <w:sz w:val="16"/>
                <w:szCs w:val="16"/>
              </w:rPr>
            </w:pPr>
            <w:r w:rsidRPr="00DD47DF">
              <w:rPr>
                <w:rFonts w:cs="Calibri"/>
                <w:sz w:val="16"/>
              </w:rPr>
              <w:t>celkové způsobilé výdaje</w:t>
            </w:r>
          </w:p>
        </w:tc>
        <w:tc>
          <w:tcPr>
            <w:tcW w:w="372" w:type="pct"/>
            <w:shd w:val="clear" w:color="auto" w:fill="auto"/>
          </w:tcPr>
          <w:p w14:paraId="07BADEC2" w14:textId="77777777" w:rsidR="00CE6DD0" w:rsidRPr="00DD47DF" w:rsidRDefault="00CE6DD0" w:rsidP="000435CB">
            <w:pPr>
              <w:pStyle w:val="Tabulka"/>
              <w:jc w:val="right"/>
              <w:rPr>
                <w:rFonts w:cs="Calibri"/>
                <w:sz w:val="16"/>
              </w:rPr>
            </w:pPr>
            <w:r w:rsidRPr="00DD47DF">
              <w:rPr>
                <w:rFonts w:cs="Calibri"/>
                <w:sz w:val="16"/>
              </w:rPr>
              <w:t>125 600 816</w:t>
            </w:r>
          </w:p>
        </w:tc>
        <w:tc>
          <w:tcPr>
            <w:tcW w:w="317" w:type="pct"/>
            <w:shd w:val="clear" w:color="auto" w:fill="auto"/>
          </w:tcPr>
          <w:p w14:paraId="27007CD0" w14:textId="77777777" w:rsidR="00CE6DD0" w:rsidRPr="00DD47DF" w:rsidRDefault="00CE6DD0" w:rsidP="000435CB">
            <w:pPr>
              <w:pStyle w:val="Tabulka"/>
              <w:jc w:val="right"/>
              <w:rPr>
                <w:rFonts w:cs="Calibri"/>
                <w:sz w:val="16"/>
              </w:rPr>
            </w:pPr>
            <w:r w:rsidRPr="00DD47DF">
              <w:rPr>
                <w:rFonts w:cs="Calibri"/>
                <w:sz w:val="16"/>
              </w:rPr>
              <w:t>22 164 850</w:t>
            </w:r>
          </w:p>
        </w:tc>
        <w:tc>
          <w:tcPr>
            <w:tcW w:w="349" w:type="pct"/>
            <w:shd w:val="clear" w:color="auto" w:fill="auto"/>
          </w:tcPr>
          <w:p w14:paraId="58C10437" w14:textId="77777777" w:rsidR="00CE6DD0" w:rsidRPr="00DD47DF" w:rsidRDefault="00CE6DD0" w:rsidP="000435CB">
            <w:pPr>
              <w:pStyle w:val="Tabulka"/>
              <w:jc w:val="right"/>
              <w:rPr>
                <w:rFonts w:cs="Calibri"/>
                <w:sz w:val="16"/>
              </w:rPr>
            </w:pPr>
            <w:r w:rsidRPr="00DD47DF">
              <w:rPr>
                <w:rFonts w:cs="Calibri"/>
                <w:sz w:val="16"/>
              </w:rPr>
              <w:t>22 164 850</w:t>
            </w:r>
          </w:p>
        </w:tc>
        <w:tc>
          <w:tcPr>
            <w:tcW w:w="349" w:type="pct"/>
            <w:shd w:val="clear" w:color="auto" w:fill="auto"/>
          </w:tcPr>
          <w:p w14:paraId="7FCB84D9" w14:textId="77777777" w:rsidR="00CE6DD0" w:rsidRPr="00DD47DF" w:rsidRDefault="00CE6DD0" w:rsidP="000435CB">
            <w:pPr>
              <w:pStyle w:val="Tabulka"/>
              <w:jc w:val="right"/>
              <w:rPr>
                <w:rFonts w:cs="Calibri"/>
                <w:sz w:val="16"/>
              </w:rPr>
            </w:pPr>
            <w:r w:rsidRPr="00DD47DF">
              <w:rPr>
                <w:rFonts w:cs="Calibri"/>
                <w:sz w:val="16"/>
              </w:rPr>
              <w:t>0</w:t>
            </w:r>
          </w:p>
        </w:tc>
        <w:tc>
          <w:tcPr>
            <w:tcW w:w="336" w:type="pct"/>
            <w:shd w:val="clear" w:color="auto" w:fill="auto"/>
          </w:tcPr>
          <w:p w14:paraId="3DB474FD" w14:textId="77777777" w:rsidR="00CE6DD0" w:rsidRPr="00DD47DF" w:rsidRDefault="00CE6DD0" w:rsidP="000435CB">
            <w:pPr>
              <w:pStyle w:val="Tabulka"/>
              <w:jc w:val="right"/>
              <w:rPr>
                <w:rFonts w:cs="Calibri"/>
                <w:sz w:val="16"/>
              </w:rPr>
            </w:pPr>
            <w:r w:rsidRPr="00DD47DF">
              <w:rPr>
                <w:rFonts w:cs="Calibri"/>
                <w:sz w:val="16"/>
              </w:rPr>
              <w:t>147 765 666</w:t>
            </w:r>
          </w:p>
        </w:tc>
        <w:tc>
          <w:tcPr>
            <w:tcW w:w="449" w:type="pct"/>
            <w:shd w:val="clear" w:color="auto" w:fill="auto"/>
          </w:tcPr>
          <w:p w14:paraId="4EF8E700" w14:textId="77777777" w:rsidR="00CE6DD0" w:rsidRPr="00DD47DF" w:rsidRDefault="00CE6DD0" w:rsidP="000435CB">
            <w:pPr>
              <w:pStyle w:val="Tabulka"/>
              <w:jc w:val="right"/>
              <w:rPr>
                <w:rFonts w:cs="Calibri"/>
                <w:sz w:val="16"/>
              </w:rPr>
            </w:pPr>
            <w:r w:rsidRPr="00DD47DF">
              <w:rPr>
                <w:rFonts w:cs="Calibri"/>
                <w:sz w:val="16"/>
              </w:rPr>
              <w:t>85,00%</w:t>
            </w:r>
          </w:p>
        </w:tc>
        <w:tc>
          <w:tcPr>
            <w:tcW w:w="280" w:type="pct"/>
            <w:shd w:val="clear" w:color="auto" w:fill="auto"/>
          </w:tcPr>
          <w:p w14:paraId="3DC2C3B7" w14:textId="77777777" w:rsidR="00CE6DD0" w:rsidRPr="00DD47DF" w:rsidRDefault="00CE6DD0" w:rsidP="000435CB">
            <w:pPr>
              <w:pStyle w:val="Tabulka"/>
              <w:jc w:val="right"/>
              <w:rPr>
                <w:rFonts w:cs="Calibri"/>
                <w:sz w:val="16"/>
              </w:rPr>
            </w:pPr>
          </w:p>
        </w:tc>
        <w:tc>
          <w:tcPr>
            <w:tcW w:w="321" w:type="pct"/>
            <w:shd w:val="clear" w:color="auto" w:fill="auto"/>
          </w:tcPr>
          <w:p w14:paraId="73DB1FB7" w14:textId="77777777" w:rsidR="00CE6DD0" w:rsidRPr="00DD47DF" w:rsidRDefault="00CE6DD0" w:rsidP="00CE6DD0">
            <w:pPr>
              <w:jc w:val="right"/>
              <w:rPr>
                <w:rFonts w:cs="Calibri"/>
                <w:sz w:val="16"/>
                <w:szCs w:val="22"/>
              </w:rPr>
            </w:pPr>
            <w:r w:rsidRPr="00DD47DF">
              <w:rPr>
                <w:rFonts w:cs="Calibri"/>
                <w:sz w:val="16"/>
                <w:szCs w:val="22"/>
              </w:rPr>
              <w:t>125 600 816</w:t>
            </w:r>
          </w:p>
        </w:tc>
        <w:tc>
          <w:tcPr>
            <w:tcW w:w="313" w:type="pct"/>
            <w:shd w:val="clear" w:color="auto" w:fill="auto"/>
          </w:tcPr>
          <w:p w14:paraId="385CA053" w14:textId="77777777" w:rsidR="00CE6DD0" w:rsidRPr="00DD47DF" w:rsidRDefault="00CE6DD0" w:rsidP="00CE6DD0">
            <w:pPr>
              <w:jc w:val="right"/>
              <w:rPr>
                <w:rFonts w:cs="Calibri"/>
                <w:sz w:val="16"/>
                <w:szCs w:val="22"/>
              </w:rPr>
            </w:pPr>
            <w:r w:rsidRPr="00DD47DF">
              <w:rPr>
                <w:rFonts w:cs="Calibri"/>
                <w:sz w:val="16"/>
                <w:szCs w:val="22"/>
              </w:rPr>
              <w:t>22 164 850</w:t>
            </w:r>
          </w:p>
        </w:tc>
        <w:tc>
          <w:tcPr>
            <w:tcW w:w="289" w:type="pct"/>
            <w:shd w:val="clear" w:color="auto" w:fill="auto"/>
          </w:tcPr>
          <w:p w14:paraId="547F58E8" w14:textId="77777777" w:rsidR="00CE6DD0" w:rsidRPr="00DD47DF" w:rsidRDefault="00CE6DD0" w:rsidP="00CE6DD0">
            <w:pPr>
              <w:jc w:val="right"/>
              <w:rPr>
                <w:rFonts w:cs="Calibri"/>
                <w:sz w:val="16"/>
                <w:szCs w:val="22"/>
              </w:rPr>
            </w:pPr>
            <w:r w:rsidRPr="00DD47DF">
              <w:rPr>
                <w:rFonts w:cs="Calibri"/>
                <w:sz w:val="16"/>
                <w:szCs w:val="22"/>
              </w:rPr>
              <w:t>0</w:t>
            </w:r>
          </w:p>
        </w:tc>
        <w:tc>
          <w:tcPr>
            <w:tcW w:w="322" w:type="pct"/>
            <w:shd w:val="clear" w:color="auto" w:fill="auto"/>
          </w:tcPr>
          <w:p w14:paraId="3482A46F" w14:textId="77777777" w:rsidR="00CE6DD0" w:rsidRPr="00DD47DF" w:rsidRDefault="00CE6DD0" w:rsidP="00CE6DD0">
            <w:pPr>
              <w:jc w:val="right"/>
              <w:rPr>
                <w:rFonts w:cs="Calibri"/>
                <w:sz w:val="16"/>
                <w:szCs w:val="22"/>
              </w:rPr>
            </w:pPr>
            <w:r w:rsidRPr="00DD47DF">
              <w:rPr>
                <w:rFonts w:cs="Calibri"/>
                <w:sz w:val="16"/>
                <w:szCs w:val="22"/>
              </w:rPr>
              <w:t>0</w:t>
            </w:r>
          </w:p>
        </w:tc>
        <w:tc>
          <w:tcPr>
            <w:tcW w:w="333" w:type="pct"/>
            <w:shd w:val="clear" w:color="auto" w:fill="auto"/>
          </w:tcPr>
          <w:p w14:paraId="12EAFC3C" w14:textId="77777777" w:rsidR="00CE6DD0" w:rsidRPr="00DD47DF" w:rsidRDefault="00CE6DD0" w:rsidP="00CE6DD0">
            <w:pPr>
              <w:jc w:val="right"/>
              <w:rPr>
                <w:rFonts w:cs="Calibri"/>
                <w:sz w:val="16"/>
                <w:szCs w:val="22"/>
              </w:rPr>
            </w:pPr>
            <w:r w:rsidRPr="00DD47DF">
              <w:rPr>
                <w:rFonts w:cs="Calibri"/>
                <w:sz w:val="16"/>
                <w:szCs w:val="22"/>
              </w:rPr>
              <w:t>0,00</w:t>
            </w:r>
          </w:p>
        </w:tc>
      </w:tr>
      <w:tr w:rsidR="00CE6DD0" w:rsidRPr="00DD47DF" w14:paraId="06EECC7B" w14:textId="77777777" w:rsidTr="00466CFC">
        <w:tc>
          <w:tcPr>
            <w:tcW w:w="249" w:type="pct"/>
            <w:shd w:val="clear" w:color="auto" w:fill="DBE5F1"/>
          </w:tcPr>
          <w:p w14:paraId="077F38F0" w14:textId="77777777" w:rsidR="00CE6DD0" w:rsidRPr="00DD47DF" w:rsidRDefault="00CE6DD0" w:rsidP="000435CB">
            <w:pPr>
              <w:pStyle w:val="Tabulka"/>
              <w:rPr>
                <w:rFonts w:cs="Calibri"/>
                <w:sz w:val="16"/>
                <w:szCs w:val="16"/>
              </w:rPr>
            </w:pPr>
            <w:r w:rsidRPr="00DD47DF">
              <w:rPr>
                <w:rFonts w:cs="Calibri"/>
                <w:bCs/>
                <w:sz w:val="16"/>
                <w:szCs w:val="16"/>
              </w:rPr>
              <w:t>Celkem</w:t>
            </w:r>
          </w:p>
        </w:tc>
        <w:tc>
          <w:tcPr>
            <w:tcW w:w="181" w:type="pct"/>
            <w:shd w:val="clear" w:color="auto" w:fill="DBE5F1"/>
          </w:tcPr>
          <w:p w14:paraId="36B8067C" w14:textId="77777777" w:rsidR="00CE6DD0" w:rsidRPr="00DD47DF" w:rsidRDefault="00CE6DD0" w:rsidP="000435CB">
            <w:pPr>
              <w:pStyle w:val="Tabulka"/>
              <w:rPr>
                <w:rFonts w:cs="Calibri"/>
                <w:sz w:val="16"/>
                <w:szCs w:val="16"/>
              </w:rPr>
            </w:pPr>
            <w:r w:rsidRPr="00DD47DF">
              <w:rPr>
                <w:rFonts w:cs="Calibri"/>
                <w:sz w:val="16"/>
                <w:szCs w:val="16"/>
              </w:rPr>
              <w:t>EFRR</w:t>
            </w:r>
          </w:p>
        </w:tc>
        <w:tc>
          <w:tcPr>
            <w:tcW w:w="277" w:type="pct"/>
            <w:shd w:val="clear" w:color="auto" w:fill="DBE5F1"/>
          </w:tcPr>
          <w:p w14:paraId="4CDD9ED5" w14:textId="77777777" w:rsidR="00CE6DD0" w:rsidRPr="00DD47DF" w:rsidRDefault="00CE6DD0" w:rsidP="000435CB">
            <w:pPr>
              <w:pStyle w:val="Tabulka"/>
              <w:rPr>
                <w:rFonts w:cs="Calibri"/>
                <w:sz w:val="16"/>
                <w:szCs w:val="16"/>
              </w:rPr>
            </w:pPr>
            <w:r w:rsidRPr="00DD47DF">
              <w:rPr>
                <w:rFonts w:cs="Calibri"/>
                <w:sz w:val="16"/>
                <w:szCs w:val="16"/>
              </w:rPr>
              <w:t>Méně rozvinuté regiony</w:t>
            </w:r>
          </w:p>
        </w:tc>
        <w:tc>
          <w:tcPr>
            <w:tcW w:w="265" w:type="pct"/>
            <w:shd w:val="clear" w:color="auto" w:fill="DBE5F1"/>
          </w:tcPr>
          <w:p w14:paraId="6D233EC6" w14:textId="77777777" w:rsidR="00CE6DD0" w:rsidRPr="00DD47DF" w:rsidRDefault="00CE6DD0" w:rsidP="000435CB">
            <w:pPr>
              <w:pStyle w:val="Tabulka"/>
              <w:rPr>
                <w:rFonts w:cs="Calibri"/>
                <w:sz w:val="16"/>
                <w:szCs w:val="16"/>
              </w:rPr>
            </w:pPr>
          </w:p>
        </w:tc>
        <w:tc>
          <w:tcPr>
            <w:tcW w:w="372" w:type="pct"/>
            <w:shd w:val="clear" w:color="auto" w:fill="DBE5F1"/>
          </w:tcPr>
          <w:p w14:paraId="7C2C1342" w14:textId="1B663FB1" w:rsidR="00CE6DD0" w:rsidRPr="00DD47DF" w:rsidRDefault="002A61B2" w:rsidP="000435CB">
            <w:pPr>
              <w:pStyle w:val="Tabulka"/>
              <w:jc w:val="right"/>
              <w:rPr>
                <w:rFonts w:cs="Calibri"/>
                <w:sz w:val="16"/>
              </w:rPr>
            </w:pPr>
            <w:r w:rsidRPr="00E978B1">
              <w:rPr>
                <w:rFonts w:cs="Calibri"/>
                <w:sz w:val="16"/>
              </w:rPr>
              <w:t>3 850 109 773</w:t>
            </w:r>
          </w:p>
        </w:tc>
        <w:tc>
          <w:tcPr>
            <w:tcW w:w="317" w:type="pct"/>
            <w:shd w:val="clear" w:color="auto" w:fill="DBE5F1"/>
          </w:tcPr>
          <w:p w14:paraId="41EBC961" w14:textId="4DA0D5FD" w:rsidR="00CE6DD0" w:rsidRPr="00DD47DF" w:rsidRDefault="00D260DF" w:rsidP="000435CB">
            <w:pPr>
              <w:pStyle w:val="Tabulka"/>
              <w:jc w:val="right"/>
              <w:rPr>
                <w:rFonts w:cs="Calibri"/>
                <w:sz w:val="16"/>
              </w:rPr>
            </w:pPr>
            <w:r>
              <w:rPr>
                <w:rFonts w:cs="Calibri"/>
                <w:sz w:val="16"/>
              </w:rPr>
              <w:t>3 827 073 937</w:t>
            </w:r>
          </w:p>
        </w:tc>
        <w:tc>
          <w:tcPr>
            <w:tcW w:w="349" w:type="pct"/>
            <w:shd w:val="clear" w:color="auto" w:fill="DBE5F1"/>
          </w:tcPr>
          <w:p w14:paraId="0D997891" w14:textId="4BEFCCDC" w:rsidR="00CE6DD0" w:rsidRPr="00DD47DF" w:rsidRDefault="002A61B2" w:rsidP="000435CB">
            <w:pPr>
              <w:pStyle w:val="Tabulka"/>
              <w:jc w:val="right"/>
              <w:rPr>
                <w:rFonts w:cs="Calibri"/>
                <w:sz w:val="16"/>
              </w:rPr>
            </w:pPr>
            <w:r w:rsidRPr="00E978B1">
              <w:rPr>
                <w:rFonts w:cs="Calibri"/>
                <w:sz w:val="16"/>
              </w:rPr>
              <w:t>111 395 152</w:t>
            </w:r>
          </w:p>
        </w:tc>
        <w:tc>
          <w:tcPr>
            <w:tcW w:w="349" w:type="pct"/>
            <w:shd w:val="clear" w:color="auto" w:fill="DBE5F1"/>
          </w:tcPr>
          <w:p w14:paraId="53B2FC7C" w14:textId="2E3E37EF" w:rsidR="00CE6DD0" w:rsidRPr="00DD47DF" w:rsidRDefault="00D260DF" w:rsidP="000435CB">
            <w:pPr>
              <w:pStyle w:val="Tabulka"/>
              <w:jc w:val="right"/>
              <w:rPr>
                <w:rFonts w:cs="Calibri"/>
                <w:sz w:val="16"/>
              </w:rPr>
            </w:pPr>
            <w:r>
              <w:rPr>
                <w:rFonts w:cs="Calibri"/>
                <w:sz w:val="16"/>
              </w:rPr>
              <w:t>3 715 678 785</w:t>
            </w:r>
          </w:p>
        </w:tc>
        <w:tc>
          <w:tcPr>
            <w:tcW w:w="336" w:type="pct"/>
            <w:shd w:val="clear" w:color="auto" w:fill="DBE5F1"/>
          </w:tcPr>
          <w:p w14:paraId="148D0887" w14:textId="23F48A51" w:rsidR="00CE6DD0" w:rsidRPr="00DD47DF" w:rsidRDefault="00D260DF" w:rsidP="000435CB">
            <w:pPr>
              <w:pStyle w:val="Tabulka"/>
              <w:jc w:val="right"/>
              <w:rPr>
                <w:rFonts w:cs="Calibri"/>
                <w:sz w:val="16"/>
              </w:rPr>
            </w:pPr>
            <w:r>
              <w:rPr>
                <w:rFonts w:cs="Calibri"/>
                <w:sz w:val="16"/>
              </w:rPr>
              <w:t>7 677 183 710</w:t>
            </w:r>
          </w:p>
        </w:tc>
        <w:tc>
          <w:tcPr>
            <w:tcW w:w="449" w:type="pct"/>
            <w:shd w:val="clear" w:color="auto" w:fill="DBE5F1"/>
          </w:tcPr>
          <w:p w14:paraId="018CD09A" w14:textId="776B0BA1" w:rsidR="00CE6DD0" w:rsidRPr="00DD47DF" w:rsidRDefault="00D260DF" w:rsidP="000435CB">
            <w:pPr>
              <w:pStyle w:val="Tabulka"/>
              <w:jc w:val="right"/>
              <w:rPr>
                <w:rFonts w:cs="Calibri"/>
                <w:sz w:val="16"/>
              </w:rPr>
            </w:pPr>
            <w:r>
              <w:rPr>
                <w:rFonts w:cs="Calibri"/>
                <w:sz w:val="16"/>
              </w:rPr>
              <w:t>50,15</w:t>
            </w:r>
            <w:r w:rsidR="0083604D" w:rsidRPr="00447910">
              <w:rPr>
                <w:rFonts w:cs="Calibri"/>
                <w:sz w:val="16"/>
              </w:rPr>
              <w:t>%</w:t>
            </w:r>
          </w:p>
        </w:tc>
        <w:tc>
          <w:tcPr>
            <w:tcW w:w="280" w:type="pct"/>
            <w:shd w:val="clear" w:color="auto" w:fill="DBE5F1"/>
          </w:tcPr>
          <w:p w14:paraId="122B6835" w14:textId="77777777" w:rsidR="00CE6DD0" w:rsidRPr="00DD47DF" w:rsidRDefault="00CE6DD0" w:rsidP="000435CB">
            <w:pPr>
              <w:pStyle w:val="Tabulka"/>
              <w:jc w:val="right"/>
              <w:rPr>
                <w:rFonts w:cs="Calibri"/>
                <w:sz w:val="16"/>
              </w:rPr>
            </w:pPr>
          </w:p>
        </w:tc>
        <w:tc>
          <w:tcPr>
            <w:tcW w:w="321" w:type="pct"/>
            <w:shd w:val="clear" w:color="auto" w:fill="DBE5F1"/>
          </w:tcPr>
          <w:p w14:paraId="26497EF1" w14:textId="17321CF2" w:rsidR="00CE6DD0" w:rsidRPr="00DD47DF" w:rsidRDefault="0083604D" w:rsidP="00CE2FC5">
            <w:pPr>
              <w:jc w:val="right"/>
              <w:rPr>
                <w:rFonts w:cs="Calibri"/>
                <w:sz w:val="16"/>
                <w:szCs w:val="22"/>
              </w:rPr>
            </w:pPr>
            <w:r w:rsidRPr="003A7AAC">
              <w:rPr>
                <w:rFonts w:cs="Calibri"/>
                <w:sz w:val="16"/>
                <w:szCs w:val="22"/>
              </w:rPr>
              <w:t>3 619 103 187</w:t>
            </w:r>
          </w:p>
        </w:tc>
        <w:tc>
          <w:tcPr>
            <w:tcW w:w="313" w:type="pct"/>
            <w:shd w:val="clear" w:color="auto" w:fill="DBE5F1"/>
          </w:tcPr>
          <w:p w14:paraId="6C979FAE" w14:textId="60AA2742" w:rsidR="00CE6DD0" w:rsidRPr="00DD47DF" w:rsidRDefault="00D260DF" w:rsidP="00CE2FC5">
            <w:pPr>
              <w:jc w:val="right"/>
              <w:rPr>
                <w:rFonts w:cs="Calibri"/>
                <w:sz w:val="16"/>
                <w:szCs w:val="22"/>
              </w:rPr>
            </w:pPr>
            <w:r>
              <w:rPr>
                <w:rFonts w:cs="Calibri"/>
                <w:sz w:val="16"/>
                <w:szCs w:val="22"/>
              </w:rPr>
              <w:t>3 628 760 910</w:t>
            </w:r>
          </w:p>
        </w:tc>
        <w:tc>
          <w:tcPr>
            <w:tcW w:w="289" w:type="pct"/>
            <w:shd w:val="clear" w:color="auto" w:fill="DBE5F1"/>
          </w:tcPr>
          <w:p w14:paraId="0FD5BA48" w14:textId="69B8B540" w:rsidR="00CE6DD0" w:rsidRPr="00DD47DF" w:rsidRDefault="009C31E1" w:rsidP="00CE2FC5">
            <w:pPr>
              <w:jc w:val="right"/>
              <w:rPr>
                <w:rFonts w:cs="Calibri"/>
                <w:sz w:val="16"/>
                <w:szCs w:val="22"/>
              </w:rPr>
            </w:pPr>
            <w:r w:rsidRPr="009C31E1">
              <w:rPr>
                <w:rFonts w:cs="Calibri"/>
                <w:sz w:val="16"/>
                <w:szCs w:val="22"/>
              </w:rPr>
              <w:t>231 006 586</w:t>
            </w:r>
          </w:p>
        </w:tc>
        <w:tc>
          <w:tcPr>
            <w:tcW w:w="322" w:type="pct"/>
            <w:shd w:val="clear" w:color="auto" w:fill="DBE5F1"/>
          </w:tcPr>
          <w:p w14:paraId="155812C8" w14:textId="7AB0EDE8" w:rsidR="00CE6DD0" w:rsidRPr="00DD47DF" w:rsidRDefault="00D260DF" w:rsidP="00CE6DD0">
            <w:pPr>
              <w:jc w:val="right"/>
              <w:rPr>
                <w:rFonts w:cs="Calibri"/>
                <w:sz w:val="16"/>
                <w:szCs w:val="22"/>
              </w:rPr>
            </w:pPr>
            <w:r>
              <w:rPr>
                <w:rFonts w:cs="Calibri"/>
                <w:sz w:val="16"/>
                <w:szCs w:val="22"/>
              </w:rPr>
              <w:t>198 313 027</w:t>
            </w:r>
          </w:p>
        </w:tc>
        <w:tc>
          <w:tcPr>
            <w:tcW w:w="333" w:type="pct"/>
            <w:shd w:val="clear" w:color="auto" w:fill="DBE5F1"/>
          </w:tcPr>
          <w:p w14:paraId="6ED54617" w14:textId="2E50261C" w:rsidR="00CE6DD0" w:rsidRPr="00DD47DF" w:rsidRDefault="00CE6DD0" w:rsidP="00CE6DD0">
            <w:pPr>
              <w:jc w:val="right"/>
              <w:rPr>
                <w:rFonts w:cs="Calibri"/>
                <w:sz w:val="16"/>
                <w:szCs w:val="22"/>
              </w:rPr>
            </w:pPr>
            <w:r w:rsidRPr="00DD47DF">
              <w:rPr>
                <w:rFonts w:cs="Calibri"/>
                <w:sz w:val="16"/>
                <w:szCs w:val="22"/>
              </w:rPr>
              <w:t>6,00</w:t>
            </w:r>
          </w:p>
        </w:tc>
      </w:tr>
    </w:tbl>
    <w:p w14:paraId="1227425C" w14:textId="77777777" w:rsidR="00285BA0" w:rsidRPr="00DD47DF" w:rsidRDefault="00467D73" w:rsidP="00070EE7">
      <w:pPr>
        <w:pStyle w:val="Titulek"/>
        <w:keepNext/>
        <w:keepLines/>
      </w:pPr>
      <w:r w:rsidRPr="00DD47DF">
        <w:lastRenderedPageBreak/>
        <w:t xml:space="preserve">Tabulka </w:t>
      </w:r>
      <w:r w:rsidR="002756E7" w:rsidRPr="00DD47DF">
        <w:fldChar w:fldCharType="begin"/>
      </w:r>
      <w:r w:rsidR="000E35F2" w:rsidRPr="00DD47DF">
        <w:instrText xml:space="preserve"> SEQ Tabulka \* ARABIC \r18 </w:instrText>
      </w:r>
      <w:r w:rsidR="002756E7" w:rsidRPr="00DD47DF">
        <w:fldChar w:fldCharType="separate"/>
      </w:r>
      <w:r w:rsidR="00117847">
        <w:rPr>
          <w:noProof/>
        </w:rPr>
        <w:t>18</w:t>
      </w:r>
      <w:r w:rsidR="002756E7" w:rsidRPr="00DD47DF">
        <w:rPr>
          <w:noProof/>
        </w:rPr>
        <w:fldChar w:fldCharType="end"/>
      </w:r>
      <w:r w:rsidRPr="00DD47DF">
        <w:rPr>
          <w:noProof/>
        </w:rPr>
        <w:t>c</w:t>
      </w:r>
      <w:r w:rsidRPr="00DD47DF">
        <w:t>:</w:t>
      </w:r>
      <w:r w:rsidRPr="00DD47DF">
        <w:rPr>
          <w:color w:val="FF0000"/>
        </w:rPr>
        <w:t xml:space="preserve"> </w:t>
      </w:r>
      <w:r w:rsidR="00833413" w:rsidRPr="00DD47DF">
        <w:t>Rozdělení plánu financování podle prioritní osy, fondu, kategorie regionů a tematického cíle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071"/>
        <w:gridCol w:w="3044"/>
        <w:gridCol w:w="2076"/>
        <w:gridCol w:w="1715"/>
        <w:gridCol w:w="2895"/>
        <w:gridCol w:w="1896"/>
      </w:tblGrid>
      <w:tr w:rsidR="00833413" w:rsidRPr="00DD47DF" w14:paraId="5CC198C2" w14:textId="77777777">
        <w:trPr>
          <w:jc w:val="center"/>
        </w:trPr>
        <w:tc>
          <w:tcPr>
            <w:tcW w:w="579" w:type="pct"/>
            <w:shd w:val="clear" w:color="auto" w:fill="B8CCE4"/>
            <w:vAlign w:val="center"/>
          </w:tcPr>
          <w:p w14:paraId="07297554" w14:textId="77777777" w:rsidR="00833413" w:rsidRPr="00DD47DF" w:rsidRDefault="00833413" w:rsidP="00070EE7">
            <w:pPr>
              <w:pStyle w:val="Tabulka"/>
              <w:keepNext/>
              <w:keepLines/>
              <w:rPr>
                <w:rFonts w:cs="Calibri"/>
                <w:b/>
              </w:rPr>
            </w:pPr>
            <w:r w:rsidRPr="00DD47DF">
              <w:rPr>
                <w:rFonts w:cs="Calibri"/>
                <w:b/>
              </w:rPr>
              <w:t>Prioritní osa</w:t>
            </w:r>
          </w:p>
        </w:tc>
        <w:tc>
          <w:tcPr>
            <w:tcW w:w="373" w:type="pct"/>
            <w:shd w:val="clear" w:color="auto" w:fill="B8CCE4"/>
            <w:vAlign w:val="center"/>
          </w:tcPr>
          <w:p w14:paraId="5C86C9F1" w14:textId="77777777" w:rsidR="00833413" w:rsidRPr="00DD47DF" w:rsidRDefault="00833413" w:rsidP="00DA6FAB">
            <w:pPr>
              <w:pStyle w:val="Tabulka"/>
              <w:keepNext/>
              <w:keepLines/>
              <w:rPr>
                <w:rFonts w:cs="Calibri"/>
                <w:b/>
              </w:rPr>
            </w:pPr>
            <w:r w:rsidRPr="00DD47DF">
              <w:rPr>
                <w:rFonts w:cs="Calibri"/>
                <w:b/>
              </w:rPr>
              <w:t>Fond</w:t>
            </w:r>
          </w:p>
        </w:tc>
        <w:tc>
          <w:tcPr>
            <w:tcW w:w="1060" w:type="pct"/>
            <w:shd w:val="clear" w:color="auto" w:fill="B8CCE4"/>
            <w:vAlign w:val="center"/>
          </w:tcPr>
          <w:p w14:paraId="39FE05C2" w14:textId="77777777" w:rsidR="00833413" w:rsidRPr="00DD47DF" w:rsidRDefault="00833413" w:rsidP="00070EE7">
            <w:pPr>
              <w:pStyle w:val="Tabulka"/>
              <w:keepNext/>
              <w:keepLines/>
              <w:rPr>
                <w:rFonts w:cs="Calibri"/>
                <w:b/>
              </w:rPr>
            </w:pPr>
            <w:r w:rsidRPr="00DD47DF">
              <w:rPr>
                <w:rFonts w:cs="Calibri"/>
                <w:b/>
              </w:rPr>
              <w:t>Kategorie regionů</w:t>
            </w:r>
          </w:p>
        </w:tc>
        <w:tc>
          <w:tcPr>
            <w:tcW w:w="723" w:type="pct"/>
            <w:shd w:val="clear" w:color="auto" w:fill="B8CCE4"/>
            <w:vAlign w:val="center"/>
          </w:tcPr>
          <w:p w14:paraId="612FA9D5" w14:textId="77777777" w:rsidR="00833413" w:rsidRPr="00DD47DF" w:rsidRDefault="00833413" w:rsidP="00070EE7">
            <w:pPr>
              <w:pStyle w:val="Tabulka"/>
              <w:keepNext/>
              <w:keepLines/>
              <w:rPr>
                <w:rFonts w:cs="Calibri"/>
                <w:b/>
              </w:rPr>
            </w:pPr>
            <w:r w:rsidRPr="00DD47DF">
              <w:rPr>
                <w:rFonts w:cs="Calibri"/>
                <w:b/>
              </w:rPr>
              <w:t>Tematický cíl</w:t>
            </w:r>
          </w:p>
        </w:tc>
        <w:tc>
          <w:tcPr>
            <w:tcW w:w="597" w:type="pct"/>
            <w:shd w:val="clear" w:color="auto" w:fill="B8CCE4"/>
            <w:vAlign w:val="center"/>
          </w:tcPr>
          <w:p w14:paraId="7C933FB8" w14:textId="77777777" w:rsidR="00833413" w:rsidRPr="00DD47DF" w:rsidRDefault="00833413" w:rsidP="00070EE7">
            <w:pPr>
              <w:pStyle w:val="Tabulka"/>
              <w:keepNext/>
              <w:keepLines/>
              <w:rPr>
                <w:rFonts w:cs="Calibri"/>
                <w:b/>
              </w:rPr>
            </w:pPr>
            <w:r w:rsidRPr="00DD47DF">
              <w:rPr>
                <w:rFonts w:cs="Calibri"/>
                <w:b/>
              </w:rPr>
              <w:t>Podpora Unie</w:t>
            </w:r>
          </w:p>
        </w:tc>
        <w:tc>
          <w:tcPr>
            <w:tcW w:w="1008" w:type="pct"/>
            <w:shd w:val="clear" w:color="auto" w:fill="B8CCE4"/>
            <w:vAlign w:val="center"/>
          </w:tcPr>
          <w:p w14:paraId="380072E6" w14:textId="77777777" w:rsidR="00833413" w:rsidRPr="00DD47DF" w:rsidRDefault="00833413" w:rsidP="00833413">
            <w:pPr>
              <w:pStyle w:val="Tabulka"/>
              <w:keepNext/>
              <w:keepLines/>
              <w:rPr>
                <w:rFonts w:cs="Calibri"/>
                <w:b/>
              </w:rPr>
            </w:pPr>
            <w:r w:rsidRPr="00DD47DF">
              <w:rPr>
                <w:rFonts w:cs="Calibri"/>
                <w:b/>
              </w:rPr>
              <w:t>Příspěvek členského státu</w:t>
            </w:r>
          </w:p>
        </w:tc>
        <w:tc>
          <w:tcPr>
            <w:tcW w:w="660" w:type="pct"/>
            <w:shd w:val="clear" w:color="auto" w:fill="B8CCE4"/>
            <w:vAlign w:val="center"/>
          </w:tcPr>
          <w:p w14:paraId="0444C18B" w14:textId="77777777" w:rsidR="00833413" w:rsidRPr="00DD47DF" w:rsidRDefault="00833413" w:rsidP="00833413">
            <w:pPr>
              <w:pStyle w:val="Tabulka"/>
              <w:keepNext/>
              <w:keepLines/>
              <w:rPr>
                <w:rFonts w:cs="Calibri"/>
                <w:b/>
              </w:rPr>
            </w:pPr>
            <w:r w:rsidRPr="00DD47DF">
              <w:rPr>
                <w:rFonts w:cs="Calibri"/>
                <w:b/>
              </w:rPr>
              <w:t>Financování celkem</w:t>
            </w:r>
          </w:p>
        </w:tc>
      </w:tr>
      <w:tr w:rsidR="002E41FF" w:rsidRPr="00DD47DF" w14:paraId="13B6B5DF" w14:textId="77777777">
        <w:trPr>
          <w:jc w:val="center"/>
        </w:trPr>
        <w:tc>
          <w:tcPr>
            <w:tcW w:w="579" w:type="pct"/>
            <w:shd w:val="clear" w:color="auto" w:fill="auto"/>
            <w:vAlign w:val="center"/>
          </w:tcPr>
          <w:p w14:paraId="0A0E2B36" w14:textId="77777777" w:rsidR="002E41FF" w:rsidRPr="00DD47DF" w:rsidRDefault="002E41FF" w:rsidP="00467D73">
            <w:pPr>
              <w:pStyle w:val="Tabulka"/>
              <w:jc w:val="left"/>
              <w:rPr>
                <w:rFonts w:cs="Calibri"/>
              </w:rPr>
            </w:pPr>
            <w:r w:rsidRPr="00DD47DF">
              <w:rPr>
                <w:rFonts w:cs="Calibri"/>
              </w:rPr>
              <w:t>Prioritní osa 1</w:t>
            </w:r>
          </w:p>
        </w:tc>
        <w:tc>
          <w:tcPr>
            <w:tcW w:w="373" w:type="pct"/>
            <w:shd w:val="clear" w:color="auto" w:fill="auto"/>
            <w:vAlign w:val="center"/>
          </w:tcPr>
          <w:p w14:paraId="5C9C7D33"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7A7BEB69"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7F030BD5" w14:textId="77777777" w:rsidR="002E41FF" w:rsidRPr="00DD47DF" w:rsidRDefault="002E41FF" w:rsidP="00467D73">
            <w:pPr>
              <w:pStyle w:val="Tabulka"/>
              <w:rPr>
                <w:rFonts w:cs="Calibri"/>
              </w:rPr>
            </w:pPr>
            <w:r w:rsidRPr="00DD47DF">
              <w:rPr>
                <w:rFonts w:cs="Calibri"/>
              </w:rPr>
              <w:t>Tematický cíl 1</w:t>
            </w:r>
          </w:p>
        </w:tc>
        <w:tc>
          <w:tcPr>
            <w:tcW w:w="597" w:type="pct"/>
            <w:shd w:val="clear" w:color="auto" w:fill="auto"/>
            <w:vAlign w:val="center"/>
          </w:tcPr>
          <w:p w14:paraId="32E9F1C7" w14:textId="36F6F0BA" w:rsidR="002E41FF" w:rsidRPr="00DD47DF" w:rsidRDefault="00673672" w:rsidP="00165558">
            <w:pPr>
              <w:pStyle w:val="Tabulka"/>
              <w:jc w:val="right"/>
              <w:rPr>
                <w:rFonts w:cs="Calibri"/>
              </w:rPr>
            </w:pPr>
            <w:r w:rsidRPr="00EF3365">
              <w:rPr>
                <w:rFonts w:cs="Calibri"/>
              </w:rPr>
              <w:t>1 255 221 763</w:t>
            </w:r>
          </w:p>
        </w:tc>
        <w:tc>
          <w:tcPr>
            <w:tcW w:w="1008" w:type="pct"/>
            <w:shd w:val="clear" w:color="auto" w:fill="auto"/>
            <w:vAlign w:val="center"/>
          </w:tcPr>
          <w:p w14:paraId="53ED1B76" w14:textId="3A7DEC1B" w:rsidR="002E41FF" w:rsidRPr="00DD47DF" w:rsidRDefault="00673672" w:rsidP="002E41FF">
            <w:pPr>
              <w:pStyle w:val="Tabulka"/>
              <w:jc w:val="right"/>
              <w:rPr>
                <w:rFonts w:cs="Calibri"/>
              </w:rPr>
            </w:pPr>
            <w:r w:rsidRPr="00EF3365">
              <w:rPr>
                <w:rFonts w:cs="Calibri"/>
              </w:rPr>
              <w:t>1 361 681 035</w:t>
            </w:r>
          </w:p>
        </w:tc>
        <w:tc>
          <w:tcPr>
            <w:tcW w:w="660" w:type="pct"/>
            <w:shd w:val="clear" w:color="auto" w:fill="auto"/>
            <w:vAlign w:val="center"/>
          </w:tcPr>
          <w:p w14:paraId="4A43523C" w14:textId="0BD7AE2A" w:rsidR="002E41FF" w:rsidRPr="00DD47DF" w:rsidRDefault="00673672" w:rsidP="00E469B5">
            <w:pPr>
              <w:pStyle w:val="Tabulka"/>
              <w:jc w:val="right"/>
              <w:rPr>
                <w:rFonts w:cs="Calibri"/>
              </w:rPr>
            </w:pPr>
            <w:r w:rsidRPr="00EF3365">
              <w:rPr>
                <w:rFonts w:cs="Calibri"/>
              </w:rPr>
              <w:t>2 616 902 798</w:t>
            </w:r>
          </w:p>
        </w:tc>
      </w:tr>
      <w:tr w:rsidR="002E41FF" w:rsidRPr="00DD47DF" w14:paraId="0CED515A" w14:textId="77777777">
        <w:trPr>
          <w:jc w:val="center"/>
        </w:trPr>
        <w:tc>
          <w:tcPr>
            <w:tcW w:w="579" w:type="pct"/>
            <w:shd w:val="clear" w:color="auto" w:fill="auto"/>
            <w:vAlign w:val="center"/>
          </w:tcPr>
          <w:p w14:paraId="636BD8F8" w14:textId="77777777" w:rsidR="002E41FF" w:rsidRPr="00DD47DF" w:rsidRDefault="002E41FF" w:rsidP="00467D73">
            <w:pPr>
              <w:pStyle w:val="Tabulka"/>
              <w:jc w:val="left"/>
              <w:rPr>
                <w:rFonts w:cs="Calibri"/>
              </w:rPr>
            </w:pPr>
            <w:r w:rsidRPr="00DD47DF">
              <w:rPr>
                <w:rFonts w:cs="Calibri"/>
              </w:rPr>
              <w:t>Prioritní osa 2</w:t>
            </w:r>
          </w:p>
        </w:tc>
        <w:tc>
          <w:tcPr>
            <w:tcW w:w="373" w:type="pct"/>
            <w:shd w:val="clear" w:color="auto" w:fill="auto"/>
            <w:vAlign w:val="center"/>
          </w:tcPr>
          <w:p w14:paraId="3B6F7B55"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3EDB5288"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7EF9FF66" w14:textId="77777777" w:rsidR="002E41FF" w:rsidRPr="00DD47DF" w:rsidRDefault="002E41FF" w:rsidP="00467D73">
            <w:pPr>
              <w:pStyle w:val="Tabulka"/>
              <w:rPr>
                <w:rFonts w:cs="Calibri"/>
              </w:rPr>
            </w:pPr>
            <w:r w:rsidRPr="00DD47DF">
              <w:rPr>
                <w:rFonts w:cs="Calibri"/>
              </w:rPr>
              <w:t>Tematický cíl 3</w:t>
            </w:r>
          </w:p>
        </w:tc>
        <w:tc>
          <w:tcPr>
            <w:tcW w:w="597" w:type="pct"/>
            <w:shd w:val="clear" w:color="auto" w:fill="auto"/>
            <w:vAlign w:val="center"/>
          </w:tcPr>
          <w:p w14:paraId="57C7DDA5" w14:textId="328401B4" w:rsidR="002E41FF" w:rsidRPr="00DD47DF" w:rsidRDefault="00687D43" w:rsidP="00165558">
            <w:pPr>
              <w:pStyle w:val="Tabulka"/>
              <w:jc w:val="right"/>
              <w:rPr>
                <w:rFonts w:cs="Calibri"/>
              </w:rPr>
            </w:pPr>
            <w:r w:rsidRPr="00335E73">
              <w:rPr>
                <w:rFonts w:cs="Calibri"/>
              </w:rPr>
              <w:t>1 204 303 244</w:t>
            </w:r>
          </w:p>
        </w:tc>
        <w:tc>
          <w:tcPr>
            <w:tcW w:w="1008" w:type="pct"/>
            <w:shd w:val="clear" w:color="auto" w:fill="auto"/>
            <w:vAlign w:val="center"/>
          </w:tcPr>
          <w:p w14:paraId="298EEADE" w14:textId="70A3E2CD" w:rsidR="002E41FF" w:rsidRPr="00DD47DF" w:rsidRDefault="000A787B" w:rsidP="002E41FF">
            <w:pPr>
              <w:pStyle w:val="Tabulka"/>
              <w:jc w:val="right"/>
              <w:rPr>
                <w:rFonts w:cs="Calibri"/>
              </w:rPr>
            </w:pPr>
            <w:r w:rsidRPr="00DF1041">
              <w:rPr>
                <w:rFonts w:cs="Calibri"/>
              </w:rPr>
              <w:t>802 940 526</w:t>
            </w:r>
          </w:p>
        </w:tc>
        <w:tc>
          <w:tcPr>
            <w:tcW w:w="660" w:type="pct"/>
            <w:shd w:val="clear" w:color="auto" w:fill="auto"/>
            <w:vAlign w:val="center"/>
          </w:tcPr>
          <w:p w14:paraId="6AD51E03" w14:textId="5A40C6AF" w:rsidR="002E41FF" w:rsidRPr="00DD47DF" w:rsidRDefault="000A787B" w:rsidP="002E41FF">
            <w:pPr>
              <w:pStyle w:val="Tabulka"/>
              <w:jc w:val="right"/>
              <w:rPr>
                <w:rFonts w:cs="Calibri"/>
              </w:rPr>
            </w:pPr>
            <w:r w:rsidRPr="00DF1041">
              <w:rPr>
                <w:rFonts w:cs="Calibri"/>
              </w:rPr>
              <w:t>2 007 243 770</w:t>
            </w:r>
          </w:p>
        </w:tc>
      </w:tr>
      <w:tr w:rsidR="002E41FF" w:rsidRPr="00DD47DF" w14:paraId="2752BAF3" w14:textId="77777777" w:rsidTr="002E41FF">
        <w:trPr>
          <w:jc w:val="center"/>
        </w:trPr>
        <w:tc>
          <w:tcPr>
            <w:tcW w:w="579" w:type="pct"/>
            <w:vMerge w:val="restart"/>
            <w:shd w:val="clear" w:color="auto" w:fill="auto"/>
            <w:vAlign w:val="center"/>
          </w:tcPr>
          <w:p w14:paraId="0756B1B5" w14:textId="77777777" w:rsidR="002E41FF" w:rsidRPr="00DD47DF" w:rsidRDefault="002E41FF" w:rsidP="00467D73">
            <w:pPr>
              <w:pStyle w:val="Tabulka"/>
              <w:jc w:val="left"/>
              <w:rPr>
                <w:rFonts w:cs="Calibri"/>
              </w:rPr>
            </w:pPr>
            <w:r w:rsidRPr="00DD47DF">
              <w:rPr>
                <w:rFonts w:cs="Calibri"/>
              </w:rPr>
              <w:t>Prioritní osa 3</w:t>
            </w:r>
          </w:p>
        </w:tc>
        <w:tc>
          <w:tcPr>
            <w:tcW w:w="373" w:type="pct"/>
            <w:vMerge w:val="restart"/>
            <w:shd w:val="clear" w:color="auto" w:fill="auto"/>
            <w:vAlign w:val="center"/>
          </w:tcPr>
          <w:p w14:paraId="23EC0F39" w14:textId="77777777" w:rsidR="002E41FF" w:rsidRPr="00DD47DF" w:rsidRDefault="002E41FF" w:rsidP="00467D73">
            <w:pPr>
              <w:pStyle w:val="Tabulka"/>
              <w:rPr>
                <w:rFonts w:cs="Calibri"/>
              </w:rPr>
            </w:pPr>
            <w:r w:rsidRPr="00DD47DF">
              <w:rPr>
                <w:rFonts w:cs="Calibri"/>
              </w:rPr>
              <w:t>EFRR</w:t>
            </w:r>
          </w:p>
        </w:tc>
        <w:tc>
          <w:tcPr>
            <w:tcW w:w="1060" w:type="pct"/>
            <w:vMerge w:val="restart"/>
            <w:shd w:val="clear" w:color="auto" w:fill="auto"/>
            <w:vAlign w:val="center"/>
          </w:tcPr>
          <w:p w14:paraId="3210C677"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489A8504" w14:textId="77777777" w:rsidR="002E41FF" w:rsidRPr="00DD47DF" w:rsidRDefault="002E41FF" w:rsidP="00467D73">
            <w:pPr>
              <w:pStyle w:val="Tabulka"/>
              <w:rPr>
                <w:rFonts w:cs="Calibri"/>
              </w:rPr>
            </w:pPr>
            <w:r w:rsidRPr="00DD47DF">
              <w:rPr>
                <w:rFonts w:cs="Calibri"/>
              </w:rPr>
              <w:t>Tematický cíl 4</w:t>
            </w:r>
          </w:p>
        </w:tc>
        <w:tc>
          <w:tcPr>
            <w:tcW w:w="597" w:type="pct"/>
            <w:shd w:val="clear" w:color="auto" w:fill="auto"/>
            <w:vAlign w:val="center"/>
          </w:tcPr>
          <w:p w14:paraId="6AEDD6B9" w14:textId="6E3C290F" w:rsidR="002E41FF" w:rsidRPr="00DD47DF" w:rsidRDefault="00673672" w:rsidP="00165558">
            <w:pPr>
              <w:pStyle w:val="Tabulka"/>
              <w:jc w:val="right"/>
              <w:rPr>
                <w:rFonts w:cs="Calibri"/>
              </w:rPr>
            </w:pPr>
            <w:r w:rsidRPr="003F2C5E">
              <w:rPr>
                <w:rFonts w:cs="Calibri"/>
              </w:rPr>
              <w:t>803 030 599</w:t>
            </w:r>
          </w:p>
        </w:tc>
        <w:tc>
          <w:tcPr>
            <w:tcW w:w="1008" w:type="pct"/>
            <w:shd w:val="clear" w:color="auto" w:fill="auto"/>
            <w:vAlign w:val="center"/>
          </w:tcPr>
          <w:p w14:paraId="4153631B" w14:textId="15000B54" w:rsidR="002E41FF" w:rsidRPr="00DD47DF" w:rsidRDefault="00673672" w:rsidP="002E41FF">
            <w:pPr>
              <w:pStyle w:val="Tabulka"/>
              <w:jc w:val="right"/>
              <w:rPr>
                <w:rFonts w:cs="Calibri"/>
              </w:rPr>
            </w:pPr>
            <w:r w:rsidRPr="003F2C5E">
              <w:rPr>
                <w:rFonts w:cs="Calibri"/>
              </w:rPr>
              <w:t>1 178 202 619</w:t>
            </w:r>
          </w:p>
        </w:tc>
        <w:tc>
          <w:tcPr>
            <w:tcW w:w="660" w:type="pct"/>
            <w:shd w:val="clear" w:color="auto" w:fill="auto"/>
            <w:vAlign w:val="center"/>
          </w:tcPr>
          <w:p w14:paraId="370DCBDD" w14:textId="3DBF5821" w:rsidR="002E41FF" w:rsidRPr="00DD47DF" w:rsidRDefault="00673672" w:rsidP="002E41FF">
            <w:pPr>
              <w:pStyle w:val="Tabulka"/>
              <w:jc w:val="right"/>
              <w:rPr>
                <w:rFonts w:cs="Calibri"/>
              </w:rPr>
            </w:pPr>
            <w:r w:rsidRPr="003F2C5E">
              <w:rPr>
                <w:rFonts w:cs="Calibri"/>
              </w:rPr>
              <w:t>1 981 233 218</w:t>
            </w:r>
          </w:p>
        </w:tc>
      </w:tr>
      <w:tr w:rsidR="002E41FF" w:rsidRPr="00DD47DF" w14:paraId="5ED58E9B" w14:textId="77777777">
        <w:trPr>
          <w:jc w:val="center"/>
        </w:trPr>
        <w:tc>
          <w:tcPr>
            <w:tcW w:w="579" w:type="pct"/>
            <w:vMerge/>
            <w:shd w:val="clear" w:color="auto" w:fill="auto"/>
            <w:vAlign w:val="center"/>
          </w:tcPr>
          <w:p w14:paraId="2BDAB1B4" w14:textId="77777777" w:rsidR="002E41FF" w:rsidRPr="00DD47DF" w:rsidRDefault="002E41FF" w:rsidP="00467D73">
            <w:pPr>
              <w:pStyle w:val="Tabulka"/>
              <w:jc w:val="left"/>
              <w:rPr>
                <w:rFonts w:cs="Calibri"/>
              </w:rPr>
            </w:pPr>
          </w:p>
        </w:tc>
        <w:tc>
          <w:tcPr>
            <w:tcW w:w="373" w:type="pct"/>
            <w:vMerge/>
            <w:shd w:val="clear" w:color="auto" w:fill="auto"/>
            <w:vAlign w:val="center"/>
          </w:tcPr>
          <w:p w14:paraId="7FE00D6B" w14:textId="77777777" w:rsidR="002E41FF" w:rsidRPr="00DD47DF" w:rsidRDefault="002E41FF" w:rsidP="004D0CBC">
            <w:pPr>
              <w:pStyle w:val="Tabulka"/>
              <w:rPr>
                <w:rFonts w:cs="Calibri"/>
              </w:rPr>
            </w:pPr>
          </w:p>
        </w:tc>
        <w:tc>
          <w:tcPr>
            <w:tcW w:w="1060" w:type="pct"/>
            <w:vMerge/>
            <w:shd w:val="clear" w:color="auto" w:fill="auto"/>
            <w:vAlign w:val="center"/>
          </w:tcPr>
          <w:p w14:paraId="516FC991" w14:textId="77777777" w:rsidR="002E41FF" w:rsidRPr="00DD47DF" w:rsidRDefault="002E41FF" w:rsidP="004D0CBC">
            <w:pPr>
              <w:pStyle w:val="Tabulka"/>
              <w:rPr>
                <w:rFonts w:cs="Calibri"/>
              </w:rPr>
            </w:pPr>
          </w:p>
        </w:tc>
        <w:tc>
          <w:tcPr>
            <w:tcW w:w="723" w:type="pct"/>
            <w:shd w:val="clear" w:color="auto" w:fill="auto"/>
            <w:vAlign w:val="center"/>
          </w:tcPr>
          <w:p w14:paraId="489497B7" w14:textId="77777777" w:rsidR="002E41FF" w:rsidRPr="00DD47DF" w:rsidRDefault="002E41FF" w:rsidP="004D0CBC">
            <w:pPr>
              <w:pStyle w:val="Tabulka"/>
              <w:rPr>
                <w:rFonts w:cs="Calibri"/>
              </w:rPr>
            </w:pPr>
            <w:r w:rsidRPr="00DD47DF">
              <w:rPr>
                <w:rFonts w:cs="Calibri"/>
              </w:rPr>
              <w:t>Tematický cíl 7</w:t>
            </w:r>
          </w:p>
        </w:tc>
        <w:tc>
          <w:tcPr>
            <w:tcW w:w="597" w:type="pct"/>
            <w:shd w:val="clear" w:color="auto" w:fill="auto"/>
            <w:vAlign w:val="center"/>
          </w:tcPr>
          <w:p w14:paraId="078D31BC" w14:textId="04A7BA69" w:rsidR="002E41FF" w:rsidRPr="00DD47DF" w:rsidRDefault="00705069" w:rsidP="00165558">
            <w:pPr>
              <w:pStyle w:val="Tabulka"/>
              <w:jc w:val="right"/>
              <w:rPr>
                <w:rFonts w:cs="Calibri"/>
              </w:rPr>
            </w:pPr>
            <w:r w:rsidRPr="00700E39">
              <w:rPr>
                <w:rFonts w:cs="Calibri"/>
              </w:rPr>
              <w:t>158 533 699</w:t>
            </w:r>
          </w:p>
        </w:tc>
        <w:tc>
          <w:tcPr>
            <w:tcW w:w="1008" w:type="pct"/>
            <w:shd w:val="clear" w:color="auto" w:fill="auto"/>
            <w:vAlign w:val="center"/>
          </w:tcPr>
          <w:p w14:paraId="4EB99C23" w14:textId="70A4AFD2" w:rsidR="002E41FF" w:rsidRPr="00DD47DF" w:rsidRDefault="00673672" w:rsidP="002E41FF">
            <w:pPr>
              <w:pStyle w:val="Tabulka"/>
              <w:jc w:val="right"/>
              <w:rPr>
                <w:rFonts w:cs="Calibri"/>
              </w:rPr>
            </w:pPr>
            <w:r>
              <w:rPr>
                <w:rFonts w:cs="Calibri"/>
              </w:rPr>
              <w:t>232 599 878</w:t>
            </w:r>
          </w:p>
        </w:tc>
        <w:tc>
          <w:tcPr>
            <w:tcW w:w="660" w:type="pct"/>
            <w:shd w:val="clear" w:color="auto" w:fill="auto"/>
            <w:vAlign w:val="center"/>
          </w:tcPr>
          <w:p w14:paraId="41A7D650" w14:textId="78F9F037" w:rsidR="002E41FF" w:rsidRPr="00DD47DF" w:rsidRDefault="00673672" w:rsidP="002E41FF">
            <w:pPr>
              <w:pStyle w:val="Tabulka"/>
              <w:jc w:val="right"/>
              <w:rPr>
                <w:rFonts w:cs="Calibri"/>
              </w:rPr>
            </w:pPr>
            <w:r>
              <w:rPr>
                <w:rFonts w:cs="Calibri"/>
              </w:rPr>
              <w:t>391 133 577</w:t>
            </w:r>
          </w:p>
        </w:tc>
      </w:tr>
      <w:tr w:rsidR="002E41FF" w:rsidRPr="00DD47DF" w14:paraId="06D3EAB0" w14:textId="77777777">
        <w:trPr>
          <w:jc w:val="center"/>
        </w:trPr>
        <w:tc>
          <w:tcPr>
            <w:tcW w:w="579" w:type="pct"/>
            <w:shd w:val="clear" w:color="auto" w:fill="auto"/>
            <w:vAlign w:val="center"/>
          </w:tcPr>
          <w:p w14:paraId="41CCBE74" w14:textId="77777777" w:rsidR="002E41FF" w:rsidRPr="00DD47DF" w:rsidRDefault="002E41FF" w:rsidP="00030CAB">
            <w:pPr>
              <w:pStyle w:val="Tabulka"/>
              <w:jc w:val="left"/>
              <w:rPr>
                <w:rFonts w:cs="Calibri"/>
              </w:rPr>
            </w:pPr>
            <w:r w:rsidRPr="00DD47DF">
              <w:rPr>
                <w:rFonts w:cs="Calibri"/>
              </w:rPr>
              <w:t>Prioritní osa 4</w:t>
            </w:r>
          </w:p>
        </w:tc>
        <w:tc>
          <w:tcPr>
            <w:tcW w:w="373" w:type="pct"/>
            <w:shd w:val="clear" w:color="auto" w:fill="auto"/>
            <w:vAlign w:val="center"/>
          </w:tcPr>
          <w:p w14:paraId="66B3426D" w14:textId="77777777" w:rsidR="002E41FF" w:rsidRPr="00DD47DF" w:rsidRDefault="002E41FF" w:rsidP="00030CAB">
            <w:pPr>
              <w:pStyle w:val="Tabulka"/>
              <w:rPr>
                <w:rFonts w:cs="Calibri"/>
              </w:rPr>
            </w:pPr>
            <w:r w:rsidRPr="00DD47DF">
              <w:rPr>
                <w:rFonts w:cs="Calibri"/>
              </w:rPr>
              <w:t>EFRR</w:t>
            </w:r>
          </w:p>
        </w:tc>
        <w:tc>
          <w:tcPr>
            <w:tcW w:w="1060" w:type="pct"/>
            <w:shd w:val="clear" w:color="auto" w:fill="auto"/>
            <w:vAlign w:val="center"/>
          </w:tcPr>
          <w:p w14:paraId="06084B15" w14:textId="77777777" w:rsidR="002E41FF" w:rsidRPr="00DD47DF" w:rsidRDefault="002E41FF" w:rsidP="00030CAB">
            <w:pPr>
              <w:pStyle w:val="Tabulka"/>
              <w:rPr>
                <w:rFonts w:cs="Calibri"/>
              </w:rPr>
            </w:pPr>
            <w:r w:rsidRPr="00DD47DF">
              <w:rPr>
                <w:rFonts w:cs="Calibri"/>
              </w:rPr>
              <w:t>Méně rozvinuté regiony</w:t>
            </w:r>
          </w:p>
        </w:tc>
        <w:tc>
          <w:tcPr>
            <w:tcW w:w="723" w:type="pct"/>
            <w:shd w:val="clear" w:color="auto" w:fill="auto"/>
            <w:vAlign w:val="center"/>
          </w:tcPr>
          <w:p w14:paraId="0735254C" w14:textId="77777777" w:rsidR="002E41FF" w:rsidRPr="00DD47DF" w:rsidRDefault="002E41FF" w:rsidP="00030CAB">
            <w:pPr>
              <w:pStyle w:val="Tabulka"/>
              <w:rPr>
                <w:rFonts w:cs="Calibri"/>
              </w:rPr>
            </w:pPr>
            <w:r w:rsidRPr="00DD47DF">
              <w:rPr>
                <w:rFonts w:cs="Calibri"/>
              </w:rPr>
              <w:t>Tematický cíl 2</w:t>
            </w:r>
          </w:p>
        </w:tc>
        <w:tc>
          <w:tcPr>
            <w:tcW w:w="597" w:type="pct"/>
            <w:shd w:val="clear" w:color="auto" w:fill="auto"/>
            <w:vAlign w:val="center"/>
          </w:tcPr>
          <w:p w14:paraId="1CE47EB9" w14:textId="4134C128" w:rsidR="002E41FF" w:rsidRPr="00DD47DF" w:rsidRDefault="00687D43" w:rsidP="00165558">
            <w:pPr>
              <w:pStyle w:val="Tabulka"/>
              <w:jc w:val="right"/>
              <w:rPr>
                <w:rFonts w:cs="Calibri"/>
              </w:rPr>
            </w:pPr>
            <w:r w:rsidRPr="00335E73">
              <w:rPr>
                <w:rFonts w:cs="Calibri"/>
              </w:rPr>
              <w:t>303 419 652</w:t>
            </w:r>
          </w:p>
        </w:tc>
        <w:tc>
          <w:tcPr>
            <w:tcW w:w="1008" w:type="pct"/>
            <w:shd w:val="clear" w:color="auto" w:fill="auto"/>
            <w:vAlign w:val="center"/>
          </w:tcPr>
          <w:p w14:paraId="04DE35D5" w14:textId="1FE2E93C" w:rsidR="002E41FF" w:rsidRPr="00DD47DF" w:rsidRDefault="00687D43" w:rsidP="002E41FF">
            <w:pPr>
              <w:pStyle w:val="Tabulka"/>
              <w:jc w:val="right"/>
              <w:rPr>
                <w:rFonts w:cs="Calibri"/>
              </w:rPr>
            </w:pPr>
            <w:r w:rsidRPr="00335E73">
              <w:rPr>
                <w:rFonts w:cs="Calibri"/>
              </w:rPr>
              <w:t>229 485 029</w:t>
            </w:r>
          </w:p>
        </w:tc>
        <w:tc>
          <w:tcPr>
            <w:tcW w:w="660" w:type="pct"/>
            <w:shd w:val="clear" w:color="auto" w:fill="auto"/>
            <w:vAlign w:val="center"/>
          </w:tcPr>
          <w:p w14:paraId="5BC3EFD0" w14:textId="5F1A6422" w:rsidR="002E41FF" w:rsidRPr="00DD47DF" w:rsidRDefault="00687D43" w:rsidP="002E41FF">
            <w:pPr>
              <w:pStyle w:val="Tabulka"/>
              <w:jc w:val="right"/>
              <w:rPr>
                <w:rFonts w:cs="Calibri"/>
              </w:rPr>
            </w:pPr>
            <w:r w:rsidRPr="00335E73">
              <w:rPr>
                <w:rFonts w:cs="Calibri"/>
              </w:rPr>
              <w:t>532 904 681</w:t>
            </w:r>
          </w:p>
        </w:tc>
      </w:tr>
      <w:tr w:rsidR="002E41FF" w:rsidRPr="00DD47DF" w14:paraId="6536D755" w14:textId="77777777">
        <w:trPr>
          <w:jc w:val="center"/>
        </w:trPr>
        <w:tc>
          <w:tcPr>
            <w:tcW w:w="579" w:type="pct"/>
            <w:shd w:val="clear" w:color="auto" w:fill="auto"/>
            <w:vAlign w:val="center"/>
          </w:tcPr>
          <w:p w14:paraId="0ADF198A" w14:textId="77777777" w:rsidR="002E41FF" w:rsidRPr="00DD47DF" w:rsidRDefault="002E41FF" w:rsidP="00467D73">
            <w:pPr>
              <w:pStyle w:val="Tabulka"/>
              <w:jc w:val="left"/>
              <w:rPr>
                <w:rFonts w:cs="Calibri"/>
              </w:rPr>
            </w:pPr>
            <w:r w:rsidRPr="00DD47DF">
              <w:rPr>
                <w:rFonts w:cs="Calibri"/>
              </w:rPr>
              <w:t>Prioritní osa 5</w:t>
            </w:r>
          </w:p>
        </w:tc>
        <w:tc>
          <w:tcPr>
            <w:tcW w:w="373" w:type="pct"/>
            <w:shd w:val="clear" w:color="auto" w:fill="auto"/>
            <w:vAlign w:val="center"/>
          </w:tcPr>
          <w:p w14:paraId="2BE36E11" w14:textId="77777777" w:rsidR="002E41FF" w:rsidRPr="00DD47DF" w:rsidRDefault="002E41FF" w:rsidP="00467D73">
            <w:pPr>
              <w:pStyle w:val="Tabulka"/>
              <w:rPr>
                <w:rFonts w:cs="Calibri"/>
              </w:rPr>
            </w:pPr>
            <w:r w:rsidRPr="00DD47DF">
              <w:rPr>
                <w:rFonts w:cs="Calibri"/>
              </w:rPr>
              <w:t>EFRR</w:t>
            </w:r>
          </w:p>
        </w:tc>
        <w:tc>
          <w:tcPr>
            <w:tcW w:w="1060" w:type="pct"/>
            <w:shd w:val="clear" w:color="auto" w:fill="auto"/>
            <w:vAlign w:val="center"/>
          </w:tcPr>
          <w:p w14:paraId="4F025F16"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auto"/>
            <w:vAlign w:val="center"/>
          </w:tcPr>
          <w:p w14:paraId="2906B1D3" w14:textId="77777777" w:rsidR="002E41FF" w:rsidRPr="00DD47DF" w:rsidRDefault="002E41FF" w:rsidP="00467D73">
            <w:pPr>
              <w:pStyle w:val="Tabulka"/>
              <w:rPr>
                <w:rFonts w:cs="Calibri"/>
              </w:rPr>
            </w:pPr>
          </w:p>
        </w:tc>
        <w:tc>
          <w:tcPr>
            <w:tcW w:w="597" w:type="pct"/>
            <w:shd w:val="clear" w:color="auto" w:fill="auto"/>
            <w:vAlign w:val="center"/>
          </w:tcPr>
          <w:p w14:paraId="00E0B589" w14:textId="77777777" w:rsidR="002E41FF" w:rsidRPr="00DD47DF" w:rsidRDefault="00F0670B" w:rsidP="00165558">
            <w:pPr>
              <w:pStyle w:val="Tabulka"/>
              <w:jc w:val="right"/>
              <w:rPr>
                <w:rFonts w:cs="Calibri"/>
              </w:rPr>
            </w:pPr>
            <w:r w:rsidRPr="00DD47DF">
              <w:rPr>
                <w:rFonts w:cs="Calibri"/>
              </w:rPr>
              <w:t>125 600 816</w:t>
            </w:r>
          </w:p>
        </w:tc>
        <w:tc>
          <w:tcPr>
            <w:tcW w:w="1008" w:type="pct"/>
            <w:shd w:val="clear" w:color="auto" w:fill="auto"/>
            <w:vAlign w:val="center"/>
          </w:tcPr>
          <w:p w14:paraId="47A0FFFE" w14:textId="77777777" w:rsidR="002E41FF" w:rsidRPr="00DD47DF" w:rsidRDefault="00F0670B" w:rsidP="002E41FF">
            <w:pPr>
              <w:pStyle w:val="Tabulka"/>
              <w:jc w:val="right"/>
              <w:rPr>
                <w:rFonts w:cs="Calibri"/>
              </w:rPr>
            </w:pPr>
            <w:r w:rsidRPr="00DD47DF">
              <w:rPr>
                <w:rFonts w:cs="Calibri"/>
              </w:rPr>
              <w:t>22 164 850</w:t>
            </w:r>
          </w:p>
        </w:tc>
        <w:tc>
          <w:tcPr>
            <w:tcW w:w="660" w:type="pct"/>
            <w:shd w:val="clear" w:color="auto" w:fill="auto"/>
            <w:vAlign w:val="center"/>
          </w:tcPr>
          <w:p w14:paraId="06898819" w14:textId="77777777" w:rsidR="002E41FF" w:rsidRPr="00DD47DF" w:rsidRDefault="00F0670B" w:rsidP="002E41FF">
            <w:pPr>
              <w:pStyle w:val="Tabulka"/>
              <w:jc w:val="right"/>
              <w:rPr>
                <w:rFonts w:cs="Calibri"/>
              </w:rPr>
            </w:pPr>
            <w:r w:rsidRPr="00DD47DF">
              <w:rPr>
                <w:rFonts w:cs="Calibri"/>
              </w:rPr>
              <w:t>147 765 666</w:t>
            </w:r>
          </w:p>
        </w:tc>
      </w:tr>
      <w:tr w:rsidR="002E41FF" w:rsidRPr="00DD47DF" w14:paraId="130F4721" w14:textId="77777777" w:rsidTr="002E41FF">
        <w:trPr>
          <w:jc w:val="center"/>
        </w:trPr>
        <w:tc>
          <w:tcPr>
            <w:tcW w:w="579" w:type="pct"/>
            <w:shd w:val="clear" w:color="auto" w:fill="DBE5F1"/>
            <w:vAlign w:val="center"/>
          </w:tcPr>
          <w:p w14:paraId="03EFD730" w14:textId="77777777" w:rsidR="002E41FF" w:rsidRPr="00DD47DF" w:rsidRDefault="002E41FF" w:rsidP="00467D73">
            <w:pPr>
              <w:pStyle w:val="Tabulka"/>
              <w:jc w:val="left"/>
              <w:rPr>
                <w:rFonts w:cs="Calibri"/>
              </w:rPr>
            </w:pPr>
            <w:r w:rsidRPr="00DD47DF">
              <w:rPr>
                <w:rFonts w:cs="Calibri"/>
              </w:rPr>
              <w:t>Celkem</w:t>
            </w:r>
          </w:p>
        </w:tc>
        <w:tc>
          <w:tcPr>
            <w:tcW w:w="373" w:type="pct"/>
            <w:shd w:val="clear" w:color="auto" w:fill="DBE5F1"/>
            <w:vAlign w:val="center"/>
          </w:tcPr>
          <w:p w14:paraId="231EF0DB" w14:textId="77777777" w:rsidR="002E41FF" w:rsidRPr="00DD47DF" w:rsidRDefault="002E41FF" w:rsidP="00467D73">
            <w:pPr>
              <w:pStyle w:val="Tabulka"/>
              <w:rPr>
                <w:rFonts w:cs="Calibri"/>
              </w:rPr>
            </w:pPr>
            <w:r w:rsidRPr="00DD47DF">
              <w:rPr>
                <w:rFonts w:cs="Calibri"/>
              </w:rPr>
              <w:t>EFRR</w:t>
            </w:r>
          </w:p>
        </w:tc>
        <w:tc>
          <w:tcPr>
            <w:tcW w:w="1060" w:type="pct"/>
            <w:shd w:val="clear" w:color="auto" w:fill="DBE5F1"/>
            <w:vAlign w:val="center"/>
          </w:tcPr>
          <w:p w14:paraId="750ABFAC" w14:textId="77777777" w:rsidR="002E41FF" w:rsidRPr="00DD47DF" w:rsidRDefault="002E41FF" w:rsidP="00467D73">
            <w:pPr>
              <w:pStyle w:val="Tabulka"/>
              <w:rPr>
                <w:rFonts w:cs="Calibri"/>
              </w:rPr>
            </w:pPr>
            <w:r w:rsidRPr="00DD47DF">
              <w:rPr>
                <w:rFonts w:cs="Calibri"/>
              </w:rPr>
              <w:t>Méně rozvinuté regiony</w:t>
            </w:r>
          </w:p>
        </w:tc>
        <w:tc>
          <w:tcPr>
            <w:tcW w:w="723" w:type="pct"/>
            <w:shd w:val="clear" w:color="auto" w:fill="DBE5F1"/>
            <w:vAlign w:val="center"/>
          </w:tcPr>
          <w:p w14:paraId="38681994" w14:textId="77777777" w:rsidR="002E41FF" w:rsidRPr="00DD47DF" w:rsidRDefault="002E41FF" w:rsidP="00467D73">
            <w:pPr>
              <w:pStyle w:val="Tabulka"/>
              <w:rPr>
                <w:rFonts w:cs="Calibri"/>
              </w:rPr>
            </w:pPr>
          </w:p>
        </w:tc>
        <w:tc>
          <w:tcPr>
            <w:tcW w:w="597" w:type="pct"/>
            <w:shd w:val="clear" w:color="auto" w:fill="DBE5F1"/>
            <w:vAlign w:val="center"/>
          </w:tcPr>
          <w:p w14:paraId="0CAA126B" w14:textId="02B7E259" w:rsidR="002E41FF" w:rsidRPr="00DD47DF" w:rsidRDefault="00673672" w:rsidP="00165558">
            <w:pPr>
              <w:pStyle w:val="Tabulka"/>
              <w:jc w:val="right"/>
              <w:rPr>
                <w:rFonts w:cs="Calibri"/>
              </w:rPr>
            </w:pPr>
            <w:r w:rsidRPr="00A54D67">
              <w:rPr>
                <w:rFonts w:cs="Calibri"/>
              </w:rPr>
              <w:t>3 850 109 773</w:t>
            </w:r>
          </w:p>
        </w:tc>
        <w:tc>
          <w:tcPr>
            <w:tcW w:w="1008" w:type="pct"/>
            <w:shd w:val="clear" w:color="auto" w:fill="DBE5F1"/>
            <w:vAlign w:val="bottom"/>
          </w:tcPr>
          <w:p w14:paraId="73914991" w14:textId="02131D4A" w:rsidR="002E41FF" w:rsidRPr="00DD47DF" w:rsidRDefault="000A787B" w:rsidP="002E41FF">
            <w:pPr>
              <w:pStyle w:val="Tabulka"/>
              <w:jc w:val="right"/>
              <w:rPr>
                <w:rFonts w:cs="Calibri"/>
              </w:rPr>
            </w:pPr>
            <w:r w:rsidRPr="00DF1041">
              <w:rPr>
                <w:rFonts w:cs="Calibri"/>
              </w:rPr>
              <w:t>3 827 073 937</w:t>
            </w:r>
          </w:p>
        </w:tc>
        <w:tc>
          <w:tcPr>
            <w:tcW w:w="660" w:type="pct"/>
            <w:shd w:val="clear" w:color="auto" w:fill="DBE5F1"/>
            <w:vAlign w:val="bottom"/>
          </w:tcPr>
          <w:p w14:paraId="27C03072" w14:textId="32576112" w:rsidR="002E41FF" w:rsidRPr="00DD47DF" w:rsidRDefault="000A787B" w:rsidP="002E41FF">
            <w:pPr>
              <w:pStyle w:val="Tabulka"/>
              <w:jc w:val="right"/>
              <w:rPr>
                <w:rFonts w:cs="Calibri"/>
              </w:rPr>
            </w:pPr>
            <w:r w:rsidRPr="00DF1041">
              <w:rPr>
                <w:rFonts w:cs="Calibri"/>
              </w:rPr>
              <w:t>7 677 183 710</w:t>
            </w:r>
          </w:p>
        </w:tc>
      </w:tr>
    </w:tbl>
    <w:p w14:paraId="4C287BED" w14:textId="77777777" w:rsidR="00821D0D" w:rsidRPr="00DD47DF" w:rsidRDefault="0071595D" w:rsidP="004E6DD3">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19</w:t>
      </w:r>
      <w:r w:rsidR="002756E7" w:rsidRPr="00DD47DF">
        <w:rPr>
          <w:noProof/>
        </w:rPr>
        <w:fldChar w:fldCharType="end"/>
      </w:r>
      <w:r w:rsidRPr="00DD47DF">
        <w:t xml:space="preserve">: </w:t>
      </w:r>
      <w:r w:rsidR="00833413" w:rsidRPr="00DD47DF">
        <w:t>Orientační částka podpory, jež má být použita na cíle v oblasti změny klimatu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7"/>
        <w:gridCol w:w="8506"/>
        <w:gridCol w:w="4135"/>
      </w:tblGrid>
      <w:tr w:rsidR="0071595D" w:rsidRPr="00DD47DF" w14:paraId="7B18B84E" w14:textId="77777777">
        <w:tc>
          <w:tcPr>
            <w:tcW w:w="567" w:type="pct"/>
            <w:shd w:val="clear" w:color="auto" w:fill="B8CCE4"/>
            <w:vAlign w:val="center"/>
          </w:tcPr>
          <w:p w14:paraId="4827231E" w14:textId="77777777" w:rsidR="0071595D" w:rsidRPr="00DD47DF" w:rsidRDefault="0071595D" w:rsidP="004E6DD3">
            <w:pPr>
              <w:pStyle w:val="Tabulka"/>
              <w:keepNext/>
              <w:keepLines/>
              <w:rPr>
                <w:rFonts w:cs="Calibri"/>
                <w:b/>
              </w:rPr>
            </w:pPr>
            <w:r w:rsidRPr="00DD47DF">
              <w:rPr>
                <w:rFonts w:cs="Calibri"/>
                <w:b/>
              </w:rPr>
              <w:t>Prioritní osa</w:t>
            </w:r>
          </w:p>
        </w:tc>
        <w:tc>
          <w:tcPr>
            <w:tcW w:w="2983" w:type="pct"/>
            <w:shd w:val="clear" w:color="auto" w:fill="B8CCE4"/>
            <w:vAlign w:val="center"/>
          </w:tcPr>
          <w:p w14:paraId="207AFE95" w14:textId="77777777" w:rsidR="0071595D" w:rsidRPr="00DD47DF" w:rsidRDefault="00833413" w:rsidP="004E6DD3">
            <w:pPr>
              <w:pStyle w:val="Tabulka"/>
              <w:keepNext/>
              <w:keepLines/>
              <w:rPr>
                <w:rFonts w:cs="Calibri"/>
                <w:b/>
              </w:rPr>
            </w:pPr>
            <w:r w:rsidRPr="00DD47DF">
              <w:rPr>
                <w:rFonts w:cs="Calibri"/>
                <w:b/>
              </w:rPr>
              <w:t>Orientační částka podpory, jež má být použita na cíle v oblasti změny klimatu (v EUR)</w:t>
            </w:r>
          </w:p>
        </w:tc>
        <w:tc>
          <w:tcPr>
            <w:tcW w:w="1450" w:type="pct"/>
            <w:shd w:val="clear" w:color="auto" w:fill="B8CCE4"/>
            <w:vAlign w:val="center"/>
          </w:tcPr>
          <w:p w14:paraId="298554F3" w14:textId="77777777" w:rsidR="0071595D" w:rsidRPr="00DD47DF" w:rsidRDefault="00833413" w:rsidP="004E6DD3">
            <w:pPr>
              <w:pStyle w:val="Tabulka"/>
              <w:keepNext/>
              <w:keepLines/>
              <w:rPr>
                <w:rFonts w:cs="Calibri"/>
                <w:b/>
              </w:rPr>
            </w:pPr>
            <w:r w:rsidRPr="00DD47DF">
              <w:rPr>
                <w:rFonts w:cs="Calibri"/>
                <w:b/>
              </w:rPr>
              <w:t>Podíl celkového přídělu pro operační program (v %)</w:t>
            </w:r>
          </w:p>
        </w:tc>
      </w:tr>
      <w:tr w:rsidR="0071595D" w:rsidRPr="00DD47DF" w14:paraId="728B8817" w14:textId="77777777">
        <w:tc>
          <w:tcPr>
            <w:tcW w:w="567" w:type="pct"/>
            <w:shd w:val="clear" w:color="auto" w:fill="auto"/>
            <w:vAlign w:val="center"/>
          </w:tcPr>
          <w:p w14:paraId="7E6373DB" w14:textId="77777777" w:rsidR="0071595D" w:rsidRPr="00DD47DF" w:rsidRDefault="00DA6FAB" w:rsidP="004E6DD3">
            <w:pPr>
              <w:pStyle w:val="Tabulka"/>
              <w:keepNext/>
              <w:keepLines/>
              <w:jc w:val="left"/>
              <w:rPr>
                <w:rFonts w:cs="Calibri"/>
              </w:rPr>
            </w:pPr>
            <w:r w:rsidRPr="00DD47DF">
              <w:rPr>
                <w:rFonts w:cs="Calibri"/>
              </w:rPr>
              <w:t>Prioritní osa 1</w:t>
            </w:r>
          </w:p>
        </w:tc>
        <w:tc>
          <w:tcPr>
            <w:tcW w:w="2983" w:type="pct"/>
            <w:shd w:val="clear" w:color="auto" w:fill="auto"/>
            <w:vAlign w:val="center"/>
          </w:tcPr>
          <w:p w14:paraId="48608B93" w14:textId="66303ACB" w:rsidR="0071595D" w:rsidRPr="00DD47DF" w:rsidRDefault="0072215B" w:rsidP="00DF6C15">
            <w:pPr>
              <w:pStyle w:val="Tabulka"/>
              <w:keepNext/>
              <w:keepLines/>
              <w:jc w:val="right"/>
              <w:rPr>
                <w:rFonts w:cs="Calibri"/>
              </w:rPr>
            </w:pPr>
            <w:r w:rsidRPr="0072215B">
              <w:rPr>
                <w:rFonts w:cs="Calibri"/>
              </w:rPr>
              <w:t>120 472 840</w:t>
            </w:r>
          </w:p>
        </w:tc>
        <w:tc>
          <w:tcPr>
            <w:tcW w:w="1450" w:type="pct"/>
            <w:shd w:val="clear" w:color="auto" w:fill="auto"/>
            <w:vAlign w:val="center"/>
          </w:tcPr>
          <w:p w14:paraId="3AD75959" w14:textId="0749934F" w:rsidR="0071595D" w:rsidRPr="00DD47DF" w:rsidRDefault="0072215B" w:rsidP="007E7AC8">
            <w:pPr>
              <w:pStyle w:val="Tabulka"/>
              <w:keepNext/>
              <w:keepLines/>
              <w:jc w:val="right"/>
              <w:rPr>
                <w:rFonts w:cs="Calibri"/>
              </w:rPr>
            </w:pPr>
            <w:r w:rsidRPr="0072215B">
              <w:rPr>
                <w:rFonts w:cs="Calibri"/>
              </w:rPr>
              <w:t>3,13</w:t>
            </w:r>
          </w:p>
        </w:tc>
      </w:tr>
      <w:tr w:rsidR="00F34500" w:rsidRPr="00DD47DF" w14:paraId="131AD4C6" w14:textId="77777777">
        <w:tc>
          <w:tcPr>
            <w:tcW w:w="567" w:type="pct"/>
            <w:shd w:val="clear" w:color="auto" w:fill="auto"/>
            <w:vAlign w:val="center"/>
          </w:tcPr>
          <w:p w14:paraId="6DF0D59C" w14:textId="77777777" w:rsidR="00F34500" w:rsidRPr="00DD47DF" w:rsidRDefault="00DA6FAB" w:rsidP="00F34500">
            <w:pPr>
              <w:pStyle w:val="Tabulka"/>
              <w:jc w:val="left"/>
              <w:rPr>
                <w:rFonts w:cs="Calibri"/>
              </w:rPr>
            </w:pPr>
            <w:r w:rsidRPr="00DD47DF">
              <w:rPr>
                <w:rFonts w:cs="Calibri"/>
              </w:rPr>
              <w:t>Prioritní osa 3</w:t>
            </w:r>
          </w:p>
        </w:tc>
        <w:tc>
          <w:tcPr>
            <w:tcW w:w="2983" w:type="pct"/>
            <w:shd w:val="clear" w:color="auto" w:fill="auto"/>
            <w:vAlign w:val="center"/>
          </w:tcPr>
          <w:p w14:paraId="4B3FBA3B" w14:textId="2CA4EDCE" w:rsidR="00F34500" w:rsidRPr="00DD47DF" w:rsidRDefault="0072215B" w:rsidP="00165558">
            <w:pPr>
              <w:pStyle w:val="Tabulka"/>
              <w:jc w:val="right"/>
              <w:rPr>
                <w:rFonts w:cs="Calibri"/>
              </w:rPr>
            </w:pPr>
            <w:r w:rsidRPr="0072215B">
              <w:rPr>
                <w:rFonts w:cs="Calibri"/>
              </w:rPr>
              <w:t>770 258 752</w:t>
            </w:r>
          </w:p>
        </w:tc>
        <w:tc>
          <w:tcPr>
            <w:tcW w:w="1450" w:type="pct"/>
            <w:shd w:val="clear" w:color="auto" w:fill="auto"/>
            <w:vAlign w:val="center"/>
          </w:tcPr>
          <w:p w14:paraId="66D84D50" w14:textId="4E43C2D7" w:rsidR="00F34500" w:rsidRPr="00DD47DF" w:rsidRDefault="0072215B" w:rsidP="00580034">
            <w:pPr>
              <w:pStyle w:val="Tabulka"/>
              <w:jc w:val="right"/>
              <w:rPr>
                <w:rFonts w:cs="Calibri"/>
              </w:rPr>
            </w:pPr>
            <w:r w:rsidRPr="0072215B">
              <w:rPr>
                <w:rFonts w:cs="Calibri"/>
              </w:rPr>
              <w:t>20,01</w:t>
            </w:r>
          </w:p>
        </w:tc>
      </w:tr>
      <w:tr w:rsidR="0071595D" w:rsidRPr="00DD47DF" w14:paraId="4A14AA46" w14:textId="77777777">
        <w:tc>
          <w:tcPr>
            <w:tcW w:w="567" w:type="pct"/>
            <w:shd w:val="clear" w:color="auto" w:fill="DBE5F1"/>
            <w:vAlign w:val="center"/>
          </w:tcPr>
          <w:p w14:paraId="07617A30" w14:textId="77777777" w:rsidR="0071595D" w:rsidRPr="00DD47DF" w:rsidRDefault="0071595D" w:rsidP="00F34500">
            <w:pPr>
              <w:pStyle w:val="Tabulka"/>
              <w:jc w:val="left"/>
              <w:rPr>
                <w:rFonts w:cs="Calibri"/>
              </w:rPr>
            </w:pPr>
            <w:r w:rsidRPr="00DD47DF">
              <w:rPr>
                <w:rFonts w:cs="Calibri"/>
              </w:rPr>
              <w:t>Celkem</w:t>
            </w:r>
          </w:p>
        </w:tc>
        <w:tc>
          <w:tcPr>
            <w:tcW w:w="2983" w:type="pct"/>
            <w:shd w:val="clear" w:color="auto" w:fill="DBE5F1"/>
            <w:vAlign w:val="center"/>
          </w:tcPr>
          <w:p w14:paraId="41993723" w14:textId="18968521" w:rsidR="0071595D" w:rsidRPr="00DD47DF" w:rsidRDefault="0072215B" w:rsidP="00C85C42">
            <w:pPr>
              <w:pStyle w:val="Tabulka"/>
              <w:jc w:val="right"/>
              <w:rPr>
                <w:rFonts w:cs="Calibri"/>
              </w:rPr>
            </w:pPr>
            <w:r>
              <w:rPr>
                <w:rFonts w:cs="Calibri"/>
              </w:rPr>
              <w:t>890 731 592</w:t>
            </w:r>
          </w:p>
        </w:tc>
        <w:tc>
          <w:tcPr>
            <w:tcW w:w="1450" w:type="pct"/>
            <w:shd w:val="clear" w:color="auto" w:fill="DBE5F1"/>
            <w:vAlign w:val="center"/>
          </w:tcPr>
          <w:p w14:paraId="2DE5204B" w14:textId="617E005A" w:rsidR="0071595D" w:rsidRPr="00DD47DF" w:rsidRDefault="0072215B" w:rsidP="008762AF">
            <w:pPr>
              <w:pStyle w:val="Tabulka"/>
              <w:jc w:val="right"/>
              <w:rPr>
                <w:rFonts w:cs="Calibri"/>
              </w:rPr>
            </w:pPr>
            <w:r>
              <w:rPr>
                <w:rFonts w:cs="Calibri"/>
              </w:rPr>
              <w:t>23,14</w:t>
            </w:r>
          </w:p>
        </w:tc>
      </w:tr>
    </w:tbl>
    <w:p w14:paraId="15D50EC8" w14:textId="77777777" w:rsidR="0071595D" w:rsidRPr="00DD47DF" w:rsidRDefault="0071595D" w:rsidP="0071595D">
      <w:pPr>
        <w:spacing w:after="200" w:line="276" w:lineRule="auto"/>
        <w:rPr>
          <w:rFonts w:ascii="Calibri" w:hAnsi="Calibri" w:cs="Calibri"/>
          <w:sz w:val="24"/>
          <w:szCs w:val="24"/>
        </w:rPr>
      </w:pPr>
    </w:p>
    <w:p w14:paraId="29A4CFD8" w14:textId="77777777" w:rsidR="00157951" w:rsidRPr="00DD47DF" w:rsidRDefault="00157951" w:rsidP="0071595D">
      <w:pPr>
        <w:spacing w:after="200" w:line="276" w:lineRule="auto"/>
        <w:rPr>
          <w:rFonts w:ascii="Calibri" w:hAnsi="Calibri" w:cs="Calibri"/>
          <w:sz w:val="24"/>
          <w:szCs w:val="24"/>
        </w:rPr>
        <w:sectPr w:rsidR="00157951" w:rsidRPr="00DD47DF" w:rsidSect="00157951">
          <w:headerReference w:type="default" r:id="rId48"/>
          <w:footerReference w:type="default" r:id="rId49"/>
          <w:headerReference w:type="first" r:id="rId50"/>
          <w:footerReference w:type="first" r:id="rId51"/>
          <w:pgSz w:w="16838" w:h="11906" w:orient="landscape"/>
          <w:pgMar w:top="1418" w:right="1418" w:bottom="1276" w:left="1276" w:header="709" w:footer="709" w:gutter="0"/>
          <w:cols w:space="708"/>
          <w:titlePg/>
          <w:docGrid w:linePitch="272"/>
        </w:sectPr>
      </w:pPr>
    </w:p>
    <w:p w14:paraId="32C66C5C" w14:textId="77777777" w:rsidR="009E6172" w:rsidRPr="00DD47DF" w:rsidRDefault="00833413" w:rsidP="00833413">
      <w:pPr>
        <w:pStyle w:val="Nadpis1"/>
      </w:pPr>
      <w:bookmarkStart w:id="116" w:name="_Toc351464424"/>
      <w:bookmarkStart w:id="117" w:name="_Toc129005445"/>
      <w:r w:rsidRPr="00DD47DF">
        <w:lastRenderedPageBreak/>
        <w:t>Integrovaný přístup k územnímu rozvoji</w:t>
      </w:r>
      <w:bookmarkEnd w:id="116"/>
      <w:bookmarkEnd w:id="117"/>
    </w:p>
    <w:p w14:paraId="0137C591" w14:textId="77777777" w:rsidR="00B512F1" w:rsidRPr="00DD47DF" w:rsidRDefault="00B512F1" w:rsidP="00B512F1">
      <w:pPr>
        <w:pStyle w:val="Standardntext"/>
      </w:pPr>
      <w:r w:rsidRPr="00DD47DF">
        <w:t xml:space="preserve">Východiskem pro zaměření územní dimenze a integrovaných přístupů v </w:t>
      </w:r>
      <w:r w:rsidR="00BD7D9C" w:rsidRPr="00DD47DF">
        <w:t xml:space="preserve">operačním </w:t>
      </w:r>
      <w:r w:rsidRPr="00DD47DF">
        <w:t xml:space="preserve">programu je </w:t>
      </w:r>
      <w:r w:rsidR="00AB4CD8" w:rsidRPr="00DD47DF">
        <w:t xml:space="preserve">vedle Dohody o partnerství </w:t>
      </w:r>
      <w:r w:rsidR="00BD7D9C" w:rsidRPr="00DD47DF">
        <w:t xml:space="preserve">ČR </w:t>
      </w:r>
      <w:r w:rsidRPr="00DD47DF">
        <w:rPr>
          <w:b/>
        </w:rPr>
        <w:t xml:space="preserve">Národní dokument k územní dimenzi </w:t>
      </w:r>
      <w:r w:rsidRPr="00DD47DF">
        <w:t>(dále také „NDÚD“)</w:t>
      </w:r>
      <w:r w:rsidR="00146E3D" w:rsidRPr="00DD47DF">
        <w:t>, který byl schválen usnesením vlády ČR ze dne 27. srpna 2014 č. 681</w:t>
      </w:r>
      <w:r w:rsidRPr="00DD47DF">
        <w:t>. Tento strategický dokument rozčleňuje území Č</w:t>
      </w:r>
      <w:r w:rsidR="00BD7D9C" w:rsidRPr="00DD47DF">
        <w:t xml:space="preserve">eské republiky </w:t>
      </w:r>
      <w:r w:rsidRPr="00DD47DF">
        <w:t>do několika kategorií, přičemž pro OP PIK jsou relevantní následující tři typy území či funkčních celků. V souladu s NDÚD jsou pro tyto typy území relevantní následující specifické cíle OP PIK</w:t>
      </w:r>
      <w:r w:rsidR="00720FC6" w:rsidRPr="00DD47DF">
        <w:rPr>
          <w:rStyle w:val="Znakapoznpodarou"/>
        </w:rPr>
        <w:footnoteReference w:id="79"/>
      </w:r>
      <w:r w:rsidRPr="00DD47DF">
        <w:t>, a proto je v nich vhodné využít silnou intenzitu podpory:</w:t>
      </w:r>
    </w:p>
    <w:p w14:paraId="53A2EB5F" w14:textId="77777777" w:rsidR="00B512F1" w:rsidRPr="00DD47DF" w:rsidRDefault="00B512F1" w:rsidP="00DA3512">
      <w:pPr>
        <w:pStyle w:val="Standardntext"/>
        <w:numPr>
          <w:ilvl w:val="0"/>
          <w:numId w:val="78"/>
        </w:numPr>
        <w:rPr>
          <w:b/>
        </w:rPr>
      </w:pPr>
      <w:r w:rsidRPr="00DD47DF">
        <w:rPr>
          <w:b/>
        </w:rPr>
        <w:t>Hospodářsky problémov</w:t>
      </w:r>
      <w:r w:rsidR="00C859E0" w:rsidRPr="00DD47DF">
        <w:rPr>
          <w:b/>
        </w:rPr>
        <w:t>é regiony</w:t>
      </w:r>
      <w:r w:rsidRPr="00DD47DF">
        <w:rPr>
          <w:b/>
        </w:rPr>
        <w:t xml:space="preserve"> a území s vysokou mírou nezaměstnanost</w:t>
      </w:r>
      <w:r w:rsidR="002832C1" w:rsidRPr="00DD47DF">
        <w:rPr>
          <w:b/>
        </w:rPr>
        <w:t>i</w:t>
      </w:r>
    </w:p>
    <w:p w14:paraId="2C2C6EFC" w14:textId="4A8DB572" w:rsidR="002556A0" w:rsidRPr="00DD47DF" w:rsidRDefault="00AB2971" w:rsidP="002556A0">
      <w:pPr>
        <w:pStyle w:val="Standardntext"/>
        <w:ind w:left="720"/>
      </w:pPr>
      <w:r w:rsidRPr="00AB2971">
        <w:t xml:space="preserve"> Jde o hospodářsky problémové regiony dle usnesení vlády ČR ze dne 15. května 2013 č. 344 a regiony dle usnesení vlády ČR ze dne 19. října 2015 č. 826 (blíže viz oddíl 5).</w:t>
      </w:r>
      <w:r w:rsidR="002556A0" w:rsidRPr="00DD47DF">
        <w:t xml:space="preserve">Pokud jde o území s vysokým podílem </w:t>
      </w:r>
      <w:r w:rsidR="00963510" w:rsidRPr="00DD47DF">
        <w:t>nezaměstnaných osob</w:t>
      </w:r>
      <w:r w:rsidR="002556A0" w:rsidRPr="00DD47DF">
        <w:t xml:space="preserve">, ta budou pro účely bonifikace projektů směřujících do těchto území definována jako okresy ČR s </w:t>
      </w:r>
      <w:r w:rsidR="00963510" w:rsidRPr="00DD47DF">
        <w:t xml:space="preserve">vyšším podílem nezaměstnaných osob </w:t>
      </w:r>
      <w:r w:rsidR="002556A0" w:rsidRPr="00DD47DF">
        <w:t xml:space="preserve">za měsíc předcházející vyhlášení výzvy pro předkládání projektů, než je průměrný podíl </w:t>
      </w:r>
      <w:r w:rsidR="002840F9" w:rsidRPr="00DD47DF">
        <w:t>nezaměstnaných osob</w:t>
      </w:r>
      <w:r w:rsidR="002556A0" w:rsidRPr="00DD47DF">
        <w:t xml:space="preserve"> ČR ve stejném období.</w:t>
      </w:r>
    </w:p>
    <w:p w14:paraId="3FAA85D3" w14:textId="77777777" w:rsidR="00B512F1" w:rsidRPr="00DD47DF" w:rsidRDefault="002556A0" w:rsidP="00466CFC">
      <w:pPr>
        <w:pStyle w:val="Standardntext"/>
        <w:ind w:left="708"/>
      </w:pPr>
      <w:r w:rsidRPr="00DD47DF">
        <w:t>Takto definovaná území se týkají většiny specifických cílů operačního programu a způsob jejich vymezení bude vždy uveden v příslušné výzvě k předkládání projektů vyhlášené pro daný specifický cíl operačního programu.</w:t>
      </w:r>
    </w:p>
    <w:p w14:paraId="0BDCC60C" w14:textId="77777777" w:rsidR="00B512F1" w:rsidRPr="00DD47DF" w:rsidRDefault="00B512F1" w:rsidP="00DA3512">
      <w:pPr>
        <w:pStyle w:val="Standardntext"/>
        <w:numPr>
          <w:ilvl w:val="0"/>
          <w:numId w:val="78"/>
        </w:numPr>
        <w:rPr>
          <w:b/>
        </w:rPr>
      </w:pPr>
      <w:r w:rsidRPr="00DD47DF">
        <w:rPr>
          <w:b/>
        </w:rPr>
        <w:t>Rozvojová a urbánní území</w:t>
      </w:r>
    </w:p>
    <w:p w14:paraId="2FA67E65" w14:textId="77777777" w:rsidR="00B512F1" w:rsidRPr="00DD47DF" w:rsidRDefault="00B512F1" w:rsidP="00B512F1">
      <w:pPr>
        <w:pStyle w:val="Standardntext"/>
        <w:ind w:left="720"/>
      </w:pPr>
      <w:r w:rsidRPr="00DD47DF">
        <w:t>Jde o rozvojová území dle typologie Strategie regionálního rozvoje ČR 2014-2020 a urbánní území, v nichž bude uplatněn integrovaný nástroj</w:t>
      </w:r>
      <w:r w:rsidR="00BD7D9C" w:rsidRPr="00DD47DF">
        <w:t xml:space="preserve"> (v případě OP PIK půjde o ITI)</w:t>
      </w:r>
      <w:r w:rsidRPr="00DD47DF">
        <w:t>.</w:t>
      </w:r>
    </w:p>
    <w:p w14:paraId="214BBFD6" w14:textId="77777777" w:rsidR="00B512F1" w:rsidRPr="00DD47DF" w:rsidRDefault="00C26FF4" w:rsidP="00B512F1">
      <w:pPr>
        <w:pStyle w:val="Standardntext"/>
        <w:ind w:left="720"/>
      </w:pPr>
      <w:r w:rsidRPr="00DD47DF">
        <w:t xml:space="preserve">V případě rozvojových území se </w:t>
      </w:r>
      <w:r w:rsidR="00181683" w:rsidRPr="00DD47DF">
        <w:t xml:space="preserve">intervence OP PIK </w:t>
      </w:r>
      <w:r w:rsidR="00B512F1" w:rsidRPr="00DD47DF">
        <w:t>týk</w:t>
      </w:r>
      <w:r w:rsidR="00181683" w:rsidRPr="00DD47DF">
        <w:t xml:space="preserve">ají </w:t>
      </w:r>
      <w:r w:rsidR="00B512F1" w:rsidRPr="00DD47DF">
        <w:t>specifických cílů 1.1, 1.2 a 4.2. V případě urbánních území se týk</w:t>
      </w:r>
      <w:r w:rsidR="00181683" w:rsidRPr="00DD47DF">
        <w:t>ají s</w:t>
      </w:r>
      <w:r w:rsidR="00B512F1" w:rsidRPr="00DD47DF">
        <w:t>pecifických cílů 1.1, 1.2, 2.1, 2.3, 2.4 a 3.5.</w:t>
      </w:r>
    </w:p>
    <w:p w14:paraId="720B31BB" w14:textId="77777777" w:rsidR="00B512F1" w:rsidRPr="00DD47DF" w:rsidRDefault="00B512F1" w:rsidP="00DA3512">
      <w:pPr>
        <w:pStyle w:val="Standardntext"/>
        <w:numPr>
          <w:ilvl w:val="0"/>
          <w:numId w:val="78"/>
        </w:numPr>
        <w:rPr>
          <w:b/>
        </w:rPr>
      </w:pPr>
      <w:r w:rsidRPr="00DD47DF">
        <w:rPr>
          <w:b/>
        </w:rPr>
        <w:t>Ostatní území</w:t>
      </w:r>
    </w:p>
    <w:p w14:paraId="327FCD98" w14:textId="05A72AA5" w:rsidR="00B512F1" w:rsidRPr="00DD47DF" w:rsidRDefault="006840A6" w:rsidP="00B512F1">
      <w:pPr>
        <w:pStyle w:val="Standardntext"/>
        <w:ind w:left="720"/>
      </w:pPr>
      <w:r w:rsidRPr="00700E39">
        <w:t>Jde o cílové území specifického cíle 4.1 a dílčí cílové území specifického cíle 2.3</w:t>
      </w:r>
      <w:r w:rsidR="00F56185">
        <w:t xml:space="preserve"> a 3.2</w:t>
      </w:r>
      <w:r w:rsidRPr="00700E39">
        <w:t xml:space="preserve"> (viz oddíl 2.A.6.1 těchto specifických cílů).</w:t>
      </w:r>
    </w:p>
    <w:p w14:paraId="6BFF0108" w14:textId="0461AA2D" w:rsidR="00B512F1" w:rsidRPr="00DD47DF" w:rsidRDefault="006840A6" w:rsidP="00B512F1">
      <w:pPr>
        <w:pStyle w:val="Standardntext"/>
      </w:pPr>
      <w:r w:rsidRPr="00700E39">
        <w:t>Takto identifikovaná územní dimenze u jednotlivých specifických cílů bude v OP PIK realizována v zásadě následujícími způsoby:</w:t>
      </w:r>
    </w:p>
    <w:p w14:paraId="30D76E51" w14:textId="77777777" w:rsidR="00757F45" w:rsidRPr="00DD47DF" w:rsidRDefault="00165E6D" w:rsidP="00DA3512">
      <w:pPr>
        <w:pStyle w:val="Standardntext"/>
        <w:numPr>
          <w:ilvl w:val="0"/>
          <w:numId w:val="79"/>
        </w:numPr>
      </w:pPr>
      <w:r w:rsidRPr="00DD47DF">
        <w:t>U</w:t>
      </w:r>
      <w:r w:rsidR="00710D23" w:rsidRPr="00DD47DF">
        <w:t>platnění</w:t>
      </w:r>
      <w:r w:rsidR="00EA7638" w:rsidRPr="00DD47DF">
        <w:t>m</w:t>
      </w:r>
      <w:r w:rsidR="00710D23" w:rsidRPr="00DD47DF">
        <w:t xml:space="preserve"> bonifikace projektů v hospodářsky problémových </w:t>
      </w:r>
      <w:r w:rsidR="00C859E0" w:rsidRPr="00DD47DF">
        <w:t xml:space="preserve">regionech </w:t>
      </w:r>
      <w:r w:rsidR="00710D23" w:rsidRPr="00DD47DF">
        <w:t>a územích s vysokou mírou nezaměstnanost</w:t>
      </w:r>
      <w:r w:rsidR="002832C1" w:rsidRPr="00DD47DF">
        <w:t>i</w:t>
      </w:r>
      <w:r w:rsidR="00EA7638" w:rsidRPr="00DD47DF">
        <w:t>,</w:t>
      </w:r>
    </w:p>
    <w:p w14:paraId="53AFEE2B" w14:textId="51F9C42E" w:rsidR="009F75F9" w:rsidRPr="00DD47DF" w:rsidRDefault="009F75F9" w:rsidP="00F56185">
      <w:pPr>
        <w:pStyle w:val="Standardntext"/>
        <w:numPr>
          <w:ilvl w:val="0"/>
          <w:numId w:val="79"/>
        </w:numPr>
      </w:pPr>
      <w:r w:rsidRPr="00DD47DF">
        <w:t xml:space="preserve">Řídící orgán po úvodních plošných výzvách k nově schváleným programům podpory návazně zváží cílené vyhlášení omezených specifických výzev </w:t>
      </w:r>
      <w:r w:rsidR="00736B31" w:rsidRPr="00DD47DF">
        <w:t xml:space="preserve">směřovaných </w:t>
      </w:r>
      <w:r w:rsidRPr="00DD47DF">
        <w:t>výhradně do hospodářsky problémových regionů a území s vysokou mírou nezaměstnanosti, aby lépe zacílil intenzitu podpory v takto strukturálně nejpostiženějších územích</w:t>
      </w:r>
      <w:r w:rsidR="00F56185" w:rsidRPr="00F56185">
        <w:t xml:space="preserve">, nebo o cílené vyhlášení omezených specifických výzev s vazbou na podporu </w:t>
      </w:r>
      <w:r w:rsidR="00F56185" w:rsidRPr="00F56185">
        <w:lastRenderedPageBreak/>
        <w:t>Moravskoslezského, Ústeckého a Karlovarského kraje v rámci iniciativy „RE:START“ a účast těchto krajů v evropské Platformě pro uhelné regiony v transformaci</w:t>
      </w:r>
      <w:r w:rsidR="00756158" w:rsidRPr="00DD47DF">
        <w:t>.</w:t>
      </w:r>
    </w:p>
    <w:p w14:paraId="1F50D22C" w14:textId="77777777" w:rsidR="00710D23" w:rsidRPr="00DD47DF" w:rsidRDefault="00165E6D" w:rsidP="00DA3512">
      <w:pPr>
        <w:pStyle w:val="Standardntext"/>
        <w:numPr>
          <w:ilvl w:val="0"/>
          <w:numId w:val="79"/>
        </w:numPr>
      </w:pPr>
      <w:r w:rsidRPr="00DD47DF">
        <w:t>I</w:t>
      </w:r>
      <w:r w:rsidR="00EA7638" w:rsidRPr="00DD47DF">
        <w:t>ntegrovanými nástroji, konkrétně integrovanými územními investicemi</w:t>
      </w:r>
      <w:r w:rsidR="00BD7D9C" w:rsidRPr="00DD47DF">
        <w:t xml:space="preserve"> (ITI)</w:t>
      </w:r>
      <w:r w:rsidR="00EA7638" w:rsidRPr="00DD47DF">
        <w:t>.</w:t>
      </w:r>
    </w:p>
    <w:p w14:paraId="7A9BA0B2" w14:textId="77777777" w:rsidR="00756158" w:rsidRDefault="00756158" w:rsidP="00DA3512">
      <w:pPr>
        <w:pStyle w:val="Standardntext"/>
        <w:numPr>
          <w:ilvl w:val="0"/>
          <w:numId w:val="79"/>
        </w:numPr>
      </w:pPr>
      <w:r w:rsidRPr="00DD47DF">
        <w:t>Územně cílené výzvy vyplývající z charakteru dané intervence v případě specifického cíle 4.1 (typ území „ostatní území“). Intervence v tohoto specifickém cíli směřují výhradně do lokalit, ve kterých neexistuje žádný provozovatel sítě pro vysokorychlostní přístup k internetu umožňující zajišťování služby reálnou rychlostí alespoň 30 Mbit/s a není pravděpodobné, že by v ní do tří let nějaký poskytovatel vybudoval infrastrukturu pro poskytování této služby (tzv. bílá místa).</w:t>
      </w:r>
    </w:p>
    <w:p w14:paraId="263E1C48" w14:textId="02C94A7A" w:rsidR="00544985" w:rsidRPr="00DD47DF" w:rsidRDefault="00544985" w:rsidP="00DA3512">
      <w:pPr>
        <w:pStyle w:val="Standardntext"/>
        <w:numPr>
          <w:ilvl w:val="0"/>
          <w:numId w:val="79"/>
        </w:numPr>
      </w:pPr>
      <w:r w:rsidRPr="00700E39">
        <w:t xml:space="preserve">Územně cílené výzvy v rámci </w:t>
      </w:r>
      <w:r w:rsidRPr="00700E39">
        <w:rPr>
          <w:b/>
          <w:bCs/>
        </w:rPr>
        <w:t xml:space="preserve">režimu regionální podpory zaměřeného na cestovní ruch v podporovaných specifických oblastech </w:t>
      </w:r>
      <w:r w:rsidRPr="00700E39">
        <w:t>v případě specifického cíle 2.3 (typ území „ostatní území“). Dílčí intervence v tomto specifickém cíli, jako součást</w:t>
      </w:r>
      <w:r w:rsidRPr="00700E39">
        <w:rPr>
          <w:b/>
          <w:bCs/>
        </w:rPr>
        <w:t xml:space="preserve"> </w:t>
      </w:r>
      <w:r w:rsidRPr="00700E39">
        <w:t>režimu regionální podpory zaměřeného na cestovní ruch v podporovaném regionu,</w:t>
      </w:r>
      <w:r w:rsidRPr="00700E39">
        <w:rPr>
          <w:b/>
          <w:bCs/>
        </w:rPr>
        <w:t xml:space="preserve"> </w:t>
      </w:r>
      <w:r w:rsidRPr="00700E39">
        <w:t>který má obzvlášť pozitivní účinek na regionální rozvoj, směřují výhradně do lokalit,</w:t>
      </w:r>
      <w:r w:rsidRPr="00700E39">
        <w:rPr>
          <w:b/>
          <w:bCs/>
        </w:rPr>
        <w:t xml:space="preserve"> </w:t>
      </w:r>
      <w:r w:rsidRPr="00700E39">
        <w:t>v nichž může podpora cestovního ruchu tvořit potenciálně zdůvodnitelné využívání</w:t>
      </w:r>
      <w:r w:rsidRPr="00700E39">
        <w:rPr>
          <w:b/>
          <w:bCs/>
        </w:rPr>
        <w:t xml:space="preserve"> </w:t>
      </w:r>
      <w:r w:rsidRPr="00700E39">
        <w:t>fondů ESI jako prostředek diversifikace a odhalování hospodářského potenciálu</w:t>
      </w:r>
      <w:r w:rsidRPr="00700E39">
        <w:rPr>
          <w:b/>
          <w:bCs/>
        </w:rPr>
        <w:t xml:space="preserve"> </w:t>
      </w:r>
      <w:r w:rsidRPr="00700E39">
        <w:t>venkovských oblastí (tzv. malé venkovské obce s výjimečným potenciálem přírodního</w:t>
      </w:r>
      <w:r w:rsidRPr="00700E39">
        <w:rPr>
          <w:b/>
          <w:bCs/>
        </w:rPr>
        <w:t xml:space="preserve"> </w:t>
      </w:r>
      <w:r w:rsidRPr="00700E39">
        <w:t>subsystému cestovního ruchu).</w:t>
      </w:r>
    </w:p>
    <w:p w14:paraId="3F70CE24" w14:textId="77777777" w:rsidR="00AA5B29" w:rsidRPr="00DD47DF" w:rsidRDefault="00833413" w:rsidP="00833413">
      <w:pPr>
        <w:pStyle w:val="Nadpis2"/>
        <w:rPr>
          <w:rFonts w:cs="Calibri"/>
        </w:rPr>
      </w:pPr>
      <w:bookmarkStart w:id="118" w:name="_Toc129005446"/>
      <w:r w:rsidRPr="00DD47DF">
        <w:rPr>
          <w:rFonts w:cs="Calibri"/>
        </w:rPr>
        <w:t>Nástroje k zajištění komunitně vedeného místního rozvoje</w:t>
      </w:r>
      <w:bookmarkEnd w:id="118"/>
    </w:p>
    <w:p w14:paraId="65A1101F" w14:textId="77777777" w:rsidR="00A107C6" w:rsidRPr="00DD47DF" w:rsidRDefault="0093745F" w:rsidP="00AC4A31">
      <w:pPr>
        <w:pStyle w:val="Standardntext"/>
      </w:pPr>
      <w:r w:rsidRPr="00DD47DF">
        <w:t>V souladu s Dohodou o partnerství a v</w:t>
      </w:r>
      <w:r w:rsidR="00A107C6" w:rsidRPr="00DD47DF">
        <w:t>zhledem</w:t>
      </w:r>
      <w:r w:rsidRPr="00DD47DF">
        <w:t xml:space="preserve"> k charakteru OP PIK nebude v Operačním programu využita metoda komunitně vedeného místního rozvoje ve smyslu čl. 32 obecného nařízení.  </w:t>
      </w:r>
      <w:r w:rsidR="00CB2164" w:rsidRPr="00DD47DF">
        <w:t>Místní akční skupiny (dále jen „</w:t>
      </w:r>
      <w:r w:rsidR="00A107C6" w:rsidRPr="00DD47DF">
        <w:t>MAS</w:t>
      </w:r>
      <w:r w:rsidR="00CB2164" w:rsidRPr="00DD47DF">
        <w:t xml:space="preserve">“) však mohou na základě svých znalostí problematiky daného území </w:t>
      </w:r>
      <w:r w:rsidR="00A107C6" w:rsidRPr="00DD47DF">
        <w:t xml:space="preserve">napomoci ke zvyšování absorpční kapacity v území a zajištění monitoringu problémů a potenciálu daného území. </w:t>
      </w:r>
      <w:r w:rsidR="00D53A31" w:rsidRPr="00DD47DF">
        <w:t>Iniciativní partnerská pomoc</w:t>
      </w:r>
      <w:r w:rsidRPr="00DD47DF">
        <w:t xml:space="preserve"> MAS by </w:t>
      </w:r>
      <w:r w:rsidR="00D53A31" w:rsidRPr="00DD47DF">
        <w:t>nebyla financována z technické pomoci Operačního programu, v relevantních případech by však mohla být podpořena z Integrovaného regionálního</w:t>
      </w:r>
      <w:r w:rsidRPr="00DD47DF">
        <w:t xml:space="preserve"> operačního programu v gesci Ministerstva pro místní rozvoj</w:t>
      </w:r>
      <w:r w:rsidR="00D53A31" w:rsidRPr="00DD47DF">
        <w:t xml:space="preserve"> za podmínek tam uvedených. </w:t>
      </w:r>
      <w:r w:rsidR="00CB2164" w:rsidRPr="00DD47DF">
        <w:t>Spolupráce Řídícího orgánu OP PIK a MAS bude probíhat prostřednictvím účasti MAS v Monitorovacím výboru</w:t>
      </w:r>
      <w:r w:rsidR="00A73AD5" w:rsidRPr="00DD47DF">
        <w:t>.</w:t>
      </w:r>
    </w:p>
    <w:p w14:paraId="6EF45551" w14:textId="77777777" w:rsidR="002F6CB3" w:rsidRPr="00DD47DF" w:rsidRDefault="00833413" w:rsidP="00833413">
      <w:pPr>
        <w:pStyle w:val="Nadpis2"/>
        <w:rPr>
          <w:rFonts w:cs="Calibri"/>
        </w:rPr>
      </w:pPr>
      <w:bookmarkStart w:id="119" w:name="_Toc129005447"/>
      <w:r w:rsidRPr="00DD47DF">
        <w:rPr>
          <w:rFonts w:cs="Calibri"/>
        </w:rPr>
        <w:t>Integrovaná opatření pro udržitelný rozvoj měst</w:t>
      </w:r>
      <w:bookmarkEnd w:id="119"/>
    </w:p>
    <w:p w14:paraId="2E79FF62" w14:textId="77777777" w:rsidR="007957E8" w:rsidRPr="00DD47DF" w:rsidRDefault="00AA3134" w:rsidP="007957E8">
      <w:pPr>
        <w:pStyle w:val="Standardntext"/>
      </w:pPr>
      <w:r w:rsidRPr="00DD47DF">
        <w:t>Integrovan</w:t>
      </w:r>
      <w:r w:rsidR="00D60C74" w:rsidRPr="00DD47DF">
        <w:t>á opatření pro udržitelný rozvoj měst</w:t>
      </w:r>
      <w:r w:rsidRPr="00DD47DF">
        <w:t xml:space="preserve"> se </w:t>
      </w:r>
      <w:r w:rsidR="00D60C74" w:rsidRPr="00DD47DF">
        <w:t xml:space="preserve">v OP PIK </w:t>
      </w:r>
      <w:r w:rsidRPr="00DD47DF">
        <w:t xml:space="preserve">realizují </w:t>
      </w:r>
      <w:r w:rsidR="00587A0C" w:rsidRPr="00DD47DF">
        <w:t xml:space="preserve">výhradně </w:t>
      </w:r>
      <w:r w:rsidRPr="00DD47DF">
        <w:t xml:space="preserve">prostřednictvím </w:t>
      </w:r>
      <w:r w:rsidRPr="00DD47DF">
        <w:rPr>
          <w:b/>
        </w:rPr>
        <w:t xml:space="preserve">integrovaných </w:t>
      </w:r>
      <w:r w:rsidR="00D60C74" w:rsidRPr="00DD47DF">
        <w:rPr>
          <w:b/>
        </w:rPr>
        <w:t>územních investic</w:t>
      </w:r>
      <w:r w:rsidR="00D60C74" w:rsidRPr="00DD47DF">
        <w:t xml:space="preserve"> </w:t>
      </w:r>
      <w:r w:rsidR="007957E8" w:rsidRPr="00DD47DF">
        <w:t>(viz oddíl 4.3).</w:t>
      </w:r>
    </w:p>
    <w:p w14:paraId="19472F4A" w14:textId="77777777" w:rsidR="00263E78" w:rsidRPr="00DD47DF" w:rsidRDefault="00D94782" w:rsidP="004E6DD3">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20</w:t>
      </w:r>
      <w:r w:rsidR="002756E7" w:rsidRPr="00DD47DF">
        <w:rPr>
          <w:noProof/>
        </w:rPr>
        <w:fldChar w:fldCharType="end"/>
      </w:r>
      <w:r w:rsidR="009F444D" w:rsidRPr="00DD47DF">
        <w:rPr>
          <w:noProof/>
        </w:rPr>
        <w:t>:</w:t>
      </w:r>
      <w:r w:rsidR="00263E78" w:rsidRPr="00DD47DF">
        <w:t xml:space="preserve"> </w:t>
      </w:r>
      <w:r w:rsidR="00833413" w:rsidRPr="00DD47DF">
        <w:t>Integrovaná opatření pro udržitelný rozvoj měst – orientační částky podpory z EFRR a ESF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92"/>
        <w:gridCol w:w="3585"/>
        <w:gridCol w:w="4449"/>
      </w:tblGrid>
      <w:tr w:rsidR="00263E78" w:rsidRPr="00DD47DF" w14:paraId="40D10620" w14:textId="77777777">
        <w:trPr>
          <w:trHeight w:val="441"/>
        </w:trPr>
        <w:tc>
          <w:tcPr>
            <w:tcW w:w="0" w:type="auto"/>
            <w:vMerge w:val="restart"/>
            <w:shd w:val="clear" w:color="auto" w:fill="B8CCE4"/>
            <w:vAlign w:val="center"/>
          </w:tcPr>
          <w:p w14:paraId="5AEDF7CF" w14:textId="77777777" w:rsidR="00263E78" w:rsidRPr="00DD47DF" w:rsidRDefault="00263E78" w:rsidP="004E6DD3">
            <w:pPr>
              <w:pStyle w:val="Tabulka"/>
              <w:keepNext/>
              <w:keepLines/>
              <w:rPr>
                <w:rFonts w:cs="Calibri"/>
                <w:b/>
                <w:lang w:eastAsia="en-US"/>
              </w:rPr>
            </w:pPr>
            <w:r w:rsidRPr="00DD47DF">
              <w:rPr>
                <w:rFonts w:cs="Calibri"/>
                <w:b/>
                <w:lang w:eastAsia="en-US"/>
              </w:rPr>
              <w:t>Fond</w:t>
            </w:r>
          </w:p>
        </w:tc>
        <w:tc>
          <w:tcPr>
            <w:tcW w:w="3585" w:type="dxa"/>
            <w:vMerge w:val="restart"/>
            <w:shd w:val="clear" w:color="auto" w:fill="B8CCE4"/>
            <w:vAlign w:val="center"/>
          </w:tcPr>
          <w:p w14:paraId="76489670" w14:textId="77777777" w:rsidR="00263E78" w:rsidRPr="00DD47DF" w:rsidRDefault="00833413" w:rsidP="004E6DD3">
            <w:pPr>
              <w:pStyle w:val="Tabulka"/>
              <w:keepNext/>
              <w:keepLines/>
              <w:rPr>
                <w:rFonts w:cs="Calibri"/>
                <w:b/>
                <w:lang w:eastAsia="en-US"/>
              </w:rPr>
            </w:pPr>
            <w:r w:rsidRPr="00DD47DF">
              <w:rPr>
                <w:rFonts w:cs="Calibri"/>
                <w:b/>
                <w:color w:val="000000"/>
                <w:kern w:val="32"/>
                <w:lang w:eastAsia="en-US"/>
              </w:rPr>
              <w:t>Podpora z EFRR a ESF (orientačně) (v EUR)</w:t>
            </w:r>
          </w:p>
        </w:tc>
        <w:tc>
          <w:tcPr>
            <w:tcW w:w="4449" w:type="dxa"/>
            <w:vMerge w:val="restart"/>
            <w:shd w:val="clear" w:color="auto" w:fill="B8CCE4"/>
            <w:vAlign w:val="center"/>
          </w:tcPr>
          <w:p w14:paraId="59C04983" w14:textId="77777777" w:rsidR="00263E78" w:rsidRPr="00DD47DF" w:rsidRDefault="00833413" w:rsidP="004E6DD3">
            <w:pPr>
              <w:pStyle w:val="Tabulka"/>
              <w:keepNext/>
              <w:keepLines/>
              <w:rPr>
                <w:rFonts w:cs="Calibri"/>
                <w:b/>
                <w:lang w:eastAsia="en-US"/>
              </w:rPr>
            </w:pPr>
            <w:r w:rsidRPr="00DD47DF">
              <w:rPr>
                <w:rFonts w:cs="Calibri"/>
                <w:b/>
                <w:color w:val="000000"/>
                <w:kern w:val="32"/>
                <w:lang w:eastAsia="en-US"/>
              </w:rPr>
              <w:t>Podíl celkového přídělu fondu na operační program</w:t>
            </w:r>
          </w:p>
        </w:tc>
      </w:tr>
      <w:tr w:rsidR="00263E78" w:rsidRPr="00DD47DF" w14:paraId="2EA1DA8C" w14:textId="77777777">
        <w:trPr>
          <w:trHeight w:val="373"/>
        </w:trPr>
        <w:tc>
          <w:tcPr>
            <w:tcW w:w="0" w:type="auto"/>
            <w:vMerge/>
            <w:shd w:val="clear" w:color="auto" w:fill="B8CCE4"/>
            <w:vAlign w:val="center"/>
          </w:tcPr>
          <w:p w14:paraId="2DE4C3CE" w14:textId="77777777" w:rsidR="00263E78" w:rsidRPr="00DD47DF" w:rsidRDefault="00263E78" w:rsidP="004E6DD3">
            <w:pPr>
              <w:pStyle w:val="Tabulka"/>
              <w:keepNext/>
              <w:keepLines/>
              <w:rPr>
                <w:rFonts w:cs="Calibri"/>
                <w:lang w:eastAsia="en-US"/>
              </w:rPr>
            </w:pPr>
          </w:p>
        </w:tc>
        <w:tc>
          <w:tcPr>
            <w:tcW w:w="3585" w:type="dxa"/>
            <w:vMerge/>
            <w:shd w:val="clear" w:color="auto" w:fill="B8CCE4"/>
            <w:vAlign w:val="center"/>
          </w:tcPr>
          <w:p w14:paraId="3C3888EF" w14:textId="77777777" w:rsidR="00263E78" w:rsidRPr="00DD47DF" w:rsidRDefault="00263E78" w:rsidP="004E6DD3">
            <w:pPr>
              <w:pStyle w:val="Tabulka"/>
              <w:keepNext/>
              <w:keepLines/>
              <w:rPr>
                <w:rFonts w:cs="Calibri"/>
                <w:color w:val="000000"/>
                <w:kern w:val="32"/>
                <w:lang w:eastAsia="en-US"/>
              </w:rPr>
            </w:pPr>
          </w:p>
        </w:tc>
        <w:tc>
          <w:tcPr>
            <w:tcW w:w="4449" w:type="dxa"/>
            <w:vMerge/>
            <w:shd w:val="clear" w:color="auto" w:fill="B8CCE4"/>
            <w:vAlign w:val="center"/>
          </w:tcPr>
          <w:p w14:paraId="5FE9FD28" w14:textId="77777777" w:rsidR="00263E78" w:rsidRPr="00DD47DF" w:rsidRDefault="00263E78" w:rsidP="004E6DD3">
            <w:pPr>
              <w:pStyle w:val="Tabulka"/>
              <w:keepNext/>
              <w:keepLines/>
              <w:rPr>
                <w:rFonts w:cs="Calibri"/>
                <w:color w:val="000000"/>
                <w:kern w:val="32"/>
                <w:lang w:eastAsia="en-US"/>
              </w:rPr>
            </w:pPr>
          </w:p>
        </w:tc>
      </w:tr>
      <w:tr w:rsidR="00355CBB" w:rsidRPr="00DD47DF" w14:paraId="3DAB123D" w14:textId="77777777">
        <w:tc>
          <w:tcPr>
            <w:tcW w:w="0" w:type="auto"/>
            <w:vAlign w:val="center"/>
          </w:tcPr>
          <w:p w14:paraId="1249FFBC" w14:textId="77777777" w:rsidR="00355CBB" w:rsidRPr="00DD47DF" w:rsidRDefault="00355CBB" w:rsidP="004E6DD3">
            <w:pPr>
              <w:pStyle w:val="Tabulka"/>
              <w:keepNext/>
              <w:keepLines/>
              <w:jc w:val="left"/>
              <w:rPr>
                <w:rFonts w:cs="Calibri"/>
                <w:lang w:eastAsia="en-US"/>
              </w:rPr>
            </w:pPr>
            <w:r w:rsidRPr="00DD47DF">
              <w:rPr>
                <w:rFonts w:cs="Calibri"/>
                <w:lang w:eastAsia="en-US"/>
              </w:rPr>
              <w:t>Celkem EFRR</w:t>
            </w:r>
          </w:p>
        </w:tc>
        <w:tc>
          <w:tcPr>
            <w:tcW w:w="3585" w:type="dxa"/>
            <w:vAlign w:val="center"/>
          </w:tcPr>
          <w:p w14:paraId="3BE47EBA" w14:textId="39E073D5" w:rsidR="00355CBB" w:rsidRPr="00DD47DF" w:rsidRDefault="00CE6F21" w:rsidP="00DF6C15">
            <w:pPr>
              <w:pStyle w:val="Tabulka"/>
              <w:keepNext/>
              <w:keepLines/>
              <w:rPr>
                <w:rFonts w:cs="Calibri"/>
                <w:lang w:eastAsia="en-US"/>
              </w:rPr>
            </w:pPr>
            <w:r w:rsidRPr="002D48AC">
              <w:rPr>
                <w:rFonts w:cs="Calibri"/>
                <w:lang w:eastAsia="en-US"/>
              </w:rPr>
              <w:t>102 553 608</w:t>
            </w:r>
          </w:p>
        </w:tc>
        <w:tc>
          <w:tcPr>
            <w:tcW w:w="4449" w:type="dxa"/>
            <w:vAlign w:val="center"/>
          </w:tcPr>
          <w:p w14:paraId="47DE7E96" w14:textId="119E5EB1" w:rsidR="00355CBB" w:rsidRPr="00DD47DF" w:rsidRDefault="00AB6419" w:rsidP="00CE6F21">
            <w:pPr>
              <w:pStyle w:val="Tabulka"/>
              <w:keepNext/>
              <w:keepLines/>
              <w:rPr>
                <w:rFonts w:cs="Calibri"/>
                <w:lang w:eastAsia="en-US"/>
              </w:rPr>
            </w:pPr>
            <w:r w:rsidRPr="00AB6419">
              <w:rPr>
                <w:rFonts w:cs="Calibri"/>
                <w:lang w:eastAsia="en-US"/>
              </w:rPr>
              <w:t>2,</w:t>
            </w:r>
            <w:r w:rsidR="00CE6F21">
              <w:rPr>
                <w:rFonts w:cs="Calibri"/>
                <w:lang w:eastAsia="en-US"/>
              </w:rPr>
              <w:t>66</w:t>
            </w:r>
            <w:r w:rsidR="00CE6F21" w:rsidRPr="00DD47DF">
              <w:rPr>
                <w:rFonts w:cs="Calibri"/>
                <w:lang w:eastAsia="en-US"/>
              </w:rPr>
              <w:t xml:space="preserve"> </w:t>
            </w:r>
            <w:r w:rsidR="00AE2DC8" w:rsidRPr="00DD47DF">
              <w:rPr>
                <w:rFonts w:cs="Calibri"/>
                <w:lang w:eastAsia="en-US"/>
              </w:rPr>
              <w:t>%</w:t>
            </w:r>
          </w:p>
        </w:tc>
      </w:tr>
    </w:tbl>
    <w:p w14:paraId="66E78E84" w14:textId="77777777" w:rsidR="002F6CB3" w:rsidRPr="00DD47DF" w:rsidRDefault="00833413" w:rsidP="00833413">
      <w:pPr>
        <w:pStyle w:val="Nadpis2"/>
      </w:pPr>
      <w:bookmarkStart w:id="120" w:name="_Toc129005448"/>
      <w:r w:rsidRPr="00DD47DF">
        <w:rPr>
          <w:rFonts w:cs="Calibri"/>
        </w:rPr>
        <w:t>Integrované územní investice</w:t>
      </w:r>
      <w:bookmarkEnd w:id="120"/>
    </w:p>
    <w:p w14:paraId="5C534E6B" w14:textId="77777777" w:rsidR="002C6857" w:rsidRPr="006B1878" w:rsidRDefault="002C6857" w:rsidP="002C6857">
      <w:pPr>
        <w:pStyle w:val="Standardntext"/>
      </w:pPr>
      <w:r w:rsidRPr="006B1878">
        <w:t>Integrované územní investice (dále také „ITI“) budou v souladu s čl. 36 obecného nařízení a na základě jejich vymezení ve Strategii regionálního rozvoje ČR 2014-2020 využity v největších metropolitních oblastech celostátního významu</w:t>
      </w:r>
      <w:r w:rsidRPr="006B1878">
        <w:rPr>
          <w:rStyle w:val="Znakapoznpodarou"/>
        </w:rPr>
        <w:footnoteReference w:id="80"/>
      </w:r>
      <w:r w:rsidRPr="006B1878">
        <w:t xml:space="preserve">. </w:t>
      </w:r>
    </w:p>
    <w:p w14:paraId="02F4515E" w14:textId="77777777" w:rsidR="002C6857" w:rsidRPr="003D5BD2" w:rsidRDefault="002C6857" w:rsidP="002C6857">
      <w:pPr>
        <w:pStyle w:val="Standardntext"/>
      </w:pPr>
      <w:r w:rsidRPr="006B1878">
        <w:t>Integrované územní investice budou naplňovány projekty spolufinancovanými z různých operačních programů a budou obsaženy v integrované strategii (podle čl. 7 odst. 4 nařízení  o EFRR jde o „udržitelnou městskou strategii“). Nositelem integrované strategie bude určené jádrové město příslušné městské aglomerace (metropolitní oblasti).</w:t>
      </w:r>
      <w:r w:rsidRPr="003D5BD2">
        <w:t xml:space="preserve">  </w:t>
      </w:r>
    </w:p>
    <w:p w14:paraId="71E2253D" w14:textId="77777777" w:rsidR="002C6857" w:rsidRPr="001F72D8" w:rsidRDefault="002C6857" w:rsidP="002C6857">
      <w:pPr>
        <w:pStyle w:val="Standardntext"/>
      </w:pPr>
      <w:r w:rsidRPr="006B4B07">
        <w:t xml:space="preserve">Město v roli nositele integrované strategie bude pověřeno veřejnoprávní smlouvou uzavřenou s řídicím orgánem operačního programu  k výkonu </w:t>
      </w:r>
      <w:r w:rsidRPr="001F72D8">
        <w:t xml:space="preserve">funkce zprostředkujícího subjektu ve smyslu čl. 123 odst. 6 obecného nařízení a čl. 7 odst. 5 nařízení o EFRR v rozsahu posuzování souladu projektů/operací s konkrétní integrovanou strategií. </w:t>
      </w:r>
    </w:p>
    <w:p w14:paraId="0BBB87CE" w14:textId="77777777" w:rsidR="002C6857" w:rsidRPr="001F72D8" w:rsidRDefault="002C6857" w:rsidP="002C6857">
      <w:pPr>
        <w:pStyle w:val="Standardntext"/>
      </w:pPr>
      <w:r w:rsidRPr="001F72D8">
        <w:t>Každá z metropolitních oblastí může předložit ke schválení a realizaci jednu integrovanou strategii, která vyhodnocuje problémy a potenciál daného území, definuje své cíle, stanoví indikátory a k jejich dosažení vymezí ve finančním plánu potřebnou alokaci z OP PIK. Výběr strategií bude probíhat ve  dvou kolech – kontrola formálních náležitostí a kontrola přijatelnosti (provede Ministerstvo pro místní rozvoj) a obsahové posouzení souladu strategie s cíli, zaměřením a podmínkami OP PIK (provede ŘO OP PIK). Zároveň platí, že každá integrovaná strategie musí být v souladu s Národní RIS3. Projekty, které budou vycházet z integrované strategie a budou v souladu s Národní RIS3, budou v procesu hodnocení Řídícím orgánem OP PIK bonifikovány. Jestliže integrovaná strategie úspěšně projde oběma koly výběru, vyhotoví řídící orgán Prohlášení o akceptaci integrované strategie, která bude obsahovat všechny klíčové parametry schvalované integrované strategie. Poté je strategie projednána Národní stálou konferencí, která na základě předložených dokumentů doporučí ministrovi pro místní rozvoj podpis memoranda o realizaci integrovaných strategií s nositeli integrovaných nástrojů</w:t>
      </w:r>
      <w:r w:rsidRPr="001F72D8">
        <w:rPr>
          <w:rStyle w:val="Znakapoznpodarou"/>
        </w:rPr>
        <w:footnoteReference w:id="81"/>
      </w:r>
      <w:r w:rsidRPr="001F72D8">
        <w:t>, jenž vyhověly požadavkům hodnotícího procesu a byly akceptovány všemi dotčenými řídícími orgány.</w:t>
      </w:r>
    </w:p>
    <w:p w14:paraId="3455B0F2" w14:textId="77777777" w:rsidR="002C6857" w:rsidRPr="001F72D8" w:rsidRDefault="002C6857" w:rsidP="002C6857">
      <w:pPr>
        <w:pStyle w:val="Standardntext"/>
      </w:pPr>
      <w:r w:rsidRPr="001F72D8">
        <w:lastRenderedPageBreak/>
        <w:t>ŘO OP PIK na základě výsledku hodnocení integrovaných strategií</w:t>
      </w:r>
      <w:r w:rsidRPr="00275489">
        <w:t xml:space="preserve"> zarezervuje v rámci operačního programu finanční alokaci pro realizaci projektů vycházejících z těchto strategií. ŘO OP PIK dále bude prostřednictvím Monitorovacího výboru programu stanovovat kritéria pro čerpání těchto alokací pro danou metropolitní oblast, rozhodovat o zrušení příslušné části rezervace finančních alokací v případě nepl</w:t>
      </w:r>
      <w:r w:rsidRPr="001F72D8">
        <w:t xml:space="preserve">nění podmínek ze strany nositele integrované strategie, vyhlašovat příslušné výzvy pro předkládání integrovaných projektů do příslušných specifických cílů operačního programu. Vlastní hodnocení a podíl nositele ITI na tomto procesu budou upraveny ve veřejnoprávní smlouvě uzavřené mezi ŘO OP PIK a  nositelem ITI.  </w:t>
      </w:r>
    </w:p>
    <w:p w14:paraId="5671F5DA" w14:textId="77777777" w:rsidR="002C6857" w:rsidRPr="001F72D8" w:rsidRDefault="002C6857" w:rsidP="002C6857">
      <w:pPr>
        <w:pStyle w:val="Standardntext"/>
      </w:pPr>
      <w:r w:rsidRPr="001F72D8">
        <w:t xml:space="preserve">ITI budou soustředěny převážně na realizaci větších strategických projektů, které mají významný pozitivní dopad pro řešená území; podpořeny mohou být i menší projekty, které větší projekty vhodně doplní pro dosažení žádoucích synergických efektů. Projekty předkládané v rámci integrovaných strategií (dále také „integrované projekty“) do výzev OP PIK musí respektovat podmínky stanovené ŘO OP PIK a musí plnit předem stanovená, závazná kritéria  včetně zajištění monitorování a vyhodnocení. Integrovaný projekt bude posuzován nositelem zejména z hlediska jeho vazby na příslušnou integrovanou strategii a příspěvku k naplňování této strategie. </w:t>
      </w:r>
    </w:p>
    <w:p w14:paraId="6CF1800A" w14:textId="77777777" w:rsidR="002C6857" w:rsidRPr="00EF300C" w:rsidRDefault="002C6857" w:rsidP="002C6857">
      <w:pPr>
        <w:pStyle w:val="Standardntext"/>
      </w:pPr>
      <w:r w:rsidRPr="001F72D8">
        <w:t>Bližší specifikace přípravy, hodnocení, schvalování, implementace a monitorování ITI je součástí Metodického pokynu pro využití integrovaných nástrojů v programovém období 2014 – 2020, systém řízení výzev Metodickým pokynem pro řízení výzev, hodnocení a výběr projektů v programovém období 2014 – 2020 a řídicí dokumentací OP PIK.</w:t>
      </w:r>
    </w:p>
    <w:p w14:paraId="07C9E34B" w14:textId="77777777" w:rsidR="002D66D6" w:rsidRPr="00DD47DF" w:rsidRDefault="002C6857" w:rsidP="002C6857">
      <w:pPr>
        <w:pStyle w:val="Standardntext"/>
      </w:pPr>
      <w:r w:rsidRPr="00EF300C">
        <w:t>V rámci principu víceúrovňového partnerství j</w:t>
      </w:r>
      <w:r>
        <w:t>e</w:t>
      </w:r>
      <w:r w:rsidRPr="003D5BD2">
        <w:t xml:space="preserve"> </w:t>
      </w:r>
      <w:r>
        <w:t xml:space="preserve">také </w:t>
      </w:r>
      <w:r w:rsidRPr="003D5BD2">
        <w:t>zřízena platforma Národní stálé konference, která bude  zajišťovat vzájemnou provázanost a koordinaci realizace územní dimenze, a to prostřednictvím zapojení řídících orgánů a regionálních i dalších partnerů. Pro rozhodování ŘO OP PIK ve věci implementace programu budou mít výstupy z jednání Národní stálé konference doporučující charakter.</w:t>
      </w:r>
    </w:p>
    <w:p w14:paraId="672157D6" w14:textId="77777777" w:rsidR="004E680E" w:rsidRPr="00DD47DF" w:rsidRDefault="00833413" w:rsidP="00833413">
      <w:pPr>
        <w:pStyle w:val="Nadpis2"/>
        <w:rPr>
          <w:rFonts w:cs="Calibri"/>
        </w:rPr>
      </w:pPr>
      <w:bookmarkStart w:id="121" w:name="_Toc129005449"/>
      <w:r w:rsidRPr="00DD47DF">
        <w:rPr>
          <w:rFonts w:cs="Calibri"/>
        </w:rPr>
        <w:t>Ujednání pro meziregionální a nadnárodní opatření v rámci operačního programu s příjemci, kteří se nacházejí alespoň v jednom dalším členském státu</w:t>
      </w:r>
      <w:bookmarkEnd w:id="121"/>
    </w:p>
    <w:p w14:paraId="0533914D" w14:textId="77777777" w:rsidR="00F44C65" w:rsidRPr="00DD47DF" w:rsidRDefault="00626DF9" w:rsidP="00F44C65">
      <w:pPr>
        <w:pStyle w:val="Standardntext"/>
      </w:pPr>
      <w:r w:rsidRPr="00DD47DF">
        <w:t xml:space="preserve">Pokud se shledá relevantním pro tento operační program, Řídící orgán OP PIK přezkoumá možnost podpořit spolupráci s příjemci majícími sídlo alespoň v jednom dalším státě Evropské unie prostřednictvím realizace meziregionálních a mezinárodních kooperačních </w:t>
      </w:r>
      <w:r w:rsidR="00F44C65" w:rsidRPr="00DD47DF">
        <w:t>aktivit.</w:t>
      </w:r>
    </w:p>
    <w:p w14:paraId="2659E14F" w14:textId="77777777" w:rsidR="009D1858" w:rsidRPr="00DD47DF" w:rsidRDefault="009D1858" w:rsidP="009D1858">
      <w:pPr>
        <w:pStyle w:val="Nadpis2"/>
        <w:rPr>
          <w:rFonts w:cs="Calibri"/>
        </w:rPr>
      </w:pPr>
      <w:bookmarkStart w:id="122" w:name="_Toc129005450"/>
      <w:r w:rsidRPr="00DD47DF">
        <w:rPr>
          <w:rFonts w:cs="Calibri"/>
        </w:rPr>
        <w:t>Přínos plánovaných opatření programu k realizaci makroregionálních strategií a strategií pro přímořské oblasti v závislosti na potřebách programové oblasti určených příslušným členským státem</w:t>
      </w:r>
      <w:bookmarkEnd w:id="122"/>
    </w:p>
    <w:p w14:paraId="61255F3A" w14:textId="77777777" w:rsidR="00383382" w:rsidRPr="00DD47DF" w:rsidRDefault="00A85820" w:rsidP="00A85820">
      <w:pPr>
        <w:pStyle w:val="Standardntext"/>
        <w:rPr>
          <w:bCs/>
        </w:rPr>
      </w:pPr>
      <w:r w:rsidRPr="00DD47DF">
        <w:t>OP PIK je koncipován tak, aby přispíval k dosažení hospodářské, sociální a územní soudržnosti. Jako jedno z východisek pro tento účel byla vzata pro ČR relevantní makroregionální strategie - Strategie EU pro Podunají</w:t>
      </w:r>
      <w:r w:rsidR="00B44BDE" w:rsidRPr="00DD47DF">
        <w:t>,</w:t>
      </w:r>
      <w:r w:rsidRPr="00DD47DF">
        <w:t xml:space="preserve"> </w:t>
      </w:r>
      <w:r w:rsidR="00383382" w:rsidRPr="00DD47DF">
        <w:t xml:space="preserve">která je Makroregionální strategií Evropské unie. Tato strategie je definována jako integrovaný rámec pro spolupráci, vztahující se k členským státům EU i třetím zemím ze stejné geografické oblasti, za účelem řešení společných výzev a posílení spolupráce s cílem dosažení ekonomické, sociální a teritoriální soudržnosti. Implementace makroregionálních strategií se řídí tzv. principem trojí neutrality (pravidlo 3NE): rozpočtová/finanční neutralita (žádné dodatečné výdaje), legislativní neutralita </w:t>
      </w:r>
      <w:r w:rsidR="00383382" w:rsidRPr="00DD47DF">
        <w:lastRenderedPageBreak/>
        <w:t xml:space="preserve">(žádná nová legislativa) a institucionální neutralita (žádné nové instituce). V rámci Strategie pro Podunají byl zpracován Akční plán </w:t>
      </w:r>
      <w:r w:rsidR="00383382" w:rsidRPr="00DD47DF">
        <w:rPr>
          <w:bCs/>
        </w:rPr>
        <w:t>definující čtyři pilíře rozpracované do jedenácti prioritních oblastí. Každá z prioritních oblastí obsahuje své cíle a jejich plnění rozpracovává do akcí.</w:t>
      </w:r>
    </w:p>
    <w:p w14:paraId="71C31181" w14:textId="77777777" w:rsidR="00383382" w:rsidRPr="00DD47DF" w:rsidRDefault="00A85820" w:rsidP="00383382">
      <w:pPr>
        <w:pStyle w:val="Standardntext"/>
        <w:rPr>
          <w:bCs/>
        </w:rPr>
      </w:pPr>
      <w:r w:rsidRPr="00DD47DF">
        <w:rPr>
          <w:bCs/>
        </w:rPr>
        <w:t xml:space="preserve">Strategii EU pro Podunají, konkrétně pak čtyři vybrané prioritní oblasti jejího Akčního plánu, je možno provádět prostřednictvím aktivit OP PIK, kam byly promítnuty následujícím způsobem. </w:t>
      </w:r>
      <w:r w:rsidR="00383382" w:rsidRPr="00DD47DF">
        <w:rPr>
          <w:bCs/>
        </w:rPr>
        <w:t xml:space="preserve">Pro prioritní oblast 2 </w:t>
      </w:r>
      <w:r w:rsidR="00EA5DD7" w:rsidRPr="00DD47DF">
        <w:rPr>
          <w:bCs/>
        </w:rPr>
        <w:t xml:space="preserve">Strategie </w:t>
      </w:r>
      <w:r w:rsidR="00383382" w:rsidRPr="00DD47DF">
        <w:rPr>
          <w:bCs/>
        </w:rPr>
        <w:t xml:space="preserve">„Podpora udržitelné energetiky“ půjde zejména o realizaci specifických cílů </w:t>
      </w:r>
      <w:r w:rsidR="00EA5DD7" w:rsidRPr="00DD47DF">
        <w:rPr>
          <w:bCs/>
        </w:rPr>
        <w:t xml:space="preserve">OP PIK </w:t>
      </w:r>
      <w:r w:rsidR="00383382" w:rsidRPr="00DD47DF">
        <w:rPr>
          <w:bCs/>
        </w:rPr>
        <w:t xml:space="preserve">3.1, 3.2 a 3.5. V prioritní oblasti 7 </w:t>
      </w:r>
      <w:r w:rsidR="00EA5DD7" w:rsidRPr="00DD47DF">
        <w:rPr>
          <w:bCs/>
        </w:rPr>
        <w:t xml:space="preserve">Strategie </w:t>
      </w:r>
      <w:r w:rsidR="00383382" w:rsidRPr="00DD47DF">
        <w:rPr>
          <w:bCs/>
        </w:rPr>
        <w:t xml:space="preserve">„Rozvoj znalostní společnosti pomocí výzkumu, vzdělávání a informačních technologií“ se jedná o specifické cíle </w:t>
      </w:r>
      <w:r w:rsidR="00EA5DD7" w:rsidRPr="00DD47DF">
        <w:rPr>
          <w:bCs/>
        </w:rPr>
        <w:t xml:space="preserve">OP PIK </w:t>
      </w:r>
      <w:r w:rsidR="00383382" w:rsidRPr="00DD47DF">
        <w:rPr>
          <w:bCs/>
        </w:rPr>
        <w:t xml:space="preserve">1.1, 1.2 a 4.1. K naplnění cílů prioritní oblasti 8 </w:t>
      </w:r>
      <w:r w:rsidR="00EA5DD7" w:rsidRPr="00DD47DF">
        <w:rPr>
          <w:bCs/>
        </w:rPr>
        <w:t xml:space="preserve">Strategie </w:t>
      </w:r>
      <w:r w:rsidR="00383382" w:rsidRPr="00DD47DF">
        <w:rPr>
          <w:bCs/>
        </w:rPr>
        <w:t xml:space="preserve">„Podpora konkurenceschopnosti podniků“ budou přispívat specifické cíle </w:t>
      </w:r>
      <w:r w:rsidR="00CC4005" w:rsidRPr="00DD47DF">
        <w:rPr>
          <w:bCs/>
        </w:rPr>
        <w:t xml:space="preserve">OP PIK </w:t>
      </w:r>
      <w:r w:rsidR="00383382" w:rsidRPr="00DD47DF">
        <w:rPr>
          <w:bCs/>
        </w:rPr>
        <w:t xml:space="preserve">2.1, 2.2 a 3.4. V rámci prioritní oblasti 9 </w:t>
      </w:r>
      <w:r w:rsidR="00CC4005" w:rsidRPr="00DD47DF">
        <w:rPr>
          <w:bCs/>
        </w:rPr>
        <w:t xml:space="preserve">Strategie </w:t>
      </w:r>
      <w:r w:rsidR="00383382" w:rsidRPr="00DD47DF">
        <w:rPr>
          <w:bCs/>
        </w:rPr>
        <w:t>„Investice do lidí a dovedností“ je uvedena podpora kreativity a podnikavosti, která svých charakterem odpovídá náplni prioritních os 1 a 2 OP PIK.</w:t>
      </w:r>
    </w:p>
    <w:p w14:paraId="63836F1B" w14:textId="77777777" w:rsidR="00383382" w:rsidRPr="00DD47DF" w:rsidRDefault="00383382" w:rsidP="00383382">
      <w:pPr>
        <w:pStyle w:val="Standardntext"/>
      </w:pPr>
      <w:r w:rsidRPr="00DD47DF">
        <w:t>Mechanismy koordinace budou zajištěny ad hoc konzultacemi se členy řídících výborů pro Strategii EU pro Podunají. Tato vazba umožní nejen přenos cílů uvedených priorit Strategie EU pro Podunají při programování ve vazbě na vypisování výzev, ale zohlední tak</w:t>
      </w:r>
      <w:r w:rsidR="00A85820" w:rsidRPr="00DD47DF">
        <w:t>é</w:t>
      </w:r>
      <w:r w:rsidRPr="00DD47DF">
        <w:t xml:space="preserve"> priority České republiky ve společném stanovení konkrétních cílů makroregionu prostřednictvím činnosti těchto zástupců v řídících výborech.</w:t>
      </w:r>
      <w:r w:rsidR="00A85820" w:rsidRPr="00DD47DF">
        <w:t xml:space="preserve"> </w:t>
      </w:r>
      <w:r w:rsidR="00A85820" w:rsidRPr="00DD47DF">
        <w:rPr>
          <w:bCs/>
        </w:rPr>
        <w:t>V řídících výborech pro Strategii EU pro Podunají jsou zastoupeni zástupci příslušných ministerstev ČR, jakož i jejich resortní kolegové z ostatních států účastnících se Strategie. Pravidelných jednání těchto řídících výborů je tak možno využít i ke spolupráci s představiteli dalších států. Vzhledem k tomu, že na okraj jednání bývají účastny též různé dotčené strany ze států zapojených do Strategie (např. zástupci akademické sféry, podnikatelské sféry či neziskové organizace, které mohou patřit mezi příjemce), dochází zde ke zpětné vazbě mezi všemi aktéry, jichž se Strategie EU pro Podunají dotýká. Obdobně funguje spolupráce u příležitosti Výročních fór Strategie EU pro Podunají, jež jsou organizována za účasti všech prioritních oblastí Strategie.</w:t>
      </w:r>
    </w:p>
    <w:p w14:paraId="444A58B8" w14:textId="77777777" w:rsidR="00383382" w:rsidRPr="00DD47DF" w:rsidRDefault="00383382" w:rsidP="009D1858">
      <w:pPr>
        <w:pStyle w:val="Standardntext"/>
      </w:pPr>
    </w:p>
    <w:p w14:paraId="733A529F" w14:textId="77777777" w:rsidR="004E680E" w:rsidRPr="00DD47DF" w:rsidRDefault="00F64D76" w:rsidP="009F444D">
      <w:pPr>
        <w:pStyle w:val="Nadpis1"/>
      </w:pPr>
      <w:bookmarkStart w:id="123" w:name="_Toc129005451"/>
      <w:r w:rsidRPr="00DD47DF">
        <w:lastRenderedPageBreak/>
        <w:t>Specifické</w:t>
      </w:r>
      <w:r w:rsidR="009F444D" w:rsidRPr="00DD47DF">
        <w:t xml:space="preserve"> potřeby zeměpisných oblastí nejvíce postižených chudobou nebo cílových skupin, jimž nejvíce hrozí diskriminace nebo sociální vyloučení</w:t>
      </w:r>
      <w:bookmarkEnd w:id="123"/>
    </w:p>
    <w:p w14:paraId="1F809E6A" w14:textId="77777777" w:rsidR="004E680E" w:rsidRPr="00DD47DF" w:rsidRDefault="009F444D" w:rsidP="00F64D76">
      <w:pPr>
        <w:pStyle w:val="Nadpis2"/>
      </w:pPr>
      <w:bookmarkStart w:id="124" w:name="_Toc129005452"/>
      <w:r w:rsidRPr="00DD47DF">
        <w:t>Zeměpisné oblasti nejvíce postižené chudobou</w:t>
      </w:r>
      <w:r w:rsidR="00F64D76" w:rsidRPr="00DD47DF">
        <w:t xml:space="preserve"> </w:t>
      </w:r>
      <w:r w:rsidRPr="00DD47DF">
        <w:t>/</w:t>
      </w:r>
      <w:r w:rsidR="00F64D76" w:rsidRPr="00DD47DF">
        <w:t xml:space="preserve"> </w:t>
      </w:r>
      <w:r w:rsidRPr="00DD47DF">
        <w:t>cílové skupiny, jimž nejvíce hrozí diskriminace</w:t>
      </w:r>
      <w:r w:rsidR="00F64D76" w:rsidRPr="00DD47DF">
        <w:t xml:space="preserve"> nebo sociální vyloučení</w:t>
      </w:r>
      <w:bookmarkEnd w:id="124"/>
    </w:p>
    <w:p w14:paraId="244A1DB4" w14:textId="77777777" w:rsidR="00EA28B0" w:rsidRPr="00DD47DF" w:rsidRDefault="00EA28B0" w:rsidP="00EA28B0">
      <w:pPr>
        <w:pStyle w:val="Standardntext"/>
      </w:pPr>
      <w:r w:rsidRPr="00DD47DF">
        <w:t xml:space="preserve">Dle </w:t>
      </w:r>
      <w:r w:rsidRPr="00DD47DF">
        <w:rPr>
          <w:b/>
        </w:rPr>
        <w:t>analýzy regionální konkurenceschopnosti</w:t>
      </w:r>
      <w:r w:rsidRPr="00DD47DF">
        <w:t xml:space="preserve"> obsažené ve </w:t>
      </w:r>
      <w:r w:rsidRPr="00DD47DF">
        <w:rPr>
          <w:rFonts w:cs="Calibri"/>
        </w:rPr>
        <w:t>Strategii regionálního rozvoje ČR pro období 2014 – 2020</w:t>
      </w:r>
      <w:r w:rsidRPr="00DD47DF">
        <w:t>, která posuzuje jednotlivé regiony ČR z hlediska 32 socioekonomických ukazatelů (v oblastech jako velikost trhu, technologická připravenost, sofistikovanost podnikání, inovace a dalších) vyplývá, že za komplexně nekonkurenceschopné regiony je možno jednoznačně určit Ústecký a Karlovarský kraj. Dva vůbec nejslabší mikroregiony jsou lokalizovány rovněž v Moravskoslezském kraji. Zlepšení situace v těchto regionech vyžaduje vysoké investice do podpory podnikatelských subjektů, technologické infrastruktury, lidských zdrojů atd.</w:t>
      </w:r>
    </w:p>
    <w:p w14:paraId="4A624A06" w14:textId="77777777" w:rsidR="00EA28B0" w:rsidRPr="00DD47DF" w:rsidRDefault="00EA28B0" w:rsidP="00EA28B0">
      <w:pPr>
        <w:pStyle w:val="Standardntext"/>
      </w:pPr>
      <w:r w:rsidRPr="00DD47DF">
        <w:t xml:space="preserve">Jak je uvedeno v oddíle 4, OP PIK se zaměřuje na </w:t>
      </w:r>
      <w:r w:rsidRPr="00DD47DF">
        <w:rPr>
          <w:i/>
        </w:rPr>
        <w:t>hospodářsky problémové regiony a území s vysokou mírou nezaměstnanosti</w:t>
      </w:r>
      <w:r w:rsidRPr="00DD47DF">
        <w:t xml:space="preserve">. Vymezení </w:t>
      </w:r>
      <w:r w:rsidRPr="00DD47DF">
        <w:rPr>
          <w:b/>
        </w:rPr>
        <w:t>hospodářsky problémových regionů</w:t>
      </w:r>
      <w:r w:rsidRPr="00DD47DF">
        <w:t xml:space="preserve"> vychází ze SRR</w:t>
      </w:r>
      <w:r w:rsidRPr="00DD47DF">
        <w:rPr>
          <w:rFonts w:cs="Calibri"/>
        </w:rPr>
        <w:t>, která vymezuje tyto regiony na úrovni obcí s rozšířenou působností při zohlednění několika ukazatelů</w:t>
      </w:r>
      <w:r w:rsidRPr="00DD47DF">
        <w:t xml:space="preserve"> (HDP, míra nezaměstnanosti, zadluženost obce s rozšířenou působností na 1 obyvatele, dávky v hmotné nouzi, saldo migrace na 1000 obyvatel). Na tomto základě SRR identifikuje 57 hospodářsky problémových regionů, které představují dohromady 2 621 740 obyvatel, což odpovídá 24,8 % počtu obyvatel ČR při rozloze 24,7% ČR. Obecně lze říci, že vysoké míry nezaměstnanosti dominují v příhraničních oblastech a ve vnitřních periferiích. Konkrétní seznam hospodářsky problémových regionů je obsažen v příloze SRR, která byla schválena usnesením vlády ČR ze dne 15. května 2013 č. 344. Územní rozmístění těchto regionů v rámci ČR zobrazuje mapa níže.</w:t>
      </w:r>
    </w:p>
    <w:p w14:paraId="37BE9488" w14:textId="567E7090" w:rsidR="00EA28B0" w:rsidRPr="00DD47DF" w:rsidRDefault="00835DA2" w:rsidP="00EA28B0">
      <w:pPr>
        <w:pStyle w:val="Standardntext"/>
      </w:pPr>
      <w:r w:rsidRPr="00835DA2">
        <w:t>V kategorii hospodářsky problémových regionů a území s vysokou mírou nezaměstnanosti jsou také obsaženy regiony dle usnesení vlády ČR ze dne 19. října 2015 č. 826, tj. Moravskoslezský, Ústecký kraj a Karlovarský kraj, popř. zde budou zahrnuty regiony dle dalších budoucích usnesení vlády ČR týkajících se hospodářsky problémových regionů ČR.</w:t>
      </w:r>
      <w:r w:rsidR="00EA28B0" w:rsidRPr="00DD47DF">
        <w:t xml:space="preserve"> Rovněž dle SRR je v oblasti trhu práce dlouhodobě nejproblémovějším regionem Ústecký kraj, druhým problémovým územím je Moravskoslezský kraj (oba z hlediska míry nezaměstnanosti i míry dlouhodobé nezaměstnanosti).</w:t>
      </w:r>
      <w:r w:rsidR="00EA28B0" w:rsidRPr="00DD47DF">
        <w:rPr>
          <w:rStyle w:val="Znakapoznpodarou"/>
        </w:rPr>
        <w:footnoteReference w:id="82"/>
      </w:r>
      <w:r w:rsidR="00EA28B0" w:rsidRPr="00DD47DF">
        <w:t xml:space="preserve"> Regiony s největším výskytem dlouhodobé nezaměstnanosti lze dle SRR rovněž zařadit mezi sociálně vyloučené lokality či oblasti s potenciálem sociálního vyloučení (viz také oddíl 3.1.5 Dohody o partnerství).</w:t>
      </w:r>
    </w:p>
    <w:p w14:paraId="255502C5" w14:textId="77777777" w:rsidR="00EA28B0" w:rsidRDefault="00EA28B0" w:rsidP="00EA28B0">
      <w:pPr>
        <w:pStyle w:val="Standardntext"/>
      </w:pPr>
      <w:r w:rsidRPr="00DD47DF">
        <w:t xml:space="preserve">V úzké součinnosti se zmocněncem vlády pro řešení problémů spojených s revitalizací Moravskoslezského a Ústeckého kraje bude specifická podpora zaměřena na tyto dva kraje, které nejvíce ze všech krajů ČR čelí - vedle nadprůměrné míry nezaměstnanosti - také dlouhodobě selektivní migraci a nízké míře podnikavosti. Moravskoslezský kraj vykazuje nejhorší postavení z hlediska podílu MSP na celkové zaměstnanosti v ČR. Ústecký kraj dlouhodobě řeší dramatickou stagnaci aplikovaného průmyslového výzkumu a vývoje jako zdroje inovačních impulsů pro rozvoj malého a středního podnikání a nízké míře využití bývalých průmyslových areálů. Pokud jde o vlastní podporu MSP a vstupu lidí do podnikání je </w:t>
      </w:r>
      <w:r w:rsidRPr="00DD47DF">
        <w:lastRenderedPageBreak/>
        <w:t>potřebnost podpory i absorpční kapacita mezi regiony v podstatě rovnoměrně rozložená, nicméně potřebu specifické pozornosti vykazují zejména hospodářsky problémové regiony.</w:t>
      </w:r>
    </w:p>
    <w:p w14:paraId="73C1B8A5" w14:textId="42F511CF" w:rsidR="000A6951" w:rsidRPr="00DD47DF" w:rsidRDefault="000A6951" w:rsidP="00EA28B0">
      <w:pPr>
        <w:pStyle w:val="Standardntext"/>
      </w:pPr>
      <w:r w:rsidRPr="000A6951">
        <w:t>Jak je uvedeno v oddíle 4, OP PIK se zaměřuje na podporu strukturálně postižených regionů – Moravskoslezského, Ústeckého a Karlovarského kraje, které jsou zároveň účastny v evropské Platformě pro uhelné regiony v transformaci (dále jen Platforma) schválené Evropskou komisí. Podpora je v souladu s národním programem RE:START, resp. jeho Vládou ČR schváleným Souhrnným akčním plánem strategie restrukturalizace Moravskoslezského, Ústeckého a Karlovarského kraje. Platforma je inciativa EU, která usnadní rozvoj projektů a dlouhodobých strategií v uhelných regionech s cílem zahájit proces transformace a reagovat na environmentální a sociální výzvy, s kterými se potýkají všechny evropské regiony, jejichž průmysl je zaměřený na nerentabilní těžbu a zpracování uhlí. Platforma spojí evropské, vnitrostátní, regionální a místní zúčastněné strany zapojené do této transformace, aby jim pomohla posílit partnerství a navzájem se učit ze svých zkušeností. Její činnost se nejdříve zaměří na uhelné regiony a v budoucnu by měla být rozšířena i na regiony s vysokými emisemi uhlíku. Platforma má podporovat přechod na čistou energii tím, že posílí zaměření na sociální spravedlnost, strukturální transformaci, nové dovednosti a financování pro reálnou ekonomiku. Vládní program na pomoc strukturálně postiženým regionům RE:START představuje komplexní restrukturalizaci uhelných regionů postižených útlumem nebo ukončením důlní činnosti. Je vymezen sedmi pilíři Strategického rámce hospodářské restrukturalizace: podnikání a inovace, přímé investice, výzkumu a vývoj, lidské zdroje, sociální stabilizace, životní prostředí a infrastruktura a veřejná správa. Jednotlivé úkoly uložené vládou k naplnění programu realizují věcně příslušné resorty.</w:t>
      </w:r>
    </w:p>
    <w:p w14:paraId="4957FF7B" w14:textId="77777777" w:rsidR="00EA28B0" w:rsidRPr="00DD47DF" w:rsidRDefault="00EA28B0" w:rsidP="00EA28B0">
      <w:pPr>
        <w:pStyle w:val="Titulek"/>
        <w:keepNext/>
      </w:pPr>
      <w:r w:rsidRPr="00DD47DF">
        <w:t>Obrázek: Mapa hospodářsky problémových regionů a území s vysokou mírou nezaměstnanosti</w:t>
      </w:r>
    </w:p>
    <w:p w14:paraId="4FF0E933" w14:textId="77777777" w:rsidR="00450C8F" w:rsidRPr="00DD47DF" w:rsidRDefault="00EA28B0" w:rsidP="00EA28B0">
      <w:pPr>
        <w:pStyle w:val="Standardntext"/>
      </w:pPr>
      <w:r w:rsidRPr="00DD47DF">
        <w:rPr>
          <w:noProof/>
        </w:rPr>
        <w:drawing>
          <wp:inline distT="0" distB="0" distL="0" distR="0" wp14:anchorId="4AFC3186" wp14:editId="4804CA34">
            <wp:extent cx="5849620" cy="3709035"/>
            <wp:effectExtent l="0" t="0" r="0" b="571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orp_kraje+orp.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49620" cy="3709035"/>
                    </a:xfrm>
                    <a:prstGeom prst="rect">
                      <a:avLst/>
                    </a:prstGeom>
                  </pic:spPr>
                </pic:pic>
              </a:graphicData>
            </a:graphic>
          </wp:inline>
        </w:drawing>
      </w:r>
    </w:p>
    <w:p w14:paraId="682F295C" w14:textId="77777777" w:rsidR="001731F7" w:rsidRPr="00DD47DF" w:rsidRDefault="001731F7" w:rsidP="00787406">
      <w:pPr>
        <w:pStyle w:val="Standardntext"/>
      </w:pPr>
    </w:p>
    <w:p w14:paraId="74529479" w14:textId="77777777" w:rsidR="004E680E" w:rsidRPr="00DD47DF" w:rsidRDefault="00F64D76" w:rsidP="00F64D76">
      <w:pPr>
        <w:pStyle w:val="Nadpis2"/>
      </w:pPr>
      <w:bookmarkStart w:id="125" w:name="_Toc129005453"/>
      <w:r w:rsidRPr="00DD47DF">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bookmarkEnd w:id="125"/>
    </w:p>
    <w:p w14:paraId="1F16CEEF" w14:textId="77777777" w:rsidR="00EA28B0" w:rsidRPr="00DD47DF" w:rsidRDefault="00EA28B0" w:rsidP="00EA28B0">
      <w:pPr>
        <w:pStyle w:val="Standardntext"/>
      </w:pPr>
      <w:r w:rsidRPr="00DD47DF">
        <w:t>V souladu s Dohodou o partnerství budou specifické potřeby výše vymezených hospodářsky problémových regionů a území s vysokou mírou nezaměstnanosti jakožto sociálně vyloučených lokalit zohledněny pomocí preference tohoto typu území. V podmínkách OP PIK to znamená, že budou bonifikovány projekty realizované malými a středními podniky na území hospodářsky problémových regionů a území s vysokou mírou nezaměstnanosti.</w:t>
      </w:r>
    </w:p>
    <w:p w14:paraId="490D6CBB" w14:textId="77777777" w:rsidR="00EA28B0" w:rsidRPr="00DD47DF" w:rsidRDefault="00EA28B0" w:rsidP="00EA28B0">
      <w:pPr>
        <w:pStyle w:val="Standardntext"/>
      </w:pPr>
      <w:r w:rsidRPr="00DD47DF">
        <w:t xml:space="preserve">Cílovou skupinou jsou tedy podnikatelské subjekty (malé a střední podniky), které budou prostřednictvím své činnosti stimulovat ekonomickou aktivitu v daných lokalitách a tím přispívat ke zmírnění dopadů sociální exkluze a zlepšení kvality života osob zde žijících. Růst nabídky pracovních míst díky vzniku nových a rozvoji existujících podnikatelských aktivit  bude </w:t>
      </w:r>
      <w:r w:rsidR="00861E58" w:rsidRPr="00DD47DF">
        <w:t xml:space="preserve">přímo </w:t>
      </w:r>
      <w:r w:rsidR="00727734" w:rsidRPr="00DD47DF">
        <w:t xml:space="preserve">monitorován </w:t>
      </w:r>
      <w:r w:rsidRPr="00DD47DF">
        <w:t>prostřednictvím společného indikátoru výstupu „Zvýšení zaměstnanosti v podporovaných podnicích“.</w:t>
      </w:r>
    </w:p>
    <w:p w14:paraId="23112DD5" w14:textId="77777777" w:rsidR="002256CD" w:rsidRPr="00DD47DF" w:rsidRDefault="00EA28B0" w:rsidP="00EA28B0">
      <w:pPr>
        <w:pStyle w:val="Standardntext"/>
      </w:pPr>
      <w:r w:rsidRPr="00DD47DF">
        <w:t xml:space="preserve">Provázanost jednotlivých opatření směřujících ke zlepšení socio-ekonomické situace v sociálně vyloučených lokalitách bude mj. zajištěna prostřednictvím naplňování příslušných cílů </w:t>
      </w:r>
      <w:r w:rsidR="002256CD" w:rsidRPr="00DD47DF">
        <w:t xml:space="preserve">jednotlivých </w:t>
      </w:r>
      <w:r w:rsidRPr="00DD47DF">
        <w:t xml:space="preserve">integrovaných strategií ze strany nositelů </w:t>
      </w:r>
      <w:r w:rsidR="002256CD" w:rsidRPr="00DD47DF">
        <w:t xml:space="preserve">těch </w:t>
      </w:r>
      <w:r w:rsidRPr="00DD47DF">
        <w:t>integrovaných územích investic</w:t>
      </w:r>
      <w:r w:rsidR="002256CD" w:rsidRPr="00DD47DF">
        <w:t>, na jejichž území se hospodářsky problémové regiony a území s vysokou mírou nezaměstnanosti nachází</w:t>
      </w:r>
      <w:r w:rsidRPr="00DD47DF">
        <w:t xml:space="preserve"> (</w:t>
      </w:r>
      <w:r w:rsidR="002256CD" w:rsidRPr="00DD47DF">
        <w:t>zejména Ostravská, Ústecko-Chomutovská či Olomoucká ITI)</w:t>
      </w:r>
      <w:r w:rsidRPr="00DD47DF">
        <w:t>.</w:t>
      </w:r>
    </w:p>
    <w:p w14:paraId="65180D6F" w14:textId="77777777" w:rsidR="00EB504A" w:rsidRPr="00DD47DF" w:rsidRDefault="00EB504A" w:rsidP="00EB504A">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21</w:t>
      </w:r>
      <w:r w:rsidR="002756E7" w:rsidRPr="00DD47DF">
        <w:rPr>
          <w:noProof/>
        </w:rPr>
        <w:fldChar w:fldCharType="end"/>
      </w:r>
      <w:r w:rsidRPr="00DD47DF">
        <w:rPr>
          <w:noProof/>
        </w:rPr>
        <w:t>:</w:t>
      </w:r>
      <w:r w:rsidRPr="00DD47DF">
        <w:t xml:space="preserve"> Opatření pro řešení specifických potřeb zeměpisných oblastí nejvíce postižených chudobou  / cílových skupin, jimž nejvíce hrozí diskriminace nebo sociální vyloučení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68"/>
        <w:gridCol w:w="2742"/>
        <w:gridCol w:w="992"/>
        <w:gridCol w:w="709"/>
        <w:gridCol w:w="1043"/>
        <w:gridCol w:w="2272"/>
      </w:tblGrid>
      <w:tr w:rsidR="00A94514" w:rsidRPr="00DD47DF" w14:paraId="7C86A139" w14:textId="77777777" w:rsidTr="00466CFC">
        <w:trPr>
          <w:trHeight w:val="879"/>
        </w:trPr>
        <w:tc>
          <w:tcPr>
            <w:tcW w:w="1568" w:type="dxa"/>
            <w:shd w:val="clear" w:color="auto" w:fill="B8CCE4"/>
            <w:vAlign w:val="center"/>
          </w:tcPr>
          <w:p w14:paraId="66C838FC" w14:textId="77777777" w:rsidR="00A94514" w:rsidRPr="00DD47DF" w:rsidRDefault="00A94514" w:rsidP="00D162A4">
            <w:pPr>
              <w:pStyle w:val="Tabulka"/>
              <w:keepNext/>
              <w:keepLines/>
              <w:rPr>
                <w:rFonts w:cs="Calibri"/>
                <w:b/>
                <w:lang w:eastAsia="en-US"/>
              </w:rPr>
            </w:pPr>
            <w:r w:rsidRPr="00DD47DF">
              <w:rPr>
                <w:rFonts w:cs="Calibri"/>
                <w:b/>
                <w:lang w:eastAsia="en-US"/>
              </w:rPr>
              <w:t>Cílová skupina / zeměpisná oblast</w:t>
            </w:r>
          </w:p>
        </w:tc>
        <w:tc>
          <w:tcPr>
            <w:tcW w:w="2742" w:type="dxa"/>
            <w:shd w:val="clear" w:color="auto" w:fill="B8CCE4"/>
            <w:vAlign w:val="center"/>
          </w:tcPr>
          <w:p w14:paraId="2A3EF756" w14:textId="77777777" w:rsidR="00A94514" w:rsidRPr="00DD47DF" w:rsidRDefault="00A94514" w:rsidP="00D162A4">
            <w:pPr>
              <w:pStyle w:val="Tabulka"/>
              <w:keepNext/>
              <w:keepLines/>
              <w:rPr>
                <w:rFonts w:cs="Calibri"/>
                <w:b/>
                <w:lang w:eastAsia="en-US"/>
              </w:rPr>
            </w:pPr>
            <w:r w:rsidRPr="00DD47DF">
              <w:rPr>
                <w:rFonts w:cs="Calibri"/>
                <w:b/>
                <w:color w:val="000000"/>
                <w:kern w:val="32"/>
                <w:lang w:eastAsia="en-US"/>
              </w:rPr>
              <w:t>Hlavní typy plánovaného opatření jakožto součást integrovaného přístupu</w:t>
            </w:r>
          </w:p>
        </w:tc>
        <w:tc>
          <w:tcPr>
            <w:tcW w:w="992" w:type="dxa"/>
            <w:shd w:val="clear" w:color="auto" w:fill="B8CCE4"/>
            <w:vAlign w:val="center"/>
          </w:tcPr>
          <w:p w14:paraId="4CA36546" w14:textId="77777777" w:rsidR="00A94514" w:rsidRPr="00DD47DF" w:rsidRDefault="00A94514" w:rsidP="00D162A4">
            <w:pPr>
              <w:pStyle w:val="Tabulka"/>
              <w:keepNext/>
              <w:keepLines/>
              <w:rPr>
                <w:rFonts w:cs="Calibri"/>
                <w:b/>
                <w:lang w:eastAsia="en-US"/>
              </w:rPr>
            </w:pPr>
            <w:r w:rsidRPr="00DD47DF">
              <w:rPr>
                <w:rFonts w:cs="Calibri"/>
                <w:b/>
                <w:color w:val="000000"/>
                <w:kern w:val="32"/>
                <w:lang w:eastAsia="en-US"/>
              </w:rPr>
              <w:t>Prioritní osa</w:t>
            </w:r>
          </w:p>
        </w:tc>
        <w:tc>
          <w:tcPr>
            <w:tcW w:w="709" w:type="dxa"/>
            <w:shd w:val="clear" w:color="auto" w:fill="B8CCE4"/>
            <w:vAlign w:val="center"/>
          </w:tcPr>
          <w:p w14:paraId="33710FC3"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Fond</w:t>
            </w:r>
          </w:p>
        </w:tc>
        <w:tc>
          <w:tcPr>
            <w:tcW w:w="1043" w:type="dxa"/>
            <w:shd w:val="clear" w:color="auto" w:fill="B8CCE4"/>
            <w:vAlign w:val="center"/>
          </w:tcPr>
          <w:p w14:paraId="137683CF"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Kategorie regionů</w:t>
            </w:r>
          </w:p>
        </w:tc>
        <w:tc>
          <w:tcPr>
            <w:tcW w:w="2272" w:type="dxa"/>
            <w:shd w:val="clear" w:color="auto" w:fill="B8CCE4"/>
            <w:vAlign w:val="center"/>
          </w:tcPr>
          <w:p w14:paraId="44AB591E" w14:textId="77777777" w:rsidR="00A94514" w:rsidRPr="00DD47DF" w:rsidRDefault="00A94514" w:rsidP="00D162A4">
            <w:pPr>
              <w:pStyle w:val="Tabulka"/>
              <w:keepNext/>
              <w:keepLines/>
              <w:rPr>
                <w:rFonts w:cs="Calibri"/>
                <w:b/>
                <w:color w:val="000000"/>
                <w:kern w:val="32"/>
                <w:lang w:eastAsia="en-US"/>
              </w:rPr>
            </w:pPr>
            <w:r w:rsidRPr="00DD47DF">
              <w:rPr>
                <w:rFonts w:cs="Calibri"/>
                <w:b/>
                <w:color w:val="000000"/>
                <w:kern w:val="32"/>
                <w:lang w:eastAsia="en-US"/>
              </w:rPr>
              <w:t>Investiční priorita</w:t>
            </w:r>
          </w:p>
        </w:tc>
      </w:tr>
      <w:tr w:rsidR="00A94514" w:rsidRPr="00DD47DF" w14:paraId="4462314E" w14:textId="77777777" w:rsidTr="00466CFC">
        <w:tc>
          <w:tcPr>
            <w:tcW w:w="1568" w:type="dxa"/>
            <w:vAlign w:val="center"/>
          </w:tcPr>
          <w:p w14:paraId="53E3F2EE" w14:textId="77777777" w:rsidR="00A94514" w:rsidRPr="00DD47DF" w:rsidRDefault="00A94514" w:rsidP="00D162A4">
            <w:pPr>
              <w:pStyle w:val="Tabulka"/>
              <w:keepNext/>
              <w:keepLines/>
              <w:jc w:val="left"/>
              <w:rPr>
                <w:rFonts w:cs="Calibri"/>
                <w:lang w:eastAsia="en-US"/>
              </w:rPr>
            </w:pPr>
            <w:r w:rsidRPr="00DD47DF">
              <w:rPr>
                <w:rFonts w:cs="Calibri"/>
                <w:lang w:eastAsia="en-US"/>
              </w:rPr>
              <w:t>Hospodářsky problémové regiony a území s vysokou mírou nezaměstnanosti</w:t>
            </w:r>
          </w:p>
        </w:tc>
        <w:tc>
          <w:tcPr>
            <w:tcW w:w="2742" w:type="dxa"/>
            <w:vAlign w:val="center"/>
          </w:tcPr>
          <w:p w14:paraId="6AEB6B9A" w14:textId="77777777" w:rsidR="00A94514" w:rsidRPr="00DD47DF" w:rsidRDefault="00A94514" w:rsidP="00D162A4">
            <w:pPr>
              <w:pStyle w:val="Tabulka"/>
              <w:keepNext/>
              <w:keepLines/>
              <w:jc w:val="left"/>
              <w:rPr>
                <w:rFonts w:cs="Calibri"/>
                <w:lang w:eastAsia="en-US"/>
              </w:rPr>
            </w:pPr>
            <w:r w:rsidRPr="00DD47DF">
              <w:rPr>
                <w:rFonts w:cs="Calibri"/>
                <w:lang w:eastAsia="en-US"/>
              </w:rPr>
              <w:t>Bonifikace projektů v cílové zeměpisné oblasti.</w:t>
            </w:r>
          </w:p>
          <w:p w14:paraId="648BD64C" w14:textId="77777777" w:rsidR="00A94514" w:rsidRPr="00DD47DF" w:rsidRDefault="00A94514" w:rsidP="00D162A4">
            <w:pPr>
              <w:pStyle w:val="Tabulka"/>
              <w:keepNext/>
              <w:keepLines/>
              <w:jc w:val="left"/>
              <w:rPr>
                <w:rFonts w:cs="Calibri"/>
                <w:lang w:eastAsia="en-US"/>
              </w:rPr>
            </w:pPr>
            <w:r w:rsidRPr="00DD47DF">
              <w:rPr>
                <w:rFonts w:cs="Calibri"/>
                <w:lang w:eastAsia="en-US"/>
              </w:rPr>
              <w:t>Řídící orgán po úvodních plošných výzvách návazně zváží cílené vyhlášení omezených specifických výzev směřovaných výhradně do cílových zeměpisných oblastí.</w:t>
            </w:r>
          </w:p>
          <w:p w14:paraId="63A91C6A" w14:textId="77777777" w:rsidR="004905C4" w:rsidRPr="00DD47DF" w:rsidRDefault="004905C4" w:rsidP="004905C4">
            <w:pPr>
              <w:pStyle w:val="Tabulka"/>
              <w:keepNext/>
              <w:keepLines/>
              <w:jc w:val="left"/>
              <w:rPr>
                <w:rFonts w:cs="Calibri"/>
                <w:lang w:eastAsia="en-US"/>
              </w:rPr>
            </w:pPr>
            <w:r w:rsidRPr="00DD47DF">
              <w:rPr>
                <w:rFonts w:cs="Calibri"/>
                <w:lang w:eastAsia="en-US"/>
              </w:rPr>
              <w:t>Příspěvek OP PIK k relevantním ITI, na jejichž území se cílové zeměpisné oblasti nachází.</w:t>
            </w:r>
          </w:p>
        </w:tc>
        <w:tc>
          <w:tcPr>
            <w:tcW w:w="992" w:type="dxa"/>
            <w:vAlign w:val="center"/>
          </w:tcPr>
          <w:p w14:paraId="69B4038B" w14:textId="77777777" w:rsidR="00A94514" w:rsidRPr="00DD47DF" w:rsidRDefault="00A94514" w:rsidP="00D162A4">
            <w:pPr>
              <w:pStyle w:val="Tabulka"/>
              <w:keepNext/>
              <w:keepLines/>
              <w:jc w:val="left"/>
              <w:rPr>
                <w:rFonts w:cs="Calibri"/>
                <w:lang w:eastAsia="en-US"/>
              </w:rPr>
            </w:pPr>
            <w:r w:rsidRPr="00DD47DF">
              <w:rPr>
                <w:rFonts w:cs="Calibri"/>
                <w:lang w:eastAsia="en-US"/>
              </w:rPr>
              <w:t>PO 2</w:t>
            </w:r>
          </w:p>
        </w:tc>
        <w:tc>
          <w:tcPr>
            <w:tcW w:w="709" w:type="dxa"/>
            <w:vAlign w:val="center"/>
          </w:tcPr>
          <w:p w14:paraId="39F8E10F" w14:textId="77777777" w:rsidR="00A94514" w:rsidRPr="00DD47DF" w:rsidRDefault="00A94514" w:rsidP="00D162A4">
            <w:pPr>
              <w:pStyle w:val="Tabulka"/>
              <w:keepNext/>
              <w:keepLines/>
              <w:jc w:val="left"/>
              <w:rPr>
                <w:rFonts w:cs="Calibri"/>
                <w:lang w:eastAsia="en-US"/>
              </w:rPr>
            </w:pPr>
            <w:r w:rsidRPr="00DD47DF">
              <w:rPr>
                <w:rFonts w:cs="Calibri"/>
                <w:lang w:eastAsia="en-US"/>
              </w:rPr>
              <w:t>EFRR</w:t>
            </w:r>
          </w:p>
        </w:tc>
        <w:tc>
          <w:tcPr>
            <w:tcW w:w="1043" w:type="dxa"/>
            <w:vAlign w:val="center"/>
          </w:tcPr>
          <w:p w14:paraId="1BDED611" w14:textId="77777777" w:rsidR="00A94514" w:rsidRPr="00DD47DF" w:rsidRDefault="00A94514" w:rsidP="00D162A4">
            <w:pPr>
              <w:pStyle w:val="Tabulka"/>
              <w:keepNext/>
              <w:keepLines/>
              <w:jc w:val="left"/>
              <w:rPr>
                <w:rFonts w:cs="Calibri"/>
                <w:lang w:eastAsia="en-US"/>
              </w:rPr>
            </w:pPr>
            <w:r w:rsidRPr="00DD47DF">
              <w:rPr>
                <w:rFonts w:cs="Calibri"/>
                <w:lang w:eastAsia="en-US"/>
              </w:rPr>
              <w:t>Méně rozvinuté regiony</w:t>
            </w:r>
          </w:p>
        </w:tc>
        <w:tc>
          <w:tcPr>
            <w:tcW w:w="2272" w:type="dxa"/>
            <w:vAlign w:val="center"/>
          </w:tcPr>
          <w:p w14:paraId="4EC706F1" w14:textId="77777777" w:rsidR="00A94514" w:rsidRPr="00DD47DF" w:rsidRDefault="00A94514" w:rsidP="00D162A4">
            <w:pPr>
              <w:pStyle w:val="Tabulka"/>
              <w:keepNext/>
              <w:keepLines/>
              <w:jc w:val="left"/>
              <w:rPr>
                <w:rFonts w:cs="Calibri"/>
                <w:lang w:eastAsia="en-US"/>
              </w:rPr>
            </w:pPr>
            <w:r w:rsidRPr="00DD47DF">
              <w:rPr>
                <w:rFonts w:cs="Calibri"/>
                <w:lang w:eastAsia="en-US"/>
              </w:rPr>
              <w:t xml:space="preserve">3 a) </w:t>
            </w:r>
            <w:r w:rsidRPr="00DD47DF">
              <w:rPr>
                <w:rFonts w:cs="Calibri"/>
              </w:rPr>
              <w:t>Podpora podnikání, zejména usnadněním hospodářského využívání nových myšlenek a podporou zakládání nových firem, mimo jiné prostřednictvím podnikatelských inkubátorů</w:t>
            </w:r>
          </w:p>
        </w:tc>
      </w:tr>
    </w:tbl>
    <w:p w14:paraId="060A4A71" w14:textId="77777777" w:rsidR="00D616ED" w:rsidRPr="00DD47DF" w:rsidRDefault="00D616ED" w:rsidP="008A5FCE">
      <w:pPr>
        <w:pStyle w:val="Standardntext"/>
      </w:pPr>
    </w:p>
    <w:p w14:paraId="53D68101" w14:textId="77777777" w:rsidR="00174180" w:rsidRPr="00DD47DF" w:rsidRDefault="00174180" w:rsidP="00174180">
      <w:pPr>
        <w:overflowPunct/>
        <w:jc w:val="both"/>
        <w:textAlignment w:val="auto"/>
        <w:rPr>
          <w:rFonts w:ascii="Calibri" w:hAnsi="Calibri" w:cs="Calibri"/>
          <w:color w:val="FF0000"/>
          <w:sz w:val="24"/>
          <w:szCs w:val="24"/>
        </w:rPr>
      </w:pPr>
    </w:p>
    <w:p w14:paraId="671FE6CB" w14:textId="77777777" w:rsidR="004E680E" w:rsidRPr="00DD47DF" w:rsidRDefault="00F64D76" w:rsidP="00F735EC">
      <w:pPr>
        <w:pStyle w:val="Nadpis1"/>
      </w:pPr>
      <w:bookmarkStart w:id="126" w:name="_Toc129005454"/>
      <w:r w:rsidRPr="00DD47DF">
        <w:lastRenderedPageBreak/>
        <w:t>Specifické</w:t>
      </w:r>
      <w:r w:rsidR="00F735EC" w:rsidRPr="00DD47DF">
        <w:t xml:space="preserve"> potřeby zeměpisných oblastí, které jsou </w:t>
      </w:r>
      <w:r w:rsidRPr="00DD47DF">
        <w:t>závažně a trvale znevýhodněny přírodními nebo demografickými podmínkami</w:t>
      </w:r>
      <w:bookmarkEnd w:id="126"/>
      <w:r w:rsidR="004E680E" w:rsidRPr="00DD47DF">
        <w:t xml:space="preserve"> </w:t>
      </w:r>
    </w:p>
    <w:p w14:paraId="4DE5D502" w14:textId="77777777" w:rsidR="00F735EC" w:rsidRPr="00DD47DF" w:rsidRDefault="000F7B0A" w:rsidP="008A5FCE">
      <w:pPr>
        <w:pStyle w:val="Standardntext"/>
      </w:pPr>
      <w:bookmarkStart w:id="127" w:name="_Toc351464430"/>
      <w:r w:rsidRPr="00DD47DF">
        <w:t>Není relevantní pro OP PIK.</w:t>
      </w:r>
    </w:p>
    <w:p w14:paraId="052990B6" w14:textId="77777777" w:rsidR="00174180" w:rsidRPr="00DD47DF" w:rsidRDefault="00174180" w:rsidP="00174180">
      <w:pPr>
        <w:overflowPunct/>
        <w:jc w:val="both"/>
        <w:textAlignment w:val="auto"/>
        <w:rPr>
          <w:rFonts w:ascii="Calibri" w:hAnsi="Calibri" w:cs="Calibri"/>
          <w:color w:val="FF0000"/>
          <w:sz w:val="24"/>
          <w:szCs w:val="24"/>
        </w:rPr>
      </w:pPr>
    </w:p>
    <w:p w14:paraId="26A14792" w14:textId="77777777" w:rsidR="009E6172" w:rsidRPr="00DD47DF" w:rsidRDefault="00F64D76" w:rsidP="00F735EC">
      <w:pPr>
        <w:pStyle w:val="Nadpis1"/>
      </w:pPr>
      <w:bookmarkStart w:id="128" w:name="_Toc129005455"/>
      <w:bookmarkEnd w:id="127"/>
      <w:r w:rsidRPr="00DD47DF">
        <w:lastRenderedPageBreak/>
        <w:t>O</w:t>
      </w:r>
      <w:r w:rsidR="00F735EC" w:rsidRPr="00DD47DF">
        <w:t xml:space="preserve">rgány </w:t>
      </w:r>
      <w:r w:rsidRPr="00DD47DF">
        <w:t xml:space="preserve">a subjekty </w:t>
      </w:r>
      <w:r w:rsidR="00F735EC" w:rsidRPr="00DD47DF">
        <w:t xml:space="preserve">odpovědné za řízení, kontrolu a audit a </w:t>
      </w:r>
      <w:r w:rsidRPr="00DD47DF">
        <w:t>úloha</w:t>
      </w:r>
      <w:r w:rsidR="00F735EC" w:rsidRPr="00DD47DF">
        <w:t xml:space="preserve"> </w:t>
      </w:r>
      <w:r w:rsidRPr="00DD47DF">
        <w:t xml:space="preserve">příslušných </w:t>
      </w:r>
      <w:r w:rsidR="00F735EC" w:rsidRPr="00DD47DF">
        <w:t>partnerů</w:t>
      </w:r>
      <w:bookmarkEnd w:id="128"/>
      <w:r w:rsidR="00BA4E72" w:rsidRPr="00DD47DF">
        <w:t xml:space="preserve"> </w:t>
      </w:r>
    </w:p>
    <w:p w14:paraId="14438163" w14:textId="77777777" w:rsidR="006A127B" w:rsidRPr="00DD47DF" w:rsidRDefault="00F64D76" w:rsidP="00F64D76">
      <w:pPr>
        <w:pStyle w:val="Nadpis2"/>
        <w:rPr>
          <w:rFonts w:cs="Calibri"/>
        </w:rPr>
      </w:pPr>
      <w:bookmarkStart w:id="129" w:name="_Toc129005456"/>
      <w:r w:rsidRPr="00DD47DF">
        <w:rPr>
          <w:rFonts w:cs="Calibri"/>
        </w:rPr>
        <w:t>Příslušné orgány a subjekty</w:t>
      </w:r>
      <w:bookmarkEnd w:id="129"/>
    </w:p>
    <w:p w14:paraId="7CC7622B" w14:textId="77777777" w:rsidR="00D10CBC" w:rsidRPr="00DD47DF" w:rsidRDefault="00D10CBC" w:rsidP="00167303">
      <w:pPr>
        <w:pStyle w:val="Titulek"/>
        <w:keepNext/>
        <w:keepLines/>
      </w:pPr>
      <w:r w:rsidRPr="00DD47DF">
        <w:t xml:space="preserve">Tabulka </w:t>
      </w:r>
      <w:r w:rsidR="002756E7" w:rsidRPr="00DD47DF">
        <w:fldChar w:fldCharType="begin"/>
      </w:r>
      <w:r w:rsidR="000E35F2" w:rsidRPr="00DD47DF">
        <w:instrText xml:space="preserve"> SEQ Tabulka \* ARABIC \r23 </w:instrText>
      </w:r>
      <w:r w:rsidR="002756E7" w:rsidRPr="00DD47DF">
        <w:fldChar w:fldCharType="separate"/>
      </w:r>
      <w:r w:rsidR="00117847">
        <w:rPr>
          <w:noProof/>
        </w:rPr>
        <w:t>23</w:t>
      </w:r>
      <w:r w:rsidR="002756E7" w:rsidRPr="00DD47DF">
        <w:rPr>
          <w:noProof/>
        </w:rPr>
        <w:fldChar w:fldCharType="end"/>
      </w:r>
      <w:r w:rsidRPr="00DD47DF">
        <w:t xml:space="preserve">: </w:t>
      </w:r>
      <w:r w:rsidR="00F64D76" w:rsidRPr="00DD47DF">
        <w:t>Příslušné orgány a subjekty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686"/>
        <w:gridCol w:w="3366"/>
      </w:tblGrid>
      <w:tr w:rsidR="00D1521B" w:rsidRPr="00DD47DF" w14:paraId="4C6CDDCF" w14:textId="77777777">
        <w:tc>
          <w:tcPr>
            <w:tcW w:w="1260" w:type="pct"/>
            <w:shd w:val="clear" w:color="auto" w:fill="B8CCE4"/>
            <w:vAlign w:val="center"/>
          </w:tcPr>
          <w:p w14:paraId="080DF619" w14:textId="77777777" w:rsidR="00D1521B" w:rsidRPr="00DD47DF" w:rsidRDefault="00F64D76" w:rsidP="00F64D76">
            <w:pPr>
              <w:pStyle w:val="Tabulka"/>
              <w:keepNext/>
              <w:keepLines/>
              <w:rPr>
                <w:rFonts w:cs="Calibri"/>
                <w:b/>
              </w:rPr>
            </w:pPr>
            <w:r w:rsidRPr="00DD47DF">
              <w:rPr>
                <w:rFonts w:cs="Calibri"/>
                <w:b/>
              </w:rPr>
              <w:t>Orgán</w:t>
            </w:r>
            <w:r w:rsidR="00D1521B" w:rsidRPr="00DD47DF">
              <w:rPr>
                <w:rFonts w:cs="Calibri"/>
                <w:b/>
              </w:rPr>
              <w:t>/</w:t>
            </w:r>
            <w:r w:rsidRPr="00DD47DF">
              <w:rPr>
                <w:rFonts w:cs="Calibri"/>
                <w:b/>
              </w:rPr>
              <w:t>subjekt</w:t>
            </w:r>
          </w:p>
        </w:tc>
        <w:tc>
          <w:tcPr>
            <w:tcW w:w="1955" w:type="pct"/>
            <w:shd w:val="clear" w:color="auto" w:fill="B8CCE4"/>
            <w:vAlign w:val="center"/>
          </w:tcPr>
          <w:p w14:paraId="1AA6D4E8" w14:textId="77777777" w:rsidR="00D1521B" w:rsidRPr="00DD47DF" w:rsidRDefault="00D1521B" w:rsidP="00F64D76">
            <w:pPr>
              <w:pStyle w:val="Tabulka"/>
              <w:keepNext/>
              <w:keepLines/>
              <w:rPr>
                <w:rFonts w:cs="Calibri"/>
                <w:b/>
              </w:rPr>
            </w:pPr>
            <w:r w:rsidRPr="00DD47DF">
              <w:rPr>
                <w:rFonts w:cs="Calibri"/>
                <w:b/>
              </w:rPr>
              <w:t xml:space="preserve">Název </w:t>
            </w:r>
            <w:r w:rsidR="00F64D76" w:rsidRPr="00DD47DF">
              <w:rPr>
                <w:rFonts w:cs="Calibri"/>
                <w:b/>
              </w:rPr>
              <w:t>orgánu</w:t>
            </w:r>
            <w:r w:rsidRPr="00DD47DF">
              <w:rPr>
                <w:rFonts w:cs="Calibri"/>
                <w:b/>
              </w:rPr>
              <w:t>/</w:t>
            </w:r>
            <w:r w:rsidR="00F64D76" w:rsidRPr="00DD47DF">
              <w:rPr>
                <w:rFonts w:cs="Calibri"/>
                <w:b/>
              </w:rPr>
              <w:t xml:space="preserve">subjektu a </w:t>
            </w:r>
            <w:r w:rsidRPr="00DD47DF">
              <w:rPr>
                <w:rFonts w:cs="Calibri"/>
                <w:b/>
              </w:rPr>
              <w:t>odbor</w:t>
            </w:r>
            <w:r w:rsidR="00F64D76" w:rsidRPr="00DD47DF">
              <w:rPr>
                <w:rFonts w:cs="Calibri"/>
                <w:b/>
              </w:rPr>
              <w:t>u</w:t>
            </w:r>
            <w:r w:rsidRPr="00DD47DF">
              <w:rPr>
                <w:rFonts w:cs="Calibri"/>
                <w:b/>
              </w:rPr>
              <w:t xml:space="preserve"> či oddělení</w:t>
            </w:r>
          </w:p>
        </w:tc>
        <w:tc>
          <w:tcPr>
            <w:tcW w:w="1785" w:type="pct"/>
            <w:shd w:val="clear" w:color="auto" w:fill="B8CCE4"/>
            <w:vAlign w:val="center"/>
          </w:tcPr>
          <w:p w14:paraId="0D428820" w14:textId="77777777" w:rsidR="00D1521B" w:rsidRPr="00DD47DF" w:rsidRDefault="00F64D76" w:rsidP="00F64D76">
            <w:pPr>
              <w:pStyle w:val="Tabulka"/>
              <w:keepNext/>
              <w:keepLines/>
              <w:rPr>
                <w:rFonts w:cs="Calibri"/>
                <w:b/>
              </w:rPr>
            </w:pPr>
            <w:r w:rsidRPr="00DD47DF">
              <w:rPr>
                <w:rFonts w:cs="Calibri"/>
                <w:b/>
              </w:rPr>
              <w:t>Vedoucí orgánu/subjektu (pozice nebo funkce)</w:t>
            </w:r>
          </w:p>
        </w:tc>
      </w:tr>
      <w:tr w:rsidR="00D1521B" w:rsidRPr="00DD47DF" w14:paraId="00901F2C" w14:textId="77777777">
        <w:trPr>
          <w:trHeight w:val="325"/>
        </w:trPr>
        <w:tc>
          <w:tcPr>
            <w:tcW w:w="1260" w:type="pct"/>
            <w:vAlign w:val="center"/>
          </w:tcPr>
          <w:p w14:paraId="07863228" w14:textId="77777777" w:rsidR="00D1521B" w:rsidRPr="00DD47DF" w:rsidRDefault="00D1521B" w:rsidP="007D5FD2">
            <w:pPr>
              <w:pStyle w:val="Tabulka"/>
              <w:jc w:val="left"/>
              <w:rPr>
                <w:rFonts w:cs="Calibri"/>
                <w:b/>
              </w:rPr>
            </w:pPr>
            <w:r w:rsidRPr="00DD47DF">
              <w:rPr>
                <w:rFonts w:cs="Calibri"/>
                <w:b/>
              </w:rPr>
              <w:t>Řídící orgán</w:t>
            </w:r>
          </w:p>
        </w:tc>
        <w:tc>
          <w:tcPr>
            <w:tcW w:w="1955" w:type="pct"/>
            <w:vAlign w:val="center"/>
          </w:tcPr>
          <w:p w14:paraId="423EE7D9" w14:textId="77777777" w:rsidR="00D1521B" w:rsidRPr="00DD47DF" w:rsidRDefault="00D1521B" w:rsidP="00976E9C">
            <w:pPr>
              <w:pStyle w:val="Tabulka"/>
              <w:jc w:val="left"/>
              <w:rPr>
                <w:rFonts w:cs="Calibri"/>
              </w:rPr>
            </w:pPr>
            <w:r w:rsidRPr="00DD47DF">
              <w:rPr>
                <w:rFonts w:cs="Calibri"/>
              </w:rPr>
              <w:t>Mi</w:t>
            </w:r>
            <w:r w:rsidR="000E47D9" w:rsidRPr="00DD47DF">
              <w:rPr>
                <w:rFonts w:cs="Calibri"/>
              </w:rPr>
              <w:t>nisterstvo průmyslu a obchodu</w:t>
            </w:r>
            <w:r w:rsidR="00F05C0C" w:rsidRPr="00DD47DF">
              <w:rPr>
                <w:rStyle w:val="Znakapoznpodarou"/>
                <w:rFonts w:cs="Calibri"/>
              </w:rPr>
              <w:footnoteReference w:id="83"/>
            </w:r>
            <w:r w:rsidRPr="00DD47DF">
              <w:rPr>
                <w:rFonts w:cs="Calibri"/>
              </w:rPr>
              <w:t xml:space="preserve"> / </w:t>
            </w:r>
            <w:r w:rsidR="00976E9C" w:rsidRPr="00DD47DF">
              <w:rPr>
                <w:rFonts w:cs="Calibri"/>
              </w:rPr>
              <w:t>Útvar náměstka ministra pro fondy EU</w:t>
            </w:r>
          </w:p>
        </w:tc>
        <w:tc>
          <w:tcPr>
            <w:tcW w:w="1785" w:type="pct"/>
            <w:vAlign w:val="center"/>
          </w:tcPr>
          <w:p w14:paraId="025135F8" w14:textId="77777777" w:rsidR="00D1521B" w:rsidRPr="00DD47DF" w:rsidRDefault="000E0629" w:rsidP="000E0629">
            <w:pPr>
              <w:pStyle w:val="Tabulka"/>
              <w:jc w:val="left"/>
              <w:rPr>
                <w:rFonts w:cs="Calibri"/>
              </w:rPr>
            </w:pPr>
            <w:r w:rsidRPr="00DD47DF">
              <w:rPr>
                <w:rFonts w:cs="Calibri"/>
              </w:rPr>
              <w:t>N</w:t>
            </w:r>
            <w:r w:rsidR="00976E9C" w:rsidRPr="00DD47DF">
              <w:rPr>
                <w:rFonts w:cs="Calibri"/>
              </w:rPr>
              <w:t>áměstek ministra pro fondy EU</w:t>
            </w:r>
          </w:p>
        </w:tc>
      </w:tr>
      <w:tr w:rsidR="00FB33B3" w:rsidRPr="00DD47DF" w14:paraId="2E11D8A7" w14:textId="77777777">
        <w:trPr>
          <w:trHeight w:val="325"/>
        </w:trPr>
        <w:tc>
          <w:tcPr>
            <w:tcW w:w="1260" w:type="pct"/>
            <w:vAlign w:val="center"/>
          </w:tcPr>
          <w:p w14:paraId="340897AE" w14:textId="77777777" w:rsidR="00FB33B3" w:rsidRPr="00DD47DF" w:rsidRDefault="00FB33B3" w:rsidP="007D5FD2">
            <w:pPr>
              <w:pStyle w:val="Tabulka"/>
              <w:jc w:val="left"/>
              <w:rPr>
                <w:rFonts w:cs="Calibri"/>
                <w:b/>
              </w:rPr>
            </w:pPr>
            <w:r w:rsidRPr="00DD47DF">
              <w:rPr>
                <w:rFonts w:cs="Calibri"/>
                <w:b/>
              </w:rPr>
              <w:t xml:space="preserve">Zprostředkující subjekt </w:t>
            </w:r>
          </w:p>
        </w:tc>
        <w:tc>
          <w:tcPr>
            <w:tcW w:w="1955" w:type="pct"/>
            <w:vAlign w:val="center"/>
          </w:tcPr>
          <w:p w14:paraId="48AFBDA1" w14:textId="4BB1287E" w:rsidR="00370384" w:rsidRPr="00DD47DF" w:rsidRDefault="00370384" w:rsidP="00834D1C">
            <w:pPr>
              <w:pStyle w:val="Tabulka"/>
              <w:jc w:val="left"/>
              <w:rPr>
                <w:rFonts w:cs="Calibri"/>
              </w:rPr>
            </w:pPr>
            <w:r>
              <w:t xml:space="preserve">V roce </w:t>
            </w:r>
            <w:r w:rsidR="00834D1C">
              <w:t xml:space="preserve">2016 </w:t>
            </w:r>
            <w:r>
              <w:t>bude založena nová agentura, která bude plnit roli zprostředkujícího subjektu pro OP PIK. Tato agentura bude podřízena zákonu o státní službě, přičemž k podřízení agentury pod služební zákon dojde novelou zákona č. 47/20002 Sb., o podpoře malého a středního podnikání. Po přechodnou dobu budou zaměstnanci stávající agentury CzechInvest zabývající se implementací Evropských strukturálních a investičních fondů v rámci OP PIK  podřízeni obdobným pravidlům jako jsou pravidla zákona o státní službě</w:t>
            </w:r>
          </w:p>
        </w:tc>
        <w:tc>
          <w:tcPr>
            <w:tcW w:w="1785" w:type="pct"/>
            <w:vAlign w:val="center"/>
          </w:tcPr>
          <w:p w14:paraId="190AA4DE" w14:textId="77777777" w:rsidR="00370384" w:rsidRDefault="00370384" w:rsidP="00370384">
            <w:pPr>
              <w:pStyle w:val="Tabulka"/>
              <w:jc w:val="left"/>
            </w:pPr>
            <w:r>
              <w:t>Po přechodnou dobu: generální ředitel agentury pro podporu podnikání a investic Czech</w:t>
            </w:r>
            <w:r w:rsidR="00110890">
              <w:t>In</w:t>
            </w:r>
            <w:r>
              <w:t>vest.</w:t>
            </w:r>
          </w:p>
          <w:p w14:paraId="48638C80" w14:textId="77777777" w:rsidR="00DD47DF" w:rsidRPr="00DD47DF" w:rsidRDefault="00370384" w:rsidP="00370384">
            <w:pPr>
              <w:pStyle w:val="Tabulka"/>
              <w:jc w:val="left"/>
              <w:rPr>
                <w:rFonts w:cs="Calibri"/>
              </w:rPr>
            </w:pPr>
            <w:r>
              <w:t>Následně: generální ředitel nově vzniklé agentury plnící pro OP PIK roli zprostředkujícího subjektu.</w:t>
            </w:r>
          </w:p>
        </w:tc>
      </w:tr>
      <w:tr w:rsidR="0040363A" w:rsidRPr="00DD47DF" w14:paraId="442E5D08" w14:textId="77777777">
        <w:trPr>
          <w:trHeight w:val="325"/>
        </w:trPr>
        <w:tc>
          <w:tcPr>
            <w:tcW w:w="1260" w:type="pct"/>
            <w:vAlign w:val="center"/>
          </w:tcPr>
          <w:p w14:paraId="7DB14373" w14:textId="77777777" w:rsidR="0040363A" w:rsidRPr="00DD47DF" w:rsidRDefault="00260D88" w:rsidP="00260D88">
            <w:pPr>
              <w:pStyle w:val="Tabulka"/>
              <w:jc w:val="left"/>
              <w:rPr>
                <w:rFonts w:cs="Calibri"/>
                <w:b/>
              </w:rPr>
            </w:pPr>
            <w:r>
              <w:rPr>
                <w:rFonts w:cs="Calibri"/>
                <w:b/>
              </w:rPr>
              <w:t>Nositelé ITI</w:t>
            </w:r>
            <w:r w:rsidR="00110890">
              <w:rPr>
                <w:rStyle w:val="Znakapoznpodarou"/>
                <w:rFonts w:cs="Calibri"/>
                <w:b/>
              </w:rPr>
              <w:footnoteReference w:id="84"/>
            </w:r>
            <w:r>
              <w:rPr>
                <w:rFonts w:cs="Calibri"/>
                <w:b/>
              </w:rPr>
              <w:t xml:space="preserve"> </w:t>
            </w:r>
            <w:r w:rsidRPr="00260D88">
              <w:rPr>
                <w:rFonts w:cs="Calibri"/>
                <w:b/>
              </w:rPr>
              <w:t>s přesně písemně vymezenou mírou přenesených pravomocí, ve smyslu čl. 123 odst. 6 obecného nařízení</w:t>
            </w:r>
          </w:p>
        </w:tc>
        <w:tc>
          <w:tcPr>
            <w:tcW w:w="1955" w:type="pct"/>
            <w:vAlign w:val="center"/>
          </w:tcPr>
          <w:p w14:paraId="1475893E" w14:textId="77777777" w:rsidR="0040363A" w:rsidRPr="00DD47DF" w:rsidRDefault="0040363A" w:rsidP="008F7178">
            <w:pPr>
              <w:pStyle w:val="Tabulka"/>
              <w:jc w:val="left"/>
              <w:rPr>
                <w:rFonts w:cs="Calibri"/>
              </w:rPr>
            </w:pPr>
            <w:r w:rsidRPr="00DD47DF">
              <w:rPr>
                <w:rFonts w:cs="Calibri"/>
              </w:rPr>
              <w:t>Odbor/oddělení magistrátu statutárního města</w:t>
            </w:r>
          </w:p>
        </w:tc>
        <w:tc>
          <w:tcPr>
            <w:tcW w:w="1785" w:type="pct"/>
            <w:vAlign w:val="center"/>
          </w:tcPr>
          <w:p w14:paraId="7C1EC9BD" w14:textId="77777777" w:rsidR="0040363A" w:rsidRPr="00DD47DF" w:rsidRDefault="0040363A" w:rsidP="008F7178">
            <w:pPr>
              <w:pStyle w:val="Tabulka"/>
              <w:jc w:val="left"/>
              <w:rPr>
                <w:rFonts w:cs="Calibri"/>
              </w:rPr>
            </w:pPr>
            <w:r w:rsidRPr="00DD47DF">
              <w:rPr>
                <w:rFonts w:cs="Calibri"/>
              </w:rPr>
              <w:t>Primátor/Vedoucí odboru/oddělení magistrátu statutárního města</w:t>
            </w:r>
          </w:p>
        </w:tc>
      </w:tr>
      <w:tr w:rsidR="0040363A" w:rsidRPr="00DD47DF" w14:paraId="5AFE0195" w14:textId="77777777">
        <w:trPr>
          <w:trHeight w:val="325"/>
        </w:trPr>
        <w:tc>
          <w:tcPr>
            <w:tcW w:w="1260" w:type="pct"/>
            <w:vAlign w:val="center"/>
          </w:tcPr>
          <w:p w14:paraId="41B3E209" w14:textId="77777777" w:rsidR="0040363A" w:rsidRPr="00DD47DF" w:rsidRDefault="0040363A" w:rsidP="007D5FD2">
            <w:pPr>
              <w:pStyle w:val="Tabulka"/>
              <w:jc w:val="left"/>
              <w:rPr>
                <w:rFonts w:cs="Calibri"/>
                <w:b/>
              </w:rPr>
            </w:pPr>
            <w:r w:rsidRPr="00DD47DF">
              <w:rPr>
                <w:rFonts w:cs="Calibri"/>
                <w:b/>
              </w:rPr>
              <w:t>Certifikační orgán</w:t>
            </w:r>
          </w:p>
        </w:tc>
        <w:tc>
          <w:tcPr>
            <w:tcW w:w="1955" w:type="pct"/>
            <w:vAlign w:val="center"/>
          </w:tcPr>
          <w:p w14:paraId="2CF33CDA" w14:textId="77777777" w:rsidR="0040363A" w:rsidRPr="00DD47DF" w:rsidRDefault="0040363A" w:rsidP="00F05C0C">
            <w:pPr>
              <w:pStyle w:val="Tabulka"/>
              <w:jc w:val="left"/>
              <w:rPr>
                <w:rFonts w:cs="Calibri"/>
              </w:rPr>
            </w:pPr>
            <w:r w:rsidRPr="00DD47DF">
              <w:rPr>
                <w:rFonts w:cs="Calibri"/>
              </w:rPr>
              <w:t>Ministerstvo financí</w:t>
            </w:r>
            <w:r w:rsidRPr="00DD47DF">
              <w:rPr>
                <w:rStyle w:val="Znakapoznpodarou"/>
                <w:rFonts w:cs="Calibri"/>
              </w:rPr>
              <w:footnoteReference w:id="85"/>
            </w:r>
            <w:r w:rsidRPr="00DD47DF">
              <w:rPr>
                <w:rFonts w:cs="Calibri"/>
              </w:rPr>
              <w:t xml:space="preserve"> / Národní fond</w:t>
            </w:r>
          </w:p>
        </w:tc>
        <w:tc>
          <w:tcPr>
            <w:tcW w:w="1785" w:type="pct"/>
            <w:vAlign w:val="center"/>
          </w:tcPr>
          <w:p w14:paraId="0A7238E9" w14:textId="77777777" w:rsidR="0040363A" w:rsidRPr="00DD47DF" w:rsidRDefault="0040363A" w:rsidP="007D5FD2">
            <w:pPr>
              <w:pStyle w:val="Tabulka"/>
              <w:jc w:val="left"/>
              <w:rPr>
                <w:rFonts w:cs="Calibri"/>
              </w:rPr>
            </w:pPr>
            <w:r w:rsidRPr="00DD47DF">
              <w:rPr>
                <w:rFonts w:cs="Calibri"/>
              </w:rPr>
              <w:t>Ředitel</w:t>
            </w:r>
          </w:p>
        </w:tc>
      </w:tr>
      <w:tr w:rsidR="0040363A" w:rsidRPr="00DD47DF" w14:paraId="49316E76" w14:textId="77777777">
        <w:trPr>
          <w:trHeight w:val="325"/>
        </w:trPr>
        <w:tc>
          <w:tcPr>
            <w:tcW w:w="1260" w:type="pct"/>
            <w:vAlign w:val="center"/>
          </w:tcPr>
          <w:p w14:paraId="5D8FA125" w14:textId="77777777" w:rsidR="0040363A" w:rsidRPr="00DD47DF" w:rsidRDefault="0040363A" w:rsidP="007D5FD2">
            <w:pPr>
              <w:pStyle w:val="Tabulka"/>
              <w:jc w:val="left"/>
              <w:rPr>
                <w:rFonts w:cs="Calibri"/>
                <w:b/>
              </w:rPr>
            </w:pPr>
            <w:r w:rsidRPr="00DD47DF">
              <w:rPr>
                <w:rFonts w:cs="Calibri"/>
                <w:b/>
              </w:rPr>
              <w:t>Auditní orgán</w:t>
            </w:r>
          </w:p>
        </w:tc>
        <w:tc>
          <w:tcPr>
            <w:tcW w:w="1955" w:type="pct"/>
            <w:vAlign w:val="center"/>
          </w:tcPr>
          <w:p w14:paraId="6A25F77C" w14:textId="77777777" w:rsidR="0040363A" w:rsidRPr="00DD47DF" w:rsidRDefault="0040363A" w:rsidP="00F05C0C">
            <w:pPr>
              <w:pStyle w:val="Tabulka"/>
              <w:jc w:val="left"/>
              <w:rPr>
                <w:rFonts w:cs="Calibri"/>
              </w:rPr>
            </w:pPr>
            <w:r w:rsidRPr="00DD47DF">
              <w:rPr>
                <w:rFonts w:cs="Calibri"/>
              </w:rPr>
              <w:t>Ministerstvo financí</w:t>
            </w:r>
            <w:r w:rsidRPr="00DD47DF">
              <w:rPr>
                <w:rStyle w:val="Znakapoznpodarou"/>
                <w:rFonts w:cs="Calibri"/>
              </w:rPr>
              <w:footnoteReference w:id="86"/>
            </w:r>
            <w:r w:rsidRPr="00DD47DF">
              <w:rPr>
                <w:rFonts w:cs="Calibri"/>
              </w:rPr>
              <w:t xml:space="preserve"> / Auditní orgán</w:t>
            </w:r>
          </w:p>
        </w:tc>
        <w:tc>
          <w:tcPr>
            <w:tcW w:w="1785" w:type="pct"/>
            <w:vAlign w:val="center"/>
          </w:tcPr>
          <w:p w14:paraId="4D94313A" w14:textId="77777777" w:rsidR="0040363A" w:rsidRPr="00DD47DF" w:rsidRDefault="0040363A" w:rsidP="007D5FD2">
            <w:pPr>
              <w:pStyle w:val="Tabulka"/>
              <w:jc w:val="left"/>
              <w:rPr>
                <w:rFonts w:cs="Calibri"/>
                <w:color w:val="FF0000"/>
              </w:rPr>
            </w:pPr>
            <w:r w:rsidRPr="00DD47DF">
              <w:rPr>
                <w:rFonts w:cs="Calibri"/>
              </w:rPr>
              <w:t>Ředitel</w:t>
            </w:r>
          </w:p>
        </w:tc>
      </w:tr>
      <w:tr w:rsidR="0040363A" w:rsidRPr="00DD47DF" w14:paraId="50B90CFD" w14:textId="77777777">
        <w:tc>
          <w:tcPr>
            <w:tcW w:w="1260" w:type="pct"/>
            <w:vAlign w:val="center"/>
          </w:tcPr>
          <w:p w14:paraId="08679065" w14:textId="77777777" w:rsidR="0040363A" w:rsidRPr="00DD47DF" w:rsidRDefault="0040363A" w:rsidP="00F64D76">
            <w:pPr>
              <w:pStyle w:val="Tabulka"/>
              <w:jc w:val="left"/>
              <w:rPr>
                <w:rFonts w:cs="Calibri"/>
                <w:b/>
                <w:bCs/>
              </w:rPr>
            </w:pPr>
            <w:r w:rsidRPr="00DD47DF">
              <w:rPr>
                <w:rFonts w:cs="Calibri"/>
                <w:b/>
              </w:rPr>
              <w:t xml:space="preserve">Subjekt, kterému má </w:t>
            </w:r>
            <w:r w:rsidRPr="00DD47DF">
              <w:rPr>
                <w:rFonts w:cs="Calibri"/>
                <w:b/>
              </w:rPr>
              <w:lastRenderedPageBreak/>
              <w:t>Komise poukazovat platby</w:t>
            </w:r>
          </w:p>
        </w:tc>
        <w:tc>
          <w:tcPr>
            <w:tcW w:w="1955" w:type="pct"/>
            <w:vAlign w:val="center"/>
          </w:tcPr>
          <w:p w14:paraId="081B18E9" w14:textId="77777777" w:rsidR="0040363A" w:rsidRPr="00DD47DF" w:rsidRDefault="0040363A" w:rsidP="00F05C0C">
            <w:pPr>
              <w:pStyle w:val="Tabulka"/>
              <w:jc w:val="left"/>
              <w:rPr>
                <w:rFonts w:cs="Calibri"/>
              </w:rPr>
            </w:pPr>
            <w:r w:rsidRPr="00DD47DF">
              <w:rPr>
                <w:rFonts w:cs="Calibri"/>
              </w:rPr>
              <w:lastRenderedPageBreak/>
              <w:t>Ministerstvo financí</w:t>
            </w:r>
            <w:r w:rsidRPr="00DD47DF">
              <w:rPr>
                <w:rStyle w:val="Znakapoznpodarou"/>
                <w:rFonts w:cs="Calibri"/>
              </w:rPr>
              <w:footnoteReference w:id="87"/>
            </w:r>
            <w:r w:rsidRPr="00DD47DF">
              <w:rPr>
                <w:rFonts w:cs="Calibri"/>
              </w:rPr>
              <w:t xml:space="preserve"> / Národní fond</w:t>
            </w:r>
          </w:p>
        </w:tc>
        <w:tc>
          <w:tcPr>
            <w:tcW w:w="1785" w:type="pct"/>
            <w:vAlign w:val="center"/>
          </w:tcPr>
          <w:p w14:paraId="12974830" w14:textId="77777777" w:rsidR="0040363A" w:rsidRPr="00DD47DF" w:rsidRDefault="0040363A" w:rsidP="007D5FD2">
            <w:pPr>
              <w:pStyle w:val="Tabulka"/>
              <w:jc w:val="left"/>
              <w:rPr>
                <w:rFonts w:cs="Calibri"/>
                <w:color w:val="FF0000"/>
              </w:rPr>
            </w:pPr>
            <w:r w:rsidRPr="00DD47DF">
              <w:rPr>
                <w:rFonts w:cs="Calibri"/>
              </w:rPr>
              <w:t>Ředitel</w:t>
            </w:r>
          </w:p>
        </w:tc>
      </w:tr>
    </w:tbl>
    <w:p w14:paraId="66341E8C" w14:textId="77777777" w:rsidR="006A127B" w:rsidRPr="00DD47DF" w:rsidRDefault="00F64D76" w:rsidP="00F64D76">
      <w:pPr>
        <w:pStyle w:val="Nadpis2"/>
        <w:rPr>
          <w:rFonts w:cs="Calibri"/>
        </w:rPr>
      </w:pPr>
      <w:bookmarkStart w:id="130" w:name="_Toc129005457"/>
      <w:r w:rsidRPr="00DD47DF">
        <w:rPr>
          <w:rFonts w:cs="Calibri"/>
        </w:rPr>
        <w:t>Zapojení příslušných partnerů</w:t>
      </w:r>
      <w:bookmarkEnd w:id="130"/>
    </w:p>
    <w:p w14:paraId="7884DC7D" w14:textId="77777777" w:rsidR="006A127B" w:rsidRPr="00DD47DF" w:rsidRDefault="00F64D76" w:rsidP="00F64D76">
      <w:pPr>
        <w:pStyle w:val="Nadpis3"/>
        <w:rPr>
          <w:rFonts w:cs="Calibri"/>
        </w:rPr>
      </w:pPr>
      <w:bookmarkStart w:id="131" w:name="_Toc129005458"/>
      <w:r w:rsidRPr="00DD47DF">
        <w:rPr>
          <w:rFonts w:cs="Calibri"/>
        </w:rPr>
        <w:t>Opatření přijatá k zapojení příslušných partnerů do přípravy operačního programu a úlohy partnerů při provádění, monitorování a hodnocení operačního programu</w:t>
      </w:r>
      <w:bookmarkEnd w:id="131"/>
    </w:p>
    <w:p w14:paraId="1C0B9C60" w14:textId="77777777" w:rsidR="002D7AD5" w:rsidRPr="00DD47DF" w:rsidRDefault="002D7AD5" w:rsidP="002D7AD5">
      <w:pPr>
        <w:pStyle w:val="Standardntext"/>
      </w:pPr>
      <w:r w:rsidRPr="00DD47DF">
        <w:t xml:space="preserve">V roce 2011 byl na MPO ustanoven </w:t>
      </w:r>
      <w:r w:rsidRPr="00DD47DF">
        <w:rPr>
          <w:b/>
        </w:rPr>
        <w:t>Řídící tým pro programovací období k využívání prostředků ze strukturálních fondů EU 2014 – 2020</w:t>
      </w:r>
      <w:r w:rsidRPr="00DD47DF">
        <w:t>. Jeho úkolem je projednávat výstupy prací na kohezní politice a operačním programu před jejich předložením na poradu vedení MPO, Ministerstvu pro místní rozvoj a vládě ČR.</w:t>
      </w:r>
    </w:p>
    <w:p w14:paraId="047AD72F" w14:textId="77777777" w:rsidR="002D7AD5" w:rsidRPr="00DD47DF" w:rsidRDefault="00637F69" w:rsidP="002D7AD5">
      <w:pPr>
        <w:pStyle w:val="Standardntext"/>
      </w:pPr>
      <w:r w:rsidRPr="00DD47DF">
        <w:t xml:space="preserve"> V </w:t>
      </w:r>
      <w:r w:rsidR="002D7AD5" w:rsidRPr="00DD47DF">
        <w:t xml:space="preserve">roce 2011 a 2012, tj. v období před zahájením prací na programu, </w:t>
      </w:r>
      <w:r w:rsidRPr="00DD47DF">
        <w:t xml:space="preserve">byly organizovány </w:t>
      </w:r>
      <w:r w:rsidR="002D7AD5" w:rsidRPr="00DD47DF">
        <w:t xml:space="preserve">tzv. kulaté stoly se sociálními a hospodářskými partnery, na kterých byly diskutovány otázky týkající se návrhů zaměření intervencí budoucího programu. Jednání formou kulatých stolů získalo na významu a probíhalo i ve fázi vlastní přípravy programu; v roce 2013 např. v rámci </w:t>
      </w:r>
      <w:r w:rsidR="002D7AD5" w:rsidRPr="00DD47DF">
        <w:rPr>
          <w:b/>
        </w:rPr>
        <w:t>Enterprise Europe Network</w:t>
      </w:r>
      <w:r w:rsidR="002D7AD5" w:rsidRPr="00DD47DF">
        <w:rPr>
          <w:rStyle w:val="Znakapoznpodarou"/>
          <w:b/>
        </w:rPr>
        <w:footnoteReference w:id="88"/>
      </w:r>
      <w:r w:rsidR="002D7AD5" w:rsidRPr="00DD47DF">
        <w:rPr>
          <w:b/>
        </w:rPr>
        <w:t xml:space="preserve"> organizovanými Technologickým centrem Akademie věd ČR</w:t>
      </w:r>
      <w:r w:rsidR="002D7AD5" w:rsidRPr="00DD47DF">
        <w:t xml:space="preserve"> ve vybraných regionech ČR za účasti podnikatelů z příslušných regionů, kdy hlavním tématem vedle zaměření OP PIK na oblast VaVaI byly regionální RIS3 připravované příslušnými regionálními RIS3 manažery. Smyslem bylo konzultovat se zástupci firemního sektoru návrh programu, zjistit jejich názory na strukturu, specifické cíle, na rozdělení intervenčních oblastí, na navržená opatření, podporované činnosti, apod. Pozitivní z těchto setkání je skutečnost, že prioritní osa programu zaměřená na VaVaI (stěžejní téma kulatých stolů s touto cílovou skupinou) byla hodnocena kladně a navržené intervence byly shledány účelnými. Jako určitý problém hodný pozornosti k řešení z ESIF (ESF) byl obecně deklarován ze strany podnikatelů výrazný nedostatek technicky vzdělaných odborníků ve firmách.</w:t>
      </w:r>
    </w:p>
    <w:p w14:paraId="779DE469" w14:textId="77777777" w:rsidR="002D7AD5" w:rsidRPr="00DD47DF" w:rsidRDefault="002D7AD5" w:rsidP="002D7AD5">
      <w:pPr>
        <w:pStyle w:val="Standardntext"/>
      </w:pPr>
      <w:r w:rsidRPr="00DD47DF">
        <w:t xml:space="preserve">Aktivitou, která se dá zařadit pod princip partnerství a jejíž výsledky již jsou nebo v další fázi budou v programu zohledněny, je realizace externího projektu </w:t>
      </w:r>
      <w:r w:rsidRPr="00DD47DF">
        <w:rPr>
          <w:b/>
        </w:rPr>
        <w:t>GEM – Global Entrepreneurship Monitor 2013</w:t>
      </w:r>
      <w:r w:rsidRPr="00DD47DF">
        <w:t>. Jde o mezinárodní studii, kterou za ČR zpracovává VŠE za finanční spoluúčasti TA ČR a dále ve spolupráci s MPO. Cílem projektu je měřit rozdíly v podnikatelské aktivitě mezi různými zeměmi, identifikovat faktory, které tuto aktivitu ovlivňují a identifikovat opatření, která mohou podnikatelskou aktivitu podpořit. Výsledky projektu jsou ve vazbě na OP PIK relevantně využitelné pro nadefinování aktivit a intervencí programu v podstatě ve všech stávajících prioritních osách, zejména pak v oblasti rozvoje podnikání a motivace k podnikání, podnikavosti, zvyšování konkurenceschopnosti malých a středních podniků, VaV a inovací, spolupráce podniků a VaV institucí, motivace firem spolupracovat s výzkumnou sférou a vysokými školami, poradenství a nabídce služeb pro podniky, v oblasti energetiky (snižování energetické náročnosti). Se zjištěními GEMu bude pracováno při dalších pracích na programu.</w:t>
      </w:r>
    </w:p>
    <w:p w14:paraId="7F509524" w14:textId="77777777" w:rsidR="002D7AD5" w:rsidRPr="00DD47DF" w:rsidRDefault="002D7AD5" w:rsidP="002D7AD5">
      <w:pPr>
        <w:pStyle w:val="Standardntext"/>
      </w:pPr>
      <w:r w:rsidRPr="00DD47DF">
        <w:lastRenderedPageBreak/>
        <w:t>V souladu s čl. 5 obecného nařízení probíh</w:t>
      </w:r>
      <w:r w:rsidR="00243B68" w:rsidRPr="00DD47DF">
        <w:t xml:space="preserve">ala </w:t>
      </w:r>
      <w:r w:rsidRPr="00DD47DF">
        <w:t xml:space="preserve">příprava OP PIK </w:t>
      </w:r>
      <w:r w:rsidRPr="00DD47DF">
        <w:rPr>
          <w:b/>
        </w:rPr>
        <w:t>při plném respektování principu partnerství</w:t>
      </w:r>
      <w:r w:rsidRPr="00DD47DF">
        <w:t>, tj. zapojení relevantních sociálních a hospodářských partnerů a dalších národních aktérů do přípravy programu (zástupci ministerstev, hospodářských svazů a asociací, zástupci odborových svazů, zaměstnavatelských a podnikatelských svazů, asociace krajů, svazu měst a obcí, vysokých škol a akademické sféry, nevládních organizací, a dalších organizací a institucí). Respektování principu partnerství zahrnuje přípravu programu a v další fázi jeho implementaci; provádění, monitorování, hodnocení. Seznam všech partnerů zapojených do přípravy programu je uveden v kapitole 12.3.</w:t>
      </w:r>
    </w:p>
    <w:p w14:paraId="51766FCD" w14:textId="77777777" w:rsidR="002D7AD5" w:rsidRPr="00DD47DF" w:rsidRDefault="002D7AD5" w:rsidP="002D7AD5">
      <w:pPr>
        <w:pStyle w:val="Standardntext"/>
      </w:pPr>
      <w:r w:rsidRPr="00DD47DF">
        <w:t xml:space="preserve">MPO jako Řídící orgán </w:t>
      </w:r>
      <w:r w:rsidR="00CB57B2" w:rsidRPr="00DD47DF">
        <w:t xml:space="preserve">OP PIK ustanovilo </w:t>
      </w:r>
      <w:r w:rsidRPr="00DD47DF">
        <w:rPr>
          <w:b/>
        </w:rPr>
        <w:t>pracovní skupiny</w:t>
      </w:r>
      <w:r w:rsidRPr="00DD47DF">
        <w:t xml:space="preserve"> pro rozpracování prioritních os programu, pro řešení finančních nástrojů a pro řešení horizontálních témat souvisejících s implementací programu (indikátory, implementační systém, veřejná podpora, veřejné zakázky, metodika, informační systém, monitoring, atd.). </w:t>
      </w:r>
      <w:r w:rsidR="00CB57B2" w:rsidRPr="00DD47DF">
        <w:t xml:space="preserve">Tyto </w:t>
      </w:r>
      <w:r w:rsidRPr="00DD47DF">
        <w:t>pracovní skupiny, jejichž členy jsou zástupci Řídícího orgánu věcně se zabývající příslušnými agendami, byly rozšířeny o zástupce relevantních ministerstev (MMR, MPSV, MŠMT, MD, MŽP, MK) a dalších externích odborníků na problematiku řešenou v dané pracovní skupině. Hospodářští a sociální partneři byli vybíráni v rámci konzultací s vedoucími pracovních skupin. Ti, na základě svých zkušeností a dřívější spolupráce, vytipovali okruh zástupců z hospodářských a sociálních partnerů, jejichž odborné zaměření bylo pro přípravu OP PIK a jeho jednotlivých prioritních os relevantní a přínosné.</w:t>
      </w:r>
      <w:r w:rsidR="00BA4E72" w:rsidRPr="00DD47DF">
        <w:t xml:space="preserve"> </w:t>
      </w:r>
    </w:p>
    <w:p w14:paraId="47ABF0B3" w14:textId="77777777" w:rsidR="002D7AD5" w:rsidRPr="00DD47DF" w:rsidRDefault="002D7AD5" w:rsidP="002D7AD5">
      <w:pPr>
        <w:pStyle w:val="Standardntext"/>
      </w:pPr>
      <w:r w:rsidRPr="00DD47DF">
        <w:t xml:space="preserve">V lednu 2013 ustanovilo MPO </w:t>
      </w:r>
      <w:r w:rsidRPr="00DD47DF">
        <w:rPr>
          <w:b/>
        </w:rPr>
        <w:t xml:space="preserve">Platformu pro přípravu OP PIK. </w:t>
      </w:r>
      <w:r w:rsidRPr="00DD47DF">
        <w:t>Do Platformy byli jmenováni jako členové vedle zástupců MPO zástupci MMR-NOK, MF, zástupci řídicích orgánů relevantních operačních programů (MŠMT, MPSV, MŽP, MZe, MD), agentury CzechInvest, TA ČR a hospodářských a sociálních partnerů, včetně zástupců neziskové sféry. Jednání Platformy se účastní rovněž vedoucí pracovních skupin MPO a zástupci ex-ante hodnotitele a SEA hodnotitele programu. Členové Platformy dohlíží na přípravu programu a zajišťují zohlednění zájmů relevantních partnerů a respektování principu partnerství při jeho přípravě. Jednotlivé instituce, organizace a svazy byly vybírány do Platformy podle relevantnosti zaměření jejich činnosti k operačnímu programu a na základě oslovení Řídícím orgánem OP PIK jmenovaly samy své zástupce. V několika případech požádaly o zastoupení v Platformě přímo. Během přípravy operačního programu jsou konzultovány a připomínkovány pracovní verze programu nejprve v rámci Řídícího orgánu, návazně v pracovních skupinách, dále s jednotlivými věcně příslušnými útvary MPO a následně i s dalšími partnery, mj. v rámci jednání Platformy. Postupně schvalované a připomínkované verze operačního programu jsou aktualizovány, a to také v návaznosti na výstupy SEA a ex-ante hodnocení programu a na základě připomínek ze strany MMR-NOK. Mimo jednání Platformy a pracovních skupin probíhají na principu partnerství rovněž bilaterální jednání. V souvislosti s principem partnerství je Řídící orgán OP PIK zapojen i do činnosti pracovních skupin a platforem řízených MMR: Meziresortní expertní poradní skupina pro přípravu metodického prostředí, PS pro přípravu Dohody o partnerství, PS k rozpracování programů 2014 – 2020, PS k integrovaným přístupům a územní dimenzi, dále je Řídící orgán OP PIK zapojen do činnosti platforem a řídících výborů ostatních řídících orgánů a v neposlední řadě do činnosti Rady pro ESI fondy a jejích tematicky zaměřených pracovních skupin.</w:t>
      </w:r>
    </w:p>
    <w:p w14:paraId="2A3DEC14" w14:textId="77777777" w:rsidR="002D7AD5" w:rsidRPr="00DD47DF" w:rsidRDefault="002D7AD5" w:rsidP="002D7AD5">
      <w:pPr>
        <w:pStyle w:val="Standardntext"/>
      </w:pPr>
      <w:r w:rsidRPr="00DD47DF">
        <w:t xml:space="preserve">V první fázi přípravy programu byly s partnery konzultovány nejprve možnosti jejich zapojení do činnosti příslušných pracovních skupin Řídícího orgánu a následně to byly již otázky vlastního věcného zaměření programu a jeho prioritních os, tj. věcné nastavení intervencí programu, jejich koncentrace či rozšíření, dále otázky forem podpory (dotace, finanční nástroje), příjemců (malé a střední podniky, velké podniky a další subjekty), hraničních oblastí </w:t>
      </w:r>
      <w:r w:rsidRPr="00DD47DF">
        <w:lastRenderedPageBreak/>
        <w:t>(překryvů a synergií) s ostatními programy. Dále byly projednávány otázky zapracování a zohlednění územní dimenze v programu, indikátorů, finančních alokací a nastavení systému implementace a jeho jednotlivých subjektů.</w:t>
      </w:r>
      <w:r w:rsidR="00BA4E72" w:rsidRPr="00DD47DF">
        <w:t xml:space="preserve"> </w:t>
      </w:r>
    </w:p>
    <w:p w14:paraId="24968812" w14:textId="77777777" w:rsidR="002D7AD5" w:rsidRPr="00DD47DF" w:rsidRDefault="002D7AD5" w:rsidP="002D7AD5">
      <w:pPr>
        <w:pStyle w:val="Standardntext"/>
      </w:pPr>
      <w:r w:rsidRPr="00DD47DF">
        <w:t xml:space="preserve">Základním nástrojem pro zapojení partnerů do implementace, monitorování, a evaluací operačního programu bude </w:t>
      </w:r>
      <w:r w:rsidRPr="00DD47DF">
        <w:rPr>
          <w:b/>
        </w:rPr>
        <w:t>Monitorovací výbor OP PIK</w:t>
      </w:r>
      <w:r w:rsidRPr="00DD47DF">
        <w:t>. Monitorovací výbor bude ustanoven na návrh Řídicího orgánu nejpozději do 3 měsíců od schválení programu Evropskou komisí. Při sestavování Monitorovacího výboru bude primárně vycházeno z členství v Platformě MPO pro přípravu OP PIK tak, aby se aktéři zapojení do přípravy OP PIK odpovídajícím způsobem podíleli také na jeho provádění.</w:t>
      </w:r>
      <w:r w:rsidR="00243B68" w:rsidRPr="00DD47DF">
        <w:t xml:space="preserve"> Zapojení partnerů do činnosti </w:t>
      </w:r>
      <w:r w:rsidR="00637F69" w:rsidRPr="00DD47DF">
        <w:t xml:space="preserve">a jednání </w:t>
      </w:r>
      <w:r w:rsidR="00243B68" w:rsidRPr="00DD47DF">
        <w:t>MV OP PIK</w:t>
      </w:r>
      <w:r w:rsidR="00637F69" w:rsidRPr="00DD47DF">
        <w:t xml:space="preserve"> a náklady s tím spojené budou hrazeny z prostředků technické pomoci programu, tj. v rámci SC 5.1 prioritní osy 5 programu. Vedle MV OP PIK bude ustanovena na principu partnerství dále </w:t>
      </w:r>
      <w:r w:rsidR="00637F69" w:rsidRPr="00DD47DF">
        <w:rPr>
          <w:b/>
        </w:rPr>
        <w:t>Platforma pro plánování výzev</w:t>
      </w:r>
      <w:r w:rsidR="00637F69" w:rsidRPr="00DD47DF">
        <w:t xml:space="preserve">, jejíž činnost bude také financována z prostředků technické pomoci. </w:t>
      </w:r>
    </w:p>
    <w:p w14:paraId="3DEED4FC" w14:textId="77777777" w:rsidR="002D7AD5" w:rsidRPr="00DD47DF" w:rsidRDefault="002D7AD5" w:rsidP="002D7AD5">
      <w:pPr>
        <w:pStyle w:val="Modrnadpis"/>
        <w:ind w:left="0" w:firstLine="0"/>
      </w:pPr>
      <w:r w:rsidRPr="00DD47DF">
        <w:t>Hlavní výsledky a závěry z jednání s partnery ve fázi přípravy programu a jejich zohlednění v operačním programu</w:t>
      </w:r>
    </w:p>
    <w:p w14:paraId="0E6D951A" w14:textId="77777777" w:rsidR="002D7AD5" w:rsidRPr="00DD47DF" w:rsidRDefault="002D7AD5" w:rsidP="002D7AD5">
      <w:pPr>
        <w:pStyle w:val="Standardntext"/>
      </w:pPr>
      <w:r w:rsidRPr="00DD47DF">
        <w:t xml:space="preserve">K OP PIK proběhla tři kola připomínkových řízení, ve kterých mohly k návrhu programu vznést připomínky jak členové Platformy, tak členové pracovních skupin. Došlé připomínky byly partnerům prezentovány a s nimi projednány. Při připomínkování první verze programu (březen 2013) převažovaly otázky věcného zaměření intervencí programu a národních strategií, ze kterých by měl program vycházet. V této fázi bylo potřeba ze strany Řídícího orgánu vysvětlovat partnerům celkovou filosofii kohezní politiky 2014 - 2020, která je v mnohem větší míře zaměřena na výsledky a na koncentraci zdrojů na menší počet priorit vázaných na tematické cíle a investiční priority dle příslušných nařízení. Diskuse se vedly např. v oblasti energetiky (distribuční a přenosové sítě), v oblasti míry a rozsahu uplatnění finančních nástrojů v programu, o otázce podpory nejen MSP, ale i velkých podniků, což je pro ČR důležitá otázka při vyjednání programu. </w:t>
      </w:r>
    </w:p>
    <w:p w14:paraId="1CFDB9D9" w14:textId="77777777" w:rsidR="002D7AD5" w:rsidRPr="00DD47DF" w:rsidRDefault="00CB57B2" w:rsidP="002D7AD5">
      <w:pPr>
        <w:pStyle w:val="Standardntext"/>
      </w:pPr>
      <w:r w:rsidRPr="00DD47DF">
        <w:t xml:space="preserve">Při </w:t>
      </w:r>
      <w:r w:rsidR="002D7AD5" w:rsidRPr="00DD47DF">
        <w:t xml:space="preserve">připomínkování druhé verze (červen 2013) a následně čtvrté verze programu (listopad 2013) byly diskutovány otázky vztahující se k implementaci (určení </w:t>
      </w:r>
      <w:r w:rsidR="00487A2D" w:rsidRPr="00DD47DF">
        <w:t xml:space="preserve">zprostředkujícího </w:t>
      </w:r>
      <w:r w:rsidR="002D7AD5" w:rsidRPr="00DD47DF">
        <w:t>subjekt</w:t>
      </w:r>
      <w:r w:rsidR="00487A2D" w:rsidRPr="00DD47DF">
        <w:t>u</w:t>
      </w:r>
      <w:r w:rsidR="002D7AD5" w:rsidRPr="00DD47DF">
        <w:t>, zapojení regionálních partnerů, apod.), návrhy absorpční kapacity a rozložení alokací na jednotlivé prioritní osy, územní dimenze a zejména soulad programu s Dohodou o partnerství. V této fázi bylo docíleno zásadního posunu v zaměření prioritní osy 1, čímž došlo při redukci specifických cílů k efektivnějšímu provázání aktivit mezi OP PIK a OP VVV (podpora aplikovaného průmyslového výzkumu v rámci OP PIK), a prioritní osy 2, kde bylo upřesněno zejména zaměření a rozsah specializovaných služeb pro MSP a odborné vzdělávání v podnicích ve vazbě na OPZ. Dále došlo k zásadním změnám v prioritní ose 3 v oblasti energetiky (inteligentní přenosové sítě, přesun tématu VaVaI v energetice do prioritní osy 1, ekoinovace). Diskutovány byly otázky vazeb mezi programy, zejména vazby mezi OP PIK a OP VVV, kde se předpokládají největší synergické efekty, dále</w:t>
      </w:r>
      <w:r w:rsidR="00BA4E72" w:rsidRPr="00DD47DF">
        <w:t xml:space="preserve"> OP PIK a OPZ</w:t>
      </w:r>
      <w:r w:rsidR="002D7AD5" w:rsidRPr="00DD47DF">
        <w:t xml:space="preserve">, OP ŽP, PRV a OP PPR. V souvislosti s posledně jmenovaným programem byla zvážena možnost využití čl. 70 obecného nařízení k podpoře subjektů v rámci prioritní osy 1 mimo programovou oblast OP PIK, tj. z regionu podporovaného v rámci OP PPR. Důležitým tématem bylo využití finančních nástrojů a příjemců v oblasti finančních nástrojů. V otázce řešení územní dimenze a integrovaných nástrojů (zejména ITI) došlo v rámci jednání s relevantními regionálními partnery a MMR-NOK ke shodě ohledně zohlednění této problematiky v operačním programu. V závěrečné fázi tvorby programu (červen 2014) byla témata z oblasti VaV a inovací navrhovaná k podpoře </w:t>
      </w:r>
      <w:r w:rsidR="002D7AD5" w:rsidRPr="00DD47DF">
        <w:lastRenderedPageBreak/>
        <w:t>v OP PIK diskutována s relevantními partnery z řad podnikatelů v rámci kulatých stolů, které Řídící orgán organizoval pro naplněni doporučení využít v rámci principu partnerství tzv. „</w:t>
      </w:r>
      <w:r w:rsidR="002D7AD5" w:rsidRPr="00DD47DF">
        <w:rPr>
          <w:b/>
        </w:rPr>
        <w:t>entrepreneurial discovery proces</w:t>
      </w:r>
      <w:r w:rsidR="002D7AD5" w:rsidRPr="00DD47DF">
        <w:t>“. Výsledky těchto setkání budou využity zejména při koncipování jednotlivých programů podpory pro VaV a inovace a systému jejich implementace</w:t>
      </w:r>
      <w:r w:rsidR="00637F69" w:rsidRPr="00DD47DF">
        <w:t xml:space="preserve"> (zejména ve vazbě na RIS3)</w:t>
      </w:r>
      <w:r w:rsidR="002D7AD5" w:rsidRPr="00DD47DF">
        <w:t>.</w:t>
      </w:r>
    </w:p>
    <w:p w14:paraId="4CCF8489" w14:textId="77777777" w:rsidR="002D7AD5" w:rsidRPr="00DD47DF" w:rsidRDefault="002D7AD5" w:rsidP="002D7AD5">
      <w:pPr>
        <w:pStyle w:val="Standardntext"/>
      </w:pPr>
      <w:r w:rsidRPr="00DD47DF">
        <w:t>V rámci přípravy prioritní osy 1 nebyly zaznamenány zásadní připomínky týkající se zvolených oblastí podpory, připomínky se týkaly spíše rozčlenění aktivit do specifických cílů, které byly následně upraveny, a ujasňování obsahu plánovaných podporovaných aktivit, které byly promítnuty do rozpracovaných typových projektů. Zohledněny byly rovněž připomínky týkající se nastavení indikátorové soustavy.</w:t>
      </w:r>
    </w:p>
    <w:p w14:paraId="501C5948" w14:textId="77777777" w:rsidR="002D7AD5" w:rsidRPr="00DD47DF" w:rsidRDefault="002D7AD5" w:rsidP="002D7AD5">
      <w:pPr>
        <w:pStyle w:val="Standardntext"/>
      </w:pPr>
      <w:r w:rsidRPr="00DD47DF">
        <w:t>Připomínky partnerů k návrhům v rámci prioritní osy 2 jsou uplatňovány průběžně při jejich přípravě a projednávání. V úvodní etapě přípravy se připomínky týkaly především stanovení cílů, kterých má být PO 2 dosaženo a navrhovaných aktivit. Dále se řešil zejména přístup k podporám začínajících a rozvojových podniků, podnikatelské infrastruktury, poradenství pro začínající podniky, podpora internacionalizace MSP, sociálního podnikání, odborného vzdělávání zaměstnanců a zaměstnavatelů, a také otázky územní dimenze a formy podpory. Připomínky partnerů byly diskutovány na jednáních pracovní skupiny PO 2, elektronicky a také při osobních setkáních na jednáních platformy a dalších tematických akcích OP PIK. Převážná většina připomínek byla na základě argumentace vypořádána a nebyly zaznamenány zásadní rozpory.</w:t>
      </w:r>
    </w:p>
    <w:p w14:paraId="6A99ED01" w14:textId="77777777" w:rsidR="002D7AD5" w:rsidRPr="00DD47DF" w:rsidRDefault="002D7AD5" w:rsidP="002D7AD5">
      <w:pPr>
        <w:pStyle w:val="Standardntext"/>
      </w:pPr>
      <w:r w:rsidRPr="00DD47DF">
        <w:t>V průběhu přípravy PO 3 proběhlo několik jednání, na kterých byly mj. se zástupci odborných asociací, energetických expertů a nevládních organizací diskutovány otázky týkající se zaměření podporovaných aktivit a finanční alokace jednotlivých specifických cílů. Veškeré připomínky byly vypořádány v rámci diskuzních setkání případně přes formální připomínkové řízení. Opakovaně zmiňovaným požadavkem bylo navýšení alokace u SC 3.2 z důvodu naplňování Směrnice Evropského parlamentu a Rady 2012/27/EU o energetické účinnosti, která stanovuje zavedení orientačních vnitrostátních cílů energetické účinnosti do roku 2020. Tento požadavek byl s ohledem na relevantnost plně akceptován. Dále bylo například diskutováno zařazení instalace obnovitelných zdrojů energie v podnicích do SC 3.2, kde pracovní skupina dospěla ke konsenzu v podobě zařazení s upřesněním, že se musí jednat o zařízení pro vlastní spotřebu podniku.</w:t>
      </w:r>
    </w:p>
    <w:p w14:paraId="2E263501" w14:textId="77777777" w:rsidR="002D7AD5" w:rsidRPr="00DD47DF" w:rsidRDefault="002D7AD5" w:rsidP="002D7AD5">
      <w:pPr>
        <w:pStyle w:val="Standardntext"/>
      </w:pPr>
      <w:r w:rsidRPr="00DD47DF">
        <w:t>Pokud jde o prioritní osu 4, partneři zapojení do přípravy této prioritní osy uplatnili v zásadě jen několik málo připomínek zásadního charakteru, např. připomínky týkající se typu technologie aplikovatelné v rámci SC 4.1 (řešení založené na družicové telekomunikaci) či vymezení příjemců podpory v SC 4.2 (neomezovat příjemce selektivně dle klasifikace ekonomických činností).</w:t>
      </w:r>
    </w:p>
    <w:p w14:paraId="0ACC2196" w14:textId="77777777" w:rsidR="002D7AD5" w:rsidRPr="00DD47DF" w:rsidRDefault="002D7AD5" w:rsidP="002D7AD5">
      <w:pPr>
        <w:pStyle w:val="Standardntext"/>
      </w:pPr>
      <w:r w:rsidRPr="00DD47DF">
        <w:t>Povinnou součástí přípravy operačního programu bylo předběžné (ex-ante) hodnocení, které probíhalo paralelně s přípravou programu. Ex-ante hodnotitel byl zapojen do jednání Platformy a dle potřeby se účastnil jednání pracovních skupin či bilaterálních jednání Řídícího orgánu. Verze OP PIK předložená EK je zhodnocena v závěrečné zprávě ex-ante hodnocení, která je přílohou programového dokumentu. Spolupráce řídícího orgánu s ex-ante hodnotitelem probíhala dle doporučení MMR-NOK a EK po celou dobu tvorby programu</w:t>
      </w:r>
      <w:r w:rsidR="00CB57B2" w:rsidRPr="00DD47DF">
        <w:t xml:space="preserve">. </w:t>
      </w:r>
    </w:p>
    <w:p w14:paraId="54313023" w14:textId="77777777" w:rsidR="002F5A67" w:rsidRPr="00DD47DF" w:rsidRDefault="002D7AD5" w:rsidP="002D7AD5">
      <w:pPr>
        <w:pStyle w:val="Standardntext"/>
      </w:pPr>
      <w:r w:rsidRPr="00DD47DF">
        <w:t xml:space="preserve">Za účelem informování veřejnosti o přípravě </w:t>
      </w:r>
      <w:r w:rsidR="00CB57B2" w:rsidRPr="00DD47DF">
        <w:t xml:space="preserve">OP PIK </w:t>
      </w:r>
      <w:r w:rsidRPr="00DD47DF">
        <w:t>a jeho implementaci je Řídícím orgánem zřízena webová stránka</w:t>
      </w:r>
      <w:r w:rsidR="00CB57B2" w:rsidRPr="00DD47DF">
        <w:t xml:space="preserve"> </w:t>
      </w:r>
      <w:r w:rsidRPr="00DD47DF">
        <w:t>(</w:t>
      </w:r>
      <w:hyperlink r:id="rId53" w:history="1">
        <w:r w:rsidRPr="00DD47DF">
          <w:rPr>
            <w:rStyle w:val="Hypertextovodkaz"/>
          </w:rPr>
          <w:t>http://www.mpo.cz/cz/podpora-podnikani/oppik/</w:t>
        </w:r>
      </w:hyperlink>
      <w:r w:rsidRPr="00DD47DF">
        <w:t>).</w:t>
      </w:r>
    </w:p>
    <w:p w14:paraId="7E1094D7" w14:textId="77777777" w:rsidR="006A127B" w:rsidRPr="00DD47DF" w:rsidRDefault="00F64D76" w:rsidP="00F64D76">
      <w:pPr>
        <w:pStyle w:val="Nadpis3"/>
        <w:rPr>
          <w:rFonts w:cs="Calibri"/>
        </w:rPr>
      </w:pPr>
      <w:bookmarkStart w:id="132" w:name="_Toc129005459"/>
      <w:r w:rsidRPr="00DD47DF">
        <w:rPr>
          <w:rFonts w:cs="Calibri"/>
        </w:rPr>
        <w:lastRenderedPageBreak/>
        <w:t>Globální granty (pro ESF, použije-li se)</w:t>
      </w:r>
      <w:bookmarkEnd w:id="132"/>
    </w:p>
    <w:p w14:paraId="5D2AEC0C" w14:textId="77777777" w:rsidR="00091C87" w:rsidRPr="00DD47DF" w:rsidRDefault="000F7B0A" w:rsidP="00064717">
      <w:pPr>
        <w:pStyle w:val="Standardntext"/>
        <w:tabs>
          <w:tab w:val="center" w:pos="4606"/>
        </w:tabs>
      </w:pPr>
      <w:r w:rsidRPr="00DD47DF">
        <w:t>Není relevantní pro OP PIK.</w:t>
      </w:r>
      <w:r w:rsidR="00064717" w:rsidRPr="00DD47DF">
        <w:tab/>
      </w:r>
    </w:p>
    <w:p w14:paraId="52AE7095" w14:textId="77777777" w:rsidR="006A127B" w:rsidRPr="00DD47DF" w:rsidRDefault="00F64D76" w:rsidP="00F64D76">
      <w:pPr>
        <w:pStyle w:val="Nadpis3"/>
        <w:rPr>
          <w:rFonts w:cs="Calibri"/>
        </w:rPr>
      </w:pPr>
      <w:bookmarkStart w:id="133" w:name="_Toc129005460"/>
      <w:r w:rsidRPr="00DD47DF">
        <w:rPr>
          <w:rFonts w:cs="Calibri"/>
        </w:rPr>
        <w:t>Přidělení částky na vytváření kapacit (pro ESF, použije-li se)</w:t>
      </w:r>
      <w:bookmarkEnd w:id="133"/>
    </w:p>
    <w:p w14:paraId="0921F75F" w14:textId="77777777" w:rsidR="00091C87" w:rsidRPr="00DD47DF" w:rsidRDefault="000F7B0A" w:rsidP="008A5FCE">
      <w:pPr>
        <w:pStyle w:val="Standardntext"/>
      </w:pPr>
      <w:r w:rsidRPr="00DD47DF">
        <w:t>Není relevantní pro OP PIK.</w:t>
      </w:r>
    </w:p>
    <w:p w14:paraId="771BB8EC" w14:textId="77777777" w:rsidR="009E6172" w:rsidRPr="00DD47DF" w:rsidRDefault="00FF200C" w:rsidP="00FF200C">
      <w:pPr>
        <w:pStyle w:val="Nadpis1"/>
      </w:pPr>
      <w:bookmarkStart w:id="134" w:name="_Toc129005461"/>
      <w:r w:rsidRPr="00DD47DF">
        <w:lastRenderedPageBreak/>
        <w:t xml:space="preserve">Koordinace mezi fondy, EZFRV, </w:t>
      </w:r>
      <w:r w:rsidR="001B1FD9" w:rsidRPr="00DD47DF">
        <w:t>EMFF</w:t>
      </w:r>
      <w:r w:rsidRPr="00DD47DF">
        <w:t xml:space="preserve"> a dalšími unijními a </w:t>
      </w:r>
      <w:r w:rsidR="00F64D76" w:rsidRPr="00DD47DF">
        <w:t>vnitrostátními</w:t>
      </w:r>
      <w:r w:rsidRPr="00DD47DF">
        <w:t xml:space="preserve"> </w:t>
      </w:r>
      <w:r w:rsidR="00F64D76" w:rsidRPr="00DD47DF">
        <w:t>finančními</w:t>
      </w:r>
      <w:r w:rsidRPr="00DD47DF">
        <w:t xml:space="preserve"> nástroji a s EIB</w:t>
      </w:r>
      <w:bookmarkEnd w:id="134"/>
    </w:p>
    <w:p w14:paraId="7D922586" w14:textId="77777777" w:rsidR="000B1CBB" w:rsidRPr="00DD47DF" w:rsidRDefault="000B1CBB" w:rsidP="00396141">
      <w:pPr>
        <w:pStyle w:val="Modrnadpis"/>
        <w:rPr>
          <w:rFonts w:eastAsia="Arial Unicode MS"/>
        </w:rPr>
      </w:pPr>
      <w:r w:rsidRPr="00DD47DF">
        <w:t xml:space="preserve">Zajištění koordinace </w:t>
      </w:r>
      <w:r w:rsidR="0084638B" w:rsidRPr="00DD47DF">
        <w:t>mezi</w:t>
      </w:r>
      <w:r w:rsidRPr="00DD47DF">
        <w:t xml:space="preserve"> </w:t>
      </w:r>
      <w:r w:rsidR="0016670E" w:rsidRPr="00DD47DF">
        <w:t>programy ESIF</w:t>
      </w:r>
    </w:p>
    <w:p w14:paraId="6AB6862E" w14:textId="77777777" w:rsidR="00732320" w:rsidRPr="00DD47DF" w:rsidRDefault="000B1709" w:rsidP="000B1709">
      <w:pPr>
        <w:pStyle w:val="Standardntext"/>
      </w:pPr>
      <w:r w:rsidRPr="00DD47DF">
        <w:t xml:space="preserve">Bližší specifikace </w:t>
      </w:r>
      <w:r w:rsidR="008C0067" w:rsidRPr="00DD47DF">
        <w:t xml:space="preserve">níže </w:t>
      </w:r>
      <w:r w:rsidRPr="00DD47DF">
        <w:t>identifikovaných komplementárních a synergických vazeb</w:t>
      </w:r>
      <w:r w:rsidR="00CF4719" w:rsidRPr="00DD47DF">
        <w:t>, včetně koordinačních mechanismů,</w:t>
      </w:r>
      <w:r w:rsidRPr="00DD47DF">
        <w:t xml:space="preserve"> je součástí </w:t>
      </w:r>
      <w:r w:rsidR="00D3716C" w:rsidRPr="00DD47DF">
        <w:t>Nepovinné p</w:t>
      </w:r>
      <w:r w:rsidRPr="00DD47DF">
        <w:t xml:space="preserve">řílohy č. </w:t>
      </w:r>
      <w:r w:rsidR="00F734D1" w:rsidRPr="00DD47DF">
        <w:t>4</w:t>
      </w:r>
      <w:r w:rsidRPr="00DD47DF">
        <w:t>.</w:t>
      </w:r>
    </w:p>
    <w:p w14:paraId="77468054" w14:textId="77777777" w:rsidR="000B1709" w:rsidRPr="00DD47DF" w:rsidRDefault="005B0FF9" w:rsidP="000B1709">
      <w:pPr>
        <w:pStyle w:val="Standardntext"/>
      </w:pPr>
      <w:r w:rsidRPr="00DD47DF">
        <w:t xml:space="preserve">Mechanismem spolupráce </w:t>
      </w:r>
      <w:r w:rsidR="00706740" w:rsidRPr="00DD47DF">
        <w:t xml:space="preserve">jsou a nadále </w:t>
      </w:r>
      <w:r w:rsidR="00A567C4" w:rsidRPr="00DD47DF">
        <w:t xml:space="preserve">budou </w:t>
      </w:r>
      <w:r w:rsidRPr="00DD47DF">
        <w:t xml:space="preserve">jednak bilaterální </w:t>
      </w:r>
      <w:r w:rsidR="006D168E" w:rsidRPr="00DD47DF">
        <w:t>(v případě většího počtu zainteresovaných řídících orgánů</w:t>
      </w:r>
      <w:r w:rsidRPr="00DD47DF">
        <w:t xml:space="preserve"> multilaterální</w:t>
      </w:r>
      <w:r w:rsidR="006D168E" w:rsidRPr="00DD47DF">
        <w:t>)</w:t>
      </w:r>
      <w:r w:rsidRPr="00DD47DF">
        <w:t xml:space="preserve"> diskuse ohledně věcného zaměření příslušných oblastí intervencí a rovněž v</w:t>
      </w:r>
      <w:r w:rsidR="006D168E" w:rsidRPr="00DD47DF">
        <w:t>zájemná</w:t>
      </w:r>
      <w:r w:rsidRPr="00DD47DF">
        <w:t xml:space="preserve"> účast v relevantních </w:t>
      </w:r>
      <w:r w:rsidR="00B6210A" w:rsidRPr="00DD47DF">
        <w:t xml:space="preserve">pracovních skupinách či </w:t>
      </w:r>
      <w:r w:rsidRPr="00DD47DF">
        <w:t xml:space="preserve">platformách ustavených </w:t>
      </w:r>
      <w:r w:rsidR="006D168E" w:rsidRPr="00DD47DF">
        <w:t>na úrovni operačních programů</w:t>
      </w:r>
      <w:r w:rsidR="005473E3" w:rsidRPr="00DD47DF">
        <w:t xml:space="preserve"> i</w:t>
      </w:r>
      <w:r w:rsidR="006D168E" w:rsidRPr="00DD47DF">
        <w:t xml:space="preserve"> Dohody o partnerství</w:t>
      </w:r>
      <w:r w:rsidRPr="00DD47DF">
        <w:t>.</w:t>
      </w:r>
      <w:r w:rsidR="00B6210A" w:rsidRPr="00DD47DF">
        <w:t xml:space="preserve"> Ve fázi realizace se </w:t>
      </w:r>
      <w:r w:rsidR="0062540E" w:rsidRPr="00DD47DF">
        <w:t xml:space="preserve">u vybraných aktivit </w:t>
      </w:r>
      <w:r w:rsidR="00B6210A" w:rsidRPr="00DD47DF">
        <w:t xml:space="preserve">předpokládá </w:t>
      </w:r>
      <w:r w:rsidR="0062540E" w:rsidRPr="00DD47DF">
        <w:t xml:space="preserve">koordinace výzev a dále </w:t>
      </w:r>
      <w:r w:rsidR="00B6210A" w:rsidRPr="00DD47DF">
        <w:t>vzájemné zastoupení zástupců řídícího orgánu daného programu na monitorovacích výborech, koordinace prostřednictvím centrálního webového rozhraní MMR-NOK poskytující komplexní informace potenciálním žadatelům, či spolupráce na evaluacích v dané oblasti.</w:t>
      </w:r>
    </w:p>
    <w:p w14:paraId="66B60CC0" w14:textId="77777777" w:rsidR="00B117BE" w:rsidRPr="00DD47DF" w:rsidRDefault="00B117BE" w:rsidP="00DA7257">
      <w:pPr>
        <w:pStyle w:val="Standardntext"/>
        <w:keepNext/>
        <w:keepLines/>
        <w:numPr>
          <w:ilvl w:val="0"/>
          <w:numId w:val="30"/>
        </w:numPr>
        <w:rPr>
          <w:b/>
        </w:rPr>
      </w:pPr>
      <w:r w:rsidRPr="00DD47DF">
        <w:rPr>
          <w:b/>
        </w:rPr>
        <w:t>Inovace a podnikání</w:t>
      </w:r>
    </w:p>
    <w:p w14:paraId="711413DD" w14:textId="77777777" w:rsidR="00B117BE" w:rsidRPr="00DD47DF" w:rsidRDefault="00EF1F7A" w:rsidP="00B117BE">
      <w:pPr>
        <w:pStyle w:val="Standardntext"/>
      </w:pPr>
      <w:r w:rsidRPr="00DD47DF">
        <w:t xml:space="preserve">Jde o synergickou vazbu mezi </w:t>
      </w:r>
      <w:r w:rsidR="00B12201" w:rsidRPr="00DD47DF">
        <w:t>PO</w:t>
      </w:r>
      <w:r w:rsidRPr="00DD47DF">
        <w:t xml:space="preserve"> 1 a 2</w:t>
      </w:r>
      <w:r w:rsidR="00B12201" w:rsidRPr="00DD47DF">
        <w:t xml:space="preserve"> OP PIK</w:t>
      </w:r>
      <w:r w:rsidRPr="00DD47DF">
        <w:t xml:space="preserve">. </w:t>
      </w:r>
      <w:r w:rsidR="00B117BE" w:rsidRPr="00DD47DF">
        <w:t xml:space="preserve">Aktivity </w:t>
      </w:r>
      <w:r w:rsidR="00B12201" w:rsidRPr="00DD47DF">
        <w:t>SC 2.1 a 2.2</w:t>
      </w:r>
      <w:r w:rsidR="00B117BE" w:rsidRPr="00DD47DF">
        <w:t xml:space="preserve"> vytvářejí prostor pro </w:t>
      </w:r>
      <w:r w:rsidR="00B135E4" w:rsidRPr="00DD47DF">
        <w:t>možnost podnikatelů naučit se</w:t>
      </w:r>
      <w:r w:rsidR="00B117BE" w:rsidRPr="00DD47DF">
        <w:t xml:space="preserve"> efektivně využívat služby sofistikovaného inovačního poradenství, na jehož základě se jim otevřou dosud nevyužité možnosti pro růst jejich konkurenceschopnosti na mezinárodním trhu. MSP se tak mohou dostat na vyšší stupeň poznání v oblasti inovací a budou mít možnost využít nové směry pro uplatnění svých podnikatelských záměrů v </w:t>
      </w:r>
      <w:r w:rsidR="005275CF" w:rsidRPr="00DD47DF">
        <w:rPr>
          <w:b/>
        </w:rPr>
        <w:t>PO</w:t>
      </w:r>
      <w:r w:rsidR="00B117BE" w:rsidRPr="00DD47DF">
        <w:rPr>
          <w:b/>
        </w:rPr>
        <w:t xml:space="preserve"> 1 OP PIK</w:t>
      </w:r>
      <w:r w:rsidR="00B117BE" w:rsidRPr="00DD47DF">
        <w:t>, která je orientována spíše na podnikatelské subjekty se zkušenostmi na poli VaVaI.</w:t>
      </w:r>
    </w:p>
    <w:p w14:paraId="2A4AF7A1" w14:textId="77777777" w:rsidR="00A05FA8" w:rsidRPr="00DD47DF" w:rsidRDefault="00A05FA8" w:rsidP="00DA7257">
      <w:pPr>
        <w:pStyle w:val="Standardntext"/>
        <w:keepNext/>
        <w:keepLines/>
        <w:numPr>
          <w:ilvl w:val="0"/>
          <w:numId w:val="30"/>
        </w:numPr>
        <w:rPr>
          <w:b/>
        </w:rPr>
      </w:pPr>
      <w:r w:rsidRPr="00DD47DF">
        <w:rPr>
          <w:b/>
        </w:rPr>
        <w:t>Úspory energií a rekonstrukce podnikatelských nemovitostí</w:t>
      </w:r>
    </w:p>
    <w:p w14:paraId="190A9629" w14:textId="77777777" w:rsidR="00A05FA8" w:rsidRPr="00DD47DF" w:rsidRDefault="005275CF" w:rsidP="00A05FA8">
      <w:pPr>
        <w:pStyle w:val="Standardntext"/>
      </w:pPr>
      <w:r w:rsidRPr="00DD47DF">
        <w:rPr>
          <w:b/>
        </w:rPr>
        <w:t>PO</w:t>
      </w:r>
      <w:r w:rsidR="008C0067" w:rsidRPr="00DD47DF">
        <w:rPr>
          <w:b/>
        </w:rPr>
        <w:t xml:space="preserve"> 3 </w:t>
      </w:r>
      <w:r w:rsidRPr="00DD47DF">
        <w:rPr>
          <w:b/>
        </w:rPr>
        <w:t>OP PIK</w:t>
      </w:r>
      <w:r w:rsidRPr="00DD47DF">
        <w:t xml:space="preserve"> </w:t>
      </w:r>
      <w:r w:rsidR="008C0067" w:rsidRPr="00DD47DF">
        <w:t xml:space="preserve">zajišťuje možnost realizace úspory energie v budovách i u takových operací, které nutně neznamenají kompletní rekonstrukci podnikatelské nemovitosti. Rozsah zásahu v rámci </w:t>
      </w:r>
      <w:r w:rsidR="00B47EAC" w:rsidRPr="00DD47DF">
        <w:t>SC</w:t>
      </w:r>
      <w:r w:rsidR="008C0067" w:rsidRPr="00DD47DF">
        <w:t xml:space="preserve"> 2.3 vhodně doplňuje a rozšiřuje svým obsahem oblast </w:t>
      </w:r>
      <w:r w:rsidR="00B47EAC" w:rsidRPr="00DD47DF">
        <w:t>SC</w:t>
      </w:r>
      <w:r w:rsidR="008C0067" w:rsidRPr="00DD47DF">
        <w:t xml:space="preserve"> 3.2, která pokrývá pouze oblast úspor energie, a je tak svým obsahem nevyužitelná pro záměry komplexních regenerací ploch určených pro podnikání, u nichž pro nové efektivní využití nestačí prostá opatření snižující energetickou náročnost budovy. </w:t>
      </w:r>
      <w:r w:rsidR="00A05FA8" w:rsidRPr="00DD47DF">
        <w:t xml:space="preserve">Dělicí linií mezi </w:t>
      </w:r>
      <w:r w:rsidR="00B12201" w:rsidRPr="00DD47DF">
        <w:t>PO</w:t>
      </w:r>
      <w:r w:rsidR="00816FF7" w:rsidRPr="00DD47DF">
        <w:t xml:space="preserve"> 2 a 3</w:t>
      </w:r>
      <w:r w:rsidR="00A05FA8" w:rsidRPr="00DD47DF">
        <w:t xml:space="preserve"> </w:t>
      </w:r>
      <w:r w:rsidR="00816FF7" w:rsidRPr="00DD47DF">
        <w:t xml:space="preserve">OP PIK </w:t>
      </w:r>
      <w:r w:rsidR="00A05FA8" w:rsidRPr="00DD47DF">
        <w:t xml:space="preserve">je v této oblasti komplexnost opatření. Bude-li investiční hodnota navržených opatření převyšovat hodnotu daného objektu před rekonstrukcí (včetně požadavků na míru opotřebení a technickou degradaci), pak jde o komplexní opatření spadající do </w:t>
      </w:r>
      <w:r w:rsidR="00B12201" w:rsidRPr="00DD47DF">
        <w:t>SC 2.3</w:t>
      </w:r>
      <w:r w:rsidR="00A05FA8" w:rsidRPr="00DD47DF">
        <w:t>. Půjde-li pouze o dílčí opatření s cenou nižší</w:t>
      </w:r>
      <w:r w:rsidR="006E4DCE" w:rsidRPr="00DD47DF">
        <w:t>,</w:t>
      </w:r>
      <w:r w:rsidR="00A05FA8" w:rsidRPr="00DD47DF">
        <w:t xml:space="preserve"> než je hodnota objektu, pak bude možné řešit pouze opatření vedoucí ke snížení energetické náročnosti a projekt bude zařazen do </w:t>
      </w:r>
      <w:r w:rsidR="00B12201" w:rsidRPr="00DD47DF">
        <w:t>SC 3.2</w:t>
      </w:r>
      <w:r w:rsidR="00A05FA8" w:rsidRPr="00DD47DF">
        <w:t>.</w:t>
      </w:r>
    </w:p>
    <w:p w14:paraId="462F5EFD" w14:textId="77777777" w:rsidR="000B1709" w:rsidRPr="00DD47DF" w:rsidRDefault="000B1709" w:rsidP="00DA7257">
      <w:pPr>
        <w:pStyle w:val="Standardntext"/>
        <w:numPr>
          <w:ilvl w:val="0"/>
          <w:numId w:val="30"/>
        </w:numPr>
        <w:rPr>
          <w:b/>
        </w:rPr>
      </w:pPr>
      <w:r w:rsidRPr="00DD47DF">
        <w:rPr>
          <w:b/>
        </w:rPr>
        <w:t>Výzkum, vývoj a inovace</w:t>
      </w:r>
    </w:p>
    <w:p w14:paraId="225BDD50" w14:textId="77777777" w:rsidR="00B135E4" w:rsidRPr="00DD47DF" w:rsidRDefault="000B1709" w:rsidP="00342AA5">
      <w:pPr>
        <w:pStyle w:val="Standardntext"/>
      </w:pPr>
      <w:r w:rsidRPr="00DD47DF">
        <w:t xml:space="preserve">V této oblasti má OP PIK jednoznačnou vazbu na </w:t>
      </w:r>
      <w:r w:rsidRPr="00DD47DF">
        <w:rPr>
          <w:b/>
        </w:rPr>
        <w:t>OP VVV</w:t>
      </w:r>
      <w:r w:rsidR="00B135E4" w:rsidRPr="00DD47DF">
        <w:t>, který</w:t>
      </w:r>
      <w:r w:rsidRPr="00DD47DF">
        <w:t xml:space="preserve"> </w:t>
      </w:r>
      <w:r w:rsidR="00B135E4" w:rsidRPr="00DD47DF">
        <w:t>se zaměřuje</w:t>
      </w:r>
      <w:r w:rsidRPr="00DD47DF">
        <w:t xml:space="preserve"> na spolupráci výzkumných organizací a podniků ve velmi rané fázi výzkumu, kdy je </w:t>
      </w:r>
      <w:r w:rsidR="00627385" w:rsidRPr="00DD47DF">
        <w:t xml:space="preserve">vysoké </w:t>
      </w:r>
      <w:r w:rsidRPr="00DD47DF">
        <w:t xml:space="preserve">riziko </w:t>
      </w:r>
      <w:r w:rsidR="00627385" w:rsidRPr="00DD47DF">
        <w:t xml:space="preserve">výsledku výzkumu a potenciál jeho </w:t>
      </w:r>
      <w:r w:rsidRPr="00DD47DF">
        <w:t>uplatnění až v dlouhodobém horizontu. OP PIK bude naproti tomu podporovat opatření pro zvýšení inovační výkonnosti podniků, využití výsledků aplikovaného výzkumu a experimentálního vývoje v praxi a do rozvoje spolupráce mezi podnikatelským sektorem a veřejnými, vzdělávacími a vědecko-výzkumnými institucemi.</w:t>
      </w:r>
      <w:r w:rsidR="00C46B27" w:rsidRPr="00DD47DF">
        <w:t xml:space="preserve"> Základem vzájemné spolupráce je </w:t>
      </w:r>
      <w:r w:rsidR="00C46B27" w:rsidRPr="00DD47DF">
        <w:rPr>
          <w:i/>
        </w:rPr>
        <w:t>Memorandum o spolupráci při přípravě a budoucí realizaci OP PIK a OP VVV</w:t>
      </w:r>
      <w:r w:rsidR="00C46B27" w:rsidRPr="00DD47DF">
        <w:t xml:space="preserve">. </w:t>
      </w:r>
    </w:p>
    <w:p w14:paraId="394611E4" w14:textId="77777777" w:rsidR="00201994" w:rsidRPr="00DD47DF" w:rsidRDefault="00201994" w:rsidP="00943140">
      <w:pPr>
        <w:pStyle w:val="Standardntext"/>
      </w:pPr>
      <w:r w:rsidRPr="00DD47DF">
        <w:lastRenderedPageBreak/>
        <w:t xml:space="preserve">OP PIK má v oblasti VaVaI dále vazbu na </w:t>
      </w:r>
      <w:r w:rsidR="00627385" w:rsidRPr="00DD47DF">
        <w:t>OP PPR</w:t>
      </w:r>
      <w:r w:rsidR="00B12201" w:rsidRPr="00DD47DF">
        <w:t>, PRV, OP R</w:t>
      </w:r>
      <w:r w:rsidR="002A55DA" w:rsidRPr="00DD47DF">
        <w:t>, vybrané</w:t>
      </w:r>
      <w:r w:rsidRPr="00DD47DF">
        <w:t xml:space="preserve"> </w:t>
      </w:r>
      <w:r w:rsidR="002A55DA" w:rsidRPr="00DD47DF">
        <w:t xml:space="preserve">programy </w:t>
      </w:r>
      <w:r w:rsidR="00F925BD" w:rsidRPr="00DD47DF">
        <w:t xml:space="preserve">přeshraniční spolupráce v rámci </w:t>
      </w:r>
      <w:r w:rsidRPr="00DD47DF">
        <w:t>Cíle 2</w:t>
      </w:r>
      <w:r w:rsidR="004B7028" w:rsidRPr="00DD47DF">
        <w:t xml:space="preserve"> a další</w:t>
      </w:r>
      <w:r w:rsidR="004311B6" w:rsidRPr="00DD47DF">
        <w:t xml:space="preserve"> relevantní program</w:t>
      </w:r>
      <w:r w:rsidR="002A55DA" w:rsidRPr="00DD47DF">
        <w:t xml:space="preserve">y nadnárodní </w:t>
      </w:r>
      <w:r w:rsidR="0015513D" w:rsidRPr="00DD47DF">
        <w:t xml:space="preserve">(Central Europe 2020, Danube) </w:t>
      </w:r>
      <w:r w:rsidR="002A55DA" w:rsidRPr="00DD47DF">
        <w:t>a meziregionální spolupráce</w:t>
      </w:r>
      <w:r w:rsidR="0015513D" w:rsidRPr="00DD47DF">
        <w:t xml:space="preserve"> (Interreg Europe, Espon 2020)</w:t>
      </w:r>
      <w:r w:rsidR="00B135E4" w:rsidRPr="00DD47DF">
        <w:t>.</w:t>
      </w:r>
      <w:r w:rsidR="00BD3CD0" w:rsidRPr="00DD47DF">
        <w:t xml:space="preserve"> Podpora z OP PIK bude mj. umožňovat vícestrannou mezinárodní spolupráci ve výzkumu.</w:t>
      </w:r>
    </w:p>
    <w:p w14:paraId="50292AC6" w14:textId="77777777" w:rsidR="00693B57" w:rsidRPr="00DD47DF" w:rsidRDefault="00693B57" w:rsidP="00DA7257">
      <w:pPr>
        <w:pStyle w:val="Standardntext"/>
        <w:numPr>
          <w:ilvl w:val="0"/>
          <w:numId w:val="30"/>
        </w:numPr>
        <w:spacing w:after="240"/>
        <w:rPr>
          <w:b/>
        </w:rPr>
      </w:pPr>
      <w:r w:rsidRPr="00DD47DF">
        <w:rPr>
          <w:b/>
        </w:rPr>
        <w:t>Podpora podnikání MSP</w:t>
      </w:r>
    </w:p>
    <w:p w14:paraId="565ACAB1" w14:textId="77777777" w:rsidR="00F35D30" w:rsidRPr="00DD47DF" w:rsidRDefault="00693B57" w:rsidP="00295FCA">
      <w:pPr>
        <w:pStyle w:val="Standardntext"/>
      </w:pPr>
      <w:r w:rsidRPr="00DD47DF">
        <w:t xml:space="preserve">Na zvýšení konkurenceschopnosti </w:t>
      </w:r>
      <w:r w:rsidR="006E4DCE" w:rsidRPr="00DD47DF">
        <w:t>MSP</w:t>
      </w:r>
      <w:r w:rsidRPr="00DD47DF">
        <w:t xml:space="preserve"> se kromě OP PIK zaměřuje také </w:t>
      </w:r>
      <w:r w:rsidRPr="00DD47DF">
        <w:rPr>
          <w:b/>
        </w:rPr>
        <w:t>PRV</w:t>
      </w:r>
      <w:r w:rsidR="00F35D30" w:rsidRPr="00DD47DF">
        <w:t xml:space="preserve"> a </w:t>
      </w:r>
      <w:r w:rsidR="00F35D30" w:rsidRPr="00DD47DF">
        <w:rPr>
          <w:b/>
        </w:rPr>
        <w:t>OP R</w:t>
      </w:r>
      <w:r w:rsidRPr="00DD47DF">
        <w:t xml:space="preserve">. </w:t>
      </w:r>
      <w:r w:rsidR="00114021" w:rsidRPr="00DD47DF">
        <w:t>Z</w:t>
      </w:r>
      <w:r w:rsidRPr="00DD47DF">
        <w:t>ákladní rozdělení intervencí mezi OP PIK a PRV je z pohledu příjemců (tj. zemědělský podnikatel, definovaný zákonem o zemědělství, a nezemědělský podnikatel) a dále z pohledu výstupu projektu dle Přílohy I. Smlouvy</w:t>
      </w:r>
      <w:r w:rsidR="00F35D30" w:rsidRPr="00DD47DF">
        <w:t xml:space="preserve"> o fungování EU</w:t>
      </w:r>
      <w:r w:rsidRPr="00DD47DF">
        <w:t xml:space="preserve"> (tzv. annexové a non-annexové položky).</w:t>
      </w:r>
      <w:r w:rsidR="00295FCA" w:rsidRPr="00DD47DF">
        <w:t xml:space="preserve"> </w:t>
      </w:r>
      <w:r w:rsidR="00F35D30" w:rsidRPr="00DD47DF">
        <w:t xml:space="preserve">OP </w:t>
      </w:r>
      <w:r w:rsidR="00295FCA" w:rsidRPr="00DD47DF">
        <w:t xml:space="preserve">R </w:t>
      </w:r>
      <w:r w:rsidR="00F35D30" w:rsidRPr="00DD47DF">
        <w:t>se soustředí na podniky akvakultury v ob</w:t>
      </w:r>
      <w:r w:rsidR="00295FCA" w:rsidRPr="00DD47DF">
        <w:t>lasti zpracovatelského průmyslu</w:t>
      </w:r>
      <w:r w:rsidR="00F35D30" w:rsidRPr="00DD47DF">
        <w:t>.</w:t>
      </w:r>
    </w:p>
    <w:p w14:paraId="741EBD31" w14:textId="77777777" w:rsidR="005530D1" w:rsidRPr="00DD47DF" w:rsidRDefault="005530D1" w:rsidP="00DA7257">
      <w:pPr>
        <w:pStyle w:val="Standardntext"/>
        <w:numPr>
          <w:ilvl w:val="0"/>
          <w:numId w:val="30"/>
        </w:numPr>
        <w:rPr>
          <w:b/>
        </w:rPr>
      </w:pPr>
      <w:r w:rsidRPr="00DD47DF">
        <w:rPr>
          <w:b/>
        </w:rPr>
        <w:t>Sociální podnikání</w:t>
      </w:r>
    </w:p>
    <w:p w14:paraId="5A4CF949" w14:textId="77777777" w:rsidR="005530D1" w:rsidRPr="00DD47DF" w:rsidRDefault="005530D1" w:rsidP="005530D1">
      <w:pPr>
        <w:pStyle w:val="Standardntext"/>
      </w:pPr>
      <w:r w:rsidRPr="00DD47DF">
        <w:t xml:space="preserve">Problematikou sociálního podnikání se primárně zabývají </w:t>
      </w:r>
      <w:r w:rsidRPr="00DD47DF">
        <w:rPr>
          <w:b/>
        </w:rPr>
        <w:t>OP Z</w:t>
      </w:r>
      <w:r w:rsidRPr="00DD47DF">
        <w:t xml:space="preserve">, </w:t>
      </w:r>
      <w:r w:rsidRPr="00DD47DF">
        <w:rPr>
          <w:b/>
        </w:rPr>
        <w:t>IROP</w:t>
      </w:r>
      <w:r w:rsidRPr="00DD47DF">
        <w:t xml:space="preserve"> a </w:t>
      </w:r>
      <w:r w:rsidRPr="00DD47DF">
        <w:rPr>
          <w:b/>
        </w:rPr>
        <w:t>OP PPR</w:t>
      </w:r>
      <w:r w:rsidRPr="00DD47DF">
        <w:t>. Zatímco jmenované operační programy se soustřeďují na sociální podnikání jako takové</w:t>
      </w:r>
      <w:r w:rsidR="004578DA" w:rsidRPr="00DD47DF">
        <w:t xml:space="preserve"> (ve smyslu podpory vzniku a činnosti sociálních podniků), </w:t>
      </w:r>
      <w:r w:rsidRPr="00DD47DF">
        <w:t>předmětem OP PIK je spíše posílení sociálního rozměru podnikání. Jeho podstatou je, aby jakýkoliv malý či střední podnik, který splní dané podmínky a prokáže realizací podpořeného projektu zaměstnávání osob ze znevýhodněných skupin obyvatelstva, byl zvýhodněn oproti jiným žadatelům, kteří v projektu tento typ pracovních míst nevytvoří. Přímá vazba OP PIK na uvedené operační programy se proto v této oblasti nepředpokládá.</w:t>
      </w:r>
    </w:p>
    <w:p w14:paraId="5604425B" w14:textId="77777777" w:rsidR="000B1709" w:rsidRPr="00DD47DF" w:rsidRDefault="000B1709" w:rsidP="00DA7257">
      <w:pPr>
        <w:pStyle w:val="Standardntext"/>
        <w:numPr>
          <w:ilvl w:val="0"/>
          <w:numId w:val="30"/>
        </w:numPr>
        <w:rPr>
          <w:b/>
        </w:rPr>
      </w:pPr>
      <w:r w:rsidRPr="00DD47DF">
        <w:rPr>
          <w:b/>
        </w:rPr>
        <w:t>Odborné vzdělávání</w:t>
      </w:r>
    </w:p>
    <w:p w14:paraId="7C7278EB" w14:textId="77777777" w:rsidR="00B12201" w:rsidRPr="00DD47DF" w:rsidRDefault="00C46B27" w:rsidP="000B1709">
      <w:pPr>
        <w:pStyle w:val="Standardntext"/>
      </w:pPr>
      <w:r w:rsidRPr="00DD47DF">
        <w:t xml:space="preserve">Zatímco odborné vzdělávání jako takové je předmětem podpory v rámci </w:t>
      </w:r>
      <w:r w:rsidRPr="00DD47DF">
        <w:rPr>
          <w:b/>
        </w:rPr>
        <w:t>OP Z</w:t>
      </w:r>
      <w:r w:rsidRPr="00DD47DF">
        <w:t>, OP PIK se orientuje na infrastrukturu pro odborné vzdělávání</w:t>
      </w:r>
      <w:r w:rsidR="003E1F87" w:rsidRPr="00DD47DF">
        <w:t xml:space="preserve"> zaměstnanců (zaměstnavatelů) </w:t>
      </w:r>
      <w:r w:rsidR="005D178C" w:rsidRPr="00DD47DF">
        <w:t>MSP</w:t>
      </w:r>
      <w:r w:rsidR="00FF6238" w:rsidRPr="00DD47DF">
        <w:t xml:space="preserve"> (j</w:t>
      </w:r>
      <w:r w:rsidR="003E1F87" w:rsidRPr="00DD47DF">
        <w:t>de o podpor</w:t>
      </w:r>
      <w:r w:rsidR="00FF6238" w:rsidRPr="00DD47DF">
        <w:t>u</w:t>
      </w:r>
      <w:r w:rsidR="003E1F87" w:rsidRPr="00DD47DF">
        <w:t xml:space="preserve"> tvrdých investic z</w:t>
      </w:r>
      <w:r w:rsidR="00FF6238" w:rsidRPr="00DD47DF">
        <w:t> </w:t>
      </w:r>
      <w:r w:rsidR="003E1F87" w:rsidRPr="00DD47DF">
        <w:t>ERDF</w:t>
      </w:r>
      <w:r w:rsidR="00FF6238" w:rsidRPr="00DD47DF">
        <w:t>)</w:t>
      </w:r>
      <w:r w:rsidRPr="00DD47DF">
        <w:t xml:space="preserve">. </w:t>
      </w:r>
      <w:r w:rsidR="00FF6238" w:rsidRPr="00DD47DF">
        <w:t xml:space="preserve">MPSV bude podporovat další vzdělávání dospělých stojících mimo počáteční vzdělávání v prioritní ose 1 OP Z (podpora měkkých investic z ESF). </w:t>
      </w:r>
      <w:r w:rsidR="00B135E4" w:rsidRPr="00DD47DF">
        <w:t>Oba ř</w:t>
      </w:r>
      <w:r w:rsidRPr="00DD47DF">
        <w:t xml:space="preserve">ídící orgány navazují </w:t>
      </w:r>
      <w:r w:rsidR="00B135E4" w:rsidRPr="00DD47DF">
        <w:t xml:space="preserve">na dřívější spolupráci </w:t>
      </w:r>
      <w:r w:rsidRPr="00DD47DF">
        <w:rPr>
          <w:i/>
        </w:rPr>
        <w:t xml:space="preserve">Memorandem o spolupráci </w:t>
      </w:r>
      <w:r w:rsidR="001C38E4" w:rsidRPr="00DD47DF">
        <w:rPr>
          <w:i/>
        </w:rPr>
        <w:t>při přípravě a budoucí realizaci</w:t>
      </w:r>
      <w:r w:rsidRPr="00DD47DF">
        <w:rPr>
          <w:i/>
        </w:rPr>
        <w:t xml:space="preserve"> OP Z </w:t>
      </w:r>
      <w:r w:rsidRPr="00DD47DF">
        <w:t>uzavřeným na úrovni příslušných ministrů. V něm se oba řídící orgány dohodly, že MPO bude „věcným garantem“ za oblast odborného vzdělávání v průmyslových odvětvích ve vazbě na podporu podnikání v rámci prioritní osy 1 OP Z.</w:t>
      </w:r>
    </w:p>
    <w:p w14:paraId="4E95C3BC" w14:textId="77777777" w:rsidR="008C0067" w:rsidRPr="00DD47DF" w:rsidRDefault="008C0067" w:rsidP="000B1709">
      <w:pPr>
        <w:pStyle w:val="Standardntext"/>
      </w:pPr>
      <w:r w:rsidRPr="00DD47DF">
        <w:t xml:space="preserve">V oblasti vzdělávání intervenuje dále také OP VVV, v rámci něhož bude podporováno odborné vzdělávání studentů a učitelů technických oborů </w:t>
      </w:r>
      <w:r w:rsidR="00D40B0C" w:rsidRPr="00DD47DF">
        <w:t>v rámci</w:t>
      </w:r>
      <w:r w:rsidRPr="00DD47DF">
        <w:t xml:space="preserve"> škol. V OP PIK bude naproti tomu umožněno využití podnikových vzdělávacích kapacit také pro </w:t>
      </w:r>
      <w:r w:rsidR="0004418E" w:rsidRPr="00DD47DF">
        <w:t>odborný výcvik, odborné praxe a stáže žáků a studentů škol</w:t>
      </w:r>
      <w:r w:rsidRPr="00DD47DF">
        <w:t>, se kterými podpořený MSP naváže spolupráci.</w:t>
      </w:r>
    </w:p>
    <w:p w14:paraId="6282E095" w14:textId="77777777" w:rsidR="00B135E4" w:rsidRPr="00DD47DF" w:rsidRDefault="008C0067" w:rsidP="000B1709">
      <w:pPr>
        <w:pStyle w:val="Standardntext"/>
      </w:pPr>
      <w:r w:rsidRPr="00DD47DF">
        <w:t xml:space="preserve">Aktivity PRV jsou sledovány pro účely </w:t>
      </w:r>
      <w:r w:rsidR="0016670E" w:rsidRPr="00DD47DF">
        <w:t>komplexního zajištění odborného vzdělávání – PRV pro zemědělské podniky</w:t>
      </w:r>
      <w:r w:rsidRPr="00DD47DF">
        <w:t>.</w:t>
      </w:r>
    </w:p>
    <w:p w14:paraId="51EE9370" w14:textId="77777777" w:rsidR="0062540E" w:rsidRPr="00DD47DF" w:rsidRDefault="0062540E" w:rsidP="00DA7257">
      <w:pPr>
        <w:pStyle w:val="Standardntext"/>
        <w:numPr>
          <w:ilvl w:val="0"/>
          <w:numId w:val="30"/>
        </w:numPr>
        <w:rPr>
          <w:b/>
        </w:rPr>
      </w:pPr>
      <w:r w:rsidRPr="00DD47DF">
        <w:rPr>
          <w:b/>
        </w:rPr>
        <w:t>Brownfield</w:t>
      </w:r>
      <w:r w:rsidR="00BF7E1C" w:rsidRPr="00DD47DF">
        <w:rPr>
          <w:b/>
        </w:rPr>
        <w:t>y</w:t>
      </w:r>
    </w:p>
    <w:p w14:paraId="489B0B53" w14:textId="77777777" w:rsidR="0062540E" w:rsidRPr="00DD47DF" w:rsidRDefault="0062540E" w:rsidP="004A282B">
      <w:pPr>
        <w:pStyle w:val="Standardntext"/>
      </w:pPr>
      <w:r w:rsidRPr="00DD47DF">
        <w:t>Vedle OP PIK řeší otázku brownfield</w:t>
      </w:r>
      <w:r w:rsidR="00BF7E1C" w:rsidRPr="00DD47DF">
        <w:t>ů</w:t>
      </w:r>
      <w:r w:rsidRPr="00DD47DF">
        <w:t xml:space="preserve"> rovněž </w:t>
      </w:r>
      <w:r w:rsidRPr="00DD47DF">
        <w:rPr>
          <w:b/>
        </w:rPr>
        <w:t>OP ŽP</w:t>
      </w:r>
      <w:r w:rsidRPr="00DD47DF">
        <w:t xml:space="preserve"> a </w:t>
      </w:r>
      <w:r w:rsidR="0023733C" w:rsidRPr="00DD47DF">
        <w:t xml:space="preserve">nepřímo také </w:t>
      </w:r>
      <w:r w:rsidRPr="00DD47DF">
        <w:rPr>
          <w:b/>
        </w:rPr>
        <w:t>PRV</w:t>
      </w:r>
      <w:r w:rsidRPr="00DD47DF">
        <w:t>. Předmětem podpory v OP ŽP je</w:t>
      </w:r>
      <w:r w:rsidR="00E2032C" w:rsidRPr="00DD47DF">
        <w:t xml:space="preserve"> sanace vážně kontaminovaných lokalit, u nichž jsou prokázána rizika pro lidské zdraví a ekosystémy</w:t>
      </w:r>
      <w:r w:rsidR="00B41B04" w:rsidRPr="00DD47DF">
        <w:t>.</w:t>
      </w:r>
      <w:r w:rsidR="00E2032C" w:rsidRPr="00DD47DF">
        <w:t xml:space="preserve"> V rámci OP PIK nebude podporována sanace ekologických zátěží, ale bude podporována demolice a likvidace stavebních materiálů, z nichž některé mohou spadat do vyšší rizikovosti</w:t>
      </w:r>
      <w:r w:rsidR="00270C7E" w:rsidRPr="00DD47DF">
        <w:t>.</w:t>
      </w:r>
    </w:p>
    <w:p w14:paraId="7F0E4E9C" w14:textId="77777777" w:rsidR="0062540E" w:rsidRPr="00DD47DF" w:rsidRDefault="0062540E" w:rsidP="004A282B">
      <w:pPr>
        <w:pStyle w:val="Standardntext"/>
      </w:pPr>
      <w:r w:rsidRPr="00DD47DF">
        <w:t xml:space="preserve">V případě PRV jde </w:t>
      </w:r>
      <w:r w:rsidR="00E2032C" w:rsidRPr="00DD47DF">
        <w:t>rovněž</w:t>
      </w:r>
      <w:r w:rsidRPr="00DD47DF">
        <w:t xml:space="preserve"> o komplementaritu</w:t>
      </w:r>
      <w:r w:rsidR="007A32C8" w:rsidRPr="00DD47DF">
        <w:t>,</w:t>
      </w:r>
      <w:r w:rsidRPr="00DD47DF">
        <w:t xml:space="preserve"> </w:t>
      </w:r>
      <w:r w:rsidR="007A32C8" w:rsidRPr="00DD47DF">
        <w:t xml:space="preserve">kdy výběr projektů </w:t>
      </w:r>
      <w:r w:rsidR="0023733C" w:rsidRPr="00DD47DF">
        <w:t xml:space="preserve">PRV </w:t>
      </w:r>
      <w:r w:rsidR="007A32C8" w:rsidRPr="00DD47DF">
        <w:t>bude v některých opatřeních posuzován také z hlediska možné revitalizace brownfield</w:t>
      </w:r>
      <w:r w:rsidR="00BF7E1C" w:rsidRPr="00DD47DF">
        <w:t>ů</w:t>
      </w:r>
      <w:r w:rsidRPr="00DD47DF">
        <w:t>.</w:t>
      </w:r>
    </w:p>
    <w:p w14:paraId="62EAA03E" w14:textId="77777777" w:rsidR="000B1709" w:rsidRPr="00DD47DF" w:rsidRDefault="000B1709" w:rsidP="00DA7257">
      <w:pPr>
        <w:pStyle w:val="Standardntext"/>
        <w:keepNext/>
        <w:keepLines/>
        <w:numPr>
          <w:ilvl w:val="0"/>
          <w:numId w:val="30"/>
        </w:numPr>
        <w:rPr>
          <w:b/>
        </w:rPr>
      </w:pPr>
      <w:r w:rsidRPr="00DD47DF">
        <w:rPr>
          <w:b/>
        </w:rPr>
        <w:lastRenderedPageBreak/>
        <w:t>Bioplynové stanice</w:t>
      </w:r>
    </w:p>
    <w:p w14:paraId="5E12682D" w14:textId="77777777" w:rsidR="00270C7E" w:rsidRPr="00DD47DF" w:rsidRDefault="000B1709" w:rsidP="00342AA5">
      <w:pPr>
        <w:pStyle w:val="Standardntext"/>
        <w:keepNext/>
        <w:keepLines/>
      </w:pPr>
      <w:r w:rsidRPr="00DD47DF">
        <w:t xml:space="preserve">V této oblasti vykazuje OP PIK </w:t>
      </w:r>
      <w:r w:rsidR="00E30E59" w:rsidRPr="00DD47DF">
        <w:t xml:space="preserve">komplementární </w:t>
      </w:r>
      <w:r w:rsidRPr="00DD47DF">
        <w:t>vazbu na</w:t>
      </w:r>
      <w:r w:rsidRPr="00DD47DF">
        <w:rPr>
          <w:b/>
        </w:rPr>
        <w:t xml:space="preserve"> OP ŽP</w:t>
      </w:r>
      <w:r w:rsidR="00EE4823" w:rsidRPr="00DD47DF">
        <w:rPr>
          <w:b/>
        </w:rPr>
        <w:t xml:space="preserve"> </w:t>
      </w:r>
      <w:r w:rsidR="00EE4823" w:rsidRPr="00DD47DF">
        <w:t xml:space="preserve">a </w:t>
      </w:r>
      <w:r w:rsidR="00EE4823" w:rsidRPr="00DD47DF">
        <w:rPr>
          <w:b/>
        </w:rPr>
        <w:t>PRV</w:t>
      </w:r>
      <w:r w:rsidR="00EE4823" w:rsidRPr="00DD47DF">
        <w:t xml:space="preserve">. </w:t>
      </w:r>
      <w:r w:rsidR="00E1414C" w:rsidRPr="00DD47DF">
        <w:t xml:space="preserve">V OP PIK nebude podporována výstavba nových bioplynových stanic; předmětem podpory bude pouze využití užitečného tepla ze stávajících bioplynových stanic. </w:t>
      </w:r>
      <w:r w:rsidR="00EE4823" w:rsidRPr="00DD47DF">
        <w:t>OP ŽP</w:t>
      </w:r>
      <w:r w:rsidR="0014564F" w:rsidRPr="00DD47DF">
        <w:t xml:space="preserve"> se</w:t>
      </w:r>
      <w:r w:rsidRPr="00DD47DF">
        <w:t xml:space="preserve"> </w:t>
      </w:r>
      <w:r w:rsidR="00E1414C" w:rsidRPr="00DD47DF">
        <w:t xml:space="preserve">na rozdíl od OP PIK </w:t>
      </w:r>
      <w:r w:rsidRPr="00DD47DF">
        <w:t xml:space="preserve">zaměřuje na výstavbu </w:t>
      </w:r>
      <w:r w:rsidR="00E30E59" w:rsidRPr="00DD47DF">
        <w:t xml:space="preserve">nových </w:t>
      </w:r>
      <w:r w:rsidRPr="00DD47DF">
        <w:t>bioplynových stanic v</w:t>
      </w:r>
      <w:r w:rsidR="00270C7E" w:rsidRPr="00DD47DF">
        <w:t xml:space="preserve"> souvislosti s využitím odpadu.</w:t>
      </w:r>
    </w:p>
    <w:p w14:paraId="033377A5" w14:textId="77777777" w:rsidR="000B1709" w:rsidRPr="00DD47DF" w:rsidRDefault="00270C7E" w:rsidP="000B1709">
      <w:pPr>
        <w:pStyle w:val="Standardntext"/>
        <w:rPr>
          <w:b/>
        </w:rPr>
      </w:pPr>
      <w:r w:rsidRPr="00DD47DF">
        <w:t>V</w:t>
      </w:r>
      <w:r w:rsidR="00E1414C" w:rsidRPr="00DD47DF">
        <w:t> PRV bude podporována výstavba koncových zemědělských staveb pro využití tepla (skleník, porodna, apod.)</w:t>
      </w:r>
      <w:r w:rsidR="0098703A" w:rsidRPr="00DD47DF">
        <w:t xml:space="preserve"> a výstavba zemědělských bioplynových stanic</w:t>
      </w:r>
      <w:r w:rsidR="00E1414C" w:rsidRPr="00DD47DF">
        <w:t>.</w:t>
      </w:r>
    </w:p>
    <w:p w14:paraId="68819AA1" w14:textId="77777777" w:rsidR="00C902DA" w:rsidRPr="00DD47DF" w:rsidRDefault="00C902DA" w:rsidP="00DA7257">
      <w:pPr>
        <w:pStyle w:val="Standardntext"/>
        <w:numPr>
          <w:ilvl w:val="0"/>
          <w:numId w:val="30"/>
        </w:numPr>
        <w:rPr>
          <w:b/>
        </w:rPr>
      </w:pPr>
      <w:r w:rsidRPr="00DD47DF">
        <w:rPr>
          <w:b/>
        </w:rPr>
        <w:t>Úspory energie</w:t>
      </w:r>
    </w:p>
    <w:p w14:paraId="4F15FA57" w14:textId="77777777" w:rsidR="00523FA3" w:rsidRPr="00DD47DF" w:rsidRDefault="00523FA3" w:rsidP="00F00824">
      <w:pPr>
        <w:pStyle w:val="Standardntext"/>
      </w:pPr>
      <w:r w:rsidRPr="00DD47DF">
        <w:t>Oblast energetických úspor je kromě OP PIK obsažena také v </w:t>
      </w:r>
      <w:r w:rsidRPr="00DD47DF">
        <w:rPr>
          <w:b/>
        </w:rPr>
        <w:t>OP ŽP</w:t>
      </w:r>
      <w:r w:rsidRPr="00DD47DF">
        <w:t xml:space="preserve">, </w:t>
      </w:r>
      <w:r w:rsidRPr="00DD47DF">
        <w:rPr>
          <w:b/>
        </w:rPr>
        <w:t>IROP</w:t>
      </w:r>
      <w:r w:rsidRPr="00DD47DF">
        <w:t xml:space="preserve">, </w:t>
      </w:r>
      <w:r w:rsidR="002D4D69" w:rsidRPr="00DD47DF">
        <w:rPr>
          <w:b/>
        </w:rPr>
        <w:t xml:space="preserve">OP PPR, </w:t>
      </w:r>
      <w:r w:rsidRPr="00DD47DF">
        <w:rPr>
          <w:b/>
        </w:rPr>
        <w:t>PRV</w:t>
      </w:r>
      <w:r w:rsidRPr="00DD47DF">
        <w:t xml:space="preserve"> a </w:t>
      </w:r>
      <w:r w:rsidRPr="00DD47DF">
        <w:rPr>
          <w:b/>
        </w:rPr>
        <w:t>OP R</w:t>
      </w:r>
      <w:r w:rsidRPr="00DD47DF">
        <w:t>. Komplementární vazbu lze sledovat spíše z úrovně tematického cíle v tom smyslu, že všechny jmenované operační programy přispějí ke zvýšení energetické efektivnosti ČR, ovšem každý operační program se orientuje na jinou oblast.</w:t>
      </w:r>
    </w:p>
    <w:p w14:paraId="1931C302" w14:textId="77777777" w:rsidR="00523FA3" w:rsidRPr="00DD47DF" w:rsidRDefault="00523FA3" w:rsidP="00DA7257">
      <w:pPr>
        <w:pStyle w:val="Standardntext"/>
        <w:numPr>
          <w:ilvl w:val="0"/>
          <w:numId w:val="30"/>
        </w:numPr>
        <w:rPr>
          <w:b/>
        </w:rPr>
      </w:pPr>
      <w:r w:rsidRPr="00DD47DF">
        <w:rPr>
          <w:b/>
        </w:rPr>
        <w:t>Druhotné suroviny</w:t>
      </w:r>
    </w:p>
    <w:p w14:paraId="2512F0AE" w14:textId="77777777" w:rsidR="00523FA3" w:rsidRPr="00DD47DF" w:rsidRDefault="00523FA3" w:rsidP="00523FA3">
      <w:pPr>
        <w:pStyle w:val="Standardntext"/>
      </w:pPr>
      <w:r w:rsidRPr="00DD47DF">
        <w:t xml:space="preserve">Problematika zavádění inovativních nízkouhlíkatých technologií v oblasti zpracování a využívání druhotných surovin je řešena pouze v OP PIK. Nicméně tato oblast je sledována z důvodu věcné blízkosti tématu odpadového hospodářství, které je v působnosti </w:t>
      </w:r>
      <w:r w:rsidRPr="00DD47DF">
        <w:rPr>
          <w:b/>
        </w:rPr>
        <w:t>OP ŽP</w:t>
      </w:r>
      <w:r w:rsidR="001F3B71" w:rsidRPr="00DD47DF">
        <w:t>.</w:t>
      </w:r>
    </w:p>
    <w:p w14:paraId="62A80B97" w14:textId="77777777" w:rsidR="00E71F34" w:rsidRPr="00DD47DF" w:rsidRDefault="00980F42" w:rsidP="00DA7257">
      <w:pPr>
        <w:pStyle w:val="Standardntext"/>
        <w:numPr>
          <w:ilvl w:val="0"/>
          <w:numId w:val="30"/>
        </w:numPr>
        <w:rPr>
          <w:b/>
        </w:rPr>
      </w:pPr>
      <w:r w:rsidRPr="00DD47DF">
        <w:rPr>
          <w:b/>
        </w:rPr>
        <w:t xml:space="preserve">Alternativní </w:t>
      </w:r>
      <w:r w:rsidR="006D1839" w:rsidRPr="00DD47DF">
        <w:rPr>
          <w:b/>
        </w:rPr>
        <w:t xml:space="preserve">zdroje </w:t>
      </w:r>
      <w:r w:rsidR="00EF6944" w:rsidRPr="00DD47DF">
        <w:rPr>
          <w:b/>
        </w:rPr>
        <w:t xml:space="preserve">paliv </w:t>
      </w:r>
      <w:r w:rsidR="006D1839" w:rsidRPr="00DD47DF">
        <w:rPr>
          <w:b/>
        </w:rPr>
        <w:t>v d</w:t>
      </w:r>
      <w:r w:rsidRPr="00DD47DF">
        <w:rPr>
          <w:b/>
        </w:rPr>
        <w:t>oprav</w:t>
      </w:r>
      <w:r w:rsidR="006D1839" w:rsidRPr="00DD47DF">
        <w:rPr>
          <w:b/>
        </w:rPr>
        <w:t>ě</w:t>
      </w:r>
    </w:p>
    <w:p w14:paraId="63D18B87" w14:textId="77777777" w:rsidR="00C73091" w:rsidRPr="00DD47DF" w:rsidRDefault="00C73091" w:rsidP="00E71F34">
      <w:pPr>
        <w:pStyle w:val="Standardntext"/>
      </w:pPr>
      <w:r w:rsidRPr="00DD47DF">
        <w:t xml:space="preserve">OP PIK se soustředí na zavádění inovativních nízkouhlíkových technologií v oblasti nízkouhlíkové dopravy v podnicích. Alternativní dopravou se dále zabývá také </w:t>
      </w:r>
      <w:r w:rsidR="00FF022E" w:rsidRPr="00DD47DF">
        <w:rPr>
          <w:b/>
        </w:rPr>
        <w:t>IROP</w:t>
      </w:r>
      <w:r w:rsidR="00226CB2" w:rsidRPr="00DD47DF">
        <w:t>,</w:t>
      </w:r>
      <w:r w:rsidRPr="00DD47DF">
        <w:t xml:space="preserve"> </w:t>
      </w:r>
      <w:r w:rsidRPr="00DD47DF">
        <w:rPr>
          <w:b/>
        </w:rPr>
        <w:t>OP D</w:t>
      </w:r>
      <w:r w:rsidR="00226CB2" w:rsidRPr="00DD47DF">
        <w:rPr>
          <w:b/>
        </w:rPr>
        <w:t xml:space="preserve"> </w:t>
      </w:r>
      <w:r w:rsidR="00226CB2" w:rsidRPr="00DD47DF">
        <w:t>a</w:t>
      </w:r>
      <w:r w:rsidR="00226CB2" w:rsidRPr="00DD47DF">
        <w:rPr>
          <w:b/>
        </w:rPr>
        <w:t xml:space="preserve"> OP PPR</w:t>
      </w:r>
      <w:r w:rsidRPr="00DD47DF">
        <w:t xml:space="preserve">. V případě podpory MSP je dělící hranicí skutečnost, že v rámci </w:t>
      </w:r>
      <w:r w:rsidR="00FF022E" w:rsidRPr="00DD47DF">
        <w:t>IROP</w:t>
      </w:r>
      <w:r w:rsidRPr="00DD47DF">
        <w:t xml:space="preserve"> budou, na rozdíl od OP PIK, podporovány subjekty, které zajišťují veřejnou službu. Cílovou skupinou OP D v rámci podpory rozvoje sítě napájecích stanic alternativních energií na silniční síti jsou příjemci podpory definování jako vlastníci/správci dotčené infrastruktury s veřejným přístupem.</w:t>
      </w:r>
    </w:p>
    <w:p w14:paraId="78E2948E" w14:textId="77777777" w:rsidR="008C0067" w:rsidRPr="00DD47DF" w:rsidRDefault="008C0067" w:rsidP="00E71F34">
      <w:pPr>
        <w:pStyle w:val="Standardntext"/>
      </w:pPr>
      <w:r w:rsidRPr="00DD47DF">
        <w:t>Aktivity OP PPR jsou sledovány z úrovně tematického cíle, kdy OP PIK i OP PPR přispívají k plnění TC 4, avšak intervence mají odlišný charakter (OP PPR se soustředí na aktivity ve vazbě na městskou hromadnou dopravu hl. m. Prahy).</w:t>
      </w:r>
    </w:p>
    <w:p w14:paraId="2769F59C" w14:textId="77777777" w:rsidR="00C902DA" w:rsidRPr="00DD47DF" w:rsidRDefault="00C902DA" w:rsidP="00DA7257">
      <w:pPr>
        <w:pStyle w:val="Standardntext"/>
        <w:keepNext/>
        <w:keepLines/>
        <w:numPr>
          <w:ilvl w:val="0"/>
          <w:numId w:val="30"/>
        </w:numPr>
        <w:rPr>
          <w:b/>
        </w:rPr>
      </w:pPr>
      <w:r w:rsidRPr="00DD47DF">
        <w:rPr>
          <w:b/>
        </w:rPr>
        <w:t>Soustavy zásobování teplem</w:t>
      </w:r>
    </w:p>
    <w:p w14:paraId="27003C69" w14:textId="77777777" w:rsidR="00C902DA" w:rsidRPr="00DD47DF" w:rsidRDefault="005B0FF9" w:rsidP="00DB63A3">
      <w:pPr>
        <w:pStyle w:val="Standardntext"/>
        <w:keepNext/>
        <w:keepLines/>
      </w:pPr>
      <w:r w:rsidRPr="00DD47DF">
        <w:t xml:space="preserve">Rekonstrukcí soustav zásobování teplem se vedle OP PIK zabývá rovněž </w:t>
      </w:r>
      <w:r w:rsidRPr="00DD47DF">
        <w:rPr>
          <w:b/>
        </w:rPr>
        <w:t>OP ŽP</w:t>
      </w:r>
      <w:r w:rsidRPr="00DD47DF">
        <w:t>. Oba operační programy se doplňují z hlediska příjemců podpory, kdy OP PIK je orientován na podnikatelské subj</w:t>
      </w:r>
      <w:r w:rsidR="001F3B71" w:rsidRPr="00DD47DF">
        <w:t>ekty a OP ŽP na veřejný sektor.</w:t>
      </w:r>
    </w:p>
    <w:p w14:paraId="4F1A60B6" w14:textId="77777777" w:rsidR="00C902DA" w:rsidRPr="00DD47DF" w:rsidRDefault="00C902DA" w:rsidP="00DA7257">
      <w:pPr>
        <w:pStyle w:val="Standardntext"/>
        <w:numPr>
          <w:ilvl w:val="0"/>
          <w:numId w:val="30"/>
        </w:numPr>
        <w:rPr>
          <w:b/>
        </w:rPr>
      </w:pPr>
      <w:r w:rsidRPr="00DD47DF">
        <w:rPr>
          <w:b/>
        </w:rPr>
        <w:t>Vysokorychlostní přístup k internetu</w:t>
      </w:r>
    </w:p>
    <w:p w14:paraId="41FCF46B" w14:textId="77777777" w:rsidR="00C902DA" w:rsidRPr="00DD47DF" w:rsidRDefault="005B0FF9" w:rsidP="00A83EAE">
      <w:pPr>
        <w:pStyle w:val="Standardntext"/>
      </w:pPr>
      <w:r w:rsidRPr="00DD47DF">
        <w:t xml:space="preserve">OP PIK se zaměřuje na zřizování </w:t>
      </w:r>
      <w:r w:rsidR="00BD3CD0" w:rsidRPr="00DD47DF">
        <w:t>či modernizaci</w:t>
      </w:r>
      <w:r w:rsidRPr="00DD47DF">
        <w:t xml:space="preserve"> sítí pro vysokorychlostní přístup k internetu. Naproti tomu </w:t>
      </w:r>
      <w:r w:rsidRPr="00DD47DF">
        <w:rPr>
          <w:b/>
        </w:rPr>
        <w:t>IROP</w:t>
      </w:r>
      <w:r w:rsidRPr="00DD47DF">
        <w:t xml:space="preserve"> se soustředí na </w:t>
      </w:r>
      <w:r w:rsidR="00385D89" w:rsidRPr="00DD47DF">
        <w:t>pořízení datových sítí veřejné správy za účelem předcházení a řešení případných krizových situací</w:t>
      </w:r>
      <w:r w:rsidR="001F3B71" w:rsidRPr="00DD47DF">
        <w:t>.</w:t>
      </w:r>
      <w:r w:rsidR="006A0400" w:rsidRPr="00DD47DF">
        <w:t xml:space="preserve"> Podpořená infrastruktura v rámci IROP bude oproti OP PIK ve vlastnictví státu a nebude využita pro komerční sféru.</w:t>
      </w:r>
    </w:p>
    <w:p w14:paraId="20397F98" w14:textId="77777777" w:rsidR="000B1CBB" w:rsidRPr="00DD47DF" w:rsidRDefault="000B1CBB" w:rsidP="00396141">
      <w:pPr>
        <w:pStyle w:val="Modrnadpis"/>
      </w:pPr>
      <w:r w:rsidRPr="00DD47DF">
        <w:t>Zajištění koordinace s ostatními nástroji EU</w:t>
      </w:r>
    </w:p>
    <w:p w14:paraId="58E0B213" w14:textId="77777777" w:rsidR="000B1709" w:rsidRPr="00DD47DF" w:rsidRDefault="000B1709" w:rsidP="000B1709">
      <w:pPr>
        <w:pStyle w:val="Standardntext"/>
      </w:pPr>
      <w:r w:rsidRPr="00DD47DF">
        <w:t xml:space="preserve">Bližší specifikace </w:t>
      </w:r>
      <w:r w:rsidR="008C0067" w:rsidRPr="00DD47DF">
        <w:t xml:space="preserve">níže </w:t>
      </w:r>
      <w:r w:rsidRPr="00DD47DF">
        <w:t xml:space="preserve">identifikovaných komplementárních vazeb je součástí </w:t>
      </w:r>
      <w:r w:rsidR="00D3716C" w:rsidRPr="00DD47DF">
        <w:t>Nepovinné p</w:t>
      </w:r>
      <w:r w:rsidRPr="00DD47DF">
        <w:t>řílohy č.</w:t>
      </w:r>
      <w:r w:rsidR="00D3716C" w:rsidRPr="00DD47DF">
        <w:t xml:space="preserve"> </w:t>
      </w:r>
      <w:r w:rsidR="00F734D1" w:rsidRPr="00DD47DF">
        <w:t>4</w:t>
      </w:r>
      <w:r w:rsidRPr="00DD47DF">
        <w:t>.</w:t>
      </w:r>
    </w:p>
    <w:p w14:paraId="3F1C6429" w14:textId="77777777" w:rsidR="00C902DA" w:rsidRPr="00DD47DF" w:rsidRDefault="00C902DA" w:rsidP="00DA7257">
      <w:pPr>
        <w:pStyle w:val="Standardntext"/>
        <w:keepNext/>
        <w:keepLines/>
        <w:numPr>
          <w:ilvl w:val="0"/>
          <w:numId w:val="32"/>
        </w:numPr>
        <w:rPr>
          <w:b/>
        </w:rPr>
      </w:pPr>
      <w:r w:rsidRPr="00DD47DF">
        <w:rPr>
          <w:b/>
        </w:rPr>
        <w:lastRenderedPageBreak/>
        <w:t>Výzkum, vývoj a inovace</w:t>
      </w:r>
    </w:p>
    <w:p w14:paraId="3F3B49E4" w14:textId="77777777" w:rsidR="00FC7FA8" w:rsidRPr="00DD47DF" w:rsidRDefault="00EB4AA0" w:rsidP="00284818">
      <w:pPr>
        <w:pStyle w:val="Standardntext"/>
        <w:keepNext/>
        <w:keepLines/>
      </w:pPr>
      <w:r w:rsidRPr="00DD47DF">
        <w:t xml:space="preserve">OP PIK má v oblasti VaVaI vazbu na dva komunitární programy, kterými jsou </w:t>
      </w:r>
      <w:r w:rsidR="0087102E" w:rsidRPr="00DD47DF">
        <w:rPr>
          <w:b/>
        </w:rPr>
        <w:t>Horizont 2020</w:t>
      </w:r>
      <w:r w:rsidRPr="00DD47DF">
        <w:t xml:space="preserve"> a </w:t>
      </w:r>
      <w:r w:rsidRPr="00DD47DF">
        <w:rPr>
          <w:b/>
        </w:rPr>
        <w:t>COSME</w:t>
      </w:r>
      <w:r w:rsidRPr="00DD47DF">
        <w:t>. V případě obou programů se jedná o komplementární vazby na většinu aktivit obou specifický</w:t>
      </w:r>
      <w:r w:rsidR="00270C7E" w:rsidRPr="00DD47DF">
        <w:t>ch cílů prioritní osy 1 OP PIK.</w:t>
      </w:r>
    </w:p>
    <w:p w14:paraId="608E973A" w14:textId="3B361968" w:rsidR="00254765" w:rsidRPr="00DD47DF" w:rsidRDefault="00834D1C" w:rsidP="00C902DA">
      <w:pPr>
        <w:pStyle w:val="Standardntext"/>
      </w:pPr>
      <w:r w:rsidRPr="00834D1C">
        <w:t>Způsob implementace těchto a dalších komunitárních nástrojů je blíže specifikován v Nepovinné příloze č. 4.</w:t>
      </w:r>
    </w:p>
    <w:p w14:paraId="594C7F62" w14:textId="77777777" w:rsidR="00C902DA" w:rsidRPr="00DD47DF" w:rsidRDefault="00C902DA" w:rsidP="00DA7257">
      <w:pPr>
        <w:pStyle w:val="Standardntext"/>
        <w:numPr>
          <w:ilvl w:val="0"/>
          <w:numId w:val="32"/>
        </w:numPr>
        <w:rPr>
          <w:b/>
        </w:rPr>
      </w:pPr>
      <w:r w:rsidRPr="00DD47DF">
        <w:rPr>
          <w:b/>
        </w:rPr>
        <w:t>Zvýšení konkurenceschopnosti MSP</w:t>
      </w:r>
    </w:p>
    <w:p w14:paraId="66BFC158" w14:textId="77777777" w:rsidR="00C902DA" w:rsidRPr="00DD47DF" w:rsidRDefault="00270C7E" w:rsidP="00C902DA">
      <w:pPr>
        <w:pStyle w:val="Standardntext"/>
      </w:pPr>
      <w:r w:rsidRPr="00DD47DF">
        <w:t>Zde lze</w:t>
      </w:r>
      <w:r w:rsidR="00F82437" w:rsidRPr="00DD47DF">
        <w:t xml:space="preserve"> opět </w:t>
      </w:r>
      <w:r w:rsidRPr="00DD47DF">
        <w:t xml:space="preserve">identifikovat </w:t>
      </w:r>
      <w:r w:rsidR="00F82437" w:rsidRPr="00DD47DF">
        <w:t>vazbu</w:t>
      </w:r>
      <w:r w:rsidRPr="00DD47DF">
        <w:t xml:space="preserve"> OP PIK</w:t>
      </w:r>
      <w:r w:rsidR="00F82437" w:rsidRPr="00DD47DF">
        <w:t xml:space="preserve"> vůči programům </w:t>
      </w:r>
      <w:r w:rsidR="0087102E" w:rsidRPr="00DD47DF">
        <w:rPr>
          <w:b/>
        </w:rPr>
        <w:t>Horizont 2020</w:t>
      </w:r>
      <w:r w:rsidR="00F82437" w:rsidRPr="00DD47DF">
        <w:t xml:space="preserve"> a </w:t>
      </w:r>
      <w:r w:rsidR="00F82437" w:rsidRPr="00DD47DF">
        <w:rPr>
          <w:b/>
        </w:rPr>
        <w:t>COSME</w:t>
      </w:r>
      <w:r w:rsidRPr="00DD47DF">
        <w:t>., přičemž v</w:t>
      </w:r>
      <w:r w:rsidR="00F82437" w:rsidRPr="00DD47DF">
        <w:t xml:space="preserve">zájemné vazby </w:t>
      </w:r>
      <w:r w:rsidRPr="00DD47DF">
        <w:t xml:space="preserve">je možné </w:t>
      </w:r>
      <w:r w:rsidR="00F82437" w:rsidRPr="00DD47DF">
        <w:t xml:space="preserve">vysledovat především </w:t>
      </w:r>
      <w:r w:rsidR="00FB6649" w:rsidRPr="00DD47DF">
        <w:t xml:space="preserve">v otázce internacionalizace MSP a </w:t>
      </w:r>
      <w:r w:rsidR="00F82437" w:rsidRPr="00DD47DF">
        <w:t>v</w:t>
      </w:r>
      <w:r w:rsidR="00FB6649" w:rsidRPr="00DD47DF">
        <w:t>e</w:t>
      </w:r>
      <w:r w:rsidR="00F82437" w:rsidRPr="00DD47DF">
        <w:t xml:space="preserve"> </w:t>
      </w:r>
      <w:r w:rsidR="00FB6649" w:rsidRPr="00DD47DF">
        <w:t>zlepšení přístupu MSP k financování, včetně rizikového kapitálu.</w:t>
      </w:r>
    </w:p>
    <w:p w14:paraId="656938A4" w14:textId="77777777" w:rsidR="0098539A" w:rsidRPr="00DD47DF" w:rsidRDefault="00FB6649" w:rsidP="00C902DA">
      <w:pPr>
        <w:pStyle w:val="Standardntext"/>
      </w:pPr>
      <w:r w:rsidRPr="00DD47DF">
        <w:t xml:space="preserve">S tím úzce souvisí i problematika přístupu mikropodniků k financování, což je téma společné pro prioritní osu 2 OP PIK a </w:t>
      </w:r>
      <w:r w:rsidR="00253374" w:rsidRPr="00DD47DF">
        <w:rPr>
          <w:b/>
        </w:rPr>
        <w:t>EaSI</w:t>
      </w:r>
      <w:r w:rsidRPr="00DD47DF">
        <w:t>, konkrétně osa „Mikrofinancování a sociální podnikání“.</w:t>
      </w:r>
    </w:p>
    <w:p w14:paraId="10AEC618" w14:textId="77777777" w:rsidR="00FB6649" w:rsidRPr="00DD47DF" w:rsidRDefault="0098539A" w:rsidP="00C902DA">
      <w:pPr>
        <w:pStyle w:val="Standardntext"/>
      </w:pPr>
      <w:r w:rsidRPr="00DD47DF">
        <w:t xml:space="preserve">V případě programu </w:t>
      </w:r>
      <w:r w:rsidR="00A45FC1" w:rsidRPr="00DD47DF">
        <w:rPr>
          <w:b/>
        </w:rPr>
        <w:t>Kreativní</w:t>
      </w:r>
      <w:r w:rsidRPr="00DD47DF">
        <w:rPr>
          <w:b/>
        </w:rPr>
        <w:t xml:space="preserve"> Evropa</w:t>
      </w:r>
      <w:r w:rsidRPr="00DD47DF">
        <w:t xml:space="preserve"> je komplementární vazba spatřována u aktivit </w:t>
      </w:r>
      <w:r w:rsidR="00146DC1" w:rsidRPr="00DD47DF">
        <w:t xml:space="preserve">směřujících k </w:t>
      </w:r>
      <w:r w:rsidRPr="00DD47DF">
        <w:t xml:space="preserve">posílení finančních možností MSP, kdy příjemci podpory v OP PIK mohou být </w:t>
      </w:r>
      <w:r w:rsidR="00146DC1" w:rsidRPr="00DD47DF">
        <w:t>rovněž</w:t>
      </w:r>
      <w:r w:rsidRPr="00DD47DF">
        <w:t xml:space="preserve"> žadatelé </w:t>
      </w:r>
      <w:r w:rsidR="00146DC1" w:rsidRPr="00DD47DF">
        <w:t xml:space="preserve">z </w:t>
      </w:r>
      <w:r w:rsidRPr="00DD47DF">
        <w:t>kulturních a kreativních odvětví.</w:t>
      </w:r>
    </w:p>
    <w:p w14:paraId="1BF24A62" w14:textId="77777777" w:rsidR="00C902DA" w:rsidRPr="00DD47DF" w:rsidRDefault="00FB6649" w:rsidP="00DA7257">
      <w:pPr>
        <w:pStyle w:val="Standardntext"/>
        <w:numPr>
          <w:ilvl w:val="0"/>
          <w:numId w:val="32"/>
        </w:numPr>
        <w:rPr>
          <w:b/>
        </w:rPr>
      </w:pPr>
      <w:r w:rsidRPr="00DD47DF">
        <w:rPr>
          <w:b/>
        </w:rPr>
        <w:t>Energetika</w:t>
      </w:r>
    </w:p>
    <w:p w14:paraId="391C45E7" w14:textId="77777777" w:rsidR="005A6B88" w:rsidRPr="00DD47DF" w:rsidRDefault="00FB6649" w:rsidP="005D178C">
      <w:pPr>
        <w:pStyle w:val="Standardntext"/>
      </w:pPr>
      <w:r w:rsidRPr="00DD47DF">
        <w:t xml:space="preserve">V oblasti energetiky </w:t>
      </w:r>
      <w:r w:rsidR="005A6B88" w:rsidRPr="00DD47DF">
        <w:t xml:space="preserve">vykazuje OP PIK vazby na </w:t>
      </w:r>
      <w:r w:rsidR="0087102E" w:rsidRPr="00DD47DF">
        <w:rPr>
          <w:b/>
        </w:rPr>
        <w:t>Horizont 2020</w:t>
      </w:r>
      <w:r w:rsidR="00A73155" w:rsidRPr="00DD47DF">
        <w:t xml:space="preserve">, kde </w:t>
      </w:r>
      <w:r w:rsidR="005A6B88" w:rsidRPr="00DD47DF">
        <w:t xml:space="preserve">jde zejména o snižování spotřeby energie, </w:t>
      </w:r>
      <w:r w:rsidR="008D375D" w:rsidRPr="00DD47DF">
        <w:t>OZE</w:t>
      </w:r>
      <w:r w:rsidR="005A6B88" w:rsidRPr="00DD47DF">
        <w:t xml:space="preserve">, energetickou infrastrukturu, </w:t>
      </w:r>
      <w:r w:rsidR="005A6B88" w:rsidRPr="00DD47DF">
        <w:rPr>
          <w:bCs/>
        </w:rPr>
        <w:t>zavádění inovativních nízkouhlíkových technologií, včetně nízkouhlíkové dopravy či oblasti druhotných surovin</w:t>
      </w:r>
      <w:r w:rsidR="00DF6069" w:rsidRPr="00DD47DF">
        <w:t>.</w:t>
      </w:r>
    </w:p>
    <w:p w14:paraId="0CB28085" w14:textId="77777777" w:rsidR="000023FB" w:rsidRPr="00DD47DF" w:rsidRDefault="00F00824" w:rsidP="00EE06C7">
      <w:pPr>
        <w:pStyle w:val="Standardntext"/>
      </w:pPr>
      <w:r w:rsidRPr="00DD47DF">
        <w:t>Z</w:t>
      </w:r>
      <w:r w:rsidR="000961BF" w:rsidRPr="00DD47DF">
        <w:t> nástroje CEF</w:t>
      </w:r>
      <w:r w:rsidRPr="00DD47DF">
        <w:t xml:space="preserve"> lze financovat jen projekty</w:t>
      </w:r>
      <w:r w:rsidR="000961BF" w:rsidRPr="00DD47DF">
        <w:t>, které byly zařazeny na seznam Projektů společného zájmu (PCI)</w:t>
      </w:r>
      <w:r w:rsidRPr="00DD47DF">
        <w:t xml:space="preserve">. </w:t>
      </w:r>
      <w:r w:rsidR="000023FB" w:rsidRPr="00DD47DF">
        <w:t xml:space="preserve">Nicméně jen </w:t>
      </w:r>
      <w:r w:rsidR="001D7E3C" w:rsidRPr="00DD47DF">
        <w:t>velmi omezené množství projektů</w:t>
      </w:r>
      <w:r w:rsidR="000023FB" w:rsidRPr="00DD47DF">
        <w:t xml:space="preserve"> PCI bude podpořeno z CEF, takže v případě, že projekt nebude mít zajištěno financování z CEF, bude prioritně financován z OP PIK.</w:t>
      </w:r>
    </w:p>
    <w:p w14:paraId="36F91A60" w14:textId="77777777" w:rsidR="000B1709" w:rsidRPr="00DD47DF" w:rsidRDefault="00356BE6" w:rsidP="00DA7257">
      <w:pPr>
        <w:pStyle w:val="Standardntext"/>
        <w:numPr>
          <w:ilvl w:val="0"/>
          <w:numId w:val="32"/>
        </w:numPr>
        <w:rPr>
          <w:b/>
        </w:rPr>
      </w:pPr>
      <w:r w:rsidRPr="00DD47DF">
        <w:rPr>
          <w:b/>
        </w:rPr>
        <w:t>ICT</w:t>
      </w:r>
    </w:p>
    <w:p w14:paraId="0D75A739" w14:textId="77777777" w:rsidR="000B1709" w:rsidRPr="00DD47DF" w:rsidRDefault="00356BE6" w:rsidP="000B1709">
      <w:pPr>
        <w:pStyle w:val="Standardntext"/>
      </w:pPr>
      <w:r w:rsidRPr="00DD47DF">
        <w:t xml:space="preserve">Také v případě ICT má OP PIK vazbu na </w:t>
      </w:r>
      <w:r w:rsidR="0087102E" w:rsidRPr="00DD47DF">
        <w:rPr>
          <w:b/>
        </w:rPr>
        <w:t>Horizont 2020</w:t>
      </w:r>
      <w:r w:rsidR="00A73155" w:rsidRPr="00DD47DF">
        <w:t>, kde</w:t>
      </w:r>
      <w:r w:rsidRPr="00DD47DF">
        <w:t xml:space="preserve"> lze spatřovat </w:t>
      </w:r>
      <w:r w:rsidR="00A73155" w:rsidRPr="00DD47DF">
        <w:t xml:space="preserve">vazby </w:t>
      </w:r>
      <w:r w:rsidRPr="00DD47DF">
        <w:t>především v oblasti internetové infrastruktury a vývoji pokročilých a inteligencích systémů.</w:t>
      </w:r>
    </w:p>
    <w:p w14:paraId="759D0115" w14:textId="77777777" w:rsidR="001C66E1" w:rsidRPr="00DD47DF" w:rsidRDefault="003128E1" w:rsidP="00396141">
      <w:pPr>
        <w:pStyle w:val="Modrnadpis"/>
      </w:pPr>
      <w:r w:rsidRPr="00DD47DF">
        <w:t>Zajištění koordinace s relevantními národními nástroji podpory</w:t>
      </w:r>
    </w:p>
    <w:p w14:paraId="233F787E" w14:textId="77777777" w:rsidR="000B1709" w:rsidRPr="00DD47DF" w:rsidRDefault="000B1709" w:rsidP="000B1709">
      <w:pPr>
        <w:pStyle w:val="Standardntext"/>
      </w:pPr>
      <w:r w:rsidRPr="00DD47DF">
        <w:t xml:space="preserve">Bližší specifikace </w:t>
      </w:r>
      <w:r w:rsidR="008C0067" w:rsidRPr="00DD47DF">
        <w:t xml:space="preserve">níže </w:t>
      </w:r>
      <w:r w:rsidRPr="00DD47DF">
        <w:t xml:space="preserve">identifikovaných komplementárních vazeb je součástí </w:t>
      </w:r>
      <w:r w:rsidR="00D3716C" w:rsidRPr="00DD47DF">
        <w:rPr>
          <w:b/>
        </w:rPr>
        <w:t xml:space="preserve">Nepovinné přílohy č. </w:t>
      </w:r>
      <w:r w:rsidR="00F734D1" w:rsidRPr="00DD47DF">
        <w:rPr>
          <w:b/>
        </w:rPr>
        <w:t>4</w:t>
      </w:r>
      <w:r w:rsidRPr="00DD47DF">
        <w:t>.</w:t>
      </w:r>
    </w:p>
    <w:p w14:paraId="54FE48F9" w14:textId="77777777" w:rsidR="00C902DA" w:rsidRPr="00DD47DF" w:rsidRDefault="00C902DA" w:rsidP="00DA7257">
      <w:pPr>
        <w:pStyle w:val="Standardntext"/>
        <w:numPr>
          <w:ilvl w:val="0"/>
          <w:numId w:val="31"/>
        </w:numPr>
        <w:rPr>
          <w:b/>
        </w:rPr>
      </w:pPr>
      <w:r w:rsidRPr="00DD47DF">
        <w:rPr>
          <w:b/>
        </w:rPr>
        <w:t>Aplikovaný výzkum a vývoj</w:t>
      </w:r>
    </w:p>
    <w:p w14:paraId="3A425212" w14:textId="7C25D1A7" w:rsidR="00920D09" w:rsidRPr="00DD47DF" w:rsidRDefault="00920D09" w:rsidP="00284818">
      <w:pPr>
        <w:pStyle w:val="Standardntext"/>
      </w:pPr>
      <w:r w:rsidRPr="00DD47DF">
        <w:t xml:space="preserve">Zatímco OP PIK je v této oblasti více zaměřen na průmyslové výzvy a </w:t>
      </w:r>
      <w:r w:rsidR="00BC3665" w:rsidRPr="00DD47DF">
        <w:t>KETs</w:t>
      </w:r>
      <w:r w:rsidRPr="00DD47DF">
        <w:t xml:space="preserve">, </w:t>
      </w:r>
      <w:r w:rsidR="00CD130E" w:rsidRPr="00DD47DF">
        <w:t xml:space="preserve">program </w:t>
      </w:r>
      <w:r w:rsidR="00CD130E" w:rsidRPr="00DD47DF">
        <w:rPr>
          <w:b/>
        </w:rPr>
        <w:t>Epsilon TA ČR</w:t>
      </w:r>
      <w:r w:rsidR="00CD130E" w:rsidRPr="00DD47DF">
        <w:t xml:space="preserve"> je založen na plnění cílů Národních priorit orientovaného výzkumu, experimentálního vývoje a inovací, nikoliv oborově, a je nastaven flexibilně, aby nenarušil implementaci příslušných operačních programů v období 2014 – 2020.</w:t>
      </w:r>
      <w:r w:rsidRPr="00DD47DF">
        <w:t xml:space="preserve"> </w:t>
      </w:r>
      <w:r w:rsidR="00060CF3" w:rsidRPr="00DD47DF">
        <w:t xml:space="preserve">Program </w:t>
      </w:r>
      <w:r w:rsidR="00060CF3" w:rsidRPr="00DD47DF">
        <w:rPr>
          <w:b/>
        </w:rPr>
        <w:t xml:space="preserve">Delta TA ČR </w:t>
      </w:r>
      <w:r w:rsidR="00060CF3" w:rsidRPr="00DD47DF">
        <w:t>se orientuje na podporu mezinárodní spolupráce v aplikovaném výzkumu a experimentálním vývoji se subjekty mimo ČR na základě bilaterálních memorand s obdobnými organizacemi jako je TA ČR.</w:t>
      </w:r>
    </w:p>
    <w:p w14:paraId="1D535FAC" w14:textId="77777777" w:rsidR="00C902DA" w:rsidRPr="00DD47DF" w:rsidRDefault="00C902DA" w:rsidP="00DA7257">
      <w:pPr>
        <w:pStyle w:val="Standardntext"/>
        <w:keepNext/>
        <w:keepLines/>
        <w:numPr>
          <w:ilvl w:val="0"/>
          <w:numId w:val="31"/>
        </w:numPr>
        <w:rPr>
          <w:b/>
        </w:rPr>
      </w:pPr>
      <w:r w:rsidRPr="00DD47DF">
        <w:rPr>
          <w:b/>
        </w:rPr>
        <w:lastRenderedPageBreak/>
        <w:t>Proof – of – concept</w:t>
      </w:r>
    </w:p>
    <w:p w14:paraId="228A08E0" w14:textId="77777777" w:rsidR="00EF7E53" w:rsidRPr="00DD47DF" w:rsidRDefault="00920D09" w:rsidP="00284818">
      <w:pPr>
        <w:pStyle w:val="Standardntext"/>
        <w:keepNext/>
        <w:keepLines/>
      </w:pPr>
      <w:r w:rsidRPr="00DD47DF">
        <w:t>OP PIK se zaměřuje výhradně na</w:t>
      </w:r>
      <w:r w:rsidR="00270C7E" w:rsidRPr="00DD47DF">
        <w:t xml:space="preserve"> </w:t>
      </w:r>
      <w:r w:rsidR="0088604E" w:rsidRPr="00DD47DF">
        <w:t>ověření komerčního potenciálu a dotažení výrobku/služby do finálního stádia a jeho uvedení na trh</w:t>
      </w:r>
      <w:r w:rsidRPr="00DD47DF">
        <w:t xml:space="preserve">. Zatímco program </w:t>
      </w:r>
      <w:r w:rsidRPr="00DD47DF">
        <w:rPr>
          <w:b/>
        </w:rPr>
        <w:t>Gama</w:t>
      </w:r>
      <w:r w:rsidR="00BC3665" w:rsidRPr="00DD47DF">
        <w:rPr>
          <w:b/>
        </w:rPr>
        <w:t xml:space="preserve"> TA </w:t>
      </w:r>
      <w:r w:rsidRPr="00DD47DF">
        <w:rPr>
          <w:b/>
        </w:rPr>
        <w:t>ČR</w:t>
      </w:r>
      <w:r w:rsidRPr="00DD47DF">
        <w:t xml:space="preserve"> se zaměřuje na nastavení systému </w:t>
      </w:r>
      <w:r w:rsidR="0088604E" w:rsidRPr="00DD47DF">
        <w:t>proof of concept ve výzkumných organizacích a na další vývoj a uvedení na trh výsledků, které jsou výstupem jiných projektů a vyžadují ještě doplňující aktivity pro uvedení výrobku/služby na trh</w:t>
      </w:r>
      <w:r w:rsidR="00590B07" w:rsidRPr="00DD47DF">
        <w:t>.</w:t>
      </w:r>
      <w:r w:rsidR="00D17DBE" w:rsidRPr="00DD47DF">
        <w:t xml:space="preserve"> </w:t>
      </w:r>
    </w:p>
    <w:p w14:paraId="2483467A" w14:textId="77777777" w:rsidR="00C902DA" w:rsidRPr="00DD47DF" w:rsidRDefault="00C902DA" w:rsidP="00DA7257">
      <w:pPr>
        <w:pStyle w:val="Standardntext"/>
        <w:numPr>
          <w:ilvl w:val="0"/>
          <w:numId w:val="31"/>
        </w:numPr>
        <w:rPr>
          <w:b/>
        </w:rPr>
      </w:pPr>
      <w:r w:rsidRPr="00DD47DF">
        <w:rPr>
          <w:b/>
        </w:rPr>
        <w:t>Zvýšení konkurenceschopnosti MSP</w:t>
      </w:r>
    </w:p>
    <w:p w14:paraId="5B338CA3" w14:textId="77777777" w:rsidR="00C902DA" w:rsidRPr="00DD47DF" w:rsidRDefault="00923777" w:rsidP="00C902DA">
      <w:pPr>
        <w:pStyle w:val="Standardntext"/>
      </w:pPr>
      <w:r w:rsidRPr="00DD47DF">
        <w:t>Mezi národní programy v</w:t>
      </w:r>
      <w:r w:rsidR="005516F9" w:rsidRPr="00DD47DF">
        <w:t> </w:t>
      </w:r>
      <w:r w:rsidRPr="00DD47DF">
        <w:t>této</w:t>
      </w:r>
      <w:r w:rsidR="000239E7" w:rsidRPr="00DD47DF">
        <w:t xml:space="preserve"> oblasti patří program záruk pro </w:t>
      </w:r>
      <w:r w:rsidR="004D3EA2" w:rsidRPr="00DD47DF">
        <w:t>MSP</w:t>
      </w:r>
      <w:r w:rsidR="000239E7" w:rsidRPr="00DD47DF">
        <w:t xml:space="preserve"> </w:t>
      </w:r>
      <w:r w:rsidR="000239E7" w:rsidRPr="00DD47DF">
        <w:rPr>
          <w:b/>
        </w:rPr>
        <w:t>ZÁRUKA</w:t>
      </w:r>
      <w:r w:rsidR="005516F9" w:rsidRPr="00DD47DF">
        <w:t xml:space="preserve">, </w:t>
      </w:r>
      <w:r w:rsidR="000239E7" w:rsidRPr="00DD47DF">
        <w:t xml:space="preserve">program záruk za úvěry začínajícím podnikatelům v Olomouckém a Moravskoslezském kraji </w:t>
      </w:r>
      <w:r w:rsidR="000239E7" w:rsidRPr="00DD47DF">
        <w:rPr>
          <w:b/>
        </w:rPr>
        <w:t>INOSTART</w:t>
      </w:r>
      <w:r w:rsidR="005516F9" w:rsidRPr="00DD47DF">
        <w:t xml:space="preserve"> a </w:t>
      </w:r>
      <w:r w:rsidR="000239E7" w:rsidRPr="00DD47DF">
        <w:t xml:space="preserve">program </w:t>
      </w:r>
      <w:r w:rsidR="000239E7" w:rsidRPr="00DD47DF">
        <w:rPr>
          <w:b/>
        </w:rPr>
        <w:t>REVIT</w:t>
      </w:r>
      <w:r w:rsidR="000239E7" w:rsidRPr="00DD47DF">
        <w:t xml:space="preserve"> na léta 2014 - 2020</w:t>
      </w:r>
      <w:r w:rsidR="005516F9" w:rsidRPr="00DD47DF">
        <w:t xml:space="preserve">. </w:t>
      </w:r>
      <w:r w:rsidR="0053261C" w:rsidRPr="00DD47DF">
        <w:t>Jedná se o doplňkové programy k OP PIK; u</w:t>
      </w:r>
      <w:r w:rsidRPr="00DD47DF">
        <w:t xml:space="preserve"> všech </w:t>
      </w:r>
      <w:r w:rsidR="0053261C" w:rsidRPr="00DD47DF">
        <w:t>těchto</w:t>
      </w:r>
      <w:r w:rsidRPr="00DD47DF">
        <w:t xml:space="preserve"> programů se předpokládají komplementarity</w:t>
      </w:r>
      <w:r w:rsidR="00BC3665" w:rsidRPr="00DD47DF">
        <w:t xml:space="preserve"> v oblasti finančních nástrojů</w:t>
      </w:r>
      <w:r w:rsidRPr="00DD47DF">
        <w:t>.</w:t>
      </w:r>
    </w:p>
    <w:p w14:paraId="63A72CA5" w14:textId="77777777" w:rsidR="00C730AF" w:rsidRPr="00DD47DF" w:rsidRDefault="00C730AF" w:rsidP="00DA7257">
      <w:pPr>
        <w:pStyle w:val="Standardntext"/>
        <w:numPr>
          <w:ilvl w:val="0"/>
          <w:numId w:val="31"/>
        </w:numPr>
        <w:rPr>
          <w:b/>
        </w:rPr>
      </w:pPr>
      <w:r w:rsidRPr="00DD47DF">
        <w:rPr>
          <w:b/>
        </w:rPr>
        <w:t>Podnikatelské nemovitosti</w:t>
      </w:r>
    </w:p>
    <w:p w14:paraId="1F689135" w14:textId="77777777" w:rsidR="00060CF3" w:rsidRPr="00DD47DF" w:rsidRDefault="00390A8C" w:rsidP="00060CF3">
      <w:pPr>
        <w:pStyle w:val="Standardntext"/>
      </w:pPr>
      <w:r w:rsidRPr="00DD47DF">
        <w:t xml:space="preserve">MPO je správcem národního </w:t>
      </w:r>
      <w:r w:rsidRPr="00DD47DF">
        <w:rPr>
          <w:b/>
        </w:rPr>
        <w:t>Programu na podporu podnikatelských nemovitostí a infrastruktury</w:t>
      </w:r>
      <w:r w:rsidR="00732320" w:rsidRPr="00DD47DF">
        <w:t>, který</w:t>
      </w:r>
      <w:r w:rsidRPr="00DD47DF">
        <w:t xml:space="preserve"> je doplňkový vůči OP PIK. Odlišná je cílová skupina potenciálních příjemců, kdy se OP PIK orientuje na podnikatelské subjekty a národní program pouze na obce a kraje.</w:t>
      </w:r>
    </w:p>
    <w:p w14:paraId="09975AE0" w14:textId="77777777" w:rsidR="00C902DA" w:rsidRPr="00DD47DF" w:rsidRDefault="00C902DA" w:rsidP="00DA7257">
      <w:pPr>
        <w:pStyle w:val="Standardntext"/>
        <w:numPr>
          <w:ilvl w:val="0"/>
          <w:numId w:val="31"/>
        </w:numPr>
        <w:rPr>
          <w:b/>
        </w:rPr>
      </w:pPr>
      <w:r w:rsidRPr="00DD47DF">
        <w:rPr>
          <w:b/>
        </w:rPr>
        <w:t>Úspory energie</w:t>
      </w:r>
    </w:p>
    <w:p w14:paraId="0E85F4D5" w14:textId="77777777" w:rsidR="00C902DA" w:rsidRPr="00DD47DF" w:rsidRDefault="003D7BAA" w:rsidP="00C902DA">
      <w:pPr>
        <w:pStyle w:val="Standardntext"/>
      </w:pPr>
      <w:r w:rsidRPr="00DD47DF">
        <w:t>Národním programem v oblasti úspor energie je program Efekt</w:t>
      </w:r>
      <w:r w:rsidR="0015513D" w:rsidRPr="00DD47DF">
        <w:t>, který každoročně</w:t>
      </w:r>
      <w:r w:rsidRPr="00DD47DF">
        <w:t xml:space="preserve"> </w:t>
      </w:r>
      <w:r w:rsidR="0015513D" w:rsidRPr="00DD47DF">
        <w:t>vyhlašuje MPO</w:t>
      </w:r>
      <w:r w:rsidRPr="00DD47DF">
        <w:t>. Program je zaměřen především na osvětovou a informační činnost a investiční akce menšího rozsahu. Je doplňkovým programem k energetickým programům podporovaným z ESIF</w:t>
      </w:r>
      <w:r w:rsidR="00732320" w:rsidRPr="00DD47DF">
        <w:t>.</w:t>
      </w:r>
    </w:p>
    <w:p w14:paraId="717B24FD" w14:textId="21073E54" w:rsidR="000B1709" w:rsidRPr="00DD47DF" w:rsidRDefault="000B1709" w:rsidP="00A83EAE">
      <w:pPr>
        <w:pStyle w:val="Standardntext"/>
      </w:pPr>
    </w:p>
    <w:p w14:paraId="1C46E863" w14:textId="77777777" w:rsidR="000B1CBB" w:rsidRPr="00DD47DF" w:rsidRDefault="000B1CBB" w:rsidP="00396141">
      <w:pPr>
        <w:pStyle w:val="Modrnadpis"/>
        <w:rPr>
          <w:rFonts w:eastAsia="Arial Unicode MS"/>
        </w:rPr>
      </w:pPr>
      <w:r w:rsidRPr="00DD47DF">
        <w:t>Zajištění koordinace s Evropskou investiční bankou</w:t>
      </w:r>
    </w:p>
    <w:p w14:paraId="674DD5C9" w14:textId="77777777" w:rsidR="000B1CBB" w:rsidRPr="00DD47DF" w:rsidRDefault="00886924" w:rsidP="00886924">
      <w:pPr>
        <w:pStyle w:val="Standardntext"/>
      </w:pPr>
      <w:r w:rsidRPr="00DD47DF">
        <w:t xml:space="preserve">Ve vztahu ke skupině EIB se nabízí především spolupráce v oblasti finančních nástrojů. ŘO OP PIK počítá s využitím služeb skupiny EIB při zpracování </w:t>
      </w:r>
      <w:r w:rsidR="003B7DC0" w:rsidRPr="00DD47DF">
        <w:t>předběžného posouzení</w:t>
      </w:r>
      <w:r w:rsidRPr="00DD47DF">
        <w:t xml:space="preserve"> finančních nástrojů podle </w:t>
      </w:r>
      <w:r w:rsidR="00673465" w:rsidRPr="00DD47DF">
        <w:t>čl. 3</w:t>
      </w:r>
      <w:r w:rsidR="00192FBA" w:rsidRPr="00DD47DF">
        <w:t>7</w:t>
      </w:r>
      <w:r w:rsidR="00673465" w:rsidRPr="00DD47DF">
        <w:t xml:space="preserve"> </w:t>
      </w:r>
      <w:r w:rsidR="003B7DC0" w:rsidRPr="00DD47DF">
        <w:t xml:space="preserve">odst. 2 </w:t>
      </w:r>
      <w:r w:rsidR="00673465" w:rsidRPr="00DD47DF">
        <w:t>o</w:t>
      </w:r>
      <w:r w:rsidRPr="00DD47DF">
        <w:t>becného nařízení. V návaznosti na toto vyhodnocení nelze vyloučit ani případnou další spolupráci ve fázi implementace finančních nástrojů OP PIK.</w:t>
      </w:r>
    </w:p>
    <w:p w14:paraId="300F6639" w14:textId="77777777" w:rsidR="003B7DC0" w:rsidRPr="00DD47DF" w:rsidRDefault="003B7DC0" w:rsidP="003B7DC0">
      <w:pPr>
        <w:pStyle w:val="Standardntext"/>
      </w:pPr>
      <w:r w:rsidRPr="00DD47DF">
        <w:t>Co se týče koordinace s existujícími a chystanými finančními nástroji prováděnými skupinou EIB, jedná se o nástroje uvedené v</w:t>
      </w:r>
      <w:r w:rsidR="00D3716C" w:rsidRPr="00DD47DF">
        <w:t xml:space="preserve"> Nepovinné příloze č. </w:t>
      </w:r>
      <w:r w:rsidR="00F734D1" w:rsidRPr="00DD47DF">
        <w:t>4</w:t>
      </w:r>
      <w:r w:rsidRPr="00DD47DF">
        <w:t>, zejména finanční nástroje implementované v rámci unijních programů COSME a Horizont 2020.</w:t>
      </w:r>
    </w:p>
    <w:p w14:paraId="59D16941" w14:textId="77777777" w:rsidR="003B7DC0" w:rsidRDefault="003B7DC0" w:rsidP="003B7DC0">
      <w:pPr>
        <w:pStyle w:val="Standardntext"/>
      </w:pPr>
      <w:r w:rsidRPr="00DD47DF">
        <w:t>Č</w:t>
      </w:r>
      <w:r w:rsidR="0015513D" w:rsidRPr="00DD47DF">
        <w:t>R</w:t>
      </w:r>
      <w:r w:rsidRPr="00DD47DF">
        <w:t xml:space="preserve"> nemá v úmyslu využít možnost zapojení do společných finančních nástrojů tzv. SME initiative podle čl. 39 </w:t>
      </w:r>
      <w:r w:rsidR="0087102E" w:rsidRPr="00DD47DF">
        <w:t>o</w:t>
      </w:r>
      <w:r w:rsidRPr="00DD47DF">
        <w:t>becného nařízení.</w:t>
      </w:r>
    </w:p>
    <w:p w14:paraId="51BFC691" w14:textId="77777777" w:rsidR="00886924" w:rsidRPr="00055EAE" w:rsidRDefault="003D28C7" w:rsidP="003D28C7">
      <w:pPr>
        <w:pStyle w:val="Modrnadpis"/>
        <w:rPr>
          <w:b w:val="0"/>
        </w:rPr>
      </w:pPr>
      <w:r w:rsidRPr="00055EAE">
        <w:rPr>
          <w:b w:val="0"/>
        </w:rPr>
        <w:t>Oddíl 8 bude v případě nových programů aktualizován.</w:t>
      </w:r>
    </w:p>
    <w:p w14:paraId="45318E5A" w14:textId="77777777" w:rsidR="00886924" w:rsidRPr="00DD47DF" w:rsidRDefault="00886924" w:rsidP="003D28C7">
      <w:pPr>
        <w:pStyle w:val="Modrnadpis"/>
        <w:sectPr w:rsidR="00886924" w:rsidRPr="00DD47DF" w:rsidSect="00F258CA">
          <w:headerReference w:type="default" r:id="rId54"/>
          <w:footerReference w:type="default" r:id="rId55"/>
          <w:pgSz w:w="11906" w:h="16838"/>
          <w:pgMar w:top="1418" w:right="1276" w:bottom="1276" w:left="1418" w:header="709" w:footer="709" w:gutter="0"/>
          <w:cols w:space="708"/>
          <w:docGrid w:linePitch="272"/>
        </w:sectPr>
      </w:pPr>
    </w:p>
    <w:p w14:paraId="192EFF32" w14:textId="77777777" w:rsidR="009E6172" w:rsidRPr="00DD47DF" w:rsidRDefault="00FF200C" w:rsidP="00FF200C">
      <w:pPr>
        <w:pStyle w:val="Nadpis1"/>
      </w:pPr>
      <w:bookmarkStart w:id="135" w:name="_Toc129005462"/>
      <w:r w:rsidRPr="00DD47DF">
        <w:lastRenderedPageBreak/>
        <w:t>Předběžné podmínky</w:t>
      </w:r>
      <w:bookmarkEnd w:id="135"/>
    </w:p>
    <w:p w14:paraId="3B00D53D" w14:textId="77777777" w:rsidR="00F05C0C" w:rsidRPr="00DD47DF" w:rsidRDefault="00F05C0C" w:rsidP="00F05C0C">
      <w:pPr>
        <w:pStyle w:val="Nadpis2"/>
        <w:rPr>
          <w:rFonts w:cs="Calibri"/>
        </w:rPr>
      </w:pPr>
      <w:bookmarkStart w:id="136" w:name="_Toc129005463"/>
      <w:r w:rsidRPr="00DD47DF">
        <w:rPr>
          <w:rFonts w:cs="Calibri"/>
        </w:rPr>
        <w:t>Předběžné podmínky</w:t>
      </w:r>
      <w:bookmarkEnd w:id="136"/>
      <w:r w:rsidRPr="00DD47DF">
        <w:rPr>
          <w:rFonts w:cs="Calibri"/>
        </w:rPr>
        <w:t xml:space="preserve"> </w:t>
      </w:r>
    </w:p>
    <w:p w14:paraId="2A016838" w14:textId="77777777" w:rsidR="00171578" w:rsidRPr="00DD47DF" w:rsidRDefault="00171578" w:rsidP="00606577">
      <w:pPr>
        <w:pStyle w:val="Standardntext"/>
      </w:pPr>
      <w:r w:rsidRPr="00DD47DF">
        <w:rPr>
          <w:rFonts w:eastAsia="Arial Unicode MS"/>
        </w:rPr>
        <w:t xml:space="preserve">V souvislosti s požadavkem Evropské komise zajistit dosahování prokazatelných výsledků intervencí z Evropských strukturálních a investičních fondů, zavádí obecné nařízení instrument v podobě tzv. předběžných podmínek. Jejich cílem je zajistit, </w:t>
      </w:r>
      <w:r w:rsidRPr="00DD47DF">
        <w:t>že budou existovat nezbytné rámcové podmínky pro účinné využívání podpory</w:t>
      </w:r>
      <w:r w:rsidR="00BA4E72" w:rsidRPr="00DD47DF">
        <w:t xml:space="preserve"> </w:t>
      </w:r>
      <w:r w:rsidRPr="00DD47DF">
        <w:t>ESIF. Předběžná podmínka je podle obecného nařízení „</w:t>
      </w:r>
      <w:r w:rsidRPr="00DD47DF">
        <w:rPr>
          <w:i/>
        </w:rPr>
        <w:t>předem přesně vymezený podstatný faktor, který je nezbytným předpokladem pro účinné a efektivní splnění specifického cíle investiční priority […]</w:t>
      </w:r>
      <w:r w:rsidRPr="00DD47DF">
        <w:t xml:space="preserve">“. V rámci předběžných podmínek jsou dále definována dílčí kritéria splnění. </w:t>
      </w:r>
    </w:p>
    <w:p w14:paraId="1307E4C5" w14:textId="77777777" w:rsidR="00171578" w:rsidRPr="00DD47DF" w:rsidRDefault="00171578" w:rsidP="00606577">
      <w:pPr>
        <w:pStyle w:val="Standardntext"/>
      </w:pPr>
      <w:r w:rsidRPr="00DD47DF">
        <w:rPr>
          <w:rFonts w:eastAsia="Arial Unicode MS"/>
        </w:rPr>
        <w:t>Podle obecného nařízení by předběžné podmínky měly být splněny k datu předložení Dohody o partnerství</w:t>
      </w:r>
      <w:r w:rsidR="00782365" w:rsidRPr="00DD47DF">
        <w:rPr>
          <w:rFonts w:eastAsia="Arial Unicode MS"/>
        </w:rPr>
        <w:t xml:space="preserve"> a operačních programů</w:t>
      </w:r>
      <w:r w:rsidRPr="00DD47DF">
        <w:rPr>
          <w:rFonts w:eastAsia="Arial Unicode MS"/>
        </w:rPr>
        <w:t>, není-li tomu tak, pak nejpozději do 31. 12. 2016. N</w:t>
      </w:r>
      <w:r w:rsidRPr="00DD47DF">
        <w:t>esplnění předběžných podmínek ve lhůtě do 31. 12. 2016 je důvodem pro pozastavení všech nebo části plateb na příslušnou prioritu programu ze strany EK.</w:t>
      </w:r>
      <w:r w:rsidRPr="00DD47DF">
        <w:rPr>
          <w:rFonts w:eastAsia="Arial Unicode MS"/>
        </w:rPr>
        <w:t xml:space="preserve"> </w:t>
      </w:r>
      <w:r w:rsidRPr="00DD47DF">
        <w:t xml:space="preserve">Opětovné spuštění průběžných plateb bude znovu možné až po splnění předběžné podmínky. </w:t>
      </w:r>
    </w:p>
    <w:p w14:paraId="30E0046D" w14:textId="77777777" w:rsidR="00171578" w:rsidRPr="00DD47DF" w:rsidRDefault="00171578" w:rsidP="00606577">
      <w:pPr>
        <w:pStyle w:val="Standardntext"/>
      </w:pPr>
      <w:r w:rsidRPr="00DD47DF">
        <w:t xml:space="preserve">Koordinací naplňování předběžných podmínek na národní úrovni zajišťuje Ministerstvo pro místní rozvoj, které k tomu účelu vydává Akční plán řízení a koordinace předběžných podmínek v programovém období 2014-2020 (dále </w:t>
      </w:r>
      <w:r w:rsidR="00DF4F92" w:rsidRPr="00DD47DF">
        <w:t>také „</w:t>
      </w:r>
      <w:r w:rsidRPr="00DD47DF">
        <w:t>Akční plán</w:t>
      </w:r>
      <w:r w:rsidR="00DF4F92" w:rsidRPr="00DD47DF">
        <w:t>“</w:t>
      </w:r>
      <w:r w:rsidRPr="00DD47DF">
        <w:t>). V souladu s</w:t>
      </w:r>
      <w:r w:rsidR="00BA4E72" w:rsidRPr="00DD47DF">
        <w:t xml:space="preserve"> </w:t>
      </w:r>
      <w:r w:rsidRPr="00DD47DF">
        <w:t>Akčním plánem zajišťuje Ministerstvo průmyslu a obchodu</w:t>
      </w:r>
      <w:r w:rsidR="00F11481" w:rsidRPr="00DD47DF">
        <w:t xml:space="preserve"> jako </w:t>
      </w:r>
      <w:r w:rsidRPr="00DD47DF">
        <w:t>Řídící orgán OP PIK</w:t>
      </w:r>
      <w:r w:rsidR="00F11481" w:rsidRPr="00DD47DF">
        <w:t xml:space="preserve"> </w:t>
      </w:r>
      <w:r w:rsidRPr="00DD47DF">
        <w:t>úlohu gestora věcného naplnění některých předběžných podmínek</w:t>
      </w:r>
      <w:r w:rsidR="00F11481" w:rsidRPr="00DD47DF">
        <w:t xml:space="preserve"> a p</w:t>
      </w:r>
      <w:r w:rsidRPr="00DD47DF">
        <w:t xml:space="preserve">růběžně </w:t>
      </w:r>
      <w:r w:rsidR="00F11481" w:rsidRPr="00DD47DF">
        <w:t xml:space="preserve">je </w:t>
      </w:r>
      <w:r w:rsidRPr="00DD47DF">
        <w:t>sleduje a vyhodnocuje</w:t>
      </w:r>
      <w:r w:rsidR="00F11481" w:rsidRPr="00DD47DF">
        <w:t xml:space="preserve">. </w:t>
      </w:r>
      <w:r w:rsidRPr="00DD47DF">
        <w:t>Zvláštní pozornost věnuje Řídící orgán OP PIK zejména tzv. rizikovým předběžným podmínkám, u kterých bylo identifikováno riziko je</w:t>
      </w:r>
      <w:r w:rsidR="001C38E4" w:rsidRPr="00DD47DF">
        <w:t xml:space="preserve">jich </w:t>
      </w:r>
      <w:r w:rsidR="001E08D2" w:rsidRPr="00DD47DF">
        <w:t xml:space="preserve">nesplnění </w:t>
      </w:r>
      <w:r w:rsidRPr="00DD47DF">
        <w:t xml:space="preserve">(riziko časové, implementační a riziko jejich nejasného či příliš obecného výkladu). </w:t>
      </w:r>
    </w:p>
    <w:p w14:paraId="1D169F8B" w14:textId="77777777" w:rsidR="00171578" w:rsidRPr="00DD47DF" w:rsidRDefault="00171578" w:rsidP="00606577">
      <w:pPr>
        <w:pStyle w:val="Standardntext"/>
      </w:pPr>
      <w:r w:rsidRPr="00DD47DF">
        <w:t>Řídící orgán OP PIK zajišťuje naplnění předběžných podmínek souběžně s přípravou OP PIK v rámci působnosti Ministerstva průmyslu a obchodu ve spolupráci s příslušnými odbornými útvary ministerstva.</w:t>
      </w:r>
      <w:r w:rsidR="00BA4E72" w:rsidRPr="00DD47DF">
        <w:t xml:space="preserve"> </w:t>
      </w:r>
      <w:r w:rsidRPr="00DD47DF">
        <w:t xml:space="preserve">Ve spolupráci s nimi jsou definována opatření a harmonogram ke splnění dosud částečně splněných nebo nesplněných předběžných podmínek. Spolupracuje také s dalšími resorty a subjekty, které jsou jejich spolugestory či gestory předběžných podmínek, do jejichž působnosti také příslušné předběžné podmínky spadají. Řídící orgán OP PIK při zpracování programu průběžně aktivně spolupracuje také s Ministerstvem pro místní rozvoj s cílem </w:t>
      </w:r>
      <w:r w:rsidR="00587DF3" w:rsidRPr="00DD47DF">
        <w:t xml:space="preserve">řešit </w:t>
      </w:r>
      <w:r w:rsidRPr="00DD47DF">
        <w:t>otevřené či nejasné otázky v souvislosti s předběžnými podmínkami a prostřednictvím Ministerstva pro místní rozvoj také usiluje o vyjasnění těchto otázek na straně EK.</w:t>
      </w:r>
    </w:p>
    <w:p w14:paraId="07F35817" w14:textId="77777777" w:rsidR="005021A2" w:rsidRPr="00DD47DF" w:rsidRDefault="005021A2" w:rsidP="005021A2">
      <w:pPr>
        <w:pStyle w:val="Standardntext"/>
      </w:pPr>
      <w:r w:rsidRPr="00DD47DF">
        <w:t>V souladu s principem předběžných podmínek, kterým je vytvoření nezbytných rámcových podmínek pro účinné využívání podpory</w:t>
      </w:r>
      <w:r w:rsidR="00BA4E72" w:rsidRPr="00DD47DF">
        <w:t xml:space="preserve"> </w:t>
      </w:r>
      <w:r w:rsidRPr="00DD47DF">
        <w:t>ESIF</w:t>
      </w:r>
      <w:r w:rsidR="00BA4E72" w:rsidRPr="00DD47DF">
        <w:t xml:space="preserve"> </w:t>
      </w:r>
      <w:r w:rsidRPr="00DD47DF">
        <w:t xml:space="preserve">v rámci plánovaných intervencí, bylo pro OP PIK s ohledem na zvolené investiční priority a specifické cíle identifikováno 9 aplikovatelných tematických předběžných podmínek (1.1, 2.1, 2.2, 3.1, 4.1, 4.2, 4.3, 7.4, 8.2) dle Přílohy XI. obecného nařízení. Jde o tematické předběžné podmínky, které požadují jak existenci strategických dokumentů, tak i implementaci legislativních aktů, včetně přijetí opatření vyplývajících </w:t>
      </w:r>
      <w:r w:rsidR="00686589" w:rsidRPr="00DD47DF">
        <w:t>z</w:t>
      </w:r>
      <w:r w:rsidRPr="00DD47DF">
        <w:t xml:space="preserve"> nelegislativních dokumentů Evropské unie. Dále jsou pro OP PIK aplikovatelné </w:t>
      </w:r>
      <w:r w:rsidR="00D1542E" w:rsidRPr="00DD47DF">
        <w:t xml:space="preserve">všechny </w:t>
      </w:r>
      <w:r w:rsidRPr="00DD47DF">
        <w:t xml:space="preserve">obecné předběžné podmínky. Z hlediska zaměření intervencí OP PIK dle zvolených investičních priorit považuje Řídící orgán OP PIK za nerelevantní pro OP PIK u předběžné podmínky č. 2.1 „Digitální růst: Strategický rámec politiky pro digitální růst, jež má stimulovat poptávku po cenově dostupných, kvalitních a interoperabilních soukromých a veřejných službách v oblasti IKT a zvýšit míru jejich využívání občany, včetně zranitelných skupin, </w:t>
      </w:r>
      <w:r w:rsidRPr="00DD47DF">
        <w:lastRenderedPageBreak/>
        <w:t xml:space="preserve">podniky a orgány veřejné správy včetně přeshraničních iniciativ“ kritérium „ukazatele umožňující měření pokroku opatření v oblastech, jako jsou počítačová gramotnost, začleňování občanů do informační společnosti, přístupnost elektronických technologií a elektronického zdravotnictví v mezích článku 168 SFEU, jež jsou v souladu tam, kde je to vhodné, s příslušnými stávajícími unijními, vnitrostátními nebo regionálními strategiemi pro jednotlivá odvětví“. Intervence do této oblasti se vztahují k investiční prioritě 2c) dle čl. 5 nařízení pro Evropský fond pro regionální rozvoj v rámci Tematického cíle 2 – Zlepšení dostupnosti, využití a kvality informačních a komunikačních technologií“, která není součástí OP PIK. </w:t>
      </w:r>
    </w:p>
    <w:p w14:paraId="1D870D80" w14:textId="77777777" w:rsidR="005021A2" w:rsidRPr="00DD47DF" w:rsidRDefault="005021A2" w:rsidP="005021A2">
      <w:pPr>
        <w:pStyle w:val="Standardntext"/>
      </w:pPr>
      <w:r w:rsidRPr="00DD47DF">
        <w:t>Volba předběžných podmínek byla provedena také v souladu s dokumentem Evropské komise „Draft Guidance on Ex Ante Conditionalities“</w:t>
      </w:r>
      <w:r w:rsidRPr="00DD47DF">
        <w:rPr>
          <w:rStyle w:val="Znakapoznpodarou"/>
        </w:rPr>
        <w:footnoteReference w:id="89"/>
      </w:r>
      <w:r w:rsidRPr="00DD47DF">
        <w:t xml:space="preserve">. Přehled všech aplikovatelných předběžných podmínek je obsažen v tabulce č. 24. MPO, jako Řídící orgán OP PIK, je současně gestorem/spolugestorem plnění uvedených tematických předběžných podmínek. V případě předběžné podmínky 1.1 </w:t>
      </w:r>
      <w:r w:rsidR="00FC061B" w:rsidRPr="00DD47DF">
        <w:t xml:space="preserve">bylo </w:t>
      </w:r>
      <w:r w:rsidRPr="00DD47DF">
        <w:t>hlavním koordinátorem přípravy Národní strategie pro inteligentní specializaci Ministerstvo školství, mládeže a tělovýchovy (MŠMT)</w:t>
      </w:r>
      <w:r w:rsidR="00FC061B" w:rsidRPr="00DD47DF">
        <w:t>, od 8.12.2014 gesce přešla na</w:t>
      </w:r>
      <w:r w:rsidRPr="00DD47DF">
        <w:t xml:space="preserve"> </w:t>
      </w:r>
      <w:r w:rsidR="00FC061B" w:rsidRPr="00DD47DF">
        <w:t xml:space="preserve">Úřad vlády ČR. </w:t>
      </w:r>
      <w:r w:rsidRPr="00DD47DF">
        <w:t>MPO se na její přípravě aktivně podíl</w:t>
      </w:r>
      <w:r w:rsidR="00FC061B" w:rsidRPr="00DD47DF">
        <w:t>elo</w:t>
      </w:r>
      <w:r w:rsidRPr="00DD47DF">
        <w:t>. Podílí se taktéž na plnění dílčích kritérií obecných předběžných podmínek.</w:t>
      </w:r>
    </w:p>
    <w:p w14:paraId="611DA23E" w14:textId="77777777" w:rsidR="00171578" w:rsidRPr="00DD47DF" w:rsidRDefault="00171578" w:rsidP="00171578">
      <w:pPr>
        <w:pStyle w:val="Standardntext"/>
      </w:pPr>
      <w:r w:rsidRPr="00DD47DF">
        <w:t xml:space="preserve">Vyhodnocení plnění předběžných podmínek dle daných kritérií bylo provedeno v rámci přípravy OP PIK s využitím </w:t>
      </w:r>
      <w:r w:rsidR="00A60A6E" w:rsidRPr="00DD47DF">
        <w:t>„</w:t>
      </w:r>
      <w:r w:rsidRPr="00DD47DF">
        <w:t>Draft Guidance on Ex Ante Conditionalities</w:t>
      </w:r>
      <w:r w:rsidR="00A60A6E" w:rsidRPr="00DD47DF">
        <w:t>“</w:t>
      </w:r>
      <w:r w:rsidRPr="00DD47DF">
        <w:t xml:space="preserve"> a dle dalších pokynů Ministerstva pro místní rozvoj – NOK v souladu s Akčním plánem. V současné fázi je podle vyhodnocení Řídícího orgánu OP PIK s plněním aplikovatelných předběžných podmínek spojeno několik typů rizika. </w:t>
      </w:r>
      <w:r w:rsidR="00E36103" w:rsidRPr="00DD47DF">
        <w:t xml:space="preserve">Jde o riziko časové i implementační. </w:t>
      </w:r>
      <w:r w:rsidRPr="00DD47DF">
        <w:t xml:space="preserve">Ke splnění všech kritérií předběžných podmínek zbývá dokončit některé strategické či analytické dokumenty </w:t>
      </w:r>
      <w:r w:rsidR="00686589" w:rsidRPr="00DD47DF">
        <w:t>a přijmout úpravu právních předpisů. Podrobněji jsou rizika popsána ve vyjádření u konkrétních předběžných podmínek v další části kapitoly.</w:t>
      </w:r>
    </w:p>
    <w:p w14:paraId="48E60DF3" w14:textId="77777777" w:rsidR="008C3BE4" w:rsidRPr="00DD47DF" w:rsidRDefault="005021A2" w:rsidP="005021A2">
      <w:pPr>
        <w:pStyle w:val="Standardntext"/>
      </w:pPr>
      <w:r w:rsidRPr="00DD47DF">
        <w:t xml:space="preserve">Z hlediska OP PIK jsou aplikovatelné také předběžné podmínky, které jsou spojeny s výše </w:t>
      </w:r>
      <w:r w:rsidR="00D5692F" w:rsidRPr="00DD47DF">
        <w:t>zmíněnými</w:t>
      </w:r>
      <w:r w:rsidRPr="00DD47DF">
        <w:t xml:space="preserve"> riziky. Na dopracování strategických dokumentů nebo dalších dokumentů k naplnění kritérií předběžných podmínek je vázáno naplnění předběžných podmínek 1.1, 2.1, 2.2, dále musí být přijata legislativní opatření pro jejich naplnění. V této souvislosti jde o podmínku 3.1, resp. 8.2 - požadavek na zkrácení doby a snížení nákladů na založení podniku. Gestorem příslušných legislativních opatření je Ministerstvo spravedlnosti, které zpracovalo </w:t>
      </w:r>
      <w:r w:rsidR="00587DF3" w:rsidRPr="00DD47DF">
        <w:t xml:space="preserve">aktualizovaný </w:t>
      </w:r>
      <w:r w:rsidRPr="00DD47DF">
        <w:t>Akční plán ke splnění požadavků předběžných podmínek. Specifický problém spatřuje Řídící orgán OP PIK v souvislosti s</w:t>
      </w:r>
      <w:r w:rsidR="00D5692F" w:rsidRPr="00DD47DF">
        <w:t> </w:t>
      </w:r>
      <w:r w:rsidRPr="00DD47DF">
        <w:t>předběžn</w:t>
      </w:r>
      <w:r w:rsidR="00D5692F" w:rsidRPr="00DD47DF">
        <w:t>ými podmínkami pro Tematický cíl 4 (4.1 a 4.3),</w:t>
      </w:r>
      <w:r w:rsidRPr="00DD47DF">
        <w:t xml:space="preserve"> kde bylo identifikováno riziko v podobě probíhajících řízení o porušení Smlouvy, která s ČR vede EK v souvislosti s transpozicí směrnic v oblasti energetiky</w:t>
      </w:r>
      <w:r w:rsidRPr="00DD47DF">
        <w:rPr>
          <w:rStyle w:val="Znakapoznpodarou"/>
        </w:rPr>
        <w:footnoteReference w:id="90"/>
      </w:r>
      <w:r w:rsidRPr="00DD47DF">
        <w:t xml:space="preserve"> (podrobnosti jsou uvedeny </w:t>
      </w:r>
      <w:r w:rsidR="00D5692F" w:rsidRPr="00DD47DF">
        <w:t xml:space="preserve">v </w:t>
      </w:r>
      <w:r w:rsidRPr="00DD47DF">
        <w:t>tabul</w:t>
      </w:r>
      <w:r w:rsidR="00D5692F" w:rsidRPr="00DD47DF">
        <w:t>ce</w:t>
      </w:r>
      <w:r w:rsidRPr="00DD47DF">
        <w:t xml:space="preserve"> č. 24). Řídící orgán usiloval o vyjasnění stanoviska Evropské komise k této otázce již během přípravy OP PIK, nicméně jasné stanovisko EK ČR </w:t>
      </w:r>
      <w:r w:rsidR="00686589" w:rsidRPr="00DD47DF">
        <w:t xml:space="preserve">obdržela </w:t>
      </w:r>
      <w:r w:rsidRPr="00DD47DF">
        <w:t xml:space="preserve">až v rámci reakce na Dohodu o partnerství v rámci neformálního dialogu. Dle tohoto stanoviska EK nebude tyto předběžné podmínky považovat za splněné. V rámci řešení situace přistoupil Řídící orgány OP PIK k jednání s MMR a </w:t>
      </w:r>
      <w:r w:rsidR="00782365" w:rsidRPr="00DD47DF">
        <w:t xml:space="preserve">byla zahájena </w:t>
      </w:r>
      <w:r w:rsidRPr="00DD47DF">
        <w:t xml:space="preserve">přímá jednání s EK s cílem dosáhnout řešení těchto případů s ohledem na nutnost naplnění předběžných podmínek. Současně byl zpracován </w:t>
      </w:r>
      <w:r w:rsidRPr="00DD47DF">
        <w:lastRenderedPageBreak/>
        <w:t>Akční plán pro uvedené předběžné podmínky</w:t>
      </w:r>
      <w:r w:rsidR="009914C7" w:rsidRPr="00DD47DF">
        <w:t>. V návaznosti na technické jednání s Evropskou komisí dne 30. 4. 2014, kdy EK uvedla, že řízení o porušení Smlouvy nemají dopad na předběžnou podmínku 4.3, byl Akční plán aktualizován pro předběžnou podmínku 4.1.</w:t>
      </w:r>
      <w:r w:rsidR="00BA4E72" w:rsidRPr="00DD47DF">
        <w:t xml:space="preserve"> </w:t>
      </w:r>
      <w:r w:rsidR="00E35843" w:rsidRPr="00DD47DF">
        <w:t>Problematika naplnění předběžných podmínek pro Tematický cíl 2 je řešena ve spolupráci s dalšími resorty a subjekty, zodpovědnými za realizaci opatření ke splnění podmínek či dopracování příslušných strategických dokumentů</w:t>
      </w:r>
      <w:r w:rsidR="00242E72" w:rsidRPr="00DD47DF">
        <w:t xml:space="preserve"> a</w:t>
      </w:r>
      <w:r w:rsidR="00E35843" w:rsidRPr="00DD47DF">
        <w:t xml:space="preserve"> </w:t>
      </w:r>
      <w:r w:rsidR="00242E72" w:rsidRPr="00DD47DF">
        <w:t>byly zpracovány Akční plány ke splnění předběžných podmínek 2.1 a 2.2.</w:t>
      </w:r>
      <w:r w:rsidR="00895285" w:rsidRPr="00DD47DF">
        <w:t xml:space="preserve"> K OP PIK jsou připojeny výše zmíněné akční plány, jakož i další akční plány k předběžným podmínkám, které spadají do působnosti jiných resortů – akční plán pro předběžnou podmínku 1.1 (RIS3 Strategie, gesce </w:t>
      </w:r>
      <w:r w:rsidR="00FC061B" w:rsidRPr="00DD47DF">
        <w:t>Úřad vlády ČR</w:t>
      </w:r>
      <w:r w:rsidR="00895285" w:rsidRPr="00DD47DF">
        <w:t>) a obecnou předběžnou podmínku EIA (gesce MŽP).</w:t>
      </w:r>
      <w:r w:rsidR="00587DF3" w:rsidRPr="00DD47DF">
        <w:t xml:space="preserve"> Akční plány tematických předběžných podmínek byly aktualizovány v návaznosti na postup plnění opatření k jejich splnění a další aktuální vývoj. </w:t>
      </w:r>
      <w:r w:rsidR="00A83C7A" w:rsidRPr="00DD47DF">
        <w:t>Aktuální Akční plány a další podklady k tematickým předběžným podmínkám v návaznosti na připomínky Evropské komise byly doplněny do Přílohy II.</w:t>
      </w:r>
    </w:p>
    <w:p w14:paraId="3CB1EC8F" w14:textId="77777777" w:rsidR="00587DF3" w:rsidRPr="00DD47DF" w:rsidRDefault="008C3BE4" w:rsidP="00587DF3">
      <w:pPr>
        <w:pStyle w:val="Standardntext"/>
      </w:pPr>
      <w:r w:rsidRPr="00DD47DF">
        <w:t>Na základě připomín</w:t>
      </w:r>
      <w:r w:rsidR="00587DF3" w:rsidRPr="00DD47DF">
        <w:t>ek</w:t>
      </w:r>
      <w:r w:rsidRPr="00DD47DF">
        <w:t xml:space="preserve"> Evropské komise ke kapitole předběžných podmínek v OP PIK bylo do Přílohy II doplněno úplné znění naplňování obecných předběžných podmínek na národní úrovni v rámci Dohody o partn</w:t>
      </w:r>
      <w:r w:rsidR="00F3375C" w:rsidRPr="00DD47DF">
        <w:t>e</w:t>
      </w:r>
      <w:r w:rsidRPr="00DD47DF">
        <w:t>rství</w:t>
      </w:r>
      <w:r w:rsidR="00587DF3" w:rsidRPr="00DD47DF">
        <w:t>, kde bylo doplněno jak naplňování obecných předběžných podmínek, tak i detailní akční plán na centrální úrovni. Současně bylo v návaznosti na připomínky EK doplněno naplňování obecných předběžných podmínek i upřesnění opatření k jejich splnění na úrovni operačního programu.</w:t>
      </w:r>
    </w:p>
    <w:p w14:paraId="10CCF628" w14:textId="77777777" w:rsidR="008C3BE4" w:rsidRPr="00DD47DF" w:rsidRDefault="00F10204" w:rsidP="005021A2">
      <w:pPr>
        <w:pStyle w:val="Standardntext"/>
        <w:sectPr w:rsidR="008C3BE4" w:rsidRPr="00DD47DF" w:rsidSect="00F258CA">
          <w:headerReference w:type="default" r:id="rId56"/>
          <w:footerReference w:type="default" r:id="rId57"/>
          <w:pgSz w:w="11906" w:h="16838"/>
          <w:pgMar w:top="1418" w:right="1276" w:bottom="1276" w:left="1418" w:header="709" w:footer="709" w:gutter="0"/>
          <w:cols w:space="708"/>
          <w:docGrid w:linePitch="272"/>
        </w:sectPr>
      </w:pPr>
      <w:r w:rsidRPr="00DD47DF">
        <w:t>Struktura informací k naplňování obecných předběžných podmínek i opatřením k jejich splnění reflektuje požadavky EK.</w:t>
      </w:r>
    </w:p>
    <w:p w14:paraId="220C0598" w14:textId="77777777" w:rsidR="00BF3FE5" w:rsidRPr="00DD47DF" w:rsidRDefault="00BF3FE5" w:rsidP="00FF200C">
      <w:pPr>
        <w:pStyle w:val="Titulek"/>
      </w:pPr>
      <w:r w:rsidRPr="00DD47DF">
        <w:lastRenderedPageBreak/>
        <w:t>Tabulka</w:t>
      </w:r>
      <w:r w:rsidR="00FF200C" w:rsidRPr="00DD47DF">
        <w:t xml:space="preserve"> </w:t>
      </w:r>
      <w:r w:rsidR="002756E7" w:rsidRPr="00DD47DF">
        <w:fldChar w:fldCharType="begin"/>
      </w:r>
      <w:r w:rsidR="000E35F2" w:rsidRPr="00DD47DF">
        <w:instrText xml:space="preserve"> SEQ Tabulka \* ARABIC </w:instrText>
      </w:r>
      <w:r w:rsidR="002756E7" w:rsidRPr="00DD47DF">
        <w:fldChar w:fldCharType="separate"/>
      </w:r>
      <w:r w:rsidR="00117847">
        <w:rPr>
          <w:noProof/>
        </w:rPr>
        <w:t>24</w:t>
      </w:r>
      <w:r w:rsidR="002756E7" w:rsidRPr="00DD47DF">
        <w:rPr>
          <w:noProof/>
        </w:rPr>
        <w:fldChar w:fldCharType="end"/>
      </w:r>
      <w:r w:rsidRPr="00DD47DF">
        <w:t xml:space="preserve">: </w:t>
      </w:r>
      <w:r w:rsidR="00F64D76" w:rsidRPr="00DD47DF">
        <w:t>Určení příslušných předběžných podmínek a posouzení jejich plnění</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2"/>
        <w:gridCol w:w="1701"/>
        <w:gridCol w:w="1276"/>
        <w:gridCol w:w="1843"/>
        <w:gridCol w:w="1134"/>
        <w:gridCol w:w="2126"/>
        <w:gridCol w:w="4394"/>
      </w:tblGrid>
      <w:tr w:rsidR="00790A0D" w:rsidRPr="00DD47DF" w14:paraId="22C14F93" w14:textId="77777777" w:rsidTr="006D2F5F">
        <w:tc>
          <w:tcPr>
            <w:tcW w:w="1752" w:type="dxa"/>
            <w:shd w:val="clear" w:color="auto" w:fill="B8CCE4"/>
            <w:vAlign w:val="center"/>
          </w:tcPr>
          <w:p w14:paraId="423F6060" w14:textId="77777777" w:rsidR="00790A0D" w:rsidRPr="00DD47DF" w:rsidRDefault="00790A0D" w:rsidP="006D2F5F">
            <w:pPr>
              <w:pStyle w:val="Tabulka"/>
              <w:rPr>
                <w:rFonts w:cs="Calibri"/>
                <w:b/>
              </w:rPr>
            </w:pPr>
            <w:r w:rsidRPr="00DD47DF">
              <w:rPr>
                <w:rFonts w:cs="Calibri"/>
                <w:b/>
              </w:rPr>
              <w:t>Předběžná podmínka</w:t>
            </w:r>
          </w:p>
        </w:tc>
        <w:tc>
          <w:tcPr>
            <w:tcW w:w="1701" w:type="dxa"/>
            <w:shd w:val="clear" w:color="auto" w:fill="B8CCE4"/>
            <w:vAlign w:val="center"/>
          </w:tcPr>
          <w:p w14:paraId="146119A5" w14:textId="77777777" w:rsidR="00790A0D" w:rsidRPr="00DD47DF" w:rsidRDefault="00790A0D" w:rsidP="006D2F5F">
            <w:pPr>
              <w:pStyle w:val="Tabulka"/>
              <w:rPr>
                <w:rFonts w:cs="Calibri"/>
                <w:b/>
              </w:rPr>
            </w:pPr>
            <w:r w:rsidRPr="00DD47DF">
              <w:rPr>
                <w:rFonts w:cs="Calibri"/>
                <w:b/>
              </w:rPr>
              <w:t>Prioritní osy, kterých se podmínka týká</w:t>
            </w:r>
          </w:p>
        </w:tc>
        <w:tc>
          <w:tcPr>
            <w:tcW w:w="1276" w:type="dxa"/>
            <w:shd w:val="clear" w:color="auto" w:fill="B8CCE4"/>
            <w:vAlign w:val="center"/>
          </w:tcPr>
          <w:p w14:paraId="6C218F74" w14:textId="77777777" w:rsidR="00790A0D" w:rsidRPr="00DD47DF" w:rsidRDefault="00790A0D" w:rsidP="006D2F5F">
            <w:pPr>
              <w:pStyle w:val="Tabulka"/>
              <w:rPr>
                <w:rFonts w:cs="Calibri"/>
                <w:b/>
              </w:rPr>
            </w:pPr>
            <w:r w:rsidRPr="00DD47DF">
              <w:rPr>
                <w:rFonts w:cs="Calibri"/>
                <w:b/>
              </w:rPr>
              <w:t>Předběžná podmínka splněna: ano/ne/částečně</w:t>
            </w:r>
          </w:p>
        </w:tc>
        <w:tc>
          <w:tcPr>
            <w:tcW w:w="1843" w:type="dxa"/>
            <w:shd w:val="clear" w:color="auto" w:fill="B8CCE4"/>
            <w:vAlign w:val="center"/>
          </w:tcPr>
          <w:p w14:paraId="5E893E0A" w14:textId="77777777" w:rsidR="00790A0D" w:rsidRPr="00DD47DF" w:rsidRDefault="00790A0D" w:rsidP="006D2F5F">
            <w:pPr>
              <w:pStyle w:val="Tabulka"/>
              <w:rPr>
                <w:rFonts w:cs="Calibri"/>
                <w:b/>
              </w:rPr>
            </w:pPr>
            <w:r w:rsidRPr="00DD47DF">
              <w:rPr>
                <w:rFonts w:cs="Calibri"/>
                <w:b/>
              </w:rPr>
              <w:t>Kritéria</w:t>
            </w:r>
          </w:p>
        </w:tc>
        <w:tc>
          <w:tcPr>
            <w:tcW w:w="1134" w:type="dxa"/>
            <w:shd w:val="clear" w:color="auto" w:fill="B8CCE4"/>
            <w:vAlign w:val="center"/>
          </w:tcPr>
          <w:p w14:paraId="521DEADC" w14:textId="77777777" w:rsidR="00790A0D" w:rsidRPr="00DD47DF" w:rsidRDefault="00790A0D" w:rsidP="006D2F5F">
            <w:pPr>
              <w:pStyle w:val="Tabulka"/>
              <w:rPr>
                <w:rFonts w:cs="Calibri"/>
                <w:b/>
              </w:rPr>
            </w:pPr>
            <w:r w:rsidRPr="00DD47DF">
              <w:rPr>
                <w:rFonts w:cs="Calibri"/>
                <w:b/>
              </w:rPr>
              <w:t>Kritéria splněna</w:t>
            </w:r>
          </w:p>
          <w:p w14:paraId="60C7E2F8" w14:textId="77777777" w:rsidR="00790A0D" w:rsidRPr="00DD47DF" w:rsidRDefault="00790A0D" w:rsidP="006D2F5F">
            <w:pPr>
              <w:pStyle w:val="Tabulka"/>
              <w:rPr>
                <w:rFonts w:cs="Calibri"/>
                <w:b/>
              </w:rPr>
            </w:pPr>
            <w:r w:rsidRPr="00DD47DF">
              <w:rPr>
                <w:rFonts w:cs="Calibri"/>
                <w:b/>
              </w:rPr>
              <w:t>ano/ne</w:t>
            </w:r>
          </w:p>
        </w:tc>
        <w:tc>
          <w:tcPr>
            <w:tcW w:w="2126" w:type="dxa"/>
            <w:shd w:val="clear" w:color="auto" w:fill="B8CCE4"/>
            <w:vAlign w:val="center"/>
          </w:tcPr>
          <w:p w14:paraId="6F5B3742" w14:textId="77777777" w:rsidR="00790A0D" w:rsidRPr="00DD47DF" w:rsidRDefault="00790A0D" w:rsidP="006D2F5F">
            <w:pPr>
              <w:pStyle w:val="Tabulka"/>
              <w:rPr>
                <w:rFonts w:cs="Calibri"/>
                <w:b/>
              </w:rPr>
            </w:pPr>
            <w:r w:rsidRPr="00DD47DF">
              <w:rPr>
                <w:rFonts w:cs="Calibri"/>
                <w:b/>
              </w:rPr>
              <w:t>Odkaz</w:t>
            </w:r>
          </w:p>
        </w:tc>
        <w:tc>
          <w:tcPr>
            <w:tcW w:w="4394" w:type="dxa"/>
            <w:shd w:val="clear" w:color="auto" w:fill="B8CCE4"/>
            <w:vAlign w:val="center"/>
          </w:tcPr>
          <w:p w14:paraId="1963BFC9" w14:textId="77777777" w:rsidR="00790A0D" w:rsidRPr="00DD47DF" w:rsidRDefault="00790A0D" w:rsidP="006D2F5F">
            <w:pPr>
              <w:pStyle w:val="Tabulka"/>
              <w:rPr>
                <w:rFonts w:cs="Calibri"/>
                <w:b/>
              </w:rPr>
            </w:pPr>
            <w:r w:rsidRPr="00DD47DF">
              <w:rPr>
                <w:rFonts w:cs="Calibri"/>
                <w:b/>
              </w:rPr>
              <w:t>Vysvětlení</w:t>
            </w:r>
            <w:r w:rsidRPr="00DD47DF">
              <w:rPr>
                <w:rStyle w:val="Znakapoznpodarou"/>
                <w:rFonts w:eastAsia="Calibri" w:cs="Calibri"/>
              </w:rPr>
              <w:footnoteReference w:id="91"/>
            </w:r>
          </w:p>
        </w:tc>
      </w:tr>
      <w:tr w:rsidR="00790A0D" w:rsidRPr="00DD47DF" w14:paraId="38436906" w14:textId="77777777" w:rsidTr="006D2F5F">
        <w:tc>
          <w:tcPr>
            <w:tcW w:w="1752" w:type="dxa"/>
            <w:vMerge w:val="restart"/>
            <w:shd w:val="clear" w:color="auto" w:fill="auto"/>
          </w:tcPr>
          <w:p w14:paraId="6D166DCD" w14:textId="77777777" w:rsidR="00790A0D" w:rsidRPr="00DD47DF" w:rsidRDefault="00790A0D" w:rsidP="006D2F5F">
            <w:pPr>
              <w:pStyle w:val="Tabulka"/>
              <w:jc w:val="left"/>
              <w:rPr>
                <w:rFonts w:cs="Calibri"/>
                <w:b/>
              </w:rPr>
            </w:pPr>
            <w:r w:rsidRPr="00DD47DF">
              <w:rPr>
                <w:rFonts w:cs="Calibri"/>
                <w:b/>
              </w:rPr>
              <w:t xml:space="preserve">Existence administrativní kapacity pro provádění a uplatňování právních předpisů a politiky Unie v oblasti boje pro diskriminaci v případě fondů ESI </w:t>
            </w:r>
          </w:p>
        </w:tc>
        <w:tc>
          <w:tcPr>
            <w:tcW w:w="1701" w:type="dxa"/>
            <w:vMerge w:val="restart"/>
            <w:shd w:val="clear" w:color="auto" w:fill="auto"/>
          </w:tcPr>
          <w:p w14:paraId="107F428B"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7D2885B7" w14:textId="77777777" w:rsidR="00790A0D" w:rsidRPr="00DD47DF" w:rsidRDefault="00790A0D" w:rsidP="006D2F5F">
            <w:pPr>
              <w:pStyle w:val="Tabulka"/>
              <w:jc w:val="left"/>
              <w:rPr>
                <w:rFonts w:cs="Calibri"/>
              </w:rPr>
            </w:pPr>
            <w:r w:rsidRPr="00DD47DF">
              <w:rPr>
                <w:rFonts w:cs="Calibri"/>
              </w:rPr>
              <w:t xml:space="preserve">Ano </w:t>
            </w:r>
          </w:p>
          <w:p w14:paraId="169EB8AA" w14:textId="77777777" w:rsidR="00790A0D" w:rsidRPr="00DD47DF" w:rsidRDefault="00790A0D" w:rsidP="006D2F5F">
            <w:pPr>
              <w:pStyle w:val="Tabulka"/>
              <w:jc w:val="left"/>
              <w:rPr>
                <w:rFonts w:cs="Calibri"/>
              </w:rPr>
            </w:pPr>
          </w:p>
          <w:p w14:paraId="621F1CE9" w14:textId="77777777" w:rsidR="00790A0D" w:rsidRPr="00DD47DF" w:rsidRDefault="00790A0D" w:rsidP="006D2F5F">
            <w:pPr>
              <w:pStyle w:val="Tabulka"/>
              <w:jc w:val="left"/>
              <w:rPr>
                <w:rFonts w:cs="Calibri"/>
              </w:rPr>
            </w:pPr>
          </w:p>
        </w:tc>
        <w:tc>
          <w:tcPr>
            <w:tcW w:w="1843" w:type="dxa"/>
            <w:shd w:val="clear" w:color="auto" w:fill="auto"/>
          </w:tcPr>
          <w:p w14:paraId="5EA4F79A" w14:textId="77777777" w:rsidR="00790A0D" w:rsidRPr="00DD47DF" w:rsidRDefault="00790A0D" w:rsidP="006D2F5F">
            <w:pPr>
              <w:pStyle w:val="Tabulka"/>
              <w:jc w:val="left"/>
              <w:rPr>
                <w:rFonts w:cs="Calibri"/>
              </w:rPr>
            </w:pPr>
            <w:r w:rsidRPr="00DD47DF">
              <w:rPr>
                <w:rFonts w:cs="Calibri"/>
              </w:rPr>
              <w:t>Ustanovení v souladu s institucionálním a právním rámcem členských států za účelem zapojení subjektů odpovědných za prosazování rovného zacházení se všemi osobami v rámci přípravy a provádění programů včetně poskytování poradenství v otázkách rovnosti v rámci činností týkajících se fondů ESI.</w:t>
            </w:r>
          </w:p>
        </w:tc>
        <w:tc>
          <w:tcPr>
            <w:tcW w:w="1134" w:type="dxa"/>
            <w:shd w:val="clear" w:color="auto" w:fill="auto"/>
          </w:tcPr>
          <w:p w14:paraId="79BBAA6E"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F8635D9" w14:textId="77777777" w:rsidR="00790A0D" w:rsidRPr="00DD47DF" w:rsidRDefault="00013622" w:rsidP="006D2F5F">
            <w:pPr>
              <w:pStyle w:val="Tabulka"/>
              <w:jc w:val="left"/>
              <w:rPr>
                <w:rStyle w:val="Hypertextovodkaz"/>
                <w:rFonts w:cs="Calibri"/>
              </w:rPr>
            </w:pPr>
            <w:hyperlink r:id="rId58" w:history="1">
              <w:r w:rsidR="00790A0D" w:rsidRPr="00DD47DF">
                <w:rPr>
                  <w:rStyle w:val="Hypertextovodkaz"/>
                  <w:rFonts w:cs="Calibri"/>
                </w:rPr>
                <w:t>http://www.ochrance.cz/en/discrimination/</w:t>
              </w:r>
            </w:hyperlink>
          </w:p>
          <w:p w14:paraId="4ACC9149" w14:textId="77777777" w:rsidR="00790A0D" w:rsidRPr="00DD47DF" w:rsidRDefault="00790A0D" w:rsidP="006D2F5F">
            <w:pPr>
              <w:pStyle w:val="Tabulka"/>
              <w:jc w:val="left"/>
              <w:rPr>
                <w:rStyle w:val="Hypertextovodkaz"/>
                <w:rFonts w:cs="Calibri"/>
              </w:rPr>
            </w:pPr>
          </w:p>
          <w:p w14:paraId="24EE73FD" w14:textId="77777777" w:rsidR="00790A0D" w:rsidRPr="00DD47DF" w:rsidRDefault="00013622" w:rsidP="006D2F5F">
            <w:pPr>
              <w:pStyle w:val="Tabulka"/>
              <w:jc w:val="left"/>
              <w:rPr>
                <w:rFonts w:cs="Calibri"/>
              </w:rPr>
            </w:pPr>
            <w:hyperlink r:id="rId59" w:history="1">
              <w:r w:rsidR="00790A0D" w:rsidRPr="00DD47DF">
                <w:rPr>
                  <w:rStyle w:val="Hypertextovodkaz"/>
                </w:rPr>
                <w:t>http://www.vlada.cz/cz/ppov/zmocnenec-vlady-pro-lidska-prava/organizace-sekce-lp/organizace-sekce-lidskych-prav-107606/</w:t>
              </w:r>
            </w:hyperlink>
          </w:p>
        </w:tc>
        <w:tc>
          <w:tcPr>
            <w:tcW w:w="4394" w:type="dxa"/>
            <w:shd w:val="clear" w:color="auto" w:fill="auto"/>
          </w:tcPr>
          <w:p w14:paraId="6AE47BE9" w14:textId="77777777" w:rsidR="00CE492D" w:rsidRPr="00DD47DF" w:rsidRDefault="00CE492D" w:rsidP="006D2F5F">
            <w:pPr>
              <w:pStyle w:val="Tabulka"/>
              <w:jc w:val="left"/>
              <w:rPr>
                <w:rFonts w:cs="Calibri"/>
              </w:rPr>
            </w:pPr>
            <w:r w:rsidRPr="00DD47DF">
              <w:rPr>
                <w:rFonts w:cs="Calibri"/>
              </w:rPr>
              <w:t>Gestor PP: plnění ANO</w:t>
            </w:r>
          </w:p>
          <w:p w14:paraId="5A729307" w14:textId="77777777" w:rsidR="00CE492D" w:rsidRPr="00DD47DF" w:rsidRDefault="00CE492D" w:rsidP="00CE492D">
            <w:pPr>
              <w:spacing w:before="80" w:after="80"/>
              <w:rPr>
                <w:sz w:val="22"/>
                <w:szCs w:val="22"/>
              </w:rPr>
            </w:pPr>
            <w:r w:rsidRPr="00DD47DF">
              <w:rPr>
                <w:sz w:val="22"/>
                <w:szCs w:val="22"/>
              </w:rPr>
              <w:t>Úkoly vztahující se k  předběžné podmínce „Existence administrativní kapacity pro implementaci a aplikaci evropského antidiskriminačního práva a politiky v oblasti ESI fondů zajišťuje Úřad vlády.</w:t>
            </w:r>
          </w:p>
          <w:p w14:paraId="787F5745" w14:textId="77777777" w:rsidR="00570E7E" w:rsidRPr="00DD47DF" w:rsidRDefault="00570E7E" w:rsidP="00CE492D">
            <w:pPr>
              <w:spacing w:before="80" w:after="80"/>
              <w:rPr>
                <w:sz w:val="22"/>
                <w:szCs w:val="22"/>
              </w:rPr>
            </w:pPr>
            <w:r w:rsidRPr="00DD47DF">
              <w:rPr>
                <w:sz w:val="22"/>
                <w:szCs w:val="22"/>
              </w:rPr>
              <w:t>ŘO: plnění ANO</w:t>
            </w:r>
          </w:p>
          <w:p w14:paraId="4843E934" w14:textId="77777777" w:rsidR="00790A0D" w:rsidRPr="00DD47DF" w:rsidRDefault="00790A0D" w:rsidP="006D2F5F">
            <w:pPr>
              <w:pStyle w:val="Tabulka"/>
              <w:jc w:val="left"/>
              <w:rPr>
                <w:rFonts w:cs="Calibri"/>
              </w:rPr>
            </w:pPr>
            <w:r w:rsidRPr="00DD47DF">
              <w:rPr>
                <w:rFonts w:cs="Calibri"/>
              </w:rPr>
              <w:t xml:space="preserve">V rámci agendy nediskriminace je kontaktní osobou, zabývající se implementací a aplikací antidiskriminačního práva, která je zároveň odpovědná za koordinací aktivit a spolupráci s Úřadem vlády a MPSV, komunikační úředník OP PIK. Ve fázi implementace operačního programu bude také zajištěna účast zástupce gestora (ÚV ČR – Sekce pro lidská práva) v Monitorovacím výboru OP PIK. </w:t>
            </w:r>
          </w:p>
          <w:p w14:paraId="70564289" w14:textId="77777777" w:rsidR="00790A0D" w:rsidRPr="00DD47DF" w:rsidRDefault="00790A0D" w:rsidP="000D5493">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7D730CCE" w14:textId="77777777" w:rsidTr="006D2F5F">
        <w:tc>
          <w:tcPr>
            <w:tcW w:w="1752" w:type="dxa"/>
            <w:vMerge/>
            <w:shd w:val="clear" w:color="auto" w:fill="auto"/>
          </w:tcPr>
          <w:p w14:paraId="0D20CA59" w14:textId="77777777" w:rsidR="00790A0D" w:rsidRPr="00DD47DF" w:rsidRDefault="00790A0D" w:rsidP="006D2F5F">
            <w:pPr>
              <w:pStyle w:val="Tabulka"/>
              <w:jc w:val="left"/>
              <w:rPr>
                <w:rFonts w:cs="Calibri"/>
                <w:b/>
              </w:rPr>
            </w:pPr>
          </w:p>
        </w:tc>
        <w:tc>
          <w:tcPr>
            <w:tcW w:w="1701" w:type="dxa"/>
            <w:vMerge/>
            <w:shd w:val="clear" w:color="auto" w:fill="auto"/>
          </w:tcPr>
          <w:p w14:paraId="3DFF7087" w14:textId="77777777" w:rsidR="00790A0D" w:rsidRPr="00DD47DF" w:rsidRDefault="00790A0D" w:rsidP="006D2F5F">
            <w:pPr>
              <w:pStyle w:val="Tabulka"/>
              <w:jc w:val="left"/>
              <w:rPr>
                <w:rFonts w:cs="Calibri"/>
              </w:rPr>
            </w:pPr>
          </w:p>
        </w:tc>
        <w:tc>
          <w:tcPr>
            <w:tcW w:w="1276" w:type="dxa"/>
            <w:vMerge/>
            <w:shd w:val="clear" w:color="auto" w:fill="auto"/>
          </w:tcPr>
          <w:p w14:paraId="0B8CCDBA" w14:textId="77777777" w:rsidR="00790A0D" w:rsidRPr="00DD47DF" w:rsidRDefault="00790A0D" w:rsidP="006D2F5F">
            <w:pPr>
              <w:pStyle w:val="Tabulka"/>
              <w:jc w:val="left"/>
              <w:rPr>
                <w:rFonts w:cs="Calibri"/>
              </w:rPr>
            </w:pPr>
          </w:p>
        </w:tc>
        <w:tc>
          <w:tcPr>
            <w:tcW w:w="1843" w:type="dxa"/>
            <w:shd w:val="clear" w:color="auto" w:fill="auto"/>
          </w:tcPr>
          <w:p w14:paraId="33BD1484" w14:textId="77777777" w:rsidR="00790A0D" w:rsidRPr="00DD47DF" w:rsidRDefault="00790A0D" w:rsidP="006D2F5F">
            <w:pPr>
              <w:pStyle w:val="Tabulka"/>
              <w:jc w:val="left"/>
              <w:rPr>
                <w:rFonts w:cs="Calibri"/>
              </w:rPr>
            </w:pPr>
            <w:r w:rsidRPr="00DD47DF">
              <w:rPr>
                <w:rFonts w:cs="Calibri"/>
              </w:rPr>
              <w:t xml:space="preserve">Opatření za účelem vzdělávání zaměstnanců orgánů zapojených do řízení a kontroly fondů ESI v oblasti právních předpisů a politiky Unie proti diskriminaci </w:t>
            </w:r>
          </w:p>
        </w:tc>
        <w:tc>
          <w:tcPr>
            <w:tcW w:w="1134" w:type="dxa"/>
            <w:shd w:val="clear" w:color="auto" w:fill="auto"/>
          </w:tcPr>
          <w:p w14:paraId="77C8CB6A"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D309BF0" w14:textId="77777777" w:rsidR="00790A0D" w:rsidRPr="00DD47DF" w:rsidRDefault="00013622" w:rsidP="006D2F5F">
            <w:pPr>
              <w:pStyle w:val="Tabulka"/>
              <w:jc w:val="left"/>
              <w:rPr>
                <w:rFonts w:cs="Calibri"/>
              </w:rPr>
            </w:pPr>
            <w:hyperlink r:id="rId60"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7CDB3EE5" w14:textId="77777777" w:rsidR="00570E7E" w:rsidRPr="00DD47DF" w:rsidRDefault="00570E7E" w:rsidP="006D2F5F">
            <w:pPr>
              <w:pStyle w:val="Tabulka"/>
              <w:jc w:val="left"/>
              <w:rPr>
                <w:rFonts w:cs="Calibri"/>
              </w:rPr>
            </w:pPr>
            <w:r w:rsidRPr="00DD47DF">
              <w:rPr>
                <w:rFonts w:cs="Calibri"/>
              </w:rPr>
              <w:t>Gestor PP: Plnění ANO</w:t>
            </w:r>
          </w:p>
          <w:p w14:paraId="0208C903" w14:textId="77777777" w:rsidR="00570E7E" w:rsidRPr="00DD47DF" w:rsidRDefault="00790A0D" w:rsidP="00570E7E">
            <w:pPr>
              <w:pStyle w:val="DAVA"/>
              <w:spacing w:before="80" w:after="80"/>
              <w:rPr>
                <w:rFonts w:ascii="Times New Roman" w:hAnsi="Times New Roman"/>
                <w:color w:val="000000"/>
                <w:sz w:val="22"/>
                <w:szCs w:val="22"/>
                <w:lang w:eastAsia="cs-CZ"/>
              </w:rPr>
            </w:pPr>
            <w:r w:rsidRPr="00DD47DF">
              <w:rPr>
                <w:rFonts w:ascii="Times New Roman" w:hAnsi="Times New Roman"/>
                <w:sz w:val="22"/>
                <w:szCs w:val="22"/>
              </w:rPr>
              <w:t>Ve spolupráci ÚV ČR a veřejného ochránce práv byly připraveny programy školení relevantních zaměstnanců k tématu rovného zacházení a zákazu diskriminace.</w:t>
            </w:r>
            <w:r w:rsidRPr="00DD47DF">
              <w:rPr>
                <w:rFonts w:cs="Calibri"/>
                <w:sz w:val="22"/>
                <w:szCs w:val="22"/>
              </w:rPr>
              <w:t xml:space="preserve"> </w:t>
            </w:r>
            <w:r w:rsidR="00570E7E" w:rsidRPr="00DD47DF">
              <w:rPr>
                <w:rFonts w:ascii="Times New Roman" w:hAnsi="Times New Roman"/>
                <w:sz w:val="22"/>
                <w:szCs w:val="22"/>
                <w:lang w:eastAsia="cs-CZ"/>
              </w:rPr>
              <w:t xml:space="preserve">Plnění tohoto kritéria již probíhá a bude probíhat průběžně po celou dobu programového období. </w:t>
            </w:r>
            <w:r w:rsidRPr="00DD47DF">
              <w:rPr>
                <w:rFonts w:ascii="Times New Roman" w:hAnsi="Times New Roman"/>
                <w:sz w:val="22"/>
                <w:szCs w:val="22"/>
              </w:rPr>
              <w:t xml:space="preserve">MMR-NOK zajišťuje na horizontální úrovni proškolení zaměstnanců implementujících fondy EU v rámci Systému vzdělávání. </w:t>
            </w:r>
            <w:r w:rsidR="00570E7E" w:rsidRPr="00DD47DF">
              <w:rPr>
                <w:rFonts w:ascii="Times New Roman" w:hAnsi="Times New Roman"/>
                <w:color w:val="000000"/>
                <w:sz w:val="22"/>
                <w:szCs w:val="22"/>
                <w:lang w:eastAsia="cs-CZ"/>
              </w:rPr>
              <w:t>Sekce pro lidská práva ÚV zajišťuje obsahovou náplň vzdělávání a lektorské zajištění.</w:t>
            </w:r>
          </w:p>
          <w:p w14:paraId="26142845" w14:textId="77777777" w:rsidR="00570E7E" w:rsidRPr="00DD47DF" w:rsidRDefault="00570E7E" w:rsidP="00570E7E">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lang w:eastAsia="cs-CZ"/>
              </w:rPr>
              <w:t>ŘO: Plnění ANO</w:t>
            </w:r>
          </w:p>
          <w:p w14:paraId="6E59B10A" w14:textId="77777777" w:rsidR="00790A0D" w:rsidRPr="00DD47DF" w:rsidRDefault="00790A0D" w:rsidP="006D2F5F">
            <w:pPr>
              <w:pStyle w:val="Tabulka"/>
              <w:jc w:val="left"/>
              <w:rPr>
                <w:rFonts w:cs="Calibri"/>
              </w:rPr>
            </w:pPr>
            <w:r w:rsidRPr="00DD47DF">
              <w:rPr>
                <w:rFonts w:cs="Calibri"/>
              </w:rPr>
              <w:t>Zaměstnanci ŘO OP PIK jsou zapojeni do Systému vzdělávání a účastní se průběžně a dle potřeby příslušných školení s problematikou nediskriminace a rovného zacházení.</w:t>
            </w:r>
          </w:p>
          <w:p w14:paraId="01E9B28A" w14:textId="77777777" w:rsidR="00790A0D" w:rsidRPr="00DD47DF" w:rsidRDefault="00790A0D" w:rsidP="000D5493">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3AA75771" w14:textId="77777777" w:rsidTr="006D2F5F">
        <w:tc>
          <w:tcPr>
            <w:tcW w:w="1752" w:type="dxa"/>
            <w:vMerge w:val="restart"/>
            <w:shd w:val="clear" w:color="auto" w:fill="auto"/>
          </w:tcPr>
          <w:p w14:paraId="41BF2F47" w14:textId="77777777" w:rsidR="00790A0D" w:rsidRPr="00DD47DF" w:rsidRDefault="00790A0D" w:rsidP="006D2F5F">
            <w:pPr>
              <w:pStyle w:val="Tabulka"/>
              <w:jc w:val="left"/>
              <w:rPr>
                <w:rFonts w:cs="Calibri"/>
                <w:b/>
              </w:rPr>
            </w:pPr>
            <w:r w:rsidRPr="00DD47DF">
              <w:rPr>
                <w:rFonts w:cs="Calibri"/>
                <w:b/>
              </w:rPr>
              <w:t xml:space="preserve">Existence administrativní kapacity pro provádění a uplatňování právních předpisů a politiky Unie v oblasti rovnosti mezi ženami a muži v případě </w:t>
            </w:r>
            <w:r w:rsidRPr="00DD47DF">
              <w:rPr>
                <w:rFonts w:cs="Calibri"/>
                <w:b/>
              </w:rPr>
              <w:lastRenderedPageBreak/>
              <w:t>fondů ESI</w:t>
            </w:r>
          </w:p>
        </w:tc>
        <w:tc>
          <w:tcPr>
            <w:tcW w:w="1701" w:type="dxa"/>
            <w:vMerge w:val="restart"/>
            <w:shd w:val="clear" w:color="auto" w:fill="auto"/>
          </w:tcPr>
          <w:p w14:paraId="5E858BAF" w14:textId="77777777" w:rsidR="00790A0D" w:rsidRPr="00DD47DF" w:rsidRDefault="00790A0D" w:rsidP="006D2F5F">
            <w:pPr>
              <w:pStyle w:val="Tabulka"/>
              <w:jc w:val="left"/>
              <w:rPr>
                <w:rFonts w:cs="Calibri"/>
              </w:rPr>
            </w:pPr>
            <w:r w:rsidRPr="00DD47DF">
              <w:rPr>
                <w:rFonts w:cs="Calibri"/>
              </w:rPr>
              <w:lastRenderedPageBreak/>
              <w:t>Všechny prioritní osy OP PIK</w:t>
            </w:r>
          </w:p>
        </w:tc>
        <w:tc>
          <w:tcPr>
            <w:tcW w:w="1276" w:type="dxa"/>
            <w:vMerge w:val="restart"/>
            <w:shd w:val="clear" w:color="auto" w:fill="auto"/>
          </w:tcPr>
          <w:p w14:paraId="444CB10F" w14:textId="77777777" w:rsidR="00790A0D" w:rsidRPr="00DD47DF" w:rsidRDefault="00790A0D" w:rsidP="006D2F5F">
            <w:pPr>
              <w:pStyle w:val="Tabulka"/>
              <w:jc w:val="left"/>
              <w:rPr>
                <w:rFonts w:cs="Calibri"/>
              </w:rPr>
            </w:pPr>
            <w:r w:rsidRPr="00DD47DF">
              <w:rPr>
                <w:rFonts w:cs="Calibri"/>
              </w:rPr>
              <w:t>Ano</w:t>
            </w:r>
          </w:p>
          <w:p w14:paraId="4D316949" w14:textId="77777777" w:rsidR="00790A0D" w:rsidRPr="00DD47DF" w:rsidRDefault="00790A0D" w:rsidP="006D2F5F">
            <w:pPr>
              <w:pStyle w:val="Tabulka"/>
              <w:jc w:val="left"/>
              <w:rPr>
                <w:rFonts w:cs="Calibri"/>
              </w:rPr>
            </w:pPr>
          </w:p>
        </w:tc>
        <w:tc>
          <w:tcPr>
            <w:tcW w:w="1843" w:type="dxa"/>
            <w:shd w:val="clear" w:color="auto" w:fill="auto"/>
          </w:tcPr>
          <w:p w14:paraId="7BA0F161" w14:textId="77777777" w:rsidR="00790A0D" w:rsidRPr="00DD47DF" w:rsidRDefault="00790A0D" w:rsidP="006D2F5F">
            <w:pPr>
              <w:pStyle w:val="Tabulka"/>
              <w:jc w:val="left"/>
              <w:rPr>
                <w:rFonts w:cs="Calibri"/>
              </w:rPr>
            </w:pPr>
            <w:r w:rsidRPr="00DD47DF">
              <w:rPr>
                <w:rFonts w:cs="Calibri"/>
              </w:rPr>
              <w:t xml:space="preserve">Ustanovení v souladu s institucionálním a právním rámcem členských států za účelem zapojení subjektů odpovědných za rovnost mezi ženami a muži v rámci přípravy a </w:t>
            </w:r>
            <w:r w:rsidRPr="00DD47DF">
              <w:rPr>
                <w:rFonts w:cs="Calibri"/>
              </w:rPr>
              <w:lastRenderedPageBreak/>
              <w:t>provádění programů, včetně poskytování poradenství v otázkách rovnosti mezi ženami a muži v rámci činností týkajících se fondů ESI;</w:t>
            </w:r>
          </w:p>
        </w:tc>
        <w:tc>
          <w:tcPr>
            <w:tcW w:w="1134" w:type="dxa"/>
            <w:shd w:val="clear" w:color="auto" w:fill="auto"/>
          </w:tcPr>
          <w:p w14:paraId="68590A9A"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3AF8933B" w14:textId="77777777" w:rsidR="00790A0D" w:rsidRPr="00DD47DF" w:rsidRDefault="00013622" w:rsidP="006D2F5F">
            <w:pPr>
              <w:pStyle w:val="Tabulka"/>
              <w:jc w:val="left"/>
              <w:rPr>
                <w:rStyle w:val="Hypertextovodkaz"/>
                <w:rFonts w:cs="Calibri"/>
              </w:rPr>
            </w:pPr>
            <w:hyperlink r:id="rId61" w:history="1">
              <w:r w:rsidR="00790A0D" w:rsidRPr="00DD47DF">
                <w:rPr>
                  <w:rStyle w:val="Hypertextovodkaz"/>
                  <w:rFonts w:cs="Calibri"/>
                </w:rPr>
                <w:t>http://www.ochrance.cz/en/discrimination/</w:t>
              </w:r>
            </w:hyperlink>
          </w:p>
          <w:p w14:paraId="6D351DBD" w14:textId="77777777" w:rsidR="00790A0D" w:rsidRPr="00DD47DF" w:rsidRDefault="00790A0D" w:rsidP="006D2F5F">
            <w:pPr>
              <w:pStyle w:val="Tabulka"/>
              <w:jc w:val="left"/>
              <w:rPr>
                <w:rStyle w:val="Hypertextovodkaz"/>
                <w:rFonts w:cs="Calibri"/>
              </w:rPr>
            </w:pPr>
          </w:p>
          <w:p w14:paraId="29C2DDAA" w14:textId="77777777" w:rsidR="00790A0D" w:rsidRPr="00DD47DF" w:rsidRDefault="00013622" w:rsidP="006D2F5F">
            <w:pPr>
              <w:pStyle w:val="Tabulka"/>
              <w:jc w:val="left"/>
              <w:rPr>
                <w:rFonts w:cs="Calibri"/>
              </w:rPr>
            </w:pPr>
            <w:hyperlink r:id="rId62" w:history="1">
              <w:r w:rsidR="00790A0D" w:rsidRPr="00DD47DF">
                <w:rPr>
                  <w:rStyle w:val="Hypertextovodkaz"/>
                  <w:rFonts w:cs="Calibri"/>
                </w:rPr>
                <w:t>http://www.mpsv.cz/cs/12152</w:t>
              </w:r>
            </w:hyperlink>
          </w:p>
        </w:tc>
        <w:tc>
          <w:tcPr>
            <w:tcW w:w="4394" w:type="dxa"/>
            <w:shd w:val="clear" w:color="auto" w:fill="auto"/>
          </w:tcPr>
          <w:p w14:paraId="33BE7BEE" w14:textId="77777777" w:rsidR="00570E7E" w:rsidRPr="00DD47DF" w:rsidRDefault="00570E7E" w:rsidP="006D2F5F">
            <w:pPr>
              <w:pStyle w:val="Tabulka"/>
              <w:jc w:val="left"/>
              <w:rPr>
                <w:rFonts w:cs="Calibri"/>
              </w:rPr>
            </w:pPr>
            <w:r w:rsidRPr="00DD47DF">
              <w:rPr>
                <w:rFonts w:cs="Calibri"/>
              </w:rPr>
              <w:t>Gestor PP: Plnění ANO</w:t>
            </w:r>
          </w:p>
          <w:p w14:paraId="2DA523A4" w14:textId="77777777" w:rsidR="00D709F2" w:rsidRPr="00DD47DF" w:rsidRDefault="00570E7E" w:rsidP="006D2F5F">
            <w:pPr>
              <w:pStyle w:val="Tabulka"/>
              <w:jc w:val="left"/>
              <w:rPr>
                <w:color w:val="000000"/>
              </w:rPr>
            </w:pPr>
            <w:r w:rsidRPr="00DD47DF">
              <w:rPr>
                <w:color w:val="000000"/>
              </w:rPr>
              <w:t xml:space="preserve">Úkoly vztahující se k použitelné předběžné podmínce zajištuje </w:t>
            </w:r>
            <w:r w:rsidRPr="00DD47DF">
              <w:t xml:space="preserve"> </w:t>
            </w:r>
            <w:r w:rsidRPr="00DD47DF">
              <w:rPr>
                <w:color w:val="000000"/>
              </w:rPr>
              <w:t>Úřad vlády jakožto vnitrostátní koordinátor agendy rovných příležitostí žen a mužů, spolu s určenými kontaktními pracovníky ŘO jednotlivých ESI fondů.</w:t>
            </w:r>
          </w:p>
          <w:p w14:paraId="33551DAD" w14:textId="77777777" w:rsidR="00570E7E" w:rsidRPr="00DD47DF" w:rsidRDefault="00570E7E" w:rsidP="006D2F5F">
            <w:pPr>
              <w:pStyle w:val="Tabulka"/>
              <w:jc w:val="left"/>
              <w:rPr>
                <w:rFonts w:cs="Calibri"/>
              </w:rPr>
            </w:pPr>
            <w:r w:rsidRPr="00DD47DF">
              <w:rPr>
                <w:rFonts w:cs="Calibri"/>
              </w:rPr>
              <w:t>ŘO: Plnění ANO</w:t>
            </w:r>
          </w:p>
          <w:p w14:paraId="63603A2E" w14:textId="6F2017EE" w:rsidR="00790A0D" w:rsidRPr="00DD47DF" w:rsidRDefault="00790A0D" w:rsidP="006D2F5F">
            <w:pPr>
              <w:pStyle w:val="Tabulka"/>
              <w:jc w:val="left"/>
              <w:rPr>
                <w:rFonts w:cs="Calibri"/>
              </w:rPr>
            </w:pPr>
            <w:r w:rsidRPr="00DD47DF">
              <w:rPr>
                <w:rFonts w:cs="Calibri"/>
              </w:rPr>
              <w:t xml:space="preserve">V OPPIK bude zajištěno, aby podpořené projekty přispívaly k naplňování principu </w:t>
            </w:r>
            <w:r w:rsidRPr="00DD47DF">
              <w:rPr>
                <w:rFonts w:cs="Calibri"/>
              </w:rPr>
              <w:lastRenderedPageBreak/>
              <w:t>rovnosti žen a mužů u relevantních intervencí. V OPPIK budou mít ke všem programům podpory stejný přístup ženy i muži</w:t>
            </w:r>
            <w:r w:rsidR="00D93B75" w:rsidRPr="00DD47DF">
              <w:rPr>
                <w:rFonts w:cs="Calibri"/>
              </w:rPr>
              <w:t>.</w:t>
            </w:r>
            <w:r w:rsidRPr="00DD47DF">
              <w:rPr>
                <w:rFonts w:cs="Calibri"/>
              </w:rPr>
              <w:t xml:space="preserve"> </w:t>
            </w:r>
            <w:r w:rsidR="00D93B75" w:rsidRPr="00DD47DF">
              <w:rPr>
                <w:rFonts w:cs="Calibri"/>
              </w:rPr>
              <w:t>P</w:t>
            </w:r>
            <w:r w:rsidRPr="00DD47DF">
              <w:rPr>
                <w:rFonts w:cs="Calibri"/>
              </w:rPr>
              <w:t xml:space="preserve">rincip rovnosti žen a mužů bude zahrnut do výběrových kritérií subprogramů podpory. V případě, že </w:t>
            </w:r>
            <w:r w:rsidR="00BA68C1">
              <w:rPr>
                <w:rFonts w:cs="Calibri"/>
              </w:rPr>
              <w:t>výběrová</w:t>
            </w:r>
            <w:r w:rsidR="00BA68C1" w:rsidRPr="00DD47DF">
              <w:rPr>
                <w:rFonts w:cs="Calibri"/>
              </w:rPr>
              <w:t xml:space="preserve"> </w:t>
            </w:r>
            <w:r w:rsidRPr="00DD47DF">
              <w:rPr>
                <w:rFonts w:cs="Calibri"/>
              </w:rPr>
              <w:t xml:space="preserve">komise shledá, že projekt nebude projekt podpořen. Aktivity v PO 5 – Technická pomoc budou přístupné všem, bez rozdílu pohlaví. Rovnost mužů a žen bude zajištěna také ve složení Monitorovacího výboru. </w:t>
            </w:r>
            <w:r w:rsidR="00D93B75" w:rsidRPr="00DD47DF">
              <w:rPr>
                <w:rFonts w:cs="Calibri"/>
              </w:rPr>
              <w:t>Ko</w:t>
            </w:r>
            <w:r w:rsidRPr="00DD47DF">
              <w:rPr>
                <w:rFonts w:cs="Calibri"/>
              </w:rPr>
              <w:t>ntaktní osobou, zabývající se implementací a aplikaci práva rovnosti žen a mužů, která je zároveň odpovědná za koordinaci aktivit a spolupráci s</w:t>
            </w:r>
            <w:r w:rsidR="00D93B75" w:rsidRPr="00DD47DF">
              <w:rPr>
                <w:rFonts w:cs="Calibri"/>
              </w:rPr>
              <w:t>  ÚV ČR</w:t>
            </w:r>
            <w:r w:rsidRPr="00DD47DF">
              <w:rPr>
                <w:rFonts w:cs="Calibri"/>
              </w:rPr>
              <w:t>, komunikační úředník.</w:t>
            </w:r>
          </w:p>
          <w:p w14:paraId="7DA4E9B9" w14:textId="77777777" w:rsidR="00790A0D" w:rsidRPr="00DD47DF" w:rsidRDefault="00790A0D" w:rsidP="002A5257">
            <w:pPr>
              <w:pStyle w:val="Tabulka"/>
              <w:jc w:val="left"/>
              <w:rPr>
                <w:rFonts w:cs="Calibri"/>
              </w:rPr>
            </w:pPr>
            <w:r w:rsidRPr="00DD47DF">
              <w:rPr>
                <w:rFonts w:cs="Calibri"/>
              </w:rPr>
              <w:t xml:space="preserve">Specifické naplňování na národní úrovni </w:t>
            </w:r>
            <w:r w:rsidR="002A5257" w:rsidRPr="00DD47DF">
              <w:rPr>
                <w:rFonts w:cs="Calibri"/>
              </w:rPr>
              <w:t xml:space="preserve"> - viz Příloha II.</w:t>
            </w:r>
          </w:p>
        </w:tc>
      </w:tr>
      <w:tr w:rsidR="00790A0D" w:rsidRPr="00DD47DF" w14:paraId="4B36422D" w14:textId="77777777" w:rsidTr="006D2F5F">
        <w:tc>
          <w:tcPr>
            <w:tcW w:w="1752" w:type="dxa"/>
            <w:vMerge/>
            <w:shd w:val="clear" w:color="auto" w:fill="auto"/>
          </w:tcPr>
          <w:p w14:paraId="40D25FFE" w14:textId="77777777" w:rsidR="00790A0D" w:rsidRPr="00DD47DF" w:rsidRDefault="00790A0D" w:rsidP="006D2F5F">
            <w:pPr>
              <w:pStyle w:val="Tabulka"/>
              <w:jc w:val="left"/>
              <w:rPr>
                <w:rFonts w:cs="Calibri"/>
                <w:b/>
              </w:rPr>
            </w:pPr>
          </w:p>
        </w:tc>
        <w:tc>
          <w:tcPr>
            <w:tcW w:w="1701" w:type="dxa"/>
            <w:vMerge/>
            <w:shd w:val="clear" w:color="auto" w:fill="auto"/>
          </w:tcPr>
          <w:p w14:paraId="61B97A39" w14:textId="77777777" w:rsidR="00790A0D" w:rsidRPr="00DD47DF" w:rsidRDefault="00790A0D" w:rsidP="006D2F5F">
            <w:pPr>
              <w:pStyle w:val="Tabulka"/>
              <w:jc w:val="left"/>
              <w:rPr>
                <w:rFonts w:cs="Calibri"/>
              </w:rPr>
            </w:pPr>
          </w:p>
        </w:tc>
        <w:tc>
          <w:tcPr>
            <w:tcW w:w="1276" w:type="dxa"/>
            <w:vMerge/>
            <w:shd w:val="clear" w:color="auto" w:fill="auto"/>
          </w:tcPr>
          <w:p w14:paraId="2392CC94" w14:textId="77777777" w:rsidR="00790A0D" w:rsidRPr="00DD47DF" w:rsidRDefault="00790A0D" w:rsidP="006D2F5F">
            <w:pPr>
              <w:pStyle w:val="Tabulka"/>
              <w:jc w:val="left"/>
              <w:rPr>
                <w:rFonts w:cs="Calibri"/>
              </w:rPr>
            </w:pPr>
          </w:p>
        </w:tc>
        <w:tc>
          <w:tcPr>
            <w:tcW w:w="1843" w:type="dxa"/>
            <w:shd w:val="clear" w:color="auto" w:fill="auto"/>
          </w:tcPr>
          <w:p w14:paraId="51BF0482" w14:textId="77777777" w:rsidR="00790A0D" w:rsidRPr="00DD47DF" w:rsidRDefault="00790A0D" w:rsidP="006D2F5F">
            <w:pPr>
              <w:pStyle w:val="Tabulka"/>
              <w:jc w:val="left"/>
              <w:rPr>
                <w:rFonts w:cs="Calibri"/>
              </w:rPr>
            </w:pPr>
            <w:r w:rsidRPr="00DD47DF">
              <w:rPr>
                <w:rFonts w:cs="Calibri"/>
              </w:rPr>
              <w:t>Opatření za účelem vzdělávání zaměstnanců orgánů zapojených do řízení a kontroly fondů ESI v oblasti právních předpisů a politiky Unie týkajících se rovnosti mezi ženami a muži a zohledňování rovnosti mezi ženami a muži.</w:t>
            </w:r>
          </w:p>
        </w:tc>
        <w:tc>
          <w:tcPr>
            <w:tcW w:w="1134" w:type="dxa"/>
            <w:shd w:val="clear" w:color="auto" w:fill="auto"/>
          </w:tcPr>
          <w:p w14:paraId="281CD8A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5B047F2" w14:textId="77777777" w:rsidR="00790A0D" w:rsidRPr="00DD47DF" w:rsidRDefault="00013622" w:rsidP="006D2F5F">
            <w:pPr>
              <w:pStyle w:val="Tabulka"/>
              <w:jc w:val="left"/>
              <w:rPr>
                <w:rFonts w:cs="Calibri"/>
              </w:rPr>
            </w:pPr>
            <w:hyperlink r:id="rId63"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06C5017C" w14:textId="77777777" w:rsidR="00C50130" w:rsidRPr="00DD47DF" w:rsidRDefault="00C50130" w:rsidP="006D2F5F">
            <w:pPr>
              <w:pStyle w:val="Tabulka"/>
              <w:jc w:val="left"/>
              <w:rPr>
                <w:rFonts w:cs="Calibri"/>
              </w:rPr>
            </w:pPr>
            <w:r w:rsidRPr="00DD47DF">
              <w:rPr>
                <w:rFonts w:cs="Calibri"/>
              </w:rPr>
              <w:t>Gestor PP: Plnění ANO</w:t>
            </w:r>
          </w:p>
          <w:p w14:paraId="4ED69B2F" w14:textId="77777777" w:rsidR="00C50130" w:rsidRPr="00DD47DF" w:rsidRDefault="00790A0D" w:rsidP="00C50130">
            <w:pPr>
              <w:pStyle w:val="Prosttext"/>
              <w:spacing w:before="80" w:after="80"/>
              <w:rPr>
                <w:rFonts w:ascii="Times New Roman" w:hAnsi="Times New Roman"/>
                <w:sz w:val="22"/>
                <w:szCs w:val="22"/>
                <w:lang w:eastAsia="cs-CZ"/>
              </w:rPr>
            </w:pPr>
            <w:r w:rsidRPr="00DD47DF">
              <w:rPr>
                <w:rFonts w:ascii="Times New Roman" w:hAnsi="Times New Roman"/>
                <w:sz w:val="22"/>
                <w:szCs w:val="22"/>
              </w:rPr>
              <w:t>MMR-NOK zajišťuje na horizontální úrovni proškolení zaměstnanců implementujících fondy EU v rámci Systému vzdělávání, Úřad vlády</w:t>
            </w:r>
            <w:r w:rsidR="00C50130" w:rsidRPr="00DD47DF">
              <w:rPr>
                <w:rFonts w:ascii="Times New Roman" w:hAnsi="Times New Roman"/>
                <w:sz w:val="22"/>
                <w:szCs w:val="22"/>
              </w:rPr>
              <w:t xml:space="preserve"> </w:t>
            </w:r>
            <w:r w:rsidRPr="00DD47DF">
              <w:rPr>
                <w:rFonts w:ascii="Times New Roman" w:hAnsi="Times New Roman"/>
                <w:sz w:val="22"/>
                <w:szCs w:val="22"/>
              </w:rPr>
              <w:t>zajišťuje obsahovou náplň vzdělávání a lektorské zajištění.</w:t>
            </w:r>
            <w:r w:rsidR="00C50130" w:rsidRPr="00DD47DF">
              <w:rPr>
                <w:sz w:val="22"/>
                <w:szCs w:val="22"/>
                <w:lang w:eastAsia="cs-CZ"/>
              </w:rPr>
              <w:t xml:space="preserve"> </w:t>
            </w:r>
            <w:r w:rsidR="00C50130" w:rsidRPr="00DD47DF">
              <w:rPr>
                <w:rFonts w:ascii="Times New Roman" w:hAnsi="Times New Roman"/>
                <w:sz w:val="22"/>
                <w:szCs w:val="22"/>
                <w:lang w:eastAsia="cs-CZ"/>
              </w:rPr>
              <w:t xml:space="preserve">Oblast vzdělávání je součástí Metodického pokynu k rozvoji lidských zdrojů v programovém období 2014-2020 a v programovém období 2007-2013 (Usnesení vlády ČR ze dne 16. června 2014 č. 444). </w:t>
            </w:r>
          </w:p>
          <w:p w14:paraId="1A0C2933" w14:textId="77777777" w:rsidR="00790A0D" w:rsidRPr="00DD47DF" w:rsidRDefault="00C50130" w:rsidP="006D2F5F">
            <w:pPr>
              <w:pStyle w:val="Tabulka"/>
              <w:jc w:val="left"/>
              <w:rPr>
                <w:rFonts w:cs="Calibri"/>
              </w:rPr>
            </w:pPr>
            <w:r w:rsidRPr="00DD47DF">
              <w:rPr>
                <w:rFonts w:cs="Calibri"/>
              </w:rPr>
              <w:t>ŘO: Plnění ANO</w:t>
            </w:r>
          </w:p>
          <w:p w14:paraId="5F955C2C" w14:textId="77777777" w:rsidR="00790A0D" w:rsidRPr="00DD47DF" w:rsidRDefault="00790A0D" w:rsidP="006D2F5F">
            <w:pPr>
              <w:pStyle w:val="Tabulka"/>
              <w:jc w:val="left"/>
              <w:rPr>
                <w:rFonts w:cs="Calibri"/>
              </w:rPr>
            </w:pPr>
            <w:r w:rsidRPr="00DD47DF">
              <w:rPr>
                <w:rFonts w:cs="Calibri"/>
              </w:rPr>
              <w:t xml:space="preserve">Zaměstnanci ŘO OP PIK jsou zapojeni do Systému vzdělávání a účastní se průběžně a dle </w:t>
            </w:r>
            <w:r w:rsidRPr="00DD47DF">
              <w:rPr>
                <w:rFonts w:cs="Calibri"/>
              </w:rPr>
              <w:lastRenderedPageBreak/>
              <w:t>potřeby příslušných školení s problematikou rovnosti mezi ženami a muži.</w:t>
            </w:r>
          </w:p>
          <w:p w14:paraId="7FFDEB3B"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54D59BE7" w14:textId="77777777" w:rsidTr="006D2F5F">
        <w:tc>
          <w:tcPr>
            <w:tcW w:w="1752" w:type="dxa"/>
            <w:vMerge w:val="restart"/>
            <w:shd w:val="clear" w:color="auto" w:fill="auto"/>
          </w:tcPr>
          <w:p w14:paraId="7B95890B" w14:textId="77777777" w:rsidR="00790A0D" w:rsidRPr="00DD47DF" w:rsidRDefault="00790A0D" w:rsidP="006D2F5F">
            <w:pPr>
              <w:pStyle w:val="Tabulka"/>
              <w:jc w:val="left"/>
              <w:rPr>
                <w:rFonts w:cs="Calibri"/>
                <w:b/>
              </w:rPr>
            </w:pPr>
            <w:r w:rsidRPr="00DD47DF">
              <w:rPr>
                <w:rFonts w:cs="Calibri"/>
                <w:b/>
              </w:rPr>
              <w:lastRenderedPageBreak/>
              <w:t>Existence administrativní kapacity k provádění a uplatňování Úmluvy OSN o právech osob se zdravotním postižením (UNCRPD) v oblasti fondů ESI v souladu s rozhodnutím Rady 2010/48/ES</w:t>
            </w:r>
            <w:r w:rsidRPr="00DD47DF">
              <w:rPr>
                <w:rStyle w:val="Znakapoznpodarou"/>
                <w:rFonts w:cs="Calibri"/>
              </w:rPr>
              <w:footnoteReference w:id="92"/>
            </w:r>
          </w:p>
          <w:p w14:paraId="32B75CE3" w14:textId="77777777" w:rsidR="00790A0D" w:rsidRPr="00DD47DF" w:rsidRDefault="00790A0D" w:rsidP="006D2F5F">
            <w:pPr>
              <w:pStyle w:val="Tabulka"/>
              <w:jc w:val="left"/>
              <w:rPr>
                <w:rFonts w:cs="Calibri"/>
                <w:b/>
              </w:rPr>
            </w:pPr>
          </w:p>
        </w:tc>
        <w:tc>
          <w:tcPr>
            <w:tcW w:w="1701" w:type="dxa"/>
            <w:vMerge w:val="restart"/>
            <w:shd w:val="clear" w:color="auto" w:fill="auto"/>
          </w:tcPr>
          <w:p w14:paraId="3F734DE7"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45805DCD" w14:textId="77777777" w:rsidR="00790A0D" w:rsidRPr="00DD47DF" w:rsidRDefault="00790A0D" w:rsidP="006D2F5F">
            <w:pPr>
              <w:pStyle w:val="Tabulka"/>
              <w:jc w:val="left"/>
              <w:rPr>
                <w:rFonts w:cs="Calibri"/>
              </w:rPr>
            </w:pPr>
            <w:r w:rsidRPr="00DD47DF">
              <w:rPr>
                <w:rFonts w:cs="Calibri"/>
              </w:rPr>
              <w:t>Ano</w:t>
            </w:r>
          </w:p>
          <w:p w14:paraId="689B54DE" w14:textId="77777777" w:rsidR="00790A0D" w:rsidRPr="00DD47DF" w:rsidRDefault="00790A0D" w:rsidP="006D2F5F">
            <w:pPr>
              <w:pStyle w:val="Tabulka"/>
              <w:jc w:val="left"/>
              <w:rPr>
                <w:rFonts w:cs="Calibri"/>
              </w:rPr>
            </w:pPr>
          </w:p>
        </w:tc>
        <w:tc>
          <w:tcPr>
            <w:tcW w:w="1843" w:type="dxa"/>
            <w:shd w:val="clear" w:color="auto" w:fill="auto"/>
          </w:tcPr>
          <w:p w14:paraId="2A13A8DC" w14:textId="77777777" w:rsidR="00790A0D" w:rsidRPr="00DD47DF" w:rsidRDefault="00790A0D" w:rsidP="006D2F5F">
            <w:pPr>
              <w:pStyle w:val="Tabulka"/>
              <w:jc w:val="left"/>
              <w:rPr>
                <w:rFonts w:cs="Calibri"/>
              </w:rPr>
            </w:pPr>
            <w:r w:rsidRPr="00DD47DF">
              <w:rPr>
                <w:rFonts w:cs="Calibri"/>
              </w:rPr>
              <w:t>Opatření v souladu s institucionálním a právním rámcem členských států pro konzultaci a zapojení subjektů odpovědných za ochranu práv zdravotně postižených osob nebo organizací je zastupujících a ostatních příslušných zúčastněných stran do přípravy a provádění programů;</w:t>
            </w:r>
          </w:p>
        </w:tc>
        <w:tc>
          <w:tcPr>
            <w:tcW w:w="1134" w:type="dxa"/>
            <w:shd w:val="clear" w:color="auto" w:fill="auto"/>
          </w:tcPr>
          <w:p w14:paraId="4F41BC1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7D992BA" w14:textId="77777777" w:rsidR="00790A0D" w:rsidRPr="00DD47DF" w:rsidRDefault="00013622" w:rsidP="006D2F5F">
            <w:pPr>
              <w:pStyle w:val="Tabulka"/>
              <w:jc w:val="left"/>
              <w:rPr>
                <w:rFonts w:cs="Calibri"/>
              </w:rPr>
            </w:pPr>
            <w:hyperlink r:id="rId64" w:history="1">
              <w:r w:rsidR="00790A0D" w:rsidRPr="00DD47DF">
                <w:rPr>
                  <w:rStyle w:val="Hypertextovodkaz"/>
                  <w:rFonts w:cs="Calibri"/>
                </w:rPr>
                <w:t>http://www.vlada.cz/cz/ppov/vvzpo/dokumenty/narodni-plan-vytvareni-rovnych-prilezitosti-pro-osoby-se-zdravotnim-postizenim-na-obdobi-2010---2014-70026/</w:t>
              </w:r>
            </w:hyperlink>
          </w:p>
        </w:tc>
        <w:tc>
          <w:tcPr>
            <w:tcW w:w="4394" w:type="dxa"/>
            <w:shd w:val="clear" w:color="auto" w:fill="auto"/>
          </w:tcPr>
          <w:p w14:paraId="60DEB146" w14:textId="77777777" w:rsidR="00AE7B95" w:rsidRPr="00DD47DF" w:rsidRDefault="00AE7B95" w:rsidP="006D2F5F">
            <w:pPr>
              <w:pStyle w:val="Tabulka"/>
              <w:jc w:val="left"/>
              <w:rPr>
                <w:rFonts w:cs="Calibri"/>
              </w:rPr>
            </w:pPr>
            <w:r w:rsidRPr="00DD47DF">
              <w:rPr>
                <w:rFonts w:cs="Calibri"/>
              </w:rPr>
              <w:t>Gestor PP: Plnění ANO</w:t>
            </w:r>
          </w:p>
          <w:p w14:paraId="5A43C41D" w14:textId="77777777" w:rsidR="00AE7B95" w:rsidRPr="00DD47DF" w:rsidRDefault="00790A0D" w:rsidP="006D2F5F">
            <w:pPr>
              <w:pStyle w:val="Tabulka"/>
              <w:jc w:val="left"/>
              <w:rPr>
                <w:rFonts w:cs="Calibri"/>
              </w:rPr>
            </w:pPr>
            <w:r w:rsidRPr="00DD47DF">
              <w:rPr>
                <w:rFonts w:cs="Calibri"/>
              </w:rPr>
              <w:t>Převážnou část úkolů zajišťuje MPSV ve spolupráci s Vládním výborem pro zdravotně postižené občany a s určenými kontaktními pracovníky ŘO jednotlivých OP.</w:t>
            </w:r>
          </w:p>
          <w:p w14:paraId="74C765C6" w14:textId="77777777" w:rsidR="00AE7B95" w:rsidRPr="00DD47DF" w:rsidRDefault="00AE7B95" w:rsidP="006D2F5F">
            <w:pPr>
              <w:pStyle w:val="Tabulka"/>
              <w:jc w:val="left"/>
              <w:rPr>
                <w:rFonts w:cs="Calibri"/>
              </w:rPr>
            </w:pPr>
            <w:r w:rsidRPr="00DD47DF">
              <w:rPr>
                <w:rFonts w:cs="Calibri"/>
              </w:rPr>
              <w:t>ŘO: Plnění ANO</w:t>
            </w:r>
          </w:p>
          <w:p w14:paraId="20984395" w14:textId="77777777" w:rsidR="00790A0D" w:rsidRPr="00DD47DF" w:rsidRDefault="00790A0D" w:rsidP="006D2F5F">
            <w:pPr>
              <w:pStyle w:val="Tabulka"/>
              <w:jc w:val="left"/>
              <w:rPr>
                <w:rFonts w:cs="Calibri"/>
              </w:rPr>
            </w:pPr>
            <w:r w:rsidRPr="00DD47DF">
              <w:rPr>
                <w:rFonts w:cs="Calibri"/>
              </w:rPr>
              <w:t>V rámci agendy ochrany práv zdravotně postižených za ŘO OP PIK je kontaktní osobou, zabývající se implementací a aplikací práv zdravotně postižených, která je zároveň zodpovědná za koordinaci aktivit a spolupráci s MPSV, komunikační úředník OP PIK.</w:t>
            </w:r>
          </w:p>
          <w:p w14:paraId="0C657F47" w14:textId="77777777" w:rsidR="00790A0D" w:rsidRPr="00DD47DF" w:rsidRDefault="00790A0D" w:rsidP="006D2F5F">
            <w:pPr>
              <w:pStyle w:val="Tabulka"/>
              <w:jc w:val="left"/>
              <w:rPr>
                <w:rFonts w:cs="Calibri"/>
              </w:rPr>
            </w:pPr>
            <w:r w:rsidRPr="00DD47DF">
              <w:rPr>
                <w:rFonts w:cs="Calibri"/>
              </w:rPr>
              <w:t>Ve fázi implementace operačního programu bude zajištěna účast zástupce MPSV také v Monitorovacím výboru OP PIK.</w:t>
            </w:r>
          </w:p>
          <w:p w14:paraId="2CD07999"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0D5493" w:rsidRPr="00DD47DF">
              <w:rPr>
                <w:rFonts w:cs="Calibri"/>
              </w:rPr>
              <w:t xml:space="preserve"> – viz Příloha II</w:t>
            </w:r>
            <w:r w:rsidRPr="00DD47DF">
              <w:rPr>
                <w:rFonts w:cs="Calibri"/>
              </w:rPr>
              <w:t>.</w:t>
            </w:r>
          </w:p>
        </w:tc>
      </w:tr>
      <w:tr w:rsidR="00790A0D" w:rsidRPr="00DD47DF" w14:paraId="41A20B5D" w14:textId="77777777" w:rsidTr="006D2F5F">
        <w:tc>
          <w:tcPr>
            <w:tcW w:w="1752" w:type="dxa"/>
            <w:vMerge/>
            <w:shd w:val="clear" w:color="auto" w:fill="auto"/>
          </w:tcPr>
          <w:p w14:paraId="21CAC509" w14:textId="77777777" w:rsidR="00790A0D" w:rsidRPr="00DD47DF" w:rsidRDefault="00790A0D" w:rsidP="006D2F5F">
            <w:pPr>
              <w:pStyle w:val="Tabulka"/>
              <w:jc w:val="left"/>
              <w:rPr>
                <w:rFonts w:cs="Calibri"/>
                <w:b/>
              </w:rPr>
            </w:pPr>
          </w:p>
        </w:tc>
        <w:tc>
          <w:tcPr>
            <w:tcW w:w="1701" w:type="dxa"/>
            <w:vMerge/>
            <w:shd w:val="clear" w:color="auto" w:fill="auto"/>
          </w:tcPr>
          <w:p w14:paraId="7AF5B51F" w14:textId="77777777" w:rsidR="00790A0D" w:rsidRPr="00DD47DF" w:rsidRDefault="00790A0D" w:rsidP="006D2F5F">
            <w:pPr>
              <w:pStyle w:val="Tabulka"/>
              <w:jc w:val="left"/>
              <w:rPr>
                <w:rFonts w:cs="Calibri"/>
              </w:rPr>
            </w:pPr>
          </w:p>
        </w:tc>
        <w:tc>
          <w:tcPr>
            <w:tcW w:w="1276" w:type="dxa"/>
            <w:vMerge/>
            <w:shd w:val="clear" w:color="auto" w:fill="auto"/>
          </w:tcPr>
          <w:p w14:paraId="3F3251B6" w14:textId="77777777" w:rsidR="00790A0D" w:rsidRPr="00DD47DF" w:rsidRDefault="00790A0D" w:rsidP="006D2F5F">
            <w:pPr>
              <w:pStyle w:val="Tabulka"/>
              <w:jc w:val="left"/>
              <w:rPr>
                <w:rFonts w:cs="Calibri"/>
              </w:rPr>
            </w:pPr>
          </w:p>
        </w:tc>
        <w:tc>
          <w:tcPr>
            <w:tcW w:w="1843" w:type="dxa"/>
            <w:shd w:val="clear" w:color="auto" w:fill="auto"/>
          </w:tcPr>
          <w:p w14:paraId="087578E1" w14:textId="77777777" w:rsidR="00790A0D" w:rsidRPr="00DD47DF" w:rsidRDefault="00790A0D" w:rsidP="006D2F5F">
            <w:pPr>
              <w:pStyle w:val="Tabulka"/>
              <w:jc w:val="left"/>
              <w:rPr>
                <w:rFonts w:cs="Calibri"/>
              </w:rPr>
            </w:pPr>
            <w:r w:rsidRPr="00DD47DF">
              <w:rPr>
                <w:rFonts w:cs="Calibri"/>
              </w:rPr>
              <w:t xml:space="preserve">Opatření pro vzdělávání zaměstnanců </w:t>
            </w:r>
            <w:r w:rsidRPr="00DD47DF">
              <w:rPr>
                <w:rFonts w:cs="Calibri"/>
              </w:rPr>
              <w:lastRenderedPageBreak/>
              <w:t>orgánů zapojených do řízení a fondů ESI v oblasti práva a politik EU a členských států týkajících se zdravotně postižených osob, včetně přístupnosti a praktického uplatňování ustanovení UNCRPD provedených v právu Unie, případně členských států;</w:t>
            </w:r>
          </w:p>
        </w:tc>
        <w:tc>
          <w:tcPr>
            <w:tcW w:w="1134" w:type="dxa"/>
            <w:shd w:val="clear" w:color="auto" w:fill="auto"/>
          </w:tcPr>
          <w:p w14:paraId="1DAB0756"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45453F8A" w14:textId="77777777" w:rsidR="00790A0D" w:rsidRPr="00DD47DF" w:rsidRDefault="00013622" w:rsidP="006D2F5F">
            <w:pPr>
              <w:pStyle w:val="Tabulka"/>
              <w:jc w:val="left"/>
              <w:rPr>
                <w:rStyle w:val="Hypertextovodkaz"/>
                <w:rFonts w:cs="Calibri"/>
              </w:rPr>
            </w:pPr>
            <w:hyperlink r:id="rId65" w:history="1">
              <w:r w:rsidR="00790A0D" w:rsidRPr="00DD47DF">
                <w:rPr>
                  <w:rStyle w:val="Hypertextovodkaz"/>
                  <w:rFonts w:cs="Calibri"/>
                </w:rPr>
                <w:t>http://www.vlada.cz/cz/ppov/vvzpo/dokumenty/zprava-o-plneni-</w:t>
              </w:r>
              <w:r w:rsidR="00790A0D" w:rsidRPr="00DD47DF">
                <w:rPr>
                  <w:rStyle w:val="Hypertextovodkaz"/>
                  <w:rFonts w:cs="Calibri"/>
                </w:rPr>
                <w:lastRenderedPageBreak/>
                <w:t>opatreni-narodniho-planu-vytvareni-rovnych-prilezitosti-pro-osoby-se-zdravotnim-postizenim-na-obdobi-2010-2014-v-roce-2012-110987/</w:t>
              </w:r>
            </w:hyperlink>
          </w:p>
          <w:p w14:paraId="0CA36E0C" w14:textId="77777777" w:rsidR="00790A0D" w:rsidRPr="00DD47DF" w:rsidRDefault="00790A0D" w:rsidP="006D2F5F">
            <w:pPr>
              <w:pStyle w:val="Tabulka"/>
              <w:jc w:val="left"/>
              <w:rPr>
                <w:rStyle w:val="Hypertextovodkaz"/>
                <w:rFonts w:cs="Calibri"/>
              </w:rPr>
            </w:pPr>
          </w:p>
          <w:p w14:paraId="74C17ED3" w14:textId="77777777" w:rsidR="00790A0D" w:rsidRPr="0069482B" w:rsidRDefault="00013622" w:rsidP="006D2F5F">
            <w:pPr>
              <w:pStyle w:val="Tabulka"/>
              <w:jc w:val="left"/>
              <w:rPr>
                <w:rFonts w:cs="Calibri"/>
              </w:rPr>
            </w:pPr>
            <w:hyperlink r:id="rId66" w:history="1">
              <w:r w:rsidR="00790A0D" w:rsidRPr="0069482B">
                <w:rPr>
                  <w:rStyle w:val="Hypertextovodkaz"/>
                </w:rPr>
                <w:t>http://www.strukturalni-fondy.cz/cs/Fondy-EU/2014-2020/Metodicke-pokyny/Metodika-rozvoje-lidskych-zdroju</w:t>
              </w:r>
            </w:hyperlink>
          </w:p>
        </w:tc>
        <w:tc>
          <w:tcPr>
            <w:tcW w:w="4394" w:type="dxa"/>
            <w:shd w:val="clear" w:color="auto" w:fill="auto"/>
          </w:tcPr>
          <w:p w14:paraId="3E2B54E5" w14:textId="77777777" w:rsidR="00AE7B95" w:rsidRPr="00DD47DF" w:rsidRDefault="00AE7B95" w:rsidP="006D2F5F">
            <w:pPr>
              <w:pStyle w:val="Tabulka"/>
              <w:jc w:val="left"/>
              <w:rPr>
                <w:rFonts w:cs="Calibri"/>
              </w:rPr>
            </w:pPr>
            <w:r w:rsidRPr="00DD47DF">
              <w:rPr>
                <w:rFonts w:cs="Calibri"/>
              </w:rPr>
              <w:lastRenderedPageBreak/>
              <w:t>Gestor PP: Plnění ANO</w:t>
            </w:r>
          </w:p>
          <w:p w14:paraId="1F64B2EE" w14:textId="77777777" w:rsidR="00AE7B95" w:rsidRPr="00DD47DF" w:rsidRDefault="00AE7B95" w:rsidP="006D2F5F">
            <w:pPr>
              <w:pStyle w:val="Tabulka"/>
              <w:jc w:val="left"/>
              <w:rPr>
                <w:rFonts w:cs="Calibri"/>
              </w:rPr>
            </w:pPr>
            <w:r w:rsidRPr="00DD47DF">
              <w:rPr>
                <w:color w:val="000000"/>
              </w:rPr>
              <w:t xml:space="preserve">V rámci Národního plánu vytváření rovných </w:t>
            </w:r>
            <w:r w:rsidRPr="00DD47DF">
              <w:rPr>
                <w:color w:val="000000"/>
              </w:rPr>
              <w:lastRenderedPageBreak/>
              <w:t xml:space="preserve">příležitostí pro osoby se zdravotním postižením na období 2010 - 2014, každý rok - zpráva o plnění opatření.  </w:t>
            </w:r>
            <w:r w:rsidR="00790A0D" w:rsidRPr="00DD47DF">
              <w:rPr>
                <w:rFonts w:cs="Calibri"/>
              </w:rPr>
              <w:t xml:space="preserve">Opatření – vzdělávání zaměstnanců orgánů podílejících se na řízení a kontrole ESI fondů je plněno již nyní. MMR-NOK zajišťuje na horizontální úrovni proškolení zaměstnanců implementujících fondy EU v rámci Systému vzdělávání, MPSV zajišťuje obsahovou náplň vzdělávání a lektorské zajištění. </w:t>
            </w:r>
          </w:p>
          <w:p w14:paraId="753110DA" w14:textId="77777777" w:rsidR="00AE7B95" w:rsidRPr="00DD47DF" w:rsidRDefault="00AE7B95" w:rsidP="006D2F5F">
            <w:pPr>
              <w:pStyle w:val="Tabulka"/>
              <w:jc w:val="left"/>
              <w:rPr>
                <w:rFonts w:cs="Calibri"/>
              </w:rPr>
            </w:pPr>
            <w:r w:rsidRPr="00DD47DF">
              <w:rPr>
                <w:rFonts w:cs="Calibri"/>
              </w:rPr>
              <w:t>ŘO: Plnění ANO</w:t>
            </w:r>
          </w:p>
          <w:p w14:paraId="76606477" w14:textId="77777777" w:rsidR="00790A0D" w:rsidRPr="00DD47DF" w:rsidRDefault="00790A0D" w:rsidP="006D2F5F">
            <w:pPr>
              <w:pStyle w:val="Tabulka"/>
              <w:jc w:val="left"/>
              <w:rPr>
                <w:rFonts w:cs="Calibri"/>
              </w:rPr>
            </w:pPr>
            <w:r w:rsidRPr="00DD47DF">
              <w:rPr>
                <w:rFonts w:cs="Calibri"/>
              </w:rPr>
              <w:t>Zaměstnanci OP PIK jsou zapojeni do Systému vzdělávání, který na horizontální úrovni zastřešuje MMR-NOK, a účastní se průběžně a dle potřeby příslušných vzdělávacích akcí.</w:t>
            </w:r>
          </w:p>
          <w:p w14:paraId="6AFB315F" w14:textId="77777777" w:rsidR="00790A0D" w:rsidRPr="00DD47DF" w:rsidRDefault="00790A0D" w:rsidP="006D2F5F">
            <w:pPr>
              <w:pStyle w:val="Tabulka"/>
              <w:jc w:val="left"/>
              <w:rPr>
                <w:rFonts w:cs="Calibri"/>
              </w:rPr>
            </w:pPr>
            <w:r w:rsidRPr="00DD47DF">
              <w:rPr>
                <w:rFonts w:cs="Calibri"/>
              </w:rPr>
              <w:t>Specifické naplňování na národní úrovni je uvedeno v rámci Dohody o partnerství</w:t>
            </w:r>
            <w:r w:rsidR="00CA1478" w:rsidRPr="00DD47DF">
              <w:rPr>
                <w:rFonts w:cs="Calibri"/>
              </w:rPr>
              <w:t xml:space="preserve"> - </w:t>
            </w:r>
            <w:r w:rsidR="000D5493" w:rsidRPr="00DD47DF">
              <w:rPr>
                <w:rFonts w:cs="Calibri"/>
              </w:rPr>
              <w:t>viz Příloha II</w:t>
            </w:r>
            <w:r w:rsidRPr="00DD47DF">
              <w:rPr>
                <w:rFonts w:cs="Calibri"/>
              </w:rPr>
              <w:t xml:space="preserve">. </w:t>
            </w:r>
          </w:p>
        </w:tc>
      </w:tr>
      <w:tr w:rsidR="00790A0D" w:rsidRPr="00DD47DF" w14:paraId="31888C6C" w14:textId="77777777" w:rsidTr="006D2F5F">
        <w:tc>
          <w:tcPr>
            <w:tcW w:w="1752" w:type="dxa"/>
            <w:vMerge/>
            <w:shd w:val="clear" w:color="auto" w:fill="auto"/>
          </w:tcPr>
          <w:p w14:paraId="009AC063" w14:textId="77777777" w:rsidR="00790A0D" w:rsidRPr="00DD47DF" w:rsidRDefault="00790A0D" w:rsidP="006D2F5F">
            <w:pPr>
              <w:pStyle w:val="Tabulka"/>
              <w:jc w:val="left"/>
              <w:rPr>
                <w:rFonts w:cs="Calibri"/>
                <w:b/>
              </w:rPr>
            </w:pPr>
          </w:p>
        </w:tc>
        <w:tc>
          <w:tcPr>
            <w:tcW w:w="1701" w:type="dxa"/>
            <w:vMerge/>
            <w:shd w:val="clear" w:color="auto" w:fill="auto"/>
          </w:tcPr>
          <w:p w14:paraId="4BD34206" w14:textId="77777777" w:rsidR="00790A0D" w:rsidRPr="00DD47DF" w:rsidRDefault="00790A0D" w:rsidP="006D2F5F">
            <w:pPr>
              <w:pStyle w:val="Tabulka"/>
              <w:jc w:val="left"/>
              <w:rPr>
                <w:rFonts w:cs="Calibri"/>
              </w:rPr>
            </w:pPr>
          </w:p>
        </w:tc>
        <w:tc>
          <w:tcPr>
            <w:tcW w:w="1276" w:type="dxa"/>
            <w:vMerge/>
            <w:shd w:val="clear" w:color="auto" w:fill="auto"/>
          </w:tcPr>
          <w:p w14:paraId="0298B288" w14:textId="77777777" w:rsidR="00790A0D" w:rsidRPr="00DD47DF" w:rsidRDefault="00790A0D" w:rsidP="006D2F5F">
            <w:pPr>
              <w:pStyle w:val="Tabulka"/>
              <w:jc w:val="left"/>
              <w:rPr>
                <w:rFonts w:cs="Calibri"/>
              </w:rPr>
            </w:pPr>
          </w:p>
        </w:tc>
        <w:tc>
          <w:tcPr>
            <w:tcW w:w="1843" w:type="dxa"/>
            <w:shd w:val="clear" w:color="auto" w:fill="auto"/>
          </w:tcPr>
          <w:p w14:paraId="3705BBE3" w14:textId="77777777" w:rsidR="00790A0D" w:rsidRPr="00DD47DF" w:rsidRDefault="00790A0D" w:rsidP="006D2F5F">
            <w:pPr>
              <w:pStyle w:val="Tabulka"/>
              <w:jc w:val="left"/>
              <w:rPr>
                <w:rFonts w:cs="Calibri"/>
              </w:rPr>
            </w:pPr>
            <w:r w:rsidRPr="00DD47DF">
              <w:rPr>
                <w:rFonts w:cs="Calibri"/>
              </w:rPr>
              <w:t>Opatření za účelem sledování provádění článku 9 UNCRPD ve vztahu k fondům ESI v rámci přípravy a provádění programů.</w:t>
            </w:r>
          </w:p>
        </w:tc>
        <w:tc>
          <w:tcPr>
            <w:tcW w:w="1134" w:type="dxa"/>
            <w:shd w:val="clear" w:color="auto" w:fill="auto"/>
          </w:tcPr>
          <w:p w14:paraId="7205BAF2"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0E1D1B2" w14:textId="77777777" w:rsidR="00790A0D" w:rsidRPr="00DD47DF" w:rsidRDefault="00013622" w:rsidP="006D2F5F">
            <w:pPr>
              <w:pStyle w:val="Tabulka"/>
              <w:jc w:val="left"/>
              <w:rPr>
                <w:rFonts w:cs="Calibri"/>
              </w:rPr>
            </w:pPr>
            <w:hyperlink r:id="rId67" w:history="1">
              <w:r w:rsidR="00790A0D" w:rsidRPr="00DD47DF">
                <w:rPr>
                  <w:rStyle w:val="Hypertextovodkaz"/>
                  <w:rFonts w:cs="Calibri"/>
                </w:rPr>
                <w:t>http://www.vlada.cz/cz/ppov/vvzpo/dokumenty/narodni-plan-vytvareni-rovnych-prilezitosti-pro-osoby-se-zdravotnim-postizenim-na-obdobi-2010---2014-70026/</w:t>
              </w:r>
            </w:hyperlink>
          </w:p>
        </w:tc>
        <w:tc>
          <w:tcPr>
            <w:tcW w:w="4394" w:type="dxa"/>
            <w:shd w:val="clear" w:color="auto" w:fill="auto"/>
          </w:tcPr>
          <w:p w14:paraId="52367633" w14:textId="77777777" w:rsidR="00AE7B95" w:rsidRPr="00DD47DF" w:rsidRDefault="00AE7B95" w:rsidP="006D2F5F">
            <w:pPr>
              <w:pStyle w:val="Tabulka"/>
              <w:jc w:val="left"/>
              <w:rPr>
                <w:rFonts w:cs="Calibri"/>
              </w:rPr>
            </w:pPr>
            <w:r w:rsidRPr="00DD47DF">
              <w:rPr>
                <w:rFonts w:cs="Calibri"/>
              </w:rPr>
              <w:t>Gestor PP:  Plnění ANO</w:t>
            </w:r>
          </w:p>
          <w:p w14:paraId="0E6168E2" w14:textId="77777777" w:rsidR="006D55D4" w:rsidRPr="00DD47DF" w:rsidRDefault="00790A0D" w:rsidP="006D55D4">
            <w:pPr>
              <w:pStyle w:val="DAVA"/>
              <w:spacing w:before="80" w:after="80"/>
              <w:rPr>
                <w:rFonts w:ascii="Times New Roman" w:hAnsi="Times New Roman"/>
                <w:sz w:val="22"/>
                <w:szCs w:val="22"/>
                <w:lang w:eastAsia="cs-CZ"/>
              </w:rPr>
            </w:pPr>
            <w:r w:rsidRPr="00DD47DF">
              <w:rPr>
                <w:rFonts w:ascii="Times New Roman" w:hAnsi="Times New Roman"/>
                <w:sz w:val="22"/>
                <w:szCs w:val="22"/>
              </w:rPr>
              <w:t>Národní plán obsahuje opatření k vyrovnávání příležitostí pro osoby se zdravotním postižením. Plnění těchto opatření je každý rok hodnoceno. N</w:t>
            </w:r>
            <w:r w:rsidR="00AE7B95" w:rsidRPr="00DD47DF">
              <w:rPr>
                <w:rFonts w:ascii="Times New Roman" w:hAnsi="Times New Roman"/>
                <w:sz w:val="22"/>
                <w:szCs w:val="22"/>
              </w:rPr>
              <w:t>P</w:t>
            </w:r>
            <w:r w:rsidRPr="00DD47DF">
              <w:rPr>
                <w:rFonts w:ascii="Times New Roman" w:hAnsi="Times New Roman"/>
                <w:sz w:val="22"/>
                <w:szCs w:val="22"/>
              </w:rPr>
              <w:t xml:space="preserve"> je koncipován dle jednotlivých článků CRPD a v kapitole č. 4 se přímo věnuje Přístupnosti staveb, dopravy a přístupu k informacím.</w:t>
            </w:r>
            <w:r w:rsidR="00AE7B95" w:rsidRPr="00DD47DF" w:rsidDel="00AE7B95">
              <w:rPr>
                <w:rFonts w:ascii="Times New Roman" w:hAnsi="Times New Roman"/>
                <w:sz w:val="22"/>
                <w:szCs w:val="22"/>
              </w:rPr>
              <w:t xml:space="preserve"> </w:t>
            </w:r>
            <w:r w:rsidRPr="00DD47DF">
              <w:rPr>
                <w:rFonts w:ascii="Times New Roman" w:hAnsi="Times New Roman"/>
                <w:sz w:val="22"/>
                <w:szCs w:val="22"/>
              </w:rPr>
              <w:t xml:space="preserve">Požadavky na přístupnost veřejných budov, </w:t>
            </w:r>
            <w:r w:rsidR="00AE7B95" w:rsidRPr="00DD47DF">
              <w:rPr>
                <w:rFonts w:ascii="Times New Roman" w:hAnsi="Times New Roman"/>
                <w:sz w:val="22"/>
                <w:szCs w:val="22"/>
              </w:rPr>
              <w:t>poměr vo</w:t>
            </w:r>
            <w:r w:rsidR="006D55D4" w:rsidRPr="00DD47DF">
              <w:rPr>
                <w:rFonts w:ascii="Times New Roman" w:hAnsi="Times New Roman"/>
                <w:sz w:val="22"/>
                <w:szCs w:val="22"/>
              </w:rPr>
              <w:t>zi</w:t>
            </w:r>
            <w:r w:rsidR="00AE7B95" w:rsidRPr="00DD47DF">
              <w:rPr>
                <w:rFonts w:ascii="Times New Roman" w:hAnsi="Times New Roman"/>
                <w:sz w:val="22"/>
                <w:szCs w:val="22"/>
              </w:rPr>
              <w:t xml:space="preserve">del ve veřejné dopravě </w:t>
            </w:r>
            <w:r w:rsidR="006D55D4" w:rsidRPr="00DD47DF">
              <w:rPr>
                <w:rFonts w:ascii="Times New Roman" w:hAnsi="Times New Roman"/>
                <w:sz w:val="22"/>
                <w:szCs w:val="22"/>
              </w:rPr>
              <w:t>pro</w:t>
            </w:r>
            <w:r w:rsidR="006D55D4" w:rsidRPr="00DD47DF">
              <w:rPr>
                <w:rFonts w:cs="Calibri"/>
                <w:sz w:val="22"/>
                <w:szCs w:val="22"/>
              </w:rPr>
              <w:t xml:space="preserve"> </w:t>
            </w:r>
            <w:r w:rsidR="00AE7B95" w:rsidRPr="00DD47DF">
              <w:rPr>
                <w:rFonts w:ascii="Times New Roman" w:hAnsi="Times New Roman"/>
                <w:sz w:val="22"/>
                <w:szCs w:val="22"/>
                <w:lang w:eastAsia="cs-CZ"/>
              </w:rPr>
              <w:t>přepravu osob s omezenou schopností pohybu a orientace jsou vymezeny v zákoně č. 183/2006 Sb., vyhlášce č. 398/2009, nařízení vlády č. 63/2011)</w:t>
            </w:r>
            <w:r w:rsidR="00D709F2" w:rsidRPr="00DD47DF">
              <w:rPr>
                <w:rFonts w:ascii="Times New Roman" w:hAnsi="Times New Roman"/>
                <w:sz w:val="22"/>
                <w:szCs w:val="22"/>
                <w:lang w:eastAsia="cs-CZ"/>
              </w:rPr>
              <w:t>.</w:t>
            </w:r>
            <w:r w:rsidR="006D55D4" w:rsidRPr="00DD47DF">
              <w:rPr>
                <w:sz w:val="22"/>
                <w:szCs w:val="22"/>
              </w:rPr>
              <w:t xml:space="preserve"> </w:t>
            </w:r>
            <w:r w:rsidR="006D55D4" w:rsidRPr="00DD47DF">
              <w:rPr>
                <w:rFonts w:ascii="Times New Roman" w:hAnsi="Times New Roman"/>
                <w:sz w:val="22"/>
                <w:szCs w:val="22"/>
                <w:lang w:eastAsia="cs-CZ"/>
              </w:rPr>
              <w:t xml:space="preserve">Na základě </w:t>
            </w:r>
            <w:r w:rsidR="006D55D4" w:rsidRPr="00DD47DF">
              <w:rPr>
                <w:rFonts w:ascii="Times New Roman" w:hAnsi="Times New Roman"/>
                <w:sz w:val="22"/>
                <w:szCs w:val="22"/>
                <w:lang w:eastAsia="cs-CZ"/>
              </w:rPr>
              <w:lastRenderedPageBreak/>
              <w:t>antidiskriminačního zákona č. 198/2009 Sb.,</w:t>
            </w:r>
            <w:r w:rsidR="00CC3FCD" w:rsidRPr="00DD47DF">
              <w:rPr>
                <w:rFonts w:ascii="Times New Roman" w:hAnsi="Times New Roman"/>
                <w:sz w:val="22"/>
                <w:szCs w:val="22"/>
                <w:lang w:eastAsia="cs-CZ"/>
              </w:rPr>
              <w:t xml:space="preserve"> </w:t>
            </w:r>
            <w:r w:rsidR="006D55D4" w:rsidRPr="00DD47DF">
              <w:rPr>
                <w:rFonts w:ascii="Times New Roman" w:hAnsi="Times New Roman"/>
                <w:sz w:val="22"/>
                <w:szCs w:val="22"/>
                <w:lang w:eastAsia="cs-CZ"/>
              </w:rPr>
              <w:t xml:space="preserve">jsou všichni poskytovatelé služeb určených veřejnosti povinni přijmout přiměřená opatření pro osoby se zdravotním postižením. </w:t>
            </w:r>
          </w:p>
          <w:p w14:paraId="4A015E39" w14:textId="77777777" w:rsidR="00790A0D" w:rsidRPr="00DD47DF" w:rsidRDefault="006D55D4" w:rsidP="006D55D4">
            <w:pPr>
              <w:pStyle w:val="Tabulka"/>
              <w:jc w:val="left"/>
              <w:rPr>
                <w:rFonts w:cs="Calibri"/>
              </w:rPr>
            </w:pPr>
            <w:r w:rsidRPr="00DD47DF">
              <w:t>Opatření, aby se s informacemi souvisejícími s výkonem veřejné správy uveřejňovanými způsobem umožňujícím dálkový přístup mohly rozsahu seznámit i osoby se zdravotním postižením, upravuje zákon  č. 365/2000 Sb. a vyhláška č. 64/2008 Sb.</w:t>
            </w:r>
            <w:r w:rsidR="00790A0D" w:rsidRPr="00DD47DF">
              <w:rPr>
                <w:rFonts w:cs="Calibri"/>
              </w:rPr>
              <w:t xml:space="preserve"> Specifické naplňování na národní úrovni </w:t>
            </w:r>
            <w:r w:rsidR="000D5493" w:rsidRPr="00DD47DF">
              <w:rPr>
                <w:rFonts w:cs="Calibri"/>
              </w:rPr>
              <w:t>viz Příloha II.</w:t>
            </w:r>
          </w:p>
        </w:tc>
      </w:tr>
      <w:tr w:rsidR="00790A0D" w:rsidRPr="00DD47DF" w14:paraId="11FB81FF" w14:textId="77777777" w:rsidTr="006D2F5F">
        <w:tc>
          <w:tcPr>
            <w:tcW w:w="1752" w:type="dxa"/>
            <w:vMerge w:val="restart"/>
            <w:shd w:val="clear" w:color="auto" w:fill="auto"/>
          </w:tcPr>
          <w:p w14:paraId="5E7FCB4C" w14:textId="77777777" w:rsidR="00790A0D" w:rsidRPr="00DD47DF" w:rsidRDefault="00790A0D" w:rsidP="006D2F5F">
            <w:pPr>
              <w:pStyle w:val="Tabulka"/>
              <w:jc w:val="left"/>
              <w:rPr>
                <w:rFonts w:cs="Calibri"/>
                <w:b/>
              </w:rPr>
            </w:pPr>
            <w:r w:rsidRPr="00DD47DF">
              <w:rPr>
                <w:rFonts w:cs="Calibri"/>
                <w:b/>
              </w:rPr>
              <w:lastRenderedPageBreak/>
              <w:t>Existence opatření pro účinné uplatňování právních předpisů Unie o veřejných zakázkách v oblasti fondů ESI.</w:t>
            </w:r>
          </w:p>
          <w:p w14:paraId="67A7080F" w14:textId="77777777" w:rsidR="00790A0D" w:rsidRPr="00DD47DF" w:rsidRDefault="00790A0D" w:rsidP="006D2F5F">
            <w:pPr>
              <w:pStyle w:val="Tabulka"/>
              <w:jc w:val="left"/>
              <w:rPr>
                <w:rFonts w:cs="Calibri"/>
                <w:b/>
              </w:rPr>
            </w:pPr>
          </w:p>
        </w:tc>
        <w:tc>
          <w:tcPr>
            <w:tcW w:w="1701" w:type="dxa"/>
            <w:vMerge w:val="restart"/>
            <w:shd w:val="clear" w:color="auto" w:fill="auto"/>
          </w:tcPr>
          <w:p w14:paraId="0DED2568" w14:textId="77777777" w:rsidR="00790A0D" w:rsidRPr="00DD47DF" w:rsidRDefault="00790A0D" w:rsidP="006D2F5F">
            <w:pPr>
              <w:pStyle w:val="Tabulka"/>
              <w:jc w:val="left"/>
              <w:rPr>
                <w:rFonts w:cs="Calibri"/>
              </w:rPr>
            </w:pPr>
            <w:r w:rsidRPr="00DD47DF">
              <w:rPr>
                <w:rFonts w:cs="Calibri"/>
              </w:rPr>
              <w:t>Všechny prioritní osy OP PIK</w:t>
            </w:r>
          </w:p>
        </w:tc>
        <w:tc>
          <w:tcPr>
            <w:tcW w:w="1276" w:type="dxa"/>
            <w:vMerge w:val="restart"/>
            <w:shd w:val="clear" w:color="auto" w:fill="auto"/>
          </w:tcPr>
          <w:p w14:paraId="5DC0C738" w14:textId="77777777" w:rsidR="00790A0D" w:rsidRPr="00DD47DF" w:rsidRDefault="002D4CC1" w:rsidP="006D2F5F">
            <w:pPr>
              <w:pStyle w:val="Tabulka"/>
              <w:jc w:val="left"/>
              <w:rPr>
                <w:rFonts w:cs="Calibri"/>
              </w:rPr>
            </w:pPr>
            <w:r>
              <w:rPr>
                <w:rFonts w:cs="Calibri"/>
              </w:rPr>
              <w:t>Částečně</w:t>
            </w:r>
          </w:p>
          <w:p w14:paraId="47A79146" w14:textId="77777777" w:rsidR="00790A0D" w:rsidRPr="00DD47DF" w:rsidRDefault="00790A0D" w:rsidP="006D2F5F">
            <w:pPr>
              <w:pStyle w:val="Tabulka"/>
              <w:jc w:val="left"/>
              <w:rPr>
                <w:rFonts w:cs="Calibri"/>
              </w:rPr>
            </w:pPr>
          </w:p>
        </w:tc>
        <w:tc>
          <w:tcPr>
            <w:tcW w:w="1843" w:type="dxa"/>
            <w:shd w:val="clear" w:color="auto" w:fill="auto"/>
          </w:tcPr>
          <w:p w14:paraId="027D13C8" w14:textId="77777777" w:rsidR="00790A0D" w:rsidRPr="00DD47DF" w:rsidRDefault="00790A0D" w:rsidP="006D2F5F">
            <w:pPr>
              <w:pStyle w:val="Tabulka"/>
              <w:jc w:val="left"/>
              <w:rPr>
                <w:rFonts w:cs="Calibri"/>
              </w:rPr>
            </w:pPr>
            <w:r w:rsidRPr="00DD47DF">
              <w:rPr>
                <w:rFonts w:cs="Calibri"/>
              </w:rPr>
              <w:t>Opatření pro účinné uplatňování předpisů Unie o veřejných zakázkách prostřednictvím odpovídajících mechanismů.</w:t>
            </w:r>
          </w:p>
        </w:tc>
        <w:tc>
          <w:tcPr>
            <w:tcW w:w="1134" w:type="dxa"/>
            <w:shd w:val="clear" w:color="auto" w:fill="auto"/>
          </w:tcPr>
          <w:p w14:paraId="136CA1F9" w14:textId="77777777" w:rsidR="00790A0D" w:rsidRPr="00DD47DF" w:rsidRDefault="00A0467F" w:rsidP="006D2F5F">
            <w:pPr>
              <w:pStyle w:val="Tabulka"/>
              <w:jc w:val="left"/>
              <w:rPr>
                <w:rFonts w:cs="Calibri"/>
              </w:rPr>
            </w:pPr>
            <w:r w:rsidRPr="00DD47DF">
              <w:rPr>
                <w:rFonts w:cs="Calibri"/>
              </w:rPr>
              <w:t>ne</w:t>
            </w:r>
          </w:p>
        </w:tc>
        <w:tc>
          <w:tcPr>
            <w:tcW w:w="2126" w:type="dxa"/>
            <w:shd w:val="clear" w:color="auto" w:fill="auto"/>
          </w:tcPr>
          <w:p w14:paraId="498E776B" w14:textId="77777777" w:rsidR="00790A0D" w:rsidRPr="00DD47DF" w:rsidRDefault="00013622" w:rsidP="006D2F5F">
            <w:pPr>
              <w:pStyle w:val="Tabulka"/>
              <w:jc w:val="left"/>
              <w:rPr>
                <w:rFonts w:cs="Calibri"/>
              </w:rPr>
            </w:pPr>
            <w:hyperlink r:id="rId68" w:history="1">
              <w:r w:rsidR="00790A0D" w:rsidRPr="00DD47DF">
                <w:rPr>
                  <w:rStyle w:val="Hypertextovodkaz"/>
                  <w:rFonts w:cs="Calibri"/>
                </w:rPr>
                <w:t>http://www.portal-vz.cz/cs/Jak-na-zadavani-verejnych-zakazek/Legislativa-a-Judikatura/Legislativa/Narodni-legislativa-aktualni-a-uplne-zneni-z-(1)</w:t>
              </w:r>
            </w:hyperlink>
          </w:p>
          <w:p w14:paraId="798829EC" w14:textId="77777777" w:rsidR="00790A0D" w:rsidRPr="00DD47DF" w:rsidRDefault="00790A0D" w:rsidP="006D2F5F">
            <w:pPr>
              <w:pStyle w:val="Tabulka"/>
              <w:jc w:val="left"/>
              <w:rPr>
                <w:rFonts w:cs="Calibri"/>
              </w:rPr>
            </w:pPr>
          </w:p>
          <w:p w14:paraId="77BD2BB5" w14:textId="77777777" w:rsidR="00790A0D" w:rsidRPr="00DD47DF" w:rsidRDefault="00013622" w:rsidP="006D2F5F">
            <w:pPr>
              <w:pStyle w:val="Tabulka"/>
              <w:jc w:val="left"/>
              <w:rPr>
                <w:rFonts w:cs="Calibri"/>
              </w:rPr>
            </w:pPr>
            <w:hyperlink r:id="rId69" w:history="1">
              <w:r w:rsidR="00790A0D" w:rsidRPr="00DD47DF">
                <w:rPr>
                  <w:rStyle w:val="Hypertextovodkaz"/>
                  <w:rFonts w:cs="Calibri"/>
                </w:rPr>
                <w:t>http://www.portal-vz.cz/cs/Jak-na-zadavani-verejnych-zakazek/Metodiky-stanoviska</w:t>
              </w:r>
            </w:hyperlink>
          </w:p>
          <w:p w14:paraId="2F42AB07" w14:textId="77777777" w:rsidR="00790A0D" w:rsidRPr="00DD47DF" w:rsidRDefault="00790A0D" w:rsidP="006D2F5F">
            <w:pPr>
              <w:pStyle w:val="Tabulka"/>
              <w:jc w:val="left"/>
              <w:rPr>
                <w:rFonts w:cs="Calibri"/>
              </w:rPr>
            </w:pPr>
          </w:p>
          <w:p w14:paraId="2BA7F127" w14:textId="77777777" w:rsidR="00790A0D" w:rsidRPr="00DD47DF" w:rsidRDefault="00013622" w:rsidP="006D2F5F">
            <w:pPr>
              <w:pStyle w:val="Tabulka"/>
              <w:jc w:val="left"/>
              <w:rPr>
                <w:rStyle w:val="Hypertextovodkaz"/>
                <w:rFonts w:cs="Calibri"/>
              </w:rPr>
            </w:pPr>
            <w:hyperlink r:id="rId70" w:history="1">
              <w:r w:rsidR="00790A0D" w:rsidRPr="00DD47DF">
                <w:rPr>
                  <w:rStyle w:val="Hypertextovodkaz"/>
                  <w:rFonts w:cs="Calibri"/>
                </w:rPr>
                <w:t>http://www.strukturalni-fondy.cz/cs/Fondy-EU/Narodni-organ-pro-koordinaci/Dokument</w:t>
              </w:r>
              <w:r w:rsidR="00790A0D" w:rsidRPr="00DD47DF">
                <w:rPr>
                  <w:rStyle w:val="Hypertextovodkaz"/>
                  <w:rFonts w:cs="Calibri"/>
                </w:rPr>
                <w:lastRenderedPageBreak/>
                <w:t>y</w:t>
              </w:r>
            </w:hyperlink>
          </w:p>
          <w:p w14:paraId="64DB3531" w14:textId="77777777" w:rsidR="00790A0D" w:rsidRPr="00DD47DF" w:rsidRDefault="00013622" w:rsidP="006D2F5F">
            <w:pPr>
              <w:pStyle w:val="Tabulka"/>
              <w:jc w:val="left"/>
            </w:pPr>
            <w:hyperlink r:id="rId71" w:history="1">
              <w:r w:rsidR="00790A0D" w:rsidRPr="00DD47DF">
                <w:rPr>
                  <w:rStyle w:val="Hypertextovodkaz"/>
                </w:rPr>
                <w:t>http://www.portal-vz.cz/cs/Jak-na-zadavani-verejnych-zakazek/Metodiky-stanoviska</w:t>
              </w:r>
            </w:hyperlink>
          </w:p>
          <w:p w14:paraId="48947257" w14:textId="77777777" w:rsidR="00790A0D" w:rsidRPr="00DD47DF" w:rsidRDefault="00013622" w:rsidP="006D2F5F">
            <w:pPr>
              <w:pStyle w:val="Tabulka"/>
              <w:jc w:val="left"/>
            </w:pPr>
            <w:hyperlink r:id="rId72" w:history="1">
              <w:r w:rsidR="00790A0D" w:rsidRPr="00DD47DF">
                <w:rPr>
                  <w:rStyle w:val="Hypertextovodkaz"/>
                </w:rPr>
                <w:t>http://www.portal-vz.cz/cs/Jak-na-zadavani-verejnych-zakazek/Metodiky-stanoviska/Stanoviska/Stanoviska-expertni-skupiny-MMR-k-ZVZ</w:t>
              </w:r>
            </w:hyperlink>
          </w:p>
          <w:p w14:paraId="01F34FC5" w14:textId="77777777" w:rsidR="00790A0D" w:rsidRPr="00DD47DF" w:rsidRDefault="00013622" w:rsidP="006D2F5F">
            <w:pPr>
              <w:pStyle w:val="Tabulka"/>
              <w:jc w:val="left"/>
            </w:pPr>
            <w:hyperlink r:id="rId73" w:history="1">
              <w:r w:rsidR="00790A0D" w:rsidRPr="00DD47DF">
                <w:rPr>
                  <w:rStyle w:val="Hypertextovodkaz"/>
                </w:rPr>
                <w:t>http://www.portal-vz.cz/cs/Aktuality</w:t>
              </w:r>
            </w:hyperlink>
          </w:p>
          <w:p w14:paraId="6E47FC13" w14:textId="77777777" w:rsidR="00790A0D" w:rsidRPr="00DD47DF" w:rsidRDefault="00013622" w:rsidP="006D2F5F">
            <w:pPr>
              <w:pStyle w:val="Tabulka"/>
              <w:jc w:val="left"/>
              <w:rPr>
                <w:rFonts w:cs="Calibri"/>
              </w:rPr>
            </w:pPr>
            <w:hyperlink r:id="rId74" w:history="1">
              <w:r w:rsidR="00790A0D" w:rsidRPr="00DD47DF">
                <w:rPr>
                  <w:rStyle w:val="Hypertextovodkaz"/>
                </w:rPr>
                <w:t>http://mmr.cz/cs/Ministerstvo/Ministerstvo/Pro-media/Tiskove-zpravy/2014/Zakon-o-verejnych-zakazkach-pripravuje-siroke-kole</w:t>
              </w:r>
            </w:hyperlink>
          </w:p>
        </w:tc>
        <w:tc>
          <w:tcPr>
            <w:tcW w:w="4394" w:type="dxa"/>
            <w:shd w:val="clear" w:color="auto" w:fill="auto"/>
          </w:tcPr>
          <w:p w14:paraId="5A9E57FE" w14:textId="77777777" w:rsidR="00A75044" w:rsidRPr="00DD47DF" w:rsidRDefault="00A75044"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07A29C32" w14:textId="77777777" w:rsidR="007D179F" w:rsidRPr="00DD47DF" w:rsidRDefault="00A75044" w:rsidP="007D179F">
            <w:pPr>
              <w:pStyle w:val="DAVA"/>
              <w:spacing w:before="80" w:after="80"/>
              <w:rPr>
                <w:rFonts w:ascii="Times New Roman" w:hAnsi="Times New Roman"/>
                <w:sz w:val="22"/>
                <w:szCs w:val="22"/>
              </w:rPr>
            </w:pPr>
            <w:r w:rsidRPr="00DD47DF">
              <w:rPr>
                <w:rFonts w:ascii="Times New Roman" w:hAnsi="Times New Roman"/>
                <w:sz w:val="22"/>
                <w:szCs w:val="22"/>
              </w:rPr>
              <w:t>Přijata a uveřejněna legisl. i nelegisl. opatření (zákon č. 137/2006 Sb., č. 139/2006 Sb., novela zákona</w:t>
            </w:r>
            <w:r w:rsidRPr="00DD47DF">
              <w:rPr>
                <w:sz w:val="22"/>
                <w:szCs w:val="22"/>
              </w:rPr>
              <w:t xml:space="preserve">, </w:t>
            </w:r>
            <w:r w:rsidRPr="00DD47DF">
              <w:rPr>
                <w:rFonts w:ascii="Times New Roman" w:hAnsi="Times New Roman"/>
                <w:sz w:val="22"/>
                <w:szCs w:val="22"/>
              </w:rPr>
              <w:t>právní předpisy k zákonu o VZ (vyhl. č. 2302012 Sb., 231/2012 Sb., 232/2012 Sb., 133/2012 Sb.).zákonné opatření senátu č. 341/2013 Sb.</w:t>
            </w:r>
            <w:r w:rsidR="007D179F" w:rsidRPr="00DD47DF">
              <w:rPr>
                <w:sz w:val="22"/>
                <w:szCs w:val="22"/>
              </w:rPr>
              <w:t xml:space="preserve"> </w:t>
            </w:r>
            <w:r w:rsidR="007D179F" w:rsidRPr="00DD47DF">
              <w:rPr>
                <w:rFonts w:ascii="Times New Roman" w:hAnsi="Times New Roman"/>
                <w:sz w:val="22"/>
                <w:szCs w:val="22"/>
              </w:rPr>
              <w:t xml:space="preserve">MP pro oblast zadávání zakázek pro progr. období 2014-2020 (UV ČR č. 44 z 15.1.12014). </w:t>
            </w:r>
          </w:p>
          <w:p w14:paraId="044ED361" w14:textId="77777777" w:rsidR="00A75044" w:rsidRPr="00DD47DF" w:rsidRDefault="007D179F" w:rsidP="007D179F">
            <w:pPr>
              <w:pStyle w:val="DAVA"/>
              <w:spacing w:before="80" w:after="80"/>
              <w:rPr>
                <w:rFonts w:ascii="Times New Roman" w:hAnsi="Times New Roman"/>
                <w:sz w:val="22"/>
                <w:szCs w:val="22"/>
              </w:rPr>
            </w:pPr>
            <w:r w:rsidRPr="00DD47DF">
              <w:rPr>
                <w:rFonts w:ascii="Times New Roman" w:hAnsi="Times New Roman"/>
                <w:sz w:val="22"/>
                <w:szCs w:val="22"/>
              </w:rPr>
              <w:t>Byly ustanoveny PS VZ a PS ÚOHS.</w:t>
            </w:r>
          </w:p>
          <w:p w14:paraId="5F0FDFF7" w14:textId="77777777" w:rsidR="00A75044" w:rsidRPr="00DD47DF" w:rsidRDefault="00A75044" w:rsidP="006D2F5F">
            <w:pPr>
              <w:pStyle w:val="Tabulka"/>
              <w:jc w:val="left"/>
              <w:rPr>
                <w:rFonts w:cs="Calibri"/>
              </w:rPr>
            </w:pPr>
            <w:r w:rsidRPr="00DD47DF">
              <w:rPr>
                <w:rFonts w:cs="Calibri"/>
              </w:rPr>
              <w:t>ŘO: plnění ANO</w:t>
            </w:r>
          </w:p>
          <w:p w14:paraId="7F0FFB9D" w14:textId="77777777" w:rsidR="00790A0D" w:rsidRPr="00DD47DF" w:rsidRDefault="00790A0D" w:rsidP="006D2F5F">
            <w:pPr>
              <w:pStyle w:val="Tabulka"/>
              <w:jc w:val="left"/>
              <w:rPr>
                <w:rFonts w:cs="Calibri"/>
              </w:rPr>
            </w:pPr>
            <w:r w:rsidRPr="00DD47DF">
              <w:rPr>
                <w:rFonts w:cs="Calibri"/>
              </w:rPr>
              <w:t>V OP PIK bude zadávání veřejných zakázek upraveno platnými právními předpisy (zákon č. 137/2006 Sb., o veřejných zakázkách), resp. závaznými pokyny pro zadávání veřejných zakázek pro zakázky, které nespadají pod režim zákona - M</w:t>
            </w:r>
            <w:r w:rsidR="007D179F" w:rsidRPr="00DD47DF">
              <w:rPr>
                <w:rFonts w:cs="Calibri"/>
              </w:rPr>
              <w:t xml:space="preserve">P </w:t>
            </w:r>
            <w:r w:rsidRPr="00DD47DF">
              <w:rPr>
                <w:rFonts w:cs="Calibri"/>
              </w:rPr>
              <w:t xml:space="preserve">pro oblast zadávání zakázek pro programové období 2014-2020. Metodické pokyny zpracované na národní úrovni (MMR) budou rozpracovány do pokynů pro příjemce </w:t>
            </w:r>
            <w:r w:rsidRPr="00DD47DF">
              <w:rPr>
                <w:rFonts w:cs="Calibri"/>
              </w:rPr>
              <w:lastRenderedPageBreak/>
              <w:t xml:space="preserve">v OP PIK. ŘO OP PIK počítá s prováděním 2-stupňové kontroly zadávání veřej. zakázek (1. stupeň na úrovni </w:t>
            </w:r>
            <w:r w:rsidR="007D179F" w:rsidRPr="00DD47DF">
              <w:rPr>
                <w:rFonts w:cs="Calibri"/>
              </w:rPr>
              <w:t>ZS</w:t>
            </w:r>
            <w:r w:rsidRPr="00DD47DF">
              <w:rPr>
                <w:rFonts w:cs="Calibri"/>
              </w:rPr>
              <w:t>, 2. stupeň na úrovní Ř</w:t>
            </w:r>
            <w:r w:rsidR="007D179F" w:rsidRPr="00DD47DF">
              <w:rPr>
                <w:rFonts w:cs="Calibri"/>
              </w:rPr>
              <w:t>O</w:t>
            </w:r>
            <w:r w:rsidRPr="00DD47DF">
              <w:rPr>
                <w:rFonts w:cs="Calibri"/>
              </w:rPr>
              <w:t>).</w:t>
            </w:r>
          </w:p>
          <w:p w14:paraId="2334C407" w14:textId="77777777" w:rsidR="00F72210" w:rsidRPr="00DD47DF" w:rsidRDefault="00F72210" w:rsidP="006D2F5F">
            <w:pPr>
              <w:pStyle w:val="Tabulka"/>
              <w:jc w:val="left"/>
              <w:rPr>
                <w:rFonts w:cs="Calibri"/>
              </w:rPr>
            </w:pPr>
            <w:r w:rsidRPr="00DD47DF">
              <w:rPr>
                <w:rFonts w:cs="Calibri"/>
              </w:rPr>
              <w:t>Viz též Příloha II.</w:t>
            </w:r>
          </w:p>
          <w:p w14:paraId="3A50FC1D" w14:textId="77777777" w:rsidR="000D5493" w:rsidRPr="00DD47DF" w:rsidRDefault="00790A0D" w:rsidP="000D5493">
            <w:pPr>
              <w:pStyle w:val="Tabulka"/>
              <w:jc w:val="left"/>
              <w:rPr>
                <w:rFonts w:cs="Calibri"/>
              </w:rPr>
            </w:pPr>
            <w:r w:rsidRPr="00DD47DF">
              <w:rPr>
                <w:rFonts w:cs="Calibri"/>
              </w:rPr>
              <w:t>Specifické naplňování na národní úrovni</w:t>
            </w:r>
            <w:r w:rsidR="000D5493" w:rsidRPr="00DD47DF">
              <w:rPr>
                <w:rFonts w:cs="Calibri"/>
              </w:rPr>
              <w:t xml:space="preserve"> viz Příloha II. </w:t>
            </w:r>
          </w:p>
          <w:p w14:paraId="4FE4A785" w14:textId="77777777" w:rsidR="00790A0D" w:rsidRPr="00DD47DF" w:rsidRDefault="00790A0D" w:rsidP="006D2F5F">
            <w:pPr>
              <w:pStyle w:val="Tabulka"/>
              <w:jc w:val="left"/>
              <w:rPr>
                <w:rFonts w:cs="Calibri"/>
              </w:rPr>
            </w:pPr>
          </w:p>
        </w:tc>
      </w:tr>
      <w:tr w:rsidR="00790A0D" w:rsidRPr="00DD47DF" w14:paraId="7DD8D044" w14:textId="77777777" w:rsidTr="006D2F5F">
        <w:tc>
          <w:tcPr>
            <w:tcW w:w="1752" w:type="dxa"/>
            <w:vMerge/>
            <w:shd w:val="clear" w:color="auto" w:fill="auto"/>
          </w:tcPr>
          <w:p w14:paraId="78B6BD98" w14:textId="77777777" w:rsidR="00790A0D" w:rsidRPr="00DD47DF" w:rsidRDefault="00790A0D" w:rsidP="006D2F5F">
            <w:pPr>
              <w:pStyle w:val="Tabulka"/>
              <w:jc w:val="left"/>
              <w:rPr>
                <w:rFonts w:cs="Calibri"/>
                <w:b/>
              </w:rPr>
            </w:pPr>
          </w:p>
        </w:tc>
        <w:tc>
          <w:tcPr>
            <w:tcW w:w="1701" w:type="dxa"/>
            <w:vMerge/>
            <w:shd w:val="clear" w:color="auto" w:fill="auto"/>
          </w:tcPr>
          <w:p w14:paraId="159465A2" w14:textId="77777777" w:rsidR="00790A0D" w:rsidRPr="00DD47DF" w:rsidRDefault="00790A0D" w:rsidP="006D2F5F">
            <w:pPr>
              <w:pStyle w:val="Tabulka"/>
              <w:jc w:val="left"/>
              <w:rPr>
                <w:rFonts w:cs="Calibri"/>
              </w:rPr>
            </w:pPr>
          </w:p>
        </w:tc>
        <w:tc>
          <w:tcPr>
            <w:tcW w:w="1276" w:type="dxa"/>
            <w:vMerge/>
            <w:shd w:val="clear" w:color="auto" w:fill="auto"/>
          </w:tcPr>
          <w:p w14:paraId="790BC39A" w14:textId="77777777" w:rsidR="00790A0D" w:rsidRPr="00DD47DF" w:rsidRDefault="00790A0D" w:rsidP="006D2F5F">
            <w:pPr>
              <w:pStyle w:val="Tabulka"/>
              <w:jc w:val="left"/>
              <w:rPr>
                <w:rFonts w:cs="Calibri"/>
              </w:rPr>
            </w:pPr>
          </w:p>
        </w:tc>
        <w:tc>
          <w:tcPr>
            <w:tcW w:w="1843" w:type="dxa"/>
            <w:shd w:val="clear" w:color="auto" w:fill="auto"/>
          </w:tcPr>
          <w:p w14:paraId="535BDD49" w14:textId="77777777" w:rsidR="00790A0D" w:rsidRPr="00DD47DF" w:rsidRDefault="00790A0D" w:rsidP="006D2F5F">
            <w:pPr>
              <w:pStyle w:val="Tabulka"/>
              <w:jc w:val="left"/>
              <w:rPr>
                <w:rFonts w:cs="Calibri"/>
              </w:rPr>
            </w:pPr>
            <w:r w:rsidRPr="00DD47DF">
              <w:rPr>
                <w:rFonts w:cs="Calibri"/>
              </w:rPr>
              <w:t>Opatření, jež zajišťují transparentní postupy zadávání veřejných zakázek.</w:t>
            </w:r>
          </w:p>
        </w:tc>
        <w:tc>
          <w:tcPr>
            <w:tcW w:w="1134" w:type="dxa"/>
            <w:shd w:val="clear" w:color="auto" w:fill="auto"/>
          </w:tcPr>
          <w:p w14:paraId="06451A8E"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41875AE" w14:textId="77777777" w:rsidR="00790A0D" w:rsidRPr="00DD47DF" w:rsidRDefault="00013622" w:rsidP="006D2F5F">
            <w:pPr>
              <w:pStyle w:val="Tabulka"/>
              <w:jc w:val="left"/>
            </w:pPr>
            <w:hyperlink r:id="rId75" w:history="1">
              <w:r w:rsidR="00790A0D" w:rsidRPr="00DD47DF">
                <w:rPr>
                  <w:rStyle w:val="Hypertextovodkaz"/>
                </w:rPr>
                <w:t>http://www.portal-vz.cz/cs/Jak-na-zadavani-verejnych-zakazek/Legislativa-a-Judikatura/Legislativa/Narodni-legislativa-aktualni-a-uplne-zneni-z-(1)</w:t>
              </w:r>
            </w:hyperlink>
          </w:p>
          <w:p w14:paraId="5967619C" w14:textId="77777777" w:rsidR="00790A0D" w:rsidRPr="00DD47DF" w:rsidRDefault="00013622" w:rsidP="006D2F5F">
            <w:pPr>
              <w:pStyle w:val="Tabulka"/>
              <w:jc w:val="left"/>
            </w:pPr>
            <w:hyperlink r:id="rId76" w:history="1">
              <w:r w:rsidR="00790A0D" w:rsidRPr="00DD47DF">
                <w:rPr>
                  <w:rStyle w:val="Hypertextovodkaz"/>
                </w:rPr>
                <w:t>http://www.portal-vz.cz/cs/Jak-na-</w:t>
              </w:r>
              <w:r w:rsidR="00790A0D" w:rsidRPr="00DD47DF">
                <w:rPr>
                  <w:rStyle w:val="Hypertextovodkaz"/>
                </w:rPr>
                <w:lastRenderedPageBreak/>
                <w:t>zadavani-verejnych-zakazek/Metodiky-stanoviska/Metodicke-pokyny</w:t>
              </w:r>
            </w:hyperlink>
          </w:p>
          <w:p w14:paraId="6E188FDC" w14:textId="77777777" w:rsidR="00790A0D" w:rsidRPr="00DD47DF" w:rsidRDefault="00013622" w:rsidP="006D2F5F">
            <w:pPr>
              <w:pStyle w:val="Tabulka"/>
              <w:jc w:val="left"/>
              <w:rPr>
                <w:rStyle w:val="Hypertextovodkaz"/>
              </w:rPr>
            </w:pPr>
            <w:hyperlink r:id="rId77" w:history="1">
              <w:r w:rsidR="00790A0D" w:rsidRPr="00DD47DF">
                <w:rPr>
                  <w:rStyle w:val="Hypertextovodkaz"/>
                </w:rPr>
                <w:t>http://www.vestnikverejnychzakazek.cz/</w:t>
              </w:r>
            </w:hyperlink>
          </w:p>
          <w:p w14:paraId="3F53E43B" w14:textId="77777777" w:rsidR="00790A0D" w:rsidRPr="00DD47DF" w:rsidRDefault="00790A0D" w:rsidP="006D2F5F">
            <w:pPr>
              <w:pStyle w:val="Tabulka"/>
              <w:jc w:val="left"/>
              <w:rPr>
                <w:rStyle w:val="Hypertextovodkaz"/>
              </w:rPr>
            </w:pPr>
          </w:p>
          <w:p w14:paraId="10678846" w14:textId="77777777" w:rsidR="00790A0D" w:rsidRPr="00DD47DF" w:rsidRDefault="00013622" w:rsidP="006D2F5F">
            <w:pPr>
              <w:pStyle w:val="Tabulka"/>
              <w:jc w:val="left"/>
            </w:pPr>
            <w:hyperlink r:id="rId78" w:history="1">
              <w:r w:rsidR="00790A0D" w:rsidRPr="00DD47DF">
                <w:rPr>
                  <w:rStyle w:val="Hypertextovodkaz"/>
                </w:rPr>
                <w:t>http://www.portal-vz.cz/cs/Aktuality/Informace-k-postupu-pri-uverejnovani-v-souvislosti</w:t>
              </w:r>
            </w:hyperlink>
          </w:p>
        </w:tc>
        <w:tc>
          <w:tcPr>
            <w:tcW w:w="4394" w:type="dxa"/>
            <w:shd w:val="clear" w:color="auto" w:fill="auto"/>
          </w:tcPr>
          <w:p w14:paraId="6EE39AED" w14:textId="77777777" w:rsidR="00CE2604" w:rsidRPr="00DD47DF" w:rsidRDefault="00CE2604" w:rsidP="006D2F5F">
            <w:pPr>
              <w:pStyle w:val="Tabulka"/>
              <w:jc w:val="left"/>
              <w:rPr>
                <w:rFonts w:cs="Calibri"/>
              </w:rPr>
            </w:pPr>
            <w:r w:rsidRPr="00DD47DF">
              <w:rPr>
                <w:rFonts w:cs="Calibri"/>
              </w:rPr>
              <w:lastRenderedPageBreak/>
              <w:t>Gestor PP:</w:t>
            </w:r>
            <w:r w:rsidR="00D709F2" w:rsidRPr="00DD47DF">
              <w:rPr>
                <w:rFonts w:cs="Calibri"/>
              </w:rPr>
              <w:t xml:space="preserve"> </w:t>
            </w:r>
            <w:r w:rsidRPr="00DD47DF">
              <w:rPr>
                <w:rFonts w:cs="Calibri"/>
              </w:rPr>
              <w:t>Plnění ANO</w:t>
            </w:r>
          </w:p>
          <w:p w14:paraId="2CBB6A76" w14:textId="77777777" w:rsidR="00CE2604" w:rsidRPr="00DD47DF" w:rsidRDefault="00CE2604" w:rsidP="006D2F5F">
            <w:pPr>
              <w:pStyle w:val="Tabulka"/>
              <w:jc w:val="left"/>
              <w:rPr>
                <w:rFonts w:cs="Calibri"/>
              </w:rPr>
            </w:pPr>
            <w:r w:rsidRPr="00DD47DF">
              <w:t>Přijato, uveřejněno: zákon č. 55/2012 Sb. metodika zadávání veřejných zakázek; metodické stanovisko k příloze vyhlášky č. 9/2011 Sb.;</w:t>
            </w:r>
            <w:r w:rsidR="00FC7C71" w:rsidRPr="00DD47DF">
              <w:t xml:space="preserve"> </w:t>
            </w:r>
            <w:r w:rsidRPr="00DD47DF">
              <w:t xml:space="preserve">metodika k vyhlášce 133/2012 Sb., technická novela zákona č. 137/2006 Sb., o veřejných zakázkách, Metodika k vyhlášce o uveřejňování vyhlášení pro účely zákona o veřejných zakázkách a náležitostech profilu zadavatele; </w:t>
            </w:r>
            <w:r w:rsidRPr="00DD47DF">
              <w:rPr>
                <w:bCs/>
              </w:rPr>
              <w:t>věstník veřejných zakázek</w:t>
            </w:r>
            <w:r w:rsidR="00D709F2" w:rsidRPr="00DD47DF">
              <w:rPr>
                <w:bCs/>
              </w:rPr>
              <w:t>.</w:t>
            </w:r>
          </w:p>
          <w:p w14:paraId="2CF00E28" w14:textId="77777777" w:rsidR="00A147B1" w:rsidRPr="00DD47DF" w:rsidRDefault="00CE2604" w:rsidP="006D2F5F">
            <w:pPr>
              <w:pStyle w:val="Tabulka"/>
              <w:jc w:val="left"/>
              <w:rPr>
                <w:rFonts w:cs="Calibri"/>
              </w:rPr>
            </w:pPr>
            <w:r w:rsidRPr="00DD47DF">
              <w:rPr>
                <w:rFonts w:cs="Calibri"/>
              </w:rPr>
              <w:lastRenderedPageBreak/>
              <w:t xml:space="preserve">ŘO: plnění </w:t>
            </w:r>
            <w:r w:rsidR="00A147B1" w:rsidRPr="00DD47DF">
              <w:rPr>
                <w:rFonts w:cs="Calibri"/>
              </w:rPr>
              <w:t>ANO</w:t>
            </w:r>
          </w:p>
          <w:p w14:paraId="105BCD7B" w14:textId="77777777" w:rsidR="00790A0D" w:rsidRPr="00DD47DF" w:rsidRDefault="00790A0D" w:rsidP="002B0D4F">
            <w:pPr>
              <w:pStyle w:val="Tabulka"/>
              <w:jc w:val="left"/>
            </w:pPr>
            <w:r w:rsidRPr="00DD47DF">
              <w:rPr>
                <w:rFonts w:cs="Calibri"/>
              </w:rPr>
              <w:t xml:space="preserve">Postupy zadávání veřejných zakázek v OP PIK jsou upraveny platnou legislativou a schválenými metodickými dokumenty a rozpracovány v řídící dokumentaci OP PIK a </w:t>
            </w:r>
            <w:r w:rsidR="00BB3F8F" w:rsidRPr="00DD47DF">
              <w:rPr>
                <w:rFonts w:cs="Calibri"/>
              </w:rPr>
              <w:t xml:space="preserve">Příručce </w:t>
            </w:r>
            <w:r w:rsidRPr="00DD47DF">
              <w:rPr>
                <w:rFonts w:cs="Calibri"/>
              </w:rPr>
              <w:t xml:space="preserve">pro žadatele. </w:t>
            </w:r>
            <w:r w:rsidRPr="00DD47DF">
              <w:t xml:space="preserve">V OP PIK bude prováděna kontrola zadávacího řízení před vydáním rozhodnutí o poskytnutí dotace ve 2 fázích. </w:t>
            </w:r>
            <w:r w:rsidR="004443C7" w:rsidRPr="00DD47DF">
              <w:t xml:space="preserve">ŘO OP PIK bude i nadále využívat </w:t>
            </w:r>
            <w:r w:rsidR="00C57316" w:rsidRPr="00DD47DF">
              <w:t>nástroj Arachne.</w:t>
            </w:r>
          </w:p>
          <w:p w14:paraId="2CE69CF6" w14:textId="77777777" w:rsidR="00790A0D" w:rsidRPr="00DD47DF" w:rsidRDefault="00790A0D" w:rsidP="006D2F5F">
            <w:pPr>
              <w:pStyle w:val="Tabulka"/>
              <w:jc w:val="left"/>
              <w:rPr>
                <w:rFonts w:cs="Calibri"/>
              </w:rPr>
            </w:pPr>
            <w:r w:rsidRPr="00DD47DF">
              <w:rPr>
                <w:rFonts w:cs="Calibri"/>
              </w:rPr>
              <w:t>ŘO bude pořádat školení pro pracovníky implementační struktury i žadatele vč. doporučení jak předcházet chybám.</w:t>
            </w:r>
          </w:p>
          <w:p w14:paraId="26204277" w14:textId="77777777" w:rsidR="00790A0D" w:rsidRPr="00DD47DF" w:rsidRDefault="00790A0D" w:rsidP="006D2F5F">
            <w:pPr>
              <w:pStyle w:val="Tabulka"/>
              <w:jc w:val="left"/>
              <w:rPr>
                <w:rFonts w:cs="Calibri"/>
              </w:rPr>
            </w:pPr>
            <w:r w:rsidRPr="00DD47DF">
              <w:rPr>
                <w:rFonts w:cs="Calibri"/>
              </w:rPr>
              <w:t>Viz Příloha č. II.</w:t>
            </w:r>
          </w:p>
          <w:p w14:paraId="3EA29271" w14:textId="77777777" w:rsidR="00790A0D" w:rsidRPr="00DD47DF" w:rsidRDefault="00790A0D" w:rsidP="006D2F5F">
            <w:pPr>
              <w:pStyle w:val="Tabulka"/>
              <w:jc w:val="left"/>
              <w:rPr>
                <w:rFonts w:cs="Calibri"/>
              </w:rPr>
            </w:pPr>
            <w:r w:rsidRPr="00DD47DF">
              <w:rPr>
                <w:rFonts w:cs="Calibri"/>
              </w:rPr>
              <w:t xml:space="preserve">Specifické naplňování na národní úrovni </w:t>
            </w:r>
            <w:r w:rsidR="00CE2604" w:rsidRPr="00DD47DF">
              <w:rPr>
                <w:rFonts w:cs="Calibri"/>
              </w:rPr>
              <w:t xml:space="preserve"> -</w:t>
            </w:r>
            <w:r w:rsidR="000D5493" w:rsidRPr="00DD47DF">
              <w:rPr>
                <w:rFonts w:cs="Calibri"/>
              </w:rPr>
              <w:t>viz Příloha II.</w:t>
            </w:r>
          </w:p>
        </w:tc>
      </w:tr>
      <w:tr w:rsidR="00790A0D" w:rsidRPr="00DD47DF" w14:paraId="5D4C0E7E" w14:textId="77777777" w:rsidTr="006D2F5F">
        <w:tc>
          <w:tcPr>
            <w:tcW w:w="1752" w:type="dxa"/>
            <w:vMerge/>
            <w:shd w:val="clear" w:color="auto" w:fill="auto"/>
          </w:tcPr>
          <w:p w14:paraId="01BAAB08" w14:textId="77777777" w:rsidR="00790A0D" w:rsidRPr="00DD47DF" w:rsidRDefault="00790A0D" w:rsidP="006D2F5F">
            <w:pPr>
              <w:pStyle w:val="Tabulka"/>
              <w:jc w:val="left"/>
              <w:rPr>
                <w:rFonts w:cs="Calibri"/>
                <w:b/>
              </w:rPr>
            </w:pPr>
          </w:p>
        </w:tc>
        <w:tc>
          <w:tcPr>
            <w:tcW w:w="1701" w:type="dxa"/>
            <w:vMerge/>
            <w:shd w:val="clear" w:color="auto" w:fill="auto"/>
          </w:tcPr>
          <w:p w14:paraId="713FFBCA" w14:textId="77777777" w:rsidR="00790A0D" w:rsidRPr="00DD47DF" w:rsidRDefault="00790A0D" w:rsidP="006D2F5F">
            <w:pPr>
              <w:pStyle w:val="Tabulka"/>
              <w:jc w:val="left"/>
              <w:rPr>
                <w:rFonts w:cs="Calibri"/>
              </w:rPr>
            </w:pPr>
          </w:p>
        </w:tc>
        <w:tc>
          <w:tcPr>
            <w:tcW w:w="1276" w:type="dxa"/>
            <w:vMerge/>
            <w:shd w:val="clear" w:color="auto" w:fill="auto"/>
          </w:tcPr>
          <w:p w14:paraId="3EAB62D4" w14:textId="77777777" w:rsidR="00790A0D" w:rsidRPr="00DD47DF" w:rsidRDefault="00790A0D" w:rsidP="006D2F5F">
            <w:pPr>
              <w:pStyle w:val="Tabulka"/>
              <w:jc w:val="left"/>
              <w:rPr>
                <w:rFonts w:cs="Calibri"/>
              </w:rPr>
            </w:pPr>
          </w:p>
        </w:tc>
        <w:tc>
          <w:tcPr>
            <w:tcW w:w="1843" w:type="dxa"/>
            <w:shd w:val="clear" w:color="auto" w:fill="auto"/>
          </w:tcPr>
          <w:p w14:paraId="4FFB45E4"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fondů ESI.</w:t>
            </w:r>
          </w:p>
        </w:tc>
        <w:tc>
          <w:tcPr>
            <w:tcW w:w="1134" w:type="dxa"/>
            <w:shd w:val="clear" w:color="auto" w:fill="auto"/>
          </w:tcPr>
          <w:p w14:paraId="75B524BA" w14:textId="77777777" w:rsidR="00790A0D" w:rsidRPr="00DD47DF" w:rsidRDefault="001C1D41" w:rsidP="006D2F5F">
            <w:pPr>
              <w:pStyle w:val="Tabulka"/>
              <w:jc w:val="left"/>
              <w:rPr>
                <w:rFonts w:cs="Calibri"/>
              </w:rPr>
            </w:pPr>
            <w:r w:rsidRPr="00DD47DF">
              <w:rPr>
                <w:rFonts w:cs="Calibri"/>
              </w:rPr>
              <w:t>NE</w:t>
            </w:r>
          </w:p>
        </w:tc>
        <w:tc>
          <w:tcPr>
            <w:tcW w:w="2126" w:type="dxa"/>
            <w:shd w:val="clear" w:color="auto" w:fill="auto"/>
          </w:tcPr>
          <w:p w14:paraId="414ED8CC" w14:textId="77777777" w:rsidR="00790A0D" w:rsidRPr="00DD47DF" w:rsidRDefault="00013622" w:rsidP="006D2F5F">
            <w:pPr>
              <w:pStyle w:val="Tabulka"/>
              <w:jc w:val="left"/>
              <w:rPr>
                <w:rStyle w:val="Hypertextovodkaz"/>
              </w:rPr>
            </w:pPr>
            <w:hyperlink r:id="rId79" w:history="1">
              <w:r w:rsidR="00790A0D" w:rsidRPr="00DD47DF">
                <w:rPr>
                  <w:rStyle w:val="Hypertextovodkaz"/>
                </w:rPr>
                <w:t>http://www.portal-vz.cz/cs/Spoluprace-a-vymena-informaci/Info-forum/Otazky-a-odpovedi</w:t>
              </w:r>
            </w:hyperlink>
          </w:p>
          <w:p w14:paraId="08DFF33D" w14:textId="77777777" w:rsidR="00790A0D" w:rsidRPr="00DD47DF" w:rsidRDefault="00790A0D" w:rsidP="006D2F5F">
            <w:pPr>
              <w:pStyle w:val="Tabulka"/>
              <w:jc w:val="left"/>
              <w:rPr>
                <w:rStyle w:val="Hypertextovodkaz"/>
              </w:rPr>
            </w:pPr>
          </w:p>
          <w:p w14:paraId="12831892" w14:textId="77777777" w:rsidR="00790A0D" w:rsidRPr="00DD47DF" w:rsidRDefault="00013622" w:rsidP="006D2F5F">
            <w:pPr>
              <w:pStyle w:val="Default"/>
              <w:rPr>
                <w:rFonts w:ascii="Times New Roman" w:hAnsi="Times New Roman" w:cs="Times New Roman"/>
                <w:sz w:val="22"/>
                <w:szCs w:val="22"/>
              </w:rPr>
            </w:pPr>
            <w:hyperlink r:id="rId80" w:history="1">
              <w:r w:rsidR="00790A0D" w:rsidRPr="00DD47DF">
                <w:rPr>
                  <w:rStyle w:val="Hypertextovodkaz"/>
                  <w:rFonts w:ascii="Times New Roman" w:hAnsi="Times New Roman" w:cs="Times New Roman"/>
                  <w:sz w:val="22"/>
                  <w:szCs w:val="22"/>
                </w:rPr>
                <w:t xml:space="preserve">http://www.mmr.cz/cs/Verejne-zakazky/Verejne-zakazky-a-PPP/Informace-Udalosti/Konference-Pripravovane-zmeny-v-oblasti-verejneho </w:t>
              </w:r>
            </w:hyperlink>
          </w:p>
          <w:p w14:paraId="4A524F5D" w14:textId="77777777" w:rsidR="00790A0D" w:rsidRPr="00DD47DF" w:rsidRDefault="00790A0D" w:rsidP="006D2F5F">
            <w:pPr>
              <w:pStyle w:val="Tabulka"/>
              <w:jc w:val="left"/>
              <w:rPr>
                <w:rStyle w:val="Hypertextovodkaz"/>
              </w:rPr>
            </w:pPr>
          </w:p>
          <w:p w14:paraId="52BB70B6" w14:textId="77777777" w:rsidR="00790A0D" w:rsidRPr="00DD47DF" w:rsidRDefault="00790A0D" w:rsidP="006D2F5F">
            <w:pPr>
              <w:pStyle w:val="Tabulka"/>
              <w:jc w:val="left"/>
            </w:pPr>
          </w:p>
          <w:p w14:paraId="7BDFCC5B" w14:textId="77777777" w:rsidR="00790A0D" w:rsidRPr="00DD47DF" w:rsidRDefault="00013622" w:rsidP="006D2F5F">
            <w:pPr>
              <w:pStyle w:val="Tabulka"/>
              <w:jc w:val="left"/>
            </w:pPr>
            <w:hyperlink r:id="rId81"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53AFC1E2" w14:textId="77777777" w:rsidR="001C1D41" w:rsidRPr="00DD47DF" w:rsidRDefault="001C1D41"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18ADDAA3" w14:textId="77777777" w:rsidR="00790A0D" w:rsidRPr="00DD47DF" w:rsidRDefault="001C1D41" w:rsidP="006D2F5F">
            <w:pPr>
              <w:pStyle w:val="Tabulka"/>
              <w:jc w:val="left"/>
              <w:rPr>
                <w:rFonts w:cs="Calibri"/>
              </w:rPr>
            </w:pPr>
            <w:r w:rsidRPr="00DD47DF">
              <w:rPr>
                <w:rFonts w:cs="Calibri"/>
              </w:rPr>
              <w:t xml:space="preserve">PS VZ. </w:t>
            </w:r>
            <w:r w:rsidRPr="00DD47DF">
              <w:rPr>
                <w:color w:val="000000"/>
              </w:rPr>
              <w:t>Vzdělávací semináře pro příjemce podpory a pro subjekty implementačních struktur programů. Poskytován výklad ZVZ a metodických pokynů platných pro zadávání zakázek.</w:t>
            </w:r>
            <w:r w:rsidRPr="00DD47DF">
              <w:rPr>
                <w:rFonts w:cs="Calibri"/>
              </w:rPr>
              <w:t xml:space="preserve"> </w:t>
            </w:r>
            <w:r w:rsidR="00790A0D" w:rsidRPr="00DD47DF">
              <w:rPr>
                <w:rFonts w:cs="Calibri"/>
              </w:rPr>
              <w:t>MMR-NOK zajišťuje na horizontální úrovni proškolení zaměstnanců implementujících čerpání příspěvků z fondů EU v rámci Systému vzdělávání, MMR (OPVZK) zajišťuje obsahovou náplň vzdělávání a lektorské zajištění.</w:t>
            </w:r>
          </w:p>
          <w:p w14:paraId="60A96964" w14:textId="77777777" w:rsidR="001C1D41" w:rsidRPr="00DD47DF" w:rsidRDefault="001C1D41" w:rsidP="006D2F5F">
            <w:pPr>
              <w:pStyle w:val="Tabulka"/>
              <w:jc w:val="left"/>
              <w:rPr>
                <w:rFonts w:cs="Calibri"/>
              </w:rPr>
            </w:pPr>
            <w:r w:rsidRPr="00DD47DF">
              <w:rPr>
                <w:rFonts w:cs="Calibri"/>
              </w:rPr>
              <w:t>ŘO: Plnění ANO</w:t>
            </w:r>
          </w:p>
          <w:p w14:paraId="5E3D1AC9" w14:textId="77777777" w:rsidR="00790A0D" w:rsidRPr="00DD47DF" w:rsidRDefault="00790A0D" w:rsidP="006D2F5F">
            <w:pPr>
              <w:pStyle w:val="Tabulka"/>
              <w:jc w:val="left"/>
              <w:rPr>
                <w:rFonts w:cs="Calibri"/>
              </w:rPr>
            </w:pPr>
            <w:r w:rsidRPr="00DD47DF">
              <w:rPr>
                <w:rFonts w:cs="Calibri"/>
              </w:rPr>
              <w:t xml:space="preserve">MPO jako Řídící orgán OP PIK průběžně proškoluje zaměstnance v závislosti na aktuální potřebě. Důraz je kladen především na </w:t>
            </w:r>
            <w:r w:rsidRPr="00DD47DF">
              <w:rPr>
                <w:rFonts w:cs="Calibri"/>
              </w:rPr>
              <w:lastRenderedPageBreak/>
              <w:t xml:space="preserve">proškolení zaměstnanců v oblasti nových právních předpisů a jejich aplikace do praxe. Zaměstnanci </w:t>
            </w:r>
            <w:r w:rsidR="00334342" w:rsidRPr="00DD47DF">
              <w:rPr>
                <w:rFonts w:cs="Calibri"/>
              </w:rPr>
              <w:t xml:space="preserve">implementující </w:t>
            </w:r>
            <w:r w:rsidRPr="00DD47DF">
              <w:rPr>
                <w:rFonts w:cs="Calibri"/>
              </w:rPr>
              <w:t>OP PIK jsou zapojeni do Systému vzdělávání.</w:t>
            </w:r>
          </w:p>
          <w:p w14:paraId="69397BB7" w14:textId="77777777" w:rsidR="00790A0D" w:rsidRPr="00DD47DF" w:rsidRDefault="004304A0" w:rsidP="000D5493">
            <w:pPr>
              <w:pStyle w:val="Tabulka"/>
              <w:jc w:val="left"/>
              <w:rPr>
                <w:rFonts w:cs="Calibri"/>
              </w:rPr>
            </w:pPr>
            <w:r w:rsidRPr="00DD47DF">
              <w:rPr>
                <w:rFonts w:cs="Calibri"/>
              </w:rPr>
              <w:t>Viz též Příloha II.</w:t>
            </w:r>
          </w:p>
        </w:tc>
      </w:tr>
      <w:tr w:rsidR="00790A0D" w:rsidRPr="00DD47DF" w14:paraId="696AD32D" w14:textId="77777777" w:rsidTr="006D2F5F">
        <w:tc>
          <w:tcPr>
            <w:tcW w:w="1752" w:type="dxa"/>
            <w:vMerge/>
            <w:shd w:val="clear" w:color="auto" w:fill="auto"/>
          </w:tcPr>
          <w:p w14:paraId="49D4F102" w14:textId="77777777" w:rsidR="00790A0D" w:rsidRPr="00DD47DF" w:rsidRDefault="00790A0D" w:rsidP="006D2F5F">
            <w:pPr>
              <w:pStyle w:val="Tabulka"/>
              <w:jc w:val="left"/>
              <w:rPr>
                <w:rFonts w:cs="Calibri"/>
                <w:b/>
              </w:rPr>
            </w:pPr>
          </w:p>
        </w:tc>
        <w:tc>
          <w:tcPr>
            <w:tcW w:w="1701" w:type="dxa"/>
            <w:vMerge/>
            <w:shd w:val="clear" w:color="auto" w:fill="auto"/>
          </w:tcPr>
          <w:p w14:paraId="092EAF86" w14:textId="77777777" w:rsidR="00790A0D" w:rsidRPr="00DD47DF" w:rsidRDefault="00790A0D" w:rsidP="006D2F5F">
            <w:pPr>
              <w:pStyle w:val="Tabulka"/>
              <w:jc w:val="left"/>
              <w:rPr>
                <w:rFonts w:cs="Calibri"/>
              </w:rPr>
            </w:pPr>
          </w:p>
        </w:tc>
        <w:tc>
          <w:tcPr>
            <w:tcW w:w="1276" w:type="dxa"/>
            <w:vMerge/>
            <w:shd w:val="clear" w:color="auto" w:fill="auto"/>
          </w:tcPr>
          <w:p w14:paraId="5F105A54" w14:textId="77777777" w:rsidR="00790A0D" w:rsidRPr="00DD47DF" w:rsidRDefault="00790A0D" w:rsidP="006D2F5F">
            <w:pPr>
              <w:pStyle w:val="Tabulka"/>
              <w:jc w:val="left"/>
              <w:rPr>
                <w:rFonts w:cs="Calibri"/>
              </w:rPr>
            </w:pPr>
          </w:p>
        </w:tc>
        <w:tc>
          <w:tcPr>
            <w:tcW w:w="1843" w:type="dxa"/>
            <w:shd w:val="clear" w:color="auto" w:fill="auto"/>
          </w:tcPr>
          <w:p w14:paraId="116640A1" w14:textId="77777777" w:rsidR="00790A0D" w:rsidRPr="00DD47DF" w:rsidRDefault="00790A0D" w:rsidP="006D2F5F">
            <w:pPr>
              <w:pStyle w:val="Tabulka"/>
              <w:jc w:val="left"/>
              <w:rPr>
                <w:rFonts w:cs="Calibri"/>
              </w:rPr>
            </w:pPr>
            <w:r w:rsidRPr="00DD47DF">
              <w:rPr>
                <w:rFonts w:cs="Calibri"/>
              </w:rPr>
              <w:t xml:space="preserve">Opatření k posílení správní kapacity pro provádění a uplatňování předpisů Unie o veřejných zakázkách </w:t>
            </w:r>
          </w:p>
        </w:tc>
        <w:tc>
          <w:tcPr>
            <w:tcW w:w="1134" w:type="dxa"/>
            <w:shd w:val="clear" w:color="auto" w:fill="auto"/>
          </w:tcPr>
          <w:p w14:paraId="1ACA1A7C" w14:textId="77777777" w:rsidR="00790A0D" w:rsidRPr="00DD47DF" w:rsidRDefault="00A0467F" w:rsidP="00A0467F">
            <w:pPr>
              <w:pStyle w:val="Tabulka"/>
              <w:jc w:val="left"/>
              <w:rPr>
                <w:rFonts w:cs="Calibri"/>
              </w:rPr>
            </w:pPr>
            <w:r w:rsidRPr="00DD47DF">
              <w:rPr>
                <w:rFonts w:cs="Calibri"/>
              </w:rPr>
              <w:t>ne</w:t>
            </w:r>
          </w:p>
        </w:tc>
        <w:tc>
          <w:tcPr>
            <w:tcW w:w="2126" w:type="dxa"/>
            <w:shd w:val="clear" w:color="auto" w:fill="auto"/>
          </w:tcPr>
          <w:p w14:paraId="5666D126" w14:textId="77777777" w:rsidR="00790A0D" w:rsidRPr="00DD47DF" w:rsidRDefault="00013622" w:rsidP="006D2F5F">
            <w:pPr>
              <w:pStyle w:val="Tabulka"/>
              <w:jc w:val="left"/>
              <w:rPr>
                <w:rFonts w:cs="Calibri"/>
              </w:rPr>
            </w:pPr>
            <w:hyperlink r:id="rId82" w:history="1">
              <w:r w:rsidR="00790A0D" w:rsidRPr="00DD47DF">
                <w:rPr>
                  <w:rStyle w:val="Hypertextovodkaz"/>
                  <w:rFonts w:cs="Calibri"/>
                </w:rPr>
                <w:t>http://www.strukturalni-fondy.cz/getmedia/6e797383-75f7-4dcb-b10b-9c4301670366/Metodicky-pokyn-k-rozvoji-lidskych-zdroju-v-programovem-obdobi-2014-2020-a-v-programovem-obdobi-2007-2013.pdf</w:t>
              </w:r>
            </w:hyperlink>
          </w:p>
        </w:tc>
        <w:tc>
          <w:tcPr>
            <w:tcW w:w="4394" w:type="dxa"/>
            <w:shd w:val="clear" w:color="auto" w:fill="auto"/>
          </w:tcPr>
          <w:p w14:paraId="4172914C" w14:textId="77777777" w:rsidR="00E84661" w:rsidRPr="00DD47DF" w:rsidRDefault="00E84661" w:rsidP="006D2F5F">
            <w:pPr>
              <w:pStyle w:val="Tabulka"/>
              <w:jc w:val="left"/>
              <w:rPr>
                <w:rFonts w:cs="Calibri"/>
              </w:rPr>
            </w:pPr>
            <w:r w:rsidRPr="00DD47DF">
              <w:rPr>
                <w:rFonts w:cs="Calibri"/>
              </w:rPr>
              <w:t>Gestor PP:</w:t>
            </w:r>
            <w:r w:rsidR="000529F1" w:rsidRPr="00DD47DF">
              <w:rPr>
                <w:rFonts w:cs="Calibri"/>
              </w:rPr>
              <w:t xml:space="preserve"> </w:t>
            </w:r>
            <w:r w:rsidRPr="00DD47DF">
              <w:rPr>
                <w:rFonts w:cs="Calibri"/>
              </w:rPr>
              <w:t>Plnění</w:t>
            </w:r>
            <w:r w:rsidR="000529F1" w:rsidRPr="00DD47DF">
              <w:rPr>
                <w:rFonts w:cs="Calibri"/>
              </w:rPr>
              <w:t xml:space="preserve"> ČÁSTEČNĚ</w:t>
            </w:r>
            <w:r w:rsidRPr="00DD47DF">
              <w:rPr>
                <w:rFonts w:cs="Calibri"/>
              </w:rPr>
              <w:t xml:space="preserve"> </w:t>
            </w:r>
          </w:p>
          <w:p w14:paraId="633CD910" w14:textId="77777777" w:rsidR="00CB1905" w:rsidRPr="00DD47DF" w:rsidRDefault="00E84661" w:rsidP="00CB1905">
            <w:pPr>
              <w:pStyle w:val="DAVA"/>
              <w:rPr>
                <w:rFonts w:ascii="Times New Roman" w:hAnsi="Times New Roman"/>
                <w:sz w:val="22"/>
                <w:szCs w:val="22"/>
              </w:rPr>
            </w:pPr>
            <w:r w:rsidRPr="00DD47DF">
              <w:rPr>
                <w:rFonts w:ascii="Times New Roman" w:hAnsi="Times New Roman"/>
                <w:sz w:val="22"/>
                <w:szCs w:val="22"/>
              </w:rPr>
              <w:t>Nové povinnosti stanovené zákonem o veřejných zakázkách a větší počet veřejných zakázek zadávaných podle zákona o veřejných zakázkách si vyžádaly doplnění pracovníků do útvaru OPVZK na MMR (gestor</w:t>
            </w:r>
            <w:r w:rsidR="0045099F" w:rsidRPr="00DD47DF">
              <w:rPr>
                <w:rFonts w:ascii="Times New Roman" w:hAnsi="Times New Roman"/>
                <w:sz w:val="22"/>
                <w:szCs w:val="22"/>
              </w:rPr>
              <w:t xml:space="preserve"> zákona o veřejných zakázkách).</w:t>
            </w:r>
            <w:r w:rsidR="00CB1905" w:rsidRPr="00DD47DF">
              <w:rPr>
                <w:rFonts w:cs="Arial"/>
                <w:sz w:val="18"/>
                <w:szCs w:val="18"/>
              </w:rPr>
              <w:t xml:space="preserve"> </w:t>
            </w:r>
            <w:r w:rsidR="00CB1905" w:rsidRPr="00DD47DF">
              <w:rPr>
                <w:rFonts w:ascii="Times New Roman" w:hAnsi="Times New Roman"/>
                <w:sz w:val="22"/>
                <w:szCs w:val="22"/>
              </w:rPr>
              <w:t xml:space="preserve">MMR-NOK z analýz potřeb administrativní kapacity jednotlivých ŘO zpracoval Souhrnnou závěrečnou zprávu. </w:t>
            </w:r>
          </w:p>
          <w:p w14:paraId="30602D74" w14:textId="77777777" w:rsidR="00E84661" w:rsidRPr="00DD47DF" w:rsidRDefault="00E84661" w:rsidP="0045099F">
            <w:pPr>
              <w:pStyle w:val="DAVA"/>
              <w:spacing w:before="80" w:after="80"/>
              <w:rPr>
                <w:rFonts w:ascii="Times New Roman" w:hAnsi="Times New Roman"/>
                <w:sz w:val="22"/>
                <w:szCs w:val="22"/>
              </w:rPr>
            </w:pPr>
          </w:p>
          <w:p w14:paraId="74BC9188" w14:textId="77777777" w:rsidR="007550DD" w:rsidRPr="00DD47DF" w:rsidRDefault="007550DD" w:rsidP="006D2F5F">
            <w:pPr>
              <w:pStyle w:val="Tabulka"/>
              <w:jc w:val="left"/>
              <w:rPr>
                <w:rFonts w:cs="Calibri"/>
              </w:rPr>
            </w:pPr>
            <w:r w:rsidRPr="00DD47DF">
              <w:rPr>
                <w:rFonts w:cs="Calibri"/>
              </w:rPr>
              <w:t xml:space="preserve">ŘO: plnění </w:t>
            </w:r>
            <w:r w:rsidR="002379E9">
              <w:rPr>
                <w:rFonts w:cs="Calibri"/>
              </w:rPr>
              <w:t>ČÁSTEČNĚ</w:t>
            </w:r>
          </w:p>
          <w:p w14:paraId="0127F8CF" w14:textId="77777777" w:rsidR="00790A0D" w:rsidRPr="00DD47DF" w:rsidRDefault="00790A0D" w:rsidP="006D2F5F">
            <w:pPr>
              <w:pStyle w:val="Tabulka"/>
              <w:jc w:val="left"/>
              <w:rPr>
                <w:rFonts w:cs="Calibri"/>
              </w:rPr>
            </w:pPr>
            <w:r w:rsidRPr="00DD47DF">
              <w:rPr>
                <w:rFonts w:cs="Calibri"/>
              </w:rPr>
              <w:t xml:space="preserve">V rámci OP PIK je správní kapacita zajištěna, průběžné doplnění administrativní kapacity bude řešeno dle potřeb. V souvislosti se vzrůstající náročností agendy týkající se zadávání veřejných zakázek </w:t>
            </w:r>
            <w:r w:rsidR="00E362C2" w:rsidRPr="00DD47DF">
              <w:rPr>
                <w:rFonts w:cs="Calibri"/>
              </w:rPr>
              <w:t xml:space="preserve">existuje v rámci organizační struktury ŘO oddělení </w:t>
            </w:r>
            <w:r w:rsidRPr="00DD47DF">
              <w:rPr>
                <w:rFonts w:cs="Calibri"/>
              </w:rPr>
              <w:t>kontroly výběrových řízení</w:t>
            </w:r>
            <w:r w:rsidR="00E362C2" w:rsidRPr="00DD47DF">
              <w:rPr>
                <w:rFonts w:cs="Calibri"/>
              </w:rPr>
              <w:t xml:space="preserve"> s kapacitou 8 zaměstnanců</w:t>
            </w:r>
            <w:r w:rsidRPr="00DD47DF">
              <w:rPr>
                <w:rFonts w:cs="Calibri"/>
              </w:rPr>
              <w:t>. V případě potřeby bude v budoucnosti posílen o další zaměstnance.</w:t>
            </w:r>
          </w:p>
          <w:p w14:paraId="7580CDF9" w14:textId="77777777" w:rsidR="00790A0D" w:rsidRPr="00DD47DF" w:rsidRDefault="007550DD" w:rsidP="006D2F5F">
            <w:pPr>
              <w:pStyle w:val="Tabulka"/>
              <w:jc w:val="left"/>
              <w:rPr>
                <w:rFonts w:cs="Calibri"/>
              </w:rPr>
            </w:pPr>
            <w:r w:rsidRPr="00DD47DF">
              <w:rPr>
                <w:rFonts w:cs="Calibri"/>
              </w:rPr>
              <w:t>Viz též Příloha II.</w:t>
            </w:r>
          </w:p>
        </w:tc>
      </w:tr>
      <w:tr w:rsidR="00790A0D" w:rsidRPr="00DD47DF" w14:paraId="2462FF2D" w14:textId="77777777" w:rsidTr="006D2F5F">
        <w:tc>
          <w:tcPr>
            <w:tcW w:w="1752" w:type="dxa"/>
            <w:vMerge w:val="restart"/>
            <w:shd w:val="clear" w:color="auto" w:fill="auto"/>
          </w:tcPr>
          <w:p w14:paraId="4234452E" w14:textId="77777777" w:rsidR="00790A0D" w:rsidRPr="00DD47DF" w:rsidRDefault="00790A0D" w:rsidP="006D2F5F">
            <w:pPr>
              <w:pStyle w:val="Tabulka"/>
              <w:jc w:val="left"/>
              <w:rPr>
                <w:rFonts w:cs="Calibri"/>
                <w:b/>
              </w:rPr>
            </w:pPr>
            <w:r w:rsidRPr="00DD47DF">
              <w:rPr>
                <w:rFonts w:cs="Calibri"/>
                <w:b/>
              </w:rPr>
              <w:lastRenderedPageBreak/>
              <w:t>Existence opatření pro účinné uplatňování právních předpisů Unie o veřejné podpoře v oblasti fondů ESI</w:t>
            </w:r>
          </w:p>
        </w:tc>
        <w:tc>
          <w:tcPr>
            <w:tcW w:w="1701" w:type="dxa"/>
            <w:vMerge w:val="restart"/>
            <w:shd w:val="clear" w:color="auto" w:fill="auto"/>
          </w:tcPr>
          <w:p w14:paraId="6A4EDBC3" w14:textId="77777777" w:rsidR="00790A0D" w:rsidRPr="00DD47DF" w:rsidRDefault="00790A0D" w:rsidP="006D2F5F">
            <w:pPr>
              <w:pStyle w:val="Tabulka"/>
              <w:jc w:val="left"/>
              <w:rPr>
                <w:rFonts w:cs="Calibri"/>
              </w:rPr>
            </w:pPr>
            <w:r w:rsidRPr="00DD47DF">
              <w:rPr>
                <w:rFonts w:cs="Calibri"/>
              </w:rPr>
              <w:t>PO1 - Rozvoj výzkumu a vývoje pro inovace</w:t>
            </w:r>
          </w:p>
          <w:p w14:paraId="6E51B0D0" w14:textId="77777777" w:rsidR="00790A0D" w:rsidRPr="00DD47DF" w:rsidRDefault="00790A0D" w:rsidP="006D2F5F">
            <w:pPr>
              <w:pStyle w:val="Tabulka"/>
              <w:jc w:val="left"/>
              <w:rPr>
                <w:rFonts w:cs="Calibri"/>
              </w:rPr>
            </w:pPr>
            <w:r w:rsidRPr="00DD47DF">
              <w:rPr>
                <w:rFonts w:cs="Calibri"/>
              </w:rPr>
              <w:t>PO2 - Rozvoj podnikání a konkurenceschopnosti malých a středních podniků</w:t>
            </w:r>
          </w:p>
          <w:p w14:paraId="4EF907C2" w14:textId="77777777" w:rsidR="00790A0D" w:rsidRPr="00DD47DF" w:rsidRDefault="00790A0D" w:rsidP="006D2F5F">
            <w:pPr>
              <w:pStyle w:val="Tabulka"/>
              <w:jc w:val="left"/>
              <w:rPr>
                <w:rFonts w:cs="Calibri"/>
              </w:rPr>
            </w:pPr>
            <w:r w:rsidRPr="00DD47DF">
              <w:rPr>
                <w:rFonts w:cs="Calibri"/>
              </w:rPr>
              <w:t>PO3 - Účinné nakládání energií, rozvoj energetické infrastruktury a obnovitelných zdrojů energie, podpora zavádění nových technologií v oblasti nakládání energií a druhotných surovin</w:t>
            </w:r>
          </w:p>
          <w:p w14:paraId="42AB8268" w14:textId="77777777" w:rsidR="00790A0D" w:rsidRPr="00DD47DF" w:rsidRDefault="00790A0D" w:rsidP="006D2F5F">
            <w:pPr>
              <w:pStyle w:val="Tabulka"/>
              <w:jc w:val="left"/>
              <w:rPr>
                <w:rFonts w:cs="Calibri"/>
              </w:rPr>
            </w:pPr>
            <w:r w:rsidRPr="00DD47DF">
              <w:rPr>
                <w:rFonts w:cs="Calibri"/>
              </w:rPr>
              <w:t>PO4 - Rozvoj vysokorychlostních přístupových sítí k internetu a informačních a komunikačních technologií</w:t>
            </w:r>
          </w:p>
          <w:p w14:paraId="48B69CF5" w14:textId="77777777" w:rsidR="00790A0D" w:rsidRPr="00DD47DF" w:rsidRDefault="00790A0D" w:rsidP="006D2F5F">
            <w:pPr>
              <w:pStyle w:val="Tabulka"/>
              <w:jc w:val="left"/>
              <w:rPr>
                <w:rFonts w:cs="Calibri"/>
              </w:rPr>
            </w:pPr>
          </w:p>
        </w:tc>
        <w:tc>
          <w:tcPr>
            <w:tcW w:w="1276" w:type="dxa"/>
            <w:vMerge w:val="restart"/>
            <w:shd w:val="clear" w:color="auto" w:fill="auto"/>
          </w:tcPr>
          <w:p w14:paraId="20B0404B" w14:textId="77777777" w:rsidR="00790A0D" w:rsidRPr="00DD47DF" w:rsidRDefault="00790A0D" w:rsidP="006D2F5F">
            <w:pPr>
              <w:pStyle w:val="Tabulka"/>
              <w:jc w:val="left"/>
              <w:rPr>
                <w:rFonts w:cs="Calibri"/>
              </w:rPr>
            </w:pPr>
            <w:r w:rsidRPr="00DD47DF">
              <w:rPr>
                <w:rFonts w:cs="Calibri"/>
              </w:rPr>
              <w:lastRenderedPageBreak/>
              <w:t>Částečně – plnění probíhá průběžně v závislosti na schvalování předpisů EK</w:t>
            </w:r>
          </w:p>
        </w:tc>
        <w:tc>
          <w:tcPr>
            <w:tcW w:w="1843" w:type="dxa"/>
            <w:shd w:val="clear" w:color="auto" w:fill="auto"/>
          </w:tcPr>
          <w:p w14:paraId="249F3632" w14:textId="77777777" w:rsidR="00790A0D" w:rsidRPr="00DD47DF" w:rsidRDefault="00790A0D" w:rsidP="006D2F5F">
            <w:pPr>
              <w:pStyle w:val="Tabulka"/>
              <w:jc w:val="left"/>
              <w:rPr>
                <w:rFonts w:cs="Calibri"/>
              </w:rPr>
            </w:pPr>
            <w:r w:rsidRPr="00DD47DF">
              <w:rPr>
                <w:rFonts w:cs="Calibri"/>
              </w:rPr>
              <w:t>Opatření pro účinné uplatňování pravidel Unie o státních podporách</w:t>
            </w:r>
          </w:p>
        </w:tc>
        <w:tc>
          <w:tcPr>
            <w:tcW w:w="1134" w:type="dxa"/>
            <w:shd w:val="clear" w:color="auto" w:fill="auto"/>
          </w:tcPr>
          <w:p w14:paraId="0AEED171" w14:textId="77777777" w:rsidR="00790A0D" w:rsidRPr="00DD47DF" w:rsidRDefault="00A0467F" w:rsidP="006D2F5F">
            <w:pPr>
              <w:pStyle w:val="Tabulka"/>
              <w:jc w:val="left"/>
              <w:rPr>
                <w:rFonts w:cs="Calibri"/>
              </w:rPr>
            </w:pPr>
            <w:r w:rsidRPr="00DD47DF">
              <w:rPr>
                <w:rFonts w:cs="Calibri"/>
              </w:rPr>
              <w:t>ne</w:t>
            </w:r>
          </w:p>
        </w:tc>
        <w:tc>
          <w:tcPr>
            <w:tcW w:w="2126" w:type="dxa"/>
            <w:shd w:val="clear" w:color="auto" w:fill="auto"/>
          </w:tcPr>
          <w:p w14:paraId="06E59526" w14:textId="77777777" w:rsidR="00790A0D" w:rsidRPr="00DD47DF" w:rsidRDefault="00790A0D" w:rsidP="006D2F5F">
            <w:pPr>
              <w:pStyle w:val="Tabulka"/>
              <w:jc w:val="left"/>
              <w:rPr>
                <w:rFonts w:cs="Calibri"/>
              </w:rPr>
            </w:pPr>
            <w:r w:rsidRPr="00DD47DF">
              <w:rPr>
                <w:rFonts w:cs="Calibri"/>
              </w:rPr>
              <w:t xml:space="preserve">Zákon č. 215/2004 Sb., </w:t>
            </w:r>
            <w:hyperlink r:id="rId83" w:history="1">
              <w:r w:rsidRPr="00DD47DF">
                <w:rPr>
                  <w:rStyle w:val="Hypertextovodkaz"/>
                  <w:rFonts w:cs="Calibri"/>
                </w:rPr>
                <w:t>http://www.uohs.cz/cs/legislativa/verejna-podpora.html</w:t>
              </w:r>
            </w:hyperlink>
          </w:p>
          <w:p w14:paraId="30979604" w14:textId="77777777" w:rsidR="00790A0D" w:rsidRPr="00DD47DF" w:rsidRDefault="00790A0D" w:rsidP="006D2F5F">
            <w:pPr>
              <w:pStyle w:val="Tabulka"/>
              <w:jc w:val="left"/>
              <w:rPr>
                <w:rFonts w:cs="Calibri"/>
              </w:rPr>
            </w:pPr>
          </w:p>
          <w:p w14:paraId="4262EEAB" w14:textId="77777777" w:rsidR="00790A0D" w:rsidRPr="00DD47DF" w:rsidRDefault="00790A0D" w:rsidP="006D2F5F">
            <w:pPr>
              <w:pStyle w:val="Tabulka"/>
              <w:jc w:val="left"/>
              <w:rPr>
                <w:rFonts w:cs="Calibri"/>
              </w:rPr>
            </w:pPr>
            <w:r w:rsidRPr="00DD47DF">
              <w:rPr>
                <w:rFonts w:cs="Calibri"/>
              </w:rPr>
              <w:t xml:space="preserve">Metodika finančních toků a kontroly </w:t>
            </w:r>
            <w:hyperlink r:id="rId84" w:history="1">
              <w:r w:rsidRPr="00DD47DF">
                <w:rPr>
                  <w:rStyle w:val="Hypertextovodkaz"/>
                  <w:rFonts w:cs="Calibri"/>
                </w:rPr>
                <w:t>http://www.mfcr.cz/cs/legislativa/metodiky/2014/metodika-financnich-toku-a-kontroly-prog-17121</w:t>
              </w:r>
            </w:hyperlink>
          </w:p>
          <w:p w14:paraId="686B0071" w14:textId="77777777" w:rsidR="00790A0D" w:rsidRPr="00DD47DF" w:rsidRDefault="00790A0D" w:rsidP="006D2F5F">
            <w:pPr>
              <w:pStyle w:val="Tabulka"/>
              <w:jc w:val="left"/>
              <w:rPr>
                <w:rFonts w:cs="Calibri"/>
              </w:rPr>
            </w:pPr>
          </w:p>
          <w:p w14:paraId="6BFCE596" w14:textId="77777777" w:rsidR="00790A0D" w:rsidRPr="00DD47DF" w:rsidRDefault="00790A0D" w:rsidP="006D2F5F">
            <w:pPr>
              <w:pStyle w:val="Tabulka"/>
              <w:jc w:val="left"/>
              <w:rPr>
                <w:rFonts w:cs="Calibri"/>
              </w:rPr>
            </w:pPr>
            <w:r w:rsidRPr="00DD47DF">
              <w:rPr>
                <w:rFonts w:cs="Calibri"/>
              </w:rPr>
              <w:t xml:space="preserve">Manuál služeb obecného hospodářského zájmu </w:t>
            </w:r>
            <w:hyperlink r:id="rId85" w:history="1">
              <w:r w:rsidRPr="00DD47DF">
                <w:rPr>
                  <w:rStyle w:val="Hypertextovodkaz"/>
                  <w:rFonts w:cs="Calibri"/>
                </w:rPr>
                <w:t>http://www.uohs.cz/cs/verejna-podpora/manualy-metodiky-a-dalsi-dokumenty.html</w:t>
              </w:r>
            </w:hyperlink>
            <w:r w:rsidRPr="00DD47DF">
              <w:rPr>
                <w:rFonts w:cs="Calibri"/>
              </w:rPr>
              <w:t>)</w:t>
            </w:r>
          </w:p>
          <w:p w14:paraId="600092F7" w14:textId="77777777" w:rsidR="00790A0D" w:rsidRPr="00DD47DF" w:rsidRDefault="00790A0D" w:rsidP="006D2F5F">
            <w:pPr>
              <w:pStyle w:val="Tabulka"/>
              <w:jc w:val="left"/>
              <w:rPr>
                <w:rFonts w:cs="Calibri"/>
              </w:rPr>
            </w:pPr>
            <w:r w:rsidRPr="00DD47DF">
              <w:rPr>
                <w:rFonts w:cs="Calibri"/>
              </w:rPr>
              <w:t>Centrální registr podpor malého rozsahu</w:t>
            </w:r>
          </w:p>
          <w:p w14:paraId="11130817" w14:textId="77777777" w:rsidR="00790A0D" w:rsidRPr="00DD47DF" w:rsidRDefault="00013622" w:rsidP="006D2F5F">
            <w:pPr>
              <w:pStyle w:val="Tabulka"/>
              <w:jc w:val="left"/>
              <w:rPr>
                <w:rFonts w:cs="Calibri"/>
              </w:rPr>
            </w:pPr>
            <w:hyperlink r:id="rId86" w:history="1">
              <w:r w:rsidR="00790A0D" w:rsidRPr="00DD47DF">
                <w:rPr>
                  <w:rStyle w:val="Hypertextovodkaz"/>
                  <w:rFonts w:cs="Calibri"/>
                </w:rPr>
                <w:t>http://eagri.cz/public/web/mze/farmar/registr-podpor-de-minimis/</w:t>
              </w:r>
            </w:hyperlink>
          </w:p>
        </w:tc>
        <w:tc>
          <w:tcPr>
            <w:tcW w:w="4394" w:type="dxa"/>
            <w:shd w:val="clear" w:color="auto" w:fill="auto"/>
          </w:tcPr>
          <w:p w14:paraId="222A2596" w14:textId="77777777" w:rsidR="0010102C" w:rsidRPr="00DD47DF" w:rsidRDefault="0010102C" w:rsidP="006D2F5F">
            <w:pPr>
              <w:pStyle w:val="Tabulka"/>
              <w:jc w:val="left"/>
              <w:rPr>
                <w:rFonts w:cs="Calibri"/>
              </w:rPr>
            </w:pPr>
            <w:r w:rsidRPr="00DD47DF">
              <w:rPr>
                <w:rFonts w:cs="Calibri"/>
              </w:rPr>
              <w:t xml:space="preserve">Gestor PP: Plnění </w:t>
            </w:r>
            <w:r w:rsidR="000529F1" w:rsidRPr="00DD47DF">
              <w:rPr>
                <w:rFonts w:cs="Calibri"/>
              </w:rPr>
              <w:t>ČÁSTEČNĚ</w:t>
            </w:r>
          </w:p>
          <w:p w14:paraId="45F0AD0E" w14:textId="77777777" w:rsidR="0010102C" w:rsidRPr="00DD47DF" w:rsidRDefault="0010102C" w:rsidP="0010102C">
            <w:pPr>
              <w:spacing w:before="80" w:after="80"/>
              <w:rPr>
                <w:sz w:val="22"/>
                <w:szCs w:val="22"/>
                <w:u w:val="single"/>
              </w:rPr>
            </w:pPr>
            <w:r w:rsidRPr="00DD47DF">
              <w:rPr>
                <w:sz w:val="22"/>
                <w:szCs w:val="22"/>
              </w:rPr>
              <w:t>Poskytovatel podpory podléhající pravidlům VP, spolupracuje s centrálním koordinačním orgánem (ÚOHS, MZe). Koord. orgány nastavují s poskytovateli programy v souladu s právními předpisy v oblasti VP (zákon č. 215/2004 Sb.) Na úrovni fondů je gestorem MMR.</w:t>
            </w:r>
          </w:p>
          <w:p w14:paraId="3D2BC974" w14:textId="77777777" w:rsidR="0010102C" w:rsidRPr="00DD47DF" w:rsidRDefault="0010102C" w:rsidP="0010102C">
            <w:pPr>
              <w:pStyle w:val="DAVA"/>
              <w:rPr>
                <w:rFonts w:ascii="Times New Roman" w:hAnsi="Times New Roman"/>
                <w:sz w:val="22"/>
                <w:szCs w:val="22"/>
              </w:rPr>
            </w:pPr>
            <w:r w:rsidRPr="00DD47DF">
              <w:rPr>
                <w:rFonts w:ascii="Times New Roman" w:hAnsi="Times New Roman"/>
                <w:sz w:val="22"/>
                <w:szCs w:val="22"/>
              </w:rPr>
              <w:t>Zákon č. 218/2000 Sb., zákon č. 250/2000 Sb., zákon č. 320/2001 Sb.</w:t>
            </w:r>
          </w:p>
          <w:p w14:paraId="53DC3909" w14:textId="77777777" w:rsidR="001D4563" w:rsidRPr="00DD47DF" w:rsidRDefault="001D4563" w:rsidP="0010102C">
            <w:pPr>
              <w:pStyle w:val="DAVA"/>
              <w:rPr>
                <w:rFonts w:ascii="Times New Roman" w:hAnsi="Times New Roman"/>
                <w:sz w:val="22"/>
                <w:szCs w:val="22"/>
              </w:rPr>
            </w:pPr>
            <w:r w:rsidRPr="00DD47DF">
              <w:rPr>
                <w:rFonts w:ascii="Times New Roman" w:hAnsi="Times New Roman"/>
                <w:sz w:val="22"/>
                <w:szCs w:val="22"/>
              </w:rPr>
              <w:t>Byla zajištěna nezbytná funkčnost MS 2014+ v oblasti VP a přenos dat mezi ním a centrálním registrem de minimis.</w:t>
            </w:r>
          </w:p>
          <w:p w14:paraId="4284FC90" w14:textId="77777777" w:rsidR="0010102C" w:rsidRPr="00DD47DF" w:rsidRDefault="00113F8F" w:rsidP="006D2F5F">
            <w:pPr>
              <w:pStyle w:val="Tabulka"/>
              <w:jc w:val="left"/>
            </w:pPr>
            <w:r>
              <w:t xml:space="preserve">Tento </w:t>
            </w:r>
            <w:r w:rsidR="0010102C" w:rsidRPr="00DD47DF">
              <w:t>uveden do souladu s požadavky legislativy EU.</w:t>
            </w:r>
            <w:r w:rsidR="0045099F" w:rsidRPr="00DD47DF">
              <w:t xml:space="preserve"> </w:t>
            </w:r>
            <w:r w:rsidR="0010102C" w:rsidRPr="00DD47DF">
              <w:t xml:space="preserve">Údaje o poskytnutých VP z ESI  fondů </w:t>
            </w:r>
            <w:r w:rsidR="001D4563" w:rsidRPr="00DD47DF">
              <w:t xml:space="preserve">jsou </w:t>
            </w:r>
            <w:r w:rsidR="0010102C" w:rsidRPr="00DD47DF">
              <w:t xml:space="preserve">obsaženy </w:t>
            </w:r>
            <w:r w:rsidR="00741565" w:rsidRPr="00DD47DF">
              <w:t>v monitorovacím systému MS2014+</w:t>
            </w:r>
            <w:r w:rsidR="0010102C" w:rsidRPr="00DD47DF">
              <w:t xml:space="preserve"> a budou k dispozici na centrální webové stránce.</w:t>
            </w:r>
          </w:p>
          <w:p w14:paraId="02DA088B" w14:textId="77777777" w:rsidR="003E7776" w:rsidRPr="00DD47DF" w:rsidRDefault="003E7776" w:rsidP="006D2F5F">
            <w:pPr>
              <w:pStyle w:val="Tabulka"/>
              <w:jc w:val="left"/>
              <w:rPr>
                <w:rFonts w:cs="Calibri"/>
              </w:rPr>
            </w:pPr>
            <w:r w:rsidRPr="00DD47DF">
              <w:t>ŘO: Plnění částečně</w:t>
            </w:r>
          </w:p>
          <w:p w14:paraId="01866303" w14:textId="77777777" w:rsidR="00790A0D" w:rsidRPr="00DD47DF" w:rsidRDefault="00790A0D" w:rsidP="006D2F5F">
            <w:pPr>
              <w:pStyle w:val="Tabulka"/>
              <w:jc w:val="left"/>
              <w:rPr>
                <w:rFonts w:cs="Calibri"/>
              </w:rPr>
            </w:pPr>
            <w:r w:rsidRPr="00DD47DF">
              <w:rPr>
                <w:rFonts w:cs="Calibri"/>
              </w:rPr>
              <w:t>ŘO OPPIK</w:t>
            </w:r>
            <w:r w:rsidR="003E7776" w:rsidRPr="00DD47DF">
              <w:rPr>
                <w:rFonts w:cs="Calibri"/>
              </w:rPr>
              <w:t xml:space="preserve"> vydává </w:t>
            </w:r>
            <w:r w:rsidRPr="00DD47DF">
              <w:rPr>
                <w:rFonts w:cs="Calibri"/>
              </w:rPr>
              <w:t xml:space="preserve"> interní metodický manuál, ve kterém upravuje postupy pro </w:t>
            </w:r>
            <w:r w:rsidR="00546E46" w:rsidRPr="00DD47DF">
              <w:rPr>
                <w:rFonts w:cs="Calibri"/>
              </w:rPr>
              <w:t>VP</w:t>
            </w:r>
            <w:r w:rsidRPr="00DD47DF">
              <w:rPr>
                <w:rFonts w:cs="Calibri"/>
              </w:rPr>
              <w:t xml:space="preserve"> a zapracovává pravidla </w:t>
            </w:r>
            <w:r w:rsidR="00546E46" w:rsidRPr="00DD47DF">
              <w:rPr>
                <w:rFonts w:cs="Calibri"/>
              </w:rPr>
              <w:t>VP</w:t>
            </w:r>
            <w:r w:rsidRPr="00DD47DF">
              <w:rPr>
                <w:rFonts w:cs="Calibri"/>
              </w:rPr>
              <w:t xml:space="preserve"> do dokumentace výzev včetně pravidel pro podpory malého rozsahu.</w:t>
            </w:r>
            <w:r w:rsidR="005237DD" w:rsidRPr="00DD47DF">
              <w:rPr>
                <w:rFonts w:cs="Calibri"/>
              </w:rPr>
              <w:t xml:space="preserve"> </w:t>
            </w:r>
          </w:p>
          <w:p w14:paraId="1B912B82" w14:textId="77777777" w:rsidR="00790A0D" w:rsidRPr="00DD47DF" w:rsidRDefault="00790A0D" w:rsidP="006D2F5F">
            <w:pPr>
              <w:pStyle w:val="Tabulka"/>
              <w:jc w:val="left"/>
              <w:rPr>
                <w:rFonts w:cs="Calibri"/>
              </w:rPr>
            </w:pPr>
            <w:r w:rsidRPr="00DD47DF">
              <w:rPr>
                <w:rFonts w:cs="Calibri"/>
              </w:rPr>
              <w:t>Navracení podpory, dodržování Deggendorf a kontrolní postupy: upraveno v interním metodickém manuálu. Kumulace VP: upraveno v dokumentaci k výzvám.</w:t>
            </w:r>
          </w:p>
          <w:p w14:paraId="2B3ED44B" w14:textId="77777777" w:rsidR="00790A0D" w:rsidRPr="00DD47DF" w:rsidRDefault="00A0467F" w:rsidP="006E0058">
            <w:pPr>
              <w:pStyle w:val="Tabulka"/>
              <w:jc w:val="left"/>
              <w:rPr>
                <w:rFonts w:cs="Calibri"/>
              </w:rPr>
            </w:pPr>
            <w:r w:rsidRPr="00DD47DF">
              <w:rPr>
                <w:rFonts w:cs="Calibri"/>
              </w:rPr>
              <w:t>V</w:t>
            </w:r>
            <w:r w:rsidR="00790A0D" w:rsidRPr="00DD47DF">
              <w:rPr>
                <w:rFonts w:cs="Calibri"/>
              </w:rPr>
              <w:t xml:space="preserve">iz </w:t>
            </w:r>
            <w:r w:rsidRPr="00DD47DF">
              <w:rPr>
                <w:rFonts w:cs="Calibri"/>
              </w:rPr>
              <w:t xml:space="preserve">též </w:t>
            </w:r>
            <w:r w:rsidR="00790A0D" w:rsidRPr="00DD47DF">
              <w:rPr>
                <w:rFonts w:cs="Calibri"/>
              </w:rPr>
              <w:t>Příloha II.</w:t>
            </w:r>
          </w:p>
        </w:tc>
      </w:tr>
      <w:tr w:rsidR="00790A0D" w:rsidRPr="00DD47DF" w14:paraId="035B39CC" w14:textId="77777777" w:rsidTr="006D2F5F">
        <w:tc>
          <w:tcPr>
            <w:tcW w:w="1752" w:type="dxa"/>
            <w:vMerge/>
            <w:shd w:val="clear" w:color="auto" w:fill="auto"/>
          </w:tcPr>
          <w:p w14:paraId="04E42CD8" w14:textId="77777777" w:rsidR="00790A0D" w:rsidRPr="00DD47DF" w:rsidRDefault="00790A0D" w:rsidP="006D2F5F">
            <w:pPr>
              <w:pStyle w:val="Tabulka"/>
              <w:jc w:val="left"/>
              <w:rPr>
                <w:rFonts w:cs="Calibri"/>
                <w:b/>
              </w:rPr>
            </w:pPr>
          </w:p>
        </w:tc>
        <w:tc>
          <w:tcPr>
            <w:tcW w:w="1701" w:type="dxa"/>
            <w:vMerge/>
            <w:shd w:val="clear" w:color="auto" w:fill="auto"/>
          </w:tcPr>
          <w:p w14:paraId="4098FAE0" w14:textId="77777777" w:rsidR="00790A0D" w:rsidRPr="00DD47DF" w:rsidRDefault="00790A0D" w:rsidP="006D2F5F">
            <w:pPr>
              <w:pStyle w:val="Tabulka"/>
              <w:jc w:val="left"/>
              <w:rPr>
                <w:rFonts w:cs="Calibri"/>
              </w:rPr>
            </w:pPr>
          </w:p>
        </w:tc>
        <w:tc>
          <w:tcPr>
            <w:tcW w:w="1276" w:type="dxa"/>
            <w:vMerge/>
            <w:shd w:val="clear" w:color="auto" w:fill="auto"/>
          </w:tcPr>
          <w:p w14:paraId="47DD3F80" w14:textId="77777777" w:rsidR="00790A0D" w:rsidRPr="00DD47DF" w:rsidRDefault="00790A0D" w:rsidP="006D2F5F">
            <w:pPr>
              <w:pStyle w:val="Tabulka"/>
              <w:jc w:val="left"/>
              <w:rPr>
                <w:rFonts w:cs="Calibri"/>
              </w:rPr>
            </w:pPr>
          </w:p>
        </w:tc>
        <w:tc>
          <w:tcPr>
            <w:tcW w:w="1843" w:type="dxa"/>
            <w:shd w:val="clear" w:color="auto" w:fill="auto"/>
          </w:tcPr>
          <w:p w14:paraId="0DD9E4AC"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fondů ESI</w:t>
            </w:r>
          </w:p>
        </w:tc>
        <w:tc>
          <w:tcPr>
            <w:tcW w:w="1134" w:type="dxa"/>
            <w:shd w:val="clear" w:color="auto" w:fill="auto"/>
          </w:tcPr>
          <w:p w14:paraId="7B2665C9"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0B1BBEEB" w14:textId="77777777" w:rsidR="00790A0D" w:rsidRPr="00DD47DF" w:rsidRDefault="00013622" w:rsidP="006D2F5F">
            <w:pPr>
              <w:pStyle w:val="Tabulka"/>
              <w:jc w:val="left"/>
              <w:rPr>
                <w:rStyle w:val="Hypertextovodkaz"/>
                <w:rFonts w:cs="Calibri"/>
              </w:rPr>
            </w:pPr>
            <w:hyperlink r:id="rId87" w:history="1">
              <w:r w:rsidR="00790A0D" w:rsidRPr="00DD47DF">
                <w:rPr>
                  <w:rStyle w:val="Hypertextovodkaz"/>
                  <w:rFonts w:cs="Calibri"/>
                </w:rPr>
                <w:t>www.uohs.cz/cs/verejna-podpora/akuality-z-verejne-podpory.html</w:t>
              </w:r>
            </w:hyperlink>
          </w:p>
          <w:p w14:paraId="4277EA41" w14:textId="77777777" w:rsidR="00790A0D" w:rsidRPr="00DD47DF" w:rsidRDefault="00013622" w:rsidP="006D2F5F">
            <w:pPr>
              <w:pStyle w:val="Tabulka"/>
              <w:jc w:val="left"/>
              <w:rPr>
                <w:rStyle w:val="Hypertextovodkaz"/>
                <w:rFonts w:cs="Calibri"/>
              </w:rPr>
            </w:pPr>
            <w:hyperlink r:id="rId88" w:history="1">
              <w:r w:rsidR="00790A0D" w:rsidRPr="00DD47DF">
                <w:rPr>
                  <w:rStyle w:val="Hypertextovodkaz"/>
                  <w:rFonts w:cs="Calibri"/>
                </w:rPr>
                <w:t>http://www.vzdelavaninsrr.cz/</w:t>
              </w:r>
            </w:hyperlink>
          </w:p>
          <w:p w14:paraId="0D6291E3" w14:textId="77777777" w:rsidR="00790A0D" w:rsidRPr="00DD47DF" w:rsidRDefault="00790A0D" w:rsidP="006D2F5F">
            <w:pPr>
              <w:pStyle w:val="Tabulka"/>
              <w:jc w:val="left"/>
              <w:rPr>
                <w:rFonts w:cs="Calibri"/>
              </w:rPr>
            </w:pPr>
          </w:p>
          <w:p w14:paraId="198375E1" w14:textId="77777777" w:rsidR="00790A0D" w:rsidRPr="00DD47DF" w:rsidRDefault="00013622" w:rsidP="006D2F5F">
            <w:pPr>
              <w:pStyle w:val="Tabulka"/>
              <w:jc w:val="left"/>
              <w:rPr>
                <w:rStyle w:val="Hypertextovodkaz"/>
                <w:rFonts w:cs="Calibri"/>
              </w:rPr>
            </w:pPr>
            <w:hyperlink r:id="rId89" w:history="1">
              <w:r w:rsidR="00790A0D" w:rsidRPr="00DD47DF">
                <w:rPr>
                  <w:rStyle w:val="Hypertextovodkaz"/>
                  <w:rFonts w:cs="Calibri"/>
                </w:rPr>
                <w:t>www.strukturalni-fondy.cz</w:t>
              </w:r>
            </w:hyperlink>
          </w:p>
          <w:p w14:paraId="634DE5FE" w14:textId="77777777" w:rsidR="00790A0D" w:rsidRPr="00DD47DF" w:rsidRDefault="00790A0D" w:rsidP="006D2F5F">
            <w:pPr>
              <w:pStyle w:val="Tabulka"/>
              <w:jc w:val="left"/>
              <w:rPr>
                <w:rFonts w:cs="Calibri"/>
              </w:rPr>
            </w:pPr>
          </w:p>
          <w:p w14:paraId="3E7D3663" w14:textId="77777777" w:rsidR="00790A0D" w:rsidRPr="00DD47DF" w:rsidRDefault="00013622" w:rsidP="006D2F5F">
            <w:pPr>
              <w:pStyle w:val="Tabulka"/>
              <w:jc w:val="left"/>
              <w:rPr>
                <w:rFonts w:cs="Calibri"/>
              </w:rPr>
            </w:pPr>
            <w:hyperlink r:id="rId90" w:history="1">
              <w:r w:rsidR="00790A0D" w:rsidRPr="00DD47DF">
                <w:rPr>
                  <w:rStyle w:val="Hypertextovodkaz"/>
                </w:rPr>
                <w:t>http://www.strukturalni-fondy.cz/cs/Fondy-EU/2014-2020/Metodicke-pokyny/Metodika-rozvoje-lidskych-zdroju</w:t>
              </w:r>
            </w:hyperlink>
          </w:p>
        </w:tc>
        <w:tc>
          <w:tcPr>
            <w:tcW w:w="4394" w:type="dxa"/>
            <w:shd w:val="clear" w:color="auto" w:fill="auto"/>
          </w:tcPr>
          <w:p w14:paraId="649C4A21" w14:textId="77777777" w:rsidR="00146977" w:rsidRPr="00DD47DF" w:rsidRDefault="00146977" w:rsidP="006D2F5F">
            <w:pPr>
              <w:pStyle w:val="Tabulka"/>
              <w:jc w:val="left"/>
              <w:rPr>
                <w:rFonts w:cs="Calibri"/>
              </w:rPr>
            </w:pPr>
            <w:r w:rsidRPr="00DD47DF">
              <w:rPr>
                <w:rFonts w:cs="Calibri"/>
              </w:rPr>
              <w:t>Gestor PP: Plnění ANO</w:t>
            </w:r>
          </w:p>
          <w:p w14:paraId="5AD4CFD8" w14:textId="77777777" w:rsidR="00146977" w:rsidRPr="00DD47DF" w:rsidRDefault="00146977" w:rsidP="00146977">
            <w:pPr>
              <w:pStyle w:val="DAVA"/>
              <w:rPr>
                <w:rFonts w:ascii="Times New Roman" w:hAnsi="Times New Roman"/>
                <w:sz w:val="22"/>
                <w:szCs w:val="22"/>
              </w:rPr>
            </w:pPr>
            <w:r w:rsidRPr="00DD47DF">
              <w:rPr>
                <w:rFonts w:ascii="Times New Roman" w:hAnsi="Times New Roman"/>
                <w:sz w:val="22"/>
                <w:szCs w:val="22"/>
              </w:rPr>
              <w:t>ÚOHS školí průběžně poskytovatele VP</w:t>
            </w:r>
            <w:r w:rsidRPr="00DD47DF">
              <w:rPr>
                <w:sz w:val="22"/>
                <w:szCs w:val="22"/>
              </w:rPr>
              <w:t xml:space="preserve">. </w:t>
            </w:r>
            <w:r w:rsidRPr="00DD47DF">
              <w:rPr>
                <w:rFonts w:ascii="Times New Roman" w:hAnsi="Times New Roman"/>
                <w:sz w:val="22"/>
                <w:szCs w:val="22"/>
              </w:rPr>
              <w:t>MMR-NOK (ve spol.</w:t>
            </w:r>
            <w:r w:rsidR="0045099F" w:rsidRPr="00DD47DF">
              <w:rPr>
                <w:rFonts w:ascii="Times New Roman" w:hAnsi="Times New Roman"/>
                <w:sz w:val="22"/>
                <w:szCs w:val="22"/>
              </w:rPr>
              <w:t xml:space="preserve"> </w:t>
            </w:r>
            <w:r w:rsidRPr="00DD47DF">
              <w:rPr>
                <w:rFonts w:ascii="Times New Roman" w:hAnsi="Times New Roman"/>
                <w:sz w:val="22"/>
                <w:szCs w:val="22"/>
              </w:rPr>
              <w:t>s Ú</w:t>
            </w:r>
            <w:r w:rsidR="00A11F27" w:rsidRPr="00DD47DF">
              <w:rPr>
                <w:rFonts w:ascii="Times New Roman" w:hAnsi="Times New Roman"/>
                <w:sz w:val="22"/>
                <w:szCs w:val="22"/>
              </w:rPr>
              <w:t>OHS) vydává metodické dokumenty</w:t>
            </w:r>
            <w:r w:rsidRPr="00DD47DF">
              <w:rPr>
                <w:rFonts w:ascii="Times New Roman" w:hAnsi="Times New Roman"/>
                <w:sz w:val="22"/>
                <w:szCs w:val="22"/>
              </w:rPr>
              <w:t>. ÚOHS rovněž zabezpečuje, aby byly všechny informace zaslané EK postoupeny poskytovatelům.</w:t>
            </w:r>
          </w:p>
          <w:p w14:paraId="313674FA" w14:textId="77777777" w:rsidR="00146977" w:rsidRPr="00DD47DF" w:rsidRDefault="00146977" w:rsidP="00146977">
            <w:pPr>
              <w:pStyle w:val="Tabulka"/>
              <w:jc w:val="left"/>
            </w:pPr>
            <w:r w:rsidRPr="00DD47DF">
              <w:t xml:space="preserve">Ustanovena PS VP. Aktuální informace k VP  dostupné na: </w:t>
            </w:r>
            <w:hyperlink r:id="rId91" w:history="1">
              <w:r w:rsidRPr="00DD47DF">
                <w:rPr>
                  <w:rStyle w:val="Hypertextovodkaz"/>
                </w:rPr>
                <w:t>www.uohs.cz/cs/verejna-podpora.html</w:t>
              </w:r>
            </w:hyperlink>
            <w:r w:rsidRPr="00DD47DF">
              <w:t>. Pro oblast ESI fondů:</w:t>
            </w:r>
            <w:hyperlink r:id="rId92" w:history="1">
              <w:r w:rsidRPr="00DD47DF">
                <w:rPr>
                  <w:rStyle w:val="Hypertextovodkaz"/>
                </w:rPr>
                <w:t>www.strukturalni-fondy.cz</w:t>
              </w:r>
            </w:hyperlink>
            <w:r w:rsidRPr="00DD47DF">
              <w:t>.</w:t>
            </w:r>
          </w:p>
          <w:p w14:paraId="113256B1" w14:textId="77777777" w:rsidR="00146977" w:rsidRPr="00DD47DF" w:rsidRDefault="00146977" w:rsidP="00146977">
            <w:pPr>
              <w:pStyle w:val="Tabulka"/>
              <w:jc w:val="left"/>
              <w:rPr>
                <w:rFonts w:cs="Calibri"/>
              </w:rPr>
            </w:pPr>
            <w:r w:rsidRPr="00DD47DF">
              <w:t>ŘO: Plnění ANO</w:t>
            </w:r>
          </w:p>
          <w:p w14:paraId="53347CCC" w14:textId="77777777" w:rsidR="00790A0D" w:rsidRPr="00DD47DF" w:rsidRDefault="00790A0D" w:rsidP="006D2F5F">
            <w:pPr>
              <w:pStyle w:val="Tabulka"/>
              <w:jc w:val="left"/>
              <w:rPr>
                <w:rFonts w:cs="Calibri"/>
              </w:rPr>
            </w:pPr>
            <w:r w:rsidRPr="00DD47DF">
              <w:rPr>
                <w:rFonts w:cs="Calibri"/>
              </w:rPr>
              <w:t>Zaměstnanci odpovědní za oblast veřejné podpory v OP PIK jsou zapojeni do Systému vzdělávání a již nyní se účastní různých školení</w:t>
            </w:r>
            <w:r w:rsidR="0047764E" w:rsidRPr="00DD47DF">
              <w:rPr>
                <w:rFonts w:cs="Calibri"/>
              </w:rPr>
              <w:t>.</w:t>
            </w:r>
            <w:r w:rsidRPr="00DD47DF">
              <w:rPr>
                <w:rFonts w:cs="Calibri"/>
              </w:rPr>
              <w:t xml:space="preserve"> Probíhá aktivní konzultace s ÚOHS a zároveň je zajištěna účast na pracovní skupině MMR k veřejné podpoře za účasti ÚOHS. V rámci přípravy OP PIK se problematika veřejné podpory diskutuje na příslušných</w:t>
            </w:r>
            <w:r w:rsidR="000C6CF5" w:rsidRPr="00DD47DF">
              <w:rPr>
                <w:rFonts w:cs="Calibri"/>
              </w:rPr>
              <w:t xml:space="preserve"> školeních a</w:t>
            </w:r>
            <w:r w:rsidRPr="00DD47DF">
              <w:rPr>
                <w:rFonts w:cs="Calibri"/>
              </w:rPr>
              <w:t xml:space="preserve"> pracovních skupinách, které tvoří obsah OP. Tyto skupiny slouží k šíření a sdílení informací o veřejné podpoře uvnitř ŘO OP PIK.</w:t>
            </w:r>
          </w:p>
          <w:p w14:paraId="1FA4764D" w14:textId="77777777" w:rsidR="00790A0D" w:rsidRPr="00DD47DF" w:rsidRDefault="00790A0D" w:rsidP="0008678F">
            <w:pPr>
              <w:pStyle w:val="Tabulka"/>
              <w:jc w:val="left"/>
              <w:rPr>
                <w:rFonts w:cs="Calibri"/>
              </w:rPr>
            </w:pPr>
            <w:r w:rsidRPr="00DD47DF">
              <w:rPr>
                <w:rFonts w:cs="Calibri"/>
              </w:rPr>
              <w:t xml:space="preserve">Specifické naplňování na národní úrovni </w:t>
            </w:r>
            <w:r w:rsidR="00A0467F" w:rsidRPr="00DD47DF">
              <w:rPr>
                <w:rFonts w:cs="Calibri"/>
              </w:rPr>
              <w:t>-  viz Příloha II</w:t>
            </w:r>
            <w:r w:rsidRPr="00DD47DF">
              <w:rPr>
                <w:rFonts w:cs="Calibri"/>
              </w:rPr>
              <w:t>.</w:t>
            </w:r>
          </w:p>
        </w:tc>
      </w:tr>
      <w:tr w:rsidR="00790A0D" w:rsidRPr="00DD47DF" w14:paraId="50163E0E" w14:textId="77777777" w:rsidTr="006D2F5F">
        <w:tc>
          <w:tcPr>
            <w:tcW w:w="1752" w:type="dxa"/>
            <w:vMerge/>
            <w:shd w:val="clear" w:color="auto" w:fill="auto"/>
          </w:tcPr>
          <w:p w14:paraId="5DC50812" w14:textId="77777777" w:rsidR="00790A0D" w:rsidRPr="00DD47DF" w:rsidRDefault="00790A0D" w:rsidP="006D2F5F">
            <w:pPr>
              <w:pStyle w:val="Tabulka"/>
              <w:jc w:val="left"/>
              <w:rPr>
                <w:rFonts w:cs="Calibri"/>
                <w:b/>
              </w:rPr>
            </w:pPr>
          </w:p>
        </w:tc>
        <w:tc>
          <w:tcPr>
            <w:tcW w:w="1701" w:type="dxa"/>
            <w:vMerge/>
            <w:shd w:val="clear" w:color="auto" w:fill="auto"/>
          </w:tcPr>
          <w:p w14:paraId="6AD386E2" w14:textId="77777777" w:rsidR="00790A0D" w:rsidRPr="00DD47DF" w:rsidRDefault="00790A0D" w:rsidP="006D2F5F">
            <w:pPr>
              <w:pStyle w:val="Tabulka"/>
              <w:jc w:val="left"/>
              <w:rPr>
                <w:rFonts w:cs="Calibri"/>
              </w:rPr>
            </w:pPr>
          </w:p>
        </w:tc>
        <w:tc>
          <w:tcPr>
            <w:tcW w:w="1276" w:type="dxa"/>
            <w:vMerge/>
            <w:shd w:val="clear" w:color="auto" w:fill="auto"/>
          </w:tcPr>
          <w:p w14:paraId="4FEA7EF7" w14:textId="77777777" w:rsidR="00790A0D" w:rsidRPr="00DD47DF" w:rsidRDefault="00790A0D" w:rsidP="006D2F5F">
            <w:pPr>
              <w:pStyle w:val="Tabulka"/>
              <w:jc w:val="left"/>
              <w:rPr>
                <w:rFonts w:cs="Calibri"/>
              </w:rPr>
            </w:pPr>
          </w:p>
        </w:tc>
        <w:tc>
          <w:tcPr>
            <w:tcW w:w="1843" w:type="dxa"/>
            <w:shd w:val="clear" w:color="auto" w:fill="auto"/>
          </w:tcPr>
          <w:p w14:paraId="7215B51A" w14:textId="77777777" w:rsidR="00790A0D" w:rsidRPr="00DD47DF" w:rsidRDefault="00790A0D" w:rsidP="006D2F5F">
            <w:pPr>
              <w:pStyle w:val="Tabulka"/>
              <w:jc w:val="left"/>
              <w:rPr>
                <w:rFonts w:cs="Calibri"/>
              </w:rPr>
            </w:pPr>
            <w:r w:rsidRPr="00DD47DF">
              <w:rPr>
                <w:rFonts w:cs="Calibri"/>
              </w:rPr>
              <w:t xml:space="preserve">Opatření k zajištění správní kapacity pro provádění a uplatňování právních předpisů Unie o státních </w:t>
            </w:r>
            <w:r w:rsidRPr="00DD47DF">
              <w:rPr>
                <w:rFonts w:cs="Calibri"/>
              </w:rPr>
              <w:lastRenderedPageBreak/>
              <w:t>podporách</w:t>
            </w:r>
          </w:p>
        </w:tc>
        <w:tc>
          <w:tcPr>
            <w:tcW w:w="1134" w:type="dxa"/>
            <w:shd w:val="clear" w:color="auto" w:fill="auto"/>
          </w:tcPr>
          <w:p w14:paraId="45D18B73" w14:textId="77777777" w:rsidR="00790A0D" w:rsidRPr="00DD47DF" w:rsidRDefault="00A0467F" w:rsidP="006D2F5F">
            <w:pPr>
              <w:pStyle w:val="Tabulka"/>
              <w:jc w:val="left"/>
              <w:rPr>
                <w:rFonts w:cs="Calibri"/>
              </w:rPr>
            </w:pPr>
            <w:r w:rsidRPr="00DD47DF">
              <w:rPr>
                <w:rFonts w:cs="Calibri"/>
              </w:rPr>
              <w:lastRenderedPageBreak/>
              <w:t>ne</w:t>
            </w:r>
          </w:p>
        </w:tc>
        <w:tc>
          <w:tcPr>
            <w:tcW w:w="2126" w:type="dxa"/>
            <w:shd w:val="clear" w:color="auto" w:fill="auto"/>
          </w:tcPr>
          <w:p w14:paraId="12DF8EED" w14:textId="77777777" w:rsidR="00790A0D" w:rsidRPr="00DD47DF" w:rsidRDefault="00013622" w:rsidP="006D2F5F">
            <w:pPr>
              <w:pStyle w:val="Tabulka"/>
              <w:jc w:val="left"/>
            </w:pPr>
            <w:hyperlink r:id="rId93" w:history="1">
              <w:r w:rsidR="00790A0D" w:rsidRPr="00DD47DF">
                <w:rPr>
                  <w:rStyle w:val="Hypertextovodkaz"/>
                </w:rPr>
                <w:t>www.compet.cz</w:t>
              </w:r>
            </w:hyperlink>
          </w:p>
          <w:p w14:paraId="257ACCE7" w14:textId="77777777" w:rsidR="00790A0D" w:rsidRPr="00DD47DF" w:rsidRDefault="00013622" w:rsidP="006D2F5F">
            <w:pPr>
              <w:pStyle w:val="Tabulka"/>
              <w:jc w:val="left"/>
            </w:pPr>
            <w:hyperlink r:id="rId94" w:history="1">
              <w:r w:rsidR="00790A0D" w:rsidRPr="00DD47DF">
                <w:rPr>
                  <w:rStyle w:val="Hypertextovodkaz"/>
                </w:rPr>
                <w:t>www.mze.cz</w:t>
              </w:r>
            </w:hyperlink>
          </w:p>
          <w:p w14:paraId="7313733C" w14:textId="77777777" w:rsidR="00790A0D" w:rsidRPr="00DD47DF" w:rsidRDefault="00013622" w:rsidP="006D2F5F">
            <w:pPr>
              <w:pStyle w:val="Tabulka"/>
              <w:jc w:val="left"/>
              <w:rPr>
                <w:rFonts w:cs="Calibri"/>
              </w:rPr>
            </w:pPr>
            <w:hyperlink r:id="rId95" w:history="1">
              <w:r w:rsidR="00790A0D" w:rsidRPr="00DD47DF">
                <w:rPr>
                  <w:rStyle w:val="Hypertextovodkaz"/>
                </w:rPr>
                <w:t>www.strukturalni-fondy.cz</w:t>
              </w:r>
            </w:hyperlink>
          </w:p>
          <w:p w14:paraId="4C38C347" w14:textId="77777777" w:rsidR="00790A0D" w:rsidRPr="00DD47DF" w:rsidRDefault="00790A0D" w:rsidP="006D2F5F">
            <w:pPr>
              <w:pStyle w:val="Tabulka"/>
              <w:jc w:val="left"/>
              <w:rPr>
                <w:rFonts w:cs="Calibri"/>
              </w:rPr>
            </w:pPr>
          </w:p>
          <w:p w14:paraId="38A845A6" w14:textId="77777777" w:rsidR="00790A0D" w:rsidRPr="00DD47DF" w:rsidRDefault="00790A0D" w:rsidP="006D2F5F">
            <w:pPr>
              <w:pStyle w:val="Tabulka"/>
              <w:jc w:val="left"/>
              <w:rPr>
                <w:rFonts w:cs="Calibri"/>
              </w:rPr>
            </w:pPr>
          </w:p>
          <w:p w14:paraId="2A84B664" w14:textId="77777777" w:rsidR="00790A0D" w:rsidRPr="00DD47DF" w:rsidRDefault="00790A0D" w:rsidP="006D2F5F">
            <w:pPr>
              <w:pStyle w:val="Tabulka"/>
              <w:jc w:val="left"/>
              <w:rPr>
                <w:rFonts w:cs="Calibri"/>
              </w:rPr>
            </w:pPr>
          </w:p>
        </w:tc>
        <w:tc>
          <w:tcPr>
            <w:tcW w:w="4394" w:type="dxa"/>
            <w:shd w:val="clear" w:color="auto" w:fill="auto"/>
          </w:tcPr>
          <w:p w14:paraId="4055DFF0" w14:textId="77777777" w:rsidR="00D725AE" w:rsidRPr="00DD47DF" w:rsidRDefault="00D725AE" w:rsidP="006D2F5F">
            <w:pPr>
              <w:pStyle w:val="Tabulka"/>
              <w:jc w:val="left"/>
              <w:rPr>
                <w:rFonts w:cs="Calibri"/>
              </w:rPr>
            </w:pPr>
            <w:r w:rsidRPr="00DD47DF">
              <w:rPr>
                <w:rFonts w:cs="Calibri"/>
              </w:rPr>
              <w:lastRenderedPageBreak/>
              <w:t xml:space="preserve">Gestor PP: Plnění </w:t>
            </w:r>
            <w:r w:rsidR="000529F1" w:rsidRPr="00DD47DF">
              <w:rPr>
                <w:rFonts w:cs="Calibri"/>
              </w:rPr>
              <w:t>ČÁSTEČNĚ</w:t>
            </w:r>
          </w:p>
          <w:p w14:paraId="397CCA36" w14:textId="77777777" w:rsidR="001D4563" w:rsidRPr="00DD47DF" w:rsidRDefault="00D725AE" w:rsidP="00D725AE">
            <w:pPr>
              <w:pStyle w:val="DAVA"/>
              <w:rPr>
                <w:sz w:val="22"/>
                <w:szCs w:val="22"/>
              </w:rPr>
            </w:pPr>
            <w:r w:rsidRPr="00DD47DF">
              <w:rPr>
                <w:rFonts w:ascii="Times New Roman" w:hAnsi="Times New Roman"/>
                <w:sz w:val="22"/>
                <w:szCs w:val="22"/>
              </w:rPr>
              <w:t>Centrálním koord. orgánem pro VP je ÚOHS</w:t>
            </w:r>
            <w:r w:rsidR="001D4563" w:rsidRPr="00DD47DF">
              <w:rPr>
                <w:rFonts w:ascii="Times New Roman" w:hAnsi="Times New Roman"/>
                <w:sz w:val="22"/>
                <w:szCs w:val="22"/>
              </w:rPr>
              <w:t>/</w:t>
            </w:r>
            <w:r w:rsidRPr="00DD47DF">
              <w:rPr>
                <w:rFonts w:ascii="Times New Roman" w:hAnsi="Times New Roman"/>
                <w:sz w:val="22"/>
                <w:szCs w:val="22"/>
              </w:rPr>
              <w:t>, MZe (zákon č. 215/2004 Sb.). Koord. a poradním orgánem pro řídící orgány v oblasti VP ESI je MMR-NOK</w:t>
            </w:r>
            <w:r w:rsidRPr="00DD47DF">
              <w:rPr>
                <w:sz w:val="22"/>
                <w:szCs w:val="22"/>
              </w:rPr>
              <w:t>.</w:t>
            </w:r>
          </w:p>
          <w:p w14:paraId="03665329" w14:textId="77777777" w:rsidR="00D725AE" w:rsidRPr="00DD47DF" w:rsidRDefault="001D4563" w:rsidP="00D725AE">
            <w:pPr>
              <w:pStyle w:val="DAVA"/>
              <w:rPr>
                <w:rFonts w:ascii="Times New Roman" w:hAnsi="Times New Roman"/>
                <w:sz w:val="22"/>
                <w:szCs w:val="22"/>
              </w:rPr>
            </w:pPr>
            <w:r w:rsidRPr="00DD47DF">
              <w:rPr>
                <w:rFonts w:ascii="Times New Roman" w:hAnsi="Times New Roman"/>
                <w:sz w:val="22"/>
                <w:szCs w:val="22"/>
              </w:rPr>
              <w:t xml:space="preserve">Vydáno Metodické doporučení pro </w:t>
            </w:r>
            <w:r w:rsidRPr="00DD47DF">
              <w:rPr>
                <w:rFonts w:ascii="Times New Roman" w:hAnsi="Times New Roman"/>
                <w:sz w:val="22"/>
                <w:szCs w:val="22"/>
              </w:rPr>
              <w:lastRenderedPageBreak/>
              <w:t xml:space="preserve">implementaci finančních nástrojů </w:t>
            </w:r>
            <w:r w:rsidR="00113F8F">
              <w:rPr>
                <w:rFonts w:ascii="Times New Roman" w:hAnsi="Times New Roman"/>
                <w:sz w:val="22"/>
                <w:szCs w:val="22"/>
              </w:rPr>
              <w:t>v programovém období 2014-2020.</w:t>
            </w:r>
          </w:p>
          <w:p w14:paraId="079101B2" w14:textId="77777777" w:rsidR="00D725AE" w:rsidRPr="00DD47DF" w:rsidRDefault="00D725AE" w:rsidP="00D725AE">
            <w:pPr>
              <w:pStyle w:val="Tabulka"/>
              <w:jc w:val="left"/>
            </w:pPr>
            <w:r w:rsidRPr="00DD47DF">
              <w:t>MMR-NOK (ve spol. s ÚOHS) vydává metodické dokumenty k VP.</w:t>
            </w:r>
          </w:p>
          <w:p w14:paraId="60FACD2C" w14:textId="77777777" w:rsidR="00D725AE" w:rsidRPr="00DD47DF" w:rsidRDefault="00D725AE" w:rsidP="006D2F5F">
            <w:pPr>
              <w:pStyle w:val="Tabulka"/>
              <w:jc w:val="left"/>
            </w:pPr>
            <w:r w:rsidRPr="00DD47DF">
              <w:t xml:space="preserve">ŘO: plnění </w:t>
            </w:r>
            <w:r w:rsidR="00706AA1">
              <w:t>ČÁSTEČNĚ</w:t>
            </w:r>
          </w:p>
          <w:p w14:paraId="109E0414" w14:textId="77777777" w:rsidR="006C26E7" w:rsidRPr="00DD47DF" w:rsidRDefault="00D725AE" w:rsidP="006D2F5F">
            <w:pPr>
              <w:pStyle w:val="Tabulka"/>
              <w:jc w:val="left"/>
              <w:rPr>
                <w:rFonts w:cs="Calibri"/>
              </w:rPr>
            </w:pPr>
            <w:r w:rsidRPr="00DD47DF">
              <w:rPr>
                <w:rFonts w:cs="Calibri"/>
              </w:rPr>
              <w:t>V</w:t>
            </w:r>
            <w:r w:rsidR="00790A0D" w:rsidRPr="00DD47DF">
              <w:rPr>
                <w:rFonts w:cs="Calibri"/>
              </w:rPr>
              <w:t xml:space="preserve"> rámci ŘO OP PIK v současné době správní kapacita zajištěna</w:t>
            </w:r>
            <w:r w:rsidR="00723FE7" w:rsidRPr="00DD47DF">
              <w:rPr>
                <w:rFonts w:cs="Calibri"/>
              </w:rPr>
              <w:t xml:space="preserve">, agendu zajišťují 2 pracovníci ŘO  a 1 pracovník </w:t>
            </w:r>
            <w:r w:rsidR="00A11F27" w:rsidRPr="00DD47DF">
              <w:rPr>
                <w:rFonts w:cs="Calibri"/>
              </w:rPr>
              <w:t xml:space="preserve">zprostředkujícího subjektu. </w:t>
            </w:r>
            <w:r w:rsidR="00790A0D" w:rsidRPr="00DD47DF">
              <w:rPr>
                <w:rFonts w:cs="Calibri"/>
              </w:rPr>
              <w:t xml:space="preserve">Agenda je v gesci oddělení </w:t>
            </w:r>
            <w:r w:rsidR="00291940">
              <w:rPr>
                <w:rFonts w:cs="Calibri"/>
              </w:rPr>
              <w:t>OP</w:t>
            </w:r>
            <w:r w:rsidR="00790A0D" w:rsidRPr="00DD47DF">
              <w:rPr>
                <w:rFonts w:cs="Calibri"/>
              </w:rPr>
              <w:t xml:space="preserve">, veřejné podpory a evaluace. Oblast je zajišťována stabilním týmem kvalifikovaných zaměstnanců. </w:t>
            </w:r>
            <w:r w:rsidRPr="00DD47DF">
              <w:rPr>
                <w:rFonts w:cs="Calibri"/>
              </w:rPr>
              <w:t>Tito p</w:t>
            </w:r>
            <w:r w:rsidR="00790A0D" w:rsidRPr="00DD47DF">
              <w:rPr>
                <w:rFonts w:cs="Calibri"/>
              </w:rPr>
              <w:t xml:space="preserve">racovníci metodicky řídí pracovníky </w:t>
            </w:r>
            <w:r w:rsidR="00723FE7" w:rsidRPr="00DD47DF">
              <w:rPr>
                <w:rFonts w:cs="Calibri"/>
              </w:rPr>
              <w:t>ZS</w:t>
            </w:r>
            <w:r w:rsidR="00790A0D" w:rsidRPr="00DD47DF">
              <w:rPr>
                <w:rFonts w:cs="Calibri"/>
              </w:rPr>
              <w:t>,</w:t>
            </w:r>
          </w:p>
          <w:p w14:paraId="190F26BE" w14:textId="77777777" w:rsidR="00790A0D" w:rsidRPr="00DD47DF" w:rsidRDefault="00790A0D" w:rsidP="006D2F5F">
            <w:pPr>
              <w:pStyle w:val="Tabulka"/>
              <w:jc w:val="left"/>
              <w:rPr>
                <w:rFonts w:cs="Calibri"/>
              </w:rPr>
            </w:pPr>
            <w:r w:rsidRPr="00DD47DF">
              <w:rPr>
                <w:rFonts w:cs="Calibri"/>
              </w:rPr>
              <w:t xml:space="preserve">kteří jsou pověření agendou </w:t>
            </w:r>
            <w:r w:rsidR="00723FE7" w:rsidRPr="00DD47DF">
              <w:rPr>
                <w:rFonts w:cs="Calibri"/>
              </w:rPr>
              <w:t>VP</w:t>
            </w:r>
            <w:r w:rsidRPr="00DD47DF">
              <w:rPr>
                <w:rFonts w:cs="Calibri"/>
              </w:rPr>
              <w:t xml:space="preserve"> a poskytují v případě potřeby ad hoc konzultace pracovníkům </w:t>
            </w:r>
            <w:r w:rsidR="00723FE7" w:rsidRPr="00DD47DF">
              <w:rPr>
                <w:rFonts w:cs="Calibri"/>
              </w:rPr>
              <w:t>IS</w:t>
            </w:r>
            <w:r w:rsidRPr="00DD47DF">
              <w:rPr>
                <w:rFonts w:cs="Calibri"/>
              </w:rPr>
              <w:t xml:space="preserve">. Stejný mechanismus bude aplikován i v případě OP PIK. </w:t>
            </w:r>
            <w:r w:rsidR="00431068" w:rsidRPr="00DD47DF">
              <w:rPr>
                <w:rFonts w:cs="Calibri"/>
              </w:rPr>
              <w:t>Na základě řízení lidských zdrojů a plánování administrativní kapacity může být případně kapacita pro zajištění uplatňování předpisů pro veřejnou podporu posílena.</w:t>
            </w:r>
          </w:p>
          <w:p w14:paraId="754E18B1" w14:textId="77777777" w:rsidR="00F1796E" w:rsidRPr="00DD47DF" w:rsidRDefault="00736B68" w:rsidP="00736B68">
            <w:pPr>
              <w:pStyle w:val="Tabulka"/>
              <w:jc w:val="left"/>
              <w:rPr>
                <w:rFonts w:cs="Calibri"/>
              </w:rPr>
            </w:pPr>
            <w:r w:rsidRPr="00DD47DF">
              <w:rPr>
                <w:rFonts w:cs="Calibri"/>
              </w:rPr>
              <w:t>V</w:t>
            </w:r>
            <w:r w:rsidR="00F1796E" w:rsidRPr="00DD47DF">
              <w:rPr>
                <w:rFonts w:cs="Calibri"/>
              </w:rPr>
              <w:t>iz Příloha II.</w:t>
            </w:r>
          </w:p>
        </w:tc>
      </w:tr>
      <w:tr w:rsidR="00790A0D" w:rsidRPr="00DD47DF" w14:paraId="52959726" w14:textId="77777777" w:rsidTr="006D2F5F">
        <w:tc>
          <w:tcPr>
            <w:tcW w:w="1752" w:type="dxa"/>
            <w:vMerge w:val="restart"/>
            <w:shd w:val="clear" w:color="auto" w:fill="auto"/>
          </w:tcPr>
          <w:p w14:paraId="00576D64" w14:textId="77777777" w:rsidR="00790A0D" w:rsidRPr="00DD47DF" w:rsidRDefault="00790A0D" w:rsidP="006D2F5F">
            <w:pPr>
              <w:pStyle w:val="Tabulka"/>
              <w:jc w:val="left"/>
              <w:rPr>
                <w:rFonts w:cs="Calibri"/>
                <w:b/>
              </w:rPr>
            </w:pPr>
            <w:r w:rsidRPr="00DD47DF">
              <w:rPr>
                <w:rFonts w:cs="Calibri"/>
                <w:b/>
              </w:rPr>
              <w:lastRenderedPageBreak/>
              <w:t xml:space="preserve">Existence opatření pro účinné uplatňování právních předpisů Unie </w:t>
            </w:r>
            <w:r w:rsidRPr="00DD47DF">
              <w:rPr>
                <w:rFonts w:cs="Calibri"/>
                <w:b/>
              </w:rPr>
              <w:lastRenderedPageBreak/>
              <w:t xml:space="preserve">pro oblast životního prostředí týkajících se EIA a SEA. </w:t>
            </w:r>
          </w:p>
          <w:p w14:paraId="350C41B0" w14:textId="77777777" w:rsidR="00790A0D" w:rsidRPr="00DD47DF" w:rsidRDefault="00790A0D" w:rsidP="006D2F5F">
            <w:pPr>
              <w:pStyle w:val="Tabulka"/>
              <w:jc w:val="left"/>
              <w:rPr>
                <w:rFonts w:cs="Calibri"/>
                <w:b/>
              </w:rPr>
            </w:pPr>
          </w:p>
          <w:p w14:paraId="3240C4CC" w14:textId="77777777" w:rsidR="00790A0D" w:rsidRPr="00DD47DF" w:rsidRDefault="00790A0D" w:rsidP="006D2F5F">
            <w:pPr>
              <w:pStyle w:val="Tabulka"/>
              <w:jc w:val="left"/>
              <w:rPr>
                <w:rFonts w:cs="Calibri"/>
                <w:b/>
              </w:rPr>
            </w:pPr>
          </w:p>
          <w:p w14:paraId="79CA8F63" w14:textId="77777777" w:rsidR="00790A0D" w:rsidRPr="00DD47DF" w:rsidRDefault="00790A0D" w:rsidP="006D2F5F">
            <w:pPr>
              <w:pStyle w:val="Tabulka"/>
              <w:jc w:val="left"/>
              <w:rPr>
                <w:rFonts w:cs="Calibri"/>
                <w:b/>
              </w:rPr>
            </w:pPr>
          </w:p>
          <w:p w14:paraId="6AEBBB87" w14:textId="77777777" w:rsidR="00790A0D" w:rsidRPr="00DD47DF" w:rsidRDefault="00790A0D" w:rsidP="006D2F5F">
            <w:pPr>
              <w:pStyle w:val="Tabulka"/>
              <w:jc w:val="left"/>
              <w:rPr>
                <w:rFonts w:cs="Calibri"/>
                <w:b/>
              </w:rPr>
            </w:pPr>
          </w:p>
          <w:p w14:paraId="70861FE7" w14:textId="77777777" w:rsidR="00790A0D" w:rsidRPr="00DD47DF" w:rsidRDefault="00790A0D" w:rsidP="006D2F5F">
            <w:pPr>
              <w:pStyle w:val="Tabulka"/>
              <w:jc w:val="left"/>
              <w:rPr>
                <w:rFonts w:cs="Calibri"/>
                <w:b/>
              </w:rPr>
            </w:pPr>
          </w:p>
          <w:p w14:paraId="6482D67B" w14:textId="77777777" w:rsidR="00790A0D" w:rsidRPr="00DD47DF" w:rsidRDefault="00790A0D" w:rsidP="006D2F5F">
            <w:pPr>
              <w:pStyle w:val="Tabulka"/>
              <w:jc w:val="left"/>
              <w:rPr>
                <w:rFonts w:cs="Calibri"/>
                <w:b/>
              </w:rPr>
            </w:pPr>
          </w:p>
          <w:p w14:paraId="0A6B0660" w14:textId="77777777" w:rsidR="00790A0D" w:rsidRPr="00DD47DF" w:rsidRDefault="00790A0D" w:rsidP="006D2F5F">
            <w:pPr>
              <w:pStyle w:val="Tabulka"/>
              <w:jc w:val="left"/>
              <w:rPr>
                <w:rFonts w:cs="Calibri"/>
                <w:b/>
              </w:rPr>
            </w:pPr>
          </w:p>
          <w:p w14:paraId="46E0549C" w14:textId="77777777" w:rsidR="00790A0D" w:rsidRPr="00DD47DF" w:rsidRDefault="00790A0D" w:rsidP="006D2F5F">
            <w:pPr>
              <w:pStyle w:val="Tabulka"/>
              <w:jc w:val="left"/>
              <w:rPr>
                <w:rFonts w:cs="Calibri"/>
                <w:b/>
              </w:rPr>
            </w:pPr>
          </w:p>
          <w:p w14:paraId="271AC64E" w14:textId="77777777" w:rsidR="00790A0D" w:rsidRPr="00DD47DF" w:rsidRDefault="00790A0D" w:rsidP="006D2F5F">
            <w:pPr>
              <w:pStyle w:val="Tabulka"/>
              <w:jc w:val="left"/>
              <w:rPr>
                <w:rFonts w:cs="Calibri"/>
                <w:b/>
              </w:rPr>
            </w:pPr>
          </w:p>
          <w:p w14:paraId="49366BD0" w14:textId="77777777" w:rsidR="00790A0D" w:rsidRPr="00DD47DF" w:rsidRDefault="00790A0D" w:rsidP="006D2F5F">
            <w:pPr>
              <w:pStyle w:val="Tabulka"/>
              <w:jc w:val="left"/>
              <w:rPr>
                <w:rFonts w:cs="Calibri"/>
                <w:b/>
              </w:rPr>
            </w:pPr>
          </w:p>
          <w:p w14:paraId="47D2DD5C" w14:textId="77777777" w:rsidR="00790A0D" w:rsidRPr="00DD47DF" w:rsidRDefault="00790A0D" w:rsidP="006D2F5F">
            <w:pPr>
              <w:pStyle w:val="Tabulka"/>
              <w:jc w:val="left"/>
              <w:rPr>
                <w:rFonts w:cs="Calibri"/>
                <w:b/>
              </w:rPr>
            </w:pPr>
          </w:p>
          <w:p w14:paraId="7F82E13E" w14:textId="77777777" w:rsidR="00790A0D" w:rsidRPr="00DD47DF" w:rsidRDefault="00790A0D" w:rsidP="006D2F5F">
            <w:pPr>
              <w:pStyle w:val="Tabulka"/>
              <w:jc w:val="left"/>
              <w:rPr>
                <w:rFonts w:cs="Calibri"/>
                <w:b/>
              </w:rPr>
            </w:pPr>
          </w:p>
        </w:tc>
        <w:tc>
          <w:tcPr>
            <w:tcW w:w="1701" w:type="dxa"/>
            <w:vMerge w:val="restart"/>
            <w:shd w:val="clear" w:color="auto" w:fill="auto"/>
          </w:tcPr>
          <w:p w14:paraId="5B080B05" w14:textId="77777777" w:rsidR="00790A0D" w:rsidRPr="00DD47DF" w:rsidRDefault="00790A0D" w:rsidP="006D2F5F">
            <w:pPr>
              <w:pStyle w:val="Tabulka"/>
              <w:jc w:val="left"/>
              <w:rPr>
                <w:rFonts w:cs="Calibri"/>
              </w:rPr>
            </w:pPr>
            <w:r w:rsidRPr="00DD47DF">
              <w:rPr>
                <w:rFonts w:cs="Calibri"/>
              </w:rPr>
              <w:lastRenderedPageBreak/>
              <w:t xml:space="preserve">PO3 - Účinné nakládání energií, rozvoj energetické infrastruktury a obnovitelných </w:t>
            </w:r>
            <w:r w:rsidRPr="00DD47DF">
              <w:rPr>
                <w:rFonts w:cs="Calibri"/>
              </w:rPr>
              <w:lastRenderedPageBreak/>
              <w:t>zdrojů energie, podpora zavádění nových technologií v oblasti nakládání energií a druhotných surovin</w:t>
            </w:r>
          </w:p>
          <w:p w14:paraId="5E9BB6A0" w14:textId="77777777" w:rsidR="00790A0D" w:rsidRPr="00DD47DF" w:rsidRDefault="00790A0D" w:rsidP="006D2F5F">
            <w:pPr>
              <w:pStyle w:val="Tabulka"/>
              <w:jc w:val="left"/>
              <w:rPr>
                <w:rFonts w:cs="Calibri"/>
              </w:rPr>
            </w:pPr>
          </w:p>
          <w:p w14:paraId="16BA02FA" w14:textId="77777777" w:rsidR="00790A0D" w:rsidRPr="00DD47DF" w:rsidRDefault="00790A0D" w:rsidP="006D2F5F">
            <w:pPr>
              <w:pStyle w:val="Tabulka"/>
              <w:jc w:val="left"/>
              <w:rPr>
                <w:rFonts w:cs="Calibri"/>
              </w:rPr>
            </w:pPr>
            <w:r w:rsidRPr="00DD47DF">
              <w:rPr>
                <w:rFonts w:cs="Calibri"/>
              </w:rPr>
              <w:t xml:space="preserve">a částečně: </w:t>
            </w:r>
          </w:p>
          <w:p w14:paraId="7910E50B" w14:textId="77777777" w:rsidR="00790A0D" w:rsidRPr="00DD47DF" w:rsidRDefault="00790A0D" w:rsidP="006D2F5F">
            <w:pPr>
              <w:pStyle w:val="Tabulka"/>
              <w:jc w:val="left"/>
              <w:rPr>
                <w:rFonts w:cs="Calibri"/>
              </w:rPr>
            </w:pPr>
            <w:r w:rsidRPr="00DD47DF">
              <w:rPr>
                <w:rFonts w:cs="Calibri"/>
              </w:rPr>
              <w:t>PO1 - Rozvoj výzkumu a vývoje pro inovace</w:t>
            </w:r>
          </w:p>
          <w:p w14:paraId="182FC7FE" w14:textId="77777777" w:rsidR="00790A0D" w:rsidRPr="00DD47DF" w:rsidRDefault="00790A0D" w:rsidP="006D2F5F">
            <w:pPr>
              <w:pStyle w:val="Tabulka"/>
              <w:jc w:val="left"/>
              <w:rPr>
                <w:rFonts w:cs="Calibri"/>
              </w:rPr>
            </w:pPr>
            <w:r w:rsidRPr="00DD47DF">
              <w:rPr>
                <w:rFonts w:cs="Calibri"/>
              </w:rPr>
              <w:t>PO2 - Rozvoj podnikání a konkurenceschopnosti malých a středních podniků</w:t>
            </w:r>
          </w:p>
          <w:p w14:paraId="7C180B73" w14:textId="77777777" w:rsidR="00790A0D" w:rsidRPr="00DD47DF" w:rsidRDefault="00790A0D" w:rsidP="006D2F5F">
            <w:pPr>
              <w:pStyle w:val="Tabulka"/>
              <w:jc w:val="left"/>
              <w:rPr>
                <w:rFonts w:cs="Calibri"/>
              </w:rPr>
            </w:pPr>
            <w:r w:rsidRPr="00DD47DF">
              <w:rPr>
                <w:rFonts w:cs="Calibri"/>
              </w:rPr>
              <w:t>PO4 - Rozvoj vysokorychlostních přístupových sítí k internetu a informačních a komunikačních technologií</w:t>
            </w:r>
          </w:p>
        </w:tc>
        <w:tc>
          <w:tcPr>
            <w:tcW w:w="1276" w:type="dxa"/>
            <w:vMerge w:val="restart"/>
            <w:shd w:val="clear" w:color="auto" w:fill="auto"/>
          </w:tcPr>
          <w:p w14:paraId="417C331D" w14:textId="77777777" w:rsidR="00790A0D" w:rsidRPr="00DD47DF" w:rsidRDefault="000634EB" w:rsidP="006D2F5F">
            <w:pPr>
              <w:pStyle w:val="Tabulka"/>
              <w:jc w:val="left"/>
              <w:rPr>
                <w:rFonts w:cs="Calibri"/>
              </w:rPr>
            </w:pPr>
            <w:r w:rsidRPr="00DD47DF">
              <w:rPr>
                <w:rFonts w:cs="Calibri"/>
              </w:rPr>
              <w:lastRenderedPageBreak/>
              <w:t>Ano</w:t>
            </w:r>
          </w:p>
          <w:p w14:paraId="54C1AE95" w14:textId="77777777" w:rsidR="00790A0D" w:rsidRPr="00DD47DF" w:rsidRDefault="00790A0D" w:rsidP="006D2F5F">
            <w:pPr>
              <w:pStyle w:val="Tabulka"/>
              <w:jc w:val="left"/>
              <w:rPr>
                <w:rFonts w:cs="Calibri"/>
              </w:rPr>
            </w:pPr>
          </w:p>
          <w:p w14:paraId="25537C2C" w14:textId="77777777" w:rsidR="00790A0D" w:rsidRPr="00DD47DF" w:rsidRDefault="00790A0D" w:rsidP="006D2F5F">
            <w:pPr>
              <w:pStyle w:val="Tabulka"/>
              <w:jc w:val="left"/>
              <w:rPr>
                <w:rFonts w:cs="Calibri"/>
              </w:rPr>
            </w:pPr>
          </w:p>
          <w:p w14:paraId="0ECF68FF" w14:textId="77777777" w:rsidR="00790A0D" w:rsidRPr="00DD47DF" w:rsidRDefault="00790A0D" w:rsidP="006D2F5F">
            <w:pPr>
              <w:pStyle w:val="Tabulka"/>
              <w:jc w:val="left"/>
              <w:rPr>
                <w:rFonts w:cs="Calibri"/>
              </w:rPr>
            </w:pPr>
          </w:p>
          <w:p w14:paraId="45FBBD47" w14:textId="77777777" w:rsidR="00790A0D" w:rsidRPr="00DD47DF" w:rsidRDefault="00790A0D" w:rsidP="006D2F5F">
            <w:pPr>
              <w:pStyle w:val="Tabulka"/>
              <w:jc w:val="left"/>
              <w:rPr>
                <w:rFonts w:cs="Calibri"/>
              </w:rPr>
            </w:pPr>
          </w:p>
          <w:p w14:paraId="659920EF" w14:textId="77777777" w:rsidR="00790A0D" w:rsidRPr="00DD47DF" w:rsidRDefault="00790A0D" w:rsidP="006D2F5F">
            <w:pPr>
              <w:pStyle w:val="Tabulka"/>
              <w:jc w:val="left"/>
              <w:rPr>
                <w:rFonts w:cs="Calibri"/>
              </w:rPr>
            </w:pPr>
          </w:p>
          <w:p w14:paraId="3E91705A" w14:textId="77777777" w:rsidR="00790A0D" w:rsidRPr="00DD47DF" w:rsidRDefault="00790A0D" w:rsidP="006D2F5F">
            <w:pPr>
              <w:pStyle w:val="Tabulka"/>
              <w:jc w:val="left"/>
              <w:rPr>
                <w:rFonts w:cs="Calibri"/>
              </w:rPr>
            </w:pPr>
          </w:p>
          <w:p w14:paraId="6C900C60" w14:textId="77777777" w:rsidR="00790A0D" w:rsidRPr="00DD47DF" w:rsidRDefault="00790A0D" w:rsidP="006D2F5F">
            <w:pPr>
              <w:pStyle w:val="Tabulka"/>
              <w:jc w:val="left"/>
              <w:rPr>
                <w:rFonts w:cs="Calibri"/>
              </w:rPr>
            </w:pPr>
          </w:p>
          <w:p w14:paraId="6D37BD5A" w14:textId="77777777" w:rsidR="00790A0D" w:rsidRPr="00DD47DF" w:rsidRDefault="00790A0D" w:rsidP="006D2F5F">
            <w:pPr>
              <w:pStyle w:val="Tabulka"/>
              <w:jc w:val="left"/>
              <w:rPr>
                <w:rFonts w:cs="Calibri"/>
              </w:rPr>
            </w:pPr>
          </w:p>
          <w:p w14:paraId="0E6816EA" w14:textId="77777777" w:rsidR="00790A0D" w:rsidRPr="00DD47DF" w:rsidRDefault="00790A0D" w:rsidP="006D2F5F">
            <w:pPr>
              <w:pStyle w:val="Tabulka"/>
              <w:jc w:val="left"/>
              <w:rPr>
                <w:rFonts w:cs="Calibri"/>
              </w:rPr>
            </w:pPr>
          </w:p>
          <w:p w14:paraId="4A43D42B" w14:textId="77777777" w:rsidR="00790A0D" w:rsidRPr="00DD47DF" w:rsidRDefault="00790A0D" w:rsidP="006D2F5F">
            <w:pPr>
              <w:pStyle w:val="Tabulka"/>
              <w:jc w:val="left"/>
              <w:rPr>
                <w:rFonts w:cs="Calibri"/>
              </w:rPr>
            </w:pPr>
          </w:p>
          <w:p w14:paraId="272F4233" w14:textId="77777777" w:rsidR="00790A0D" w:rsidRPr="00DD47DF" w:rsidRDefault="00790A0D" w:rsidP="006D2F5F">
            <w:pPr>
              <w:pStyle w:val="Tabulka"/>
              <w:jc w:val="left"/>
              <w:rPr>
                <w:rFonts w:cs="Calibri"/>
              </w:rPr>
            </w:pPr>
          </w:p>
          <w:p w14:paraId="5B0B6A6E" w14:textId="77777777" w:rsidR="00790A0D" w:rsidRPr="00DD47DF" w:rsidRDefault="00790A0D" w:rsidP="006D2F5F">
            <w:pPr>
              <w:pStyle w:val="Tabulka"/>
              <w:jc w:val="left"/>
              <w:rPr>
                <w:rFonts w:cs="Calibri"/>
              </w:rPr>
            </w:pPr>
          </w:p>
          <w:p w14:paraId="5FFED7E0" w14:textId="77777777" w:rsidR="00790A0D" w:rsidRPr="00DD47DF" w:rsidRDefault="00790A0D" w:rsidP="006D2F5F">
            <w:pPr>
              <w:pStyle w:val="Tabulka"/>
              <w:jc w:val="left"/>
              <w:rPr>
                <w:rFonts w:cs="Calibri"/>
              </w:rPr>
            </w:pPr>
          </w:p>
          <w:p w14:paraId="4EAC8504" w14:textId="77777777" w:rsidR="00790A0D" w:rsidRPr="00DD47DF" w:rsidRDefault="00790A0D" w:rsidP="006D2F5F">
            <w:pPr>
              <w:pStyle w:val="Tabulka"/>
              <w:jc w:val="left"/>
              <w:rPr>
                <w:rFonts w:cs="Calibri"/>
              </w:rPr>
            </w:pPr>
          </w:p>
          <w:p w14:paraId="4B77BFB9" w14:textId="77777777" w:rsidR="00790A0D" w:rsidRPr="00DD47DF" w:rsidRDefault="00790A0D" w:rsidP="006D2F5F">
            <w:pPr>
              <w:pStyle w:val="Tabulka"/>
              <w:jc w:val="left"/>
              <w:rPr>
                <w:rFonts w:cs="Calibri"/>
              </w:rPr>
            </w:pPr>
          </w:p>
          <w:p w14:paraId="4C02EACE" w14:textId="77777777" w:rsidR="00790A0D" w:rsidRPr="00DD47DF" w:rsidRDefault="00790A0D" w:rsidP="006D2F5F">
            <w:pPr>
              <w:pStyle w:val="Tabulka"/>
              <w:jc w:val="left"/>
              <w:rPr>
                <w:rFonts w:cs="Calibri"/>
              </w:rPr>
            </w:pPr>
          </w:p>
          <w:p w14:paraId="26F6CF6F" w14:textId="77777777" w:rsidR="00790A0D" w:rsidRPr="00DD47DF" w:rsidRDefault="00790A0D" w:rsidP="006D2F5F">
            <w:pPr>
              <w:pStyle w:val="Tabulka"/>
              <w:jc w:val="left"/>
              <w:rPr>
                <w:rFonts w:cs="Calibri"/>
              </w:rPr>
            </w:pPr>
          </w:p>
          <w:p w14:paraId="65808CB2" w14:textId="77777777" w:rsidR="00790A0D" w:rsidRPr="00DD47DF" w:rsidRDefault="00790A0D" w:rsidP="006D2F5F">
            <w:pPr>
              <w:pStyle w:val="Tabulka"/>
              <w:jc w:val="left"/>
              <w:rPr>
                <w:rFonts w:cs="Calibri"/>
              </w:rPr>
            </w:pPr>
          </w:p>
          <w:p w14:paraId="0FA26B6C" w14:textId="77777777" w:rsidR="00790A0D" w:rsidRPr="00DD47DF" w:rsidRDefault="00790A0D" w:rsidP="006D2F5F">
            <w:pPr>
              <w:pStyle w:val="Tabulka"/>
              <w:jc w:val="left"/>
              <w:rPr>
                <w:rFonts w:cs="Calibri"/>
              </w:rPr>
            </w:pPr>
          </w:p>
        </w:tc>
        <w:tc>
          <w:tcPr>
            <w:tcW w:w="1843" w:type="dxa"/>
            <w:shd w:val="clear" w:color="auto" w:fill="auto"/>
          </w:tcPr>
          <w:p w14:paraId="64FFD125" w14:textId="77777777" w:rsidR="00790A0D" w:rsidRPr="00DD47DF" w:rsidRDefault="00790A0D" w:rsidP="006D2F5F">
            <w:pPr>
              <w:pStyle w:val="Tabulka"/>
              <w:jc w:val="left"/>
              <w:rPr>
                <w:rFonts w:cs="Calibri"/>
              </w:rPr>
            </w:pPr>
            <w:r w:rsidRPr="00DD47DF">
              <w:rPr>
                <w:rFonts w:cs="Calibri"/>
              </w:rPr>
              <w:lastRenderedPageBreak/>
              <w:t>Opatření pro účinné uplatňování směrnice Evropského parlamentu a Rady 2011/92/EU</w:t>
            </w:r>
            <w:r w:rsidRPr="00DD47DF">
              <w:rPr>
                <w:rStyle w:val="Znakapoznpodarou"/>
                <w:rFonts w:cs="Calibri"/>
              </w:rPr>
              <w:footnoteReference w:id="93"/>
            </w:r>
            <w:r w:rsidRPr="00DD47DF">
              <w:rPr>
                <w:rFonts w:cs="Calibri"/>
              </w:rPr>
              <w:t xml:space="preserve"> </w:t>
            </w:r>
            <w:r w:rsidRPr="00DD47DF">
              <w:rPr>
                <w:rFonts w:cs="Calibri"/>
              </w:rPr>
              <w:lastRenderedPageBreak/>
              <w:t>(EIA) a směrnice Evropského parlamentu a Rady 2001/42/ES</w:t>
            </w:r>
            <w:r w:rsidRPr="00DD47DF">
              <w:rPr>
                <w:rStyle w:val="Znakapoznpodarou"/>
                <w:rFonts w:cs="Calibri"/>
              </w:rPr>
              <w:footnoteReference w:id="94"/>
            </w:r>
            <w:r w:rsidRPr="00DD47DF">
              <w:rPr>
                <w:rFonts w:cs="Calibri"/>
              </w:rPr>
              <w:t xml:space="preserve"> (SEA),</w:t>
            </w:r>
          </w:p>
        </w:tc>
        <w:tc>
          <w:tcPr>
            <w:tcW w:w="1134" w:type="dxa"/>
            <w:shd w:val="clear" w:color="auto" w:fill="auto"/>
          </w:tcPr>
          <w:p w14:paraId="45075A26" w14:textId="77777777" w:rsidR="00790A0D" w:rsidRPr="00DD47DF" w:rsidRDefault="00790A0D" w:rsidP="000634EB">
            <w:pPr>
              <w:pStyle w:val="Tabulka"/>
              <w:jc w:val="left"/>
              <w:rPr>
                <w:rFonts w:cs="Calibri"/>
              </w:rPr>
            </w:pPr>
            <w:r w:rsidRPr="00DD47DF">
              <w:rPr>
                <w:rFonts w:cs="Calibri"/>
                <w:iCs/>
              </w:rPr>
              <w:lastRenderedPageBreak/>
              <w:t xml:space="preserve"> </w:t>
            </w:r>
            <w:r w:rsidR="000634EB" w:rsidRPr="00DD47DF">
              <w:rPr>
                <w:rFonts w:cs="Calibri"/>
                <w:iCs/>
              </w:rPr>
              <w:t>ano</w:t>
            </w:r>
          </w:p>
        </w:tc>
        <w:tc>
          <w:tcPr>
            <w:tcW w:w="2126" w:type="dxa"/>
            <w:shd w:val="clear" w:color="auto" w:fill="auto"/>
          </w:tcPr>
          <w:p w14:paraId="461A3840" w14:textId="77777777" w:rsidR="00790A0D" w:rsidRPr="00DD47DF" w:rsidRDefault="00790A0D" w:rsidP="006D2F5F">
            <w:pPr>
              <w:pStyle w:val="Tabulka"/>
              <w:jc w:val="left"/>
              <w:rPr>
                <w:rFonts w:cs="Calibri"/>
              </w:rPr>
            </w:pPr>
            <w:r w:rsidRPr="00DD47DF">
              <w:rPr>
                <w:rFonts w:cs="Calibri"/>
              </w:rPr>
              <w:t xml:space="preserve">Příslušná ustanovení zákona č. 100/2001 Sb., o posuzování vlivů na životní prostředí, týkající se posuzování vlivů </w:t>
            </w:r>
            <w:r w:rsidRPr="00DD47DF">
              <w:rPr>
                <w:rFonts w:cs="Calibri"/>
              </w:rPr>
              <w:lastRenderedPageBreak/>
              <w:t>koncepcí na životní prostředí.</w:t>
            </w:r>
          </w:p>
          <w:p w14:paraId="76ECBDEC" w14:textId="77777777" w:rsidR="00790A0D" w:rsidRPr="00DD47DF" w:rsidRDefault="00790A0D" w:rsidP="006D2F5F">
            <w:pPr>
              <w:pStyle w:val="Tabulka"/>
              <w:jc w:val="left"/>
              <w:rPr>
                <w:rFonts w:cs="Calibri"/>
              </w:rPr>
            </w:pPr>
          </w:p>
          <w:p w14:paraId="733EFC4B" w14:textId="77777777" w:rsidR="00790A0D" w:rsidRPr="00DD47DF" w:rsidRDefault="00013622" w:rsidP="006D2F5F">
            <w:pPr>
              <w:pStyle w:val="Tabulka"/>
              <w:jc w:val="left"/>
              <w:rPr>
                <w:rFonts w:cs="Calibri"/>
              </w:rPr>
            </w:pPr>
            <w:hyperlink r:id="rId96" w:history="1">
              <w:r w:rsidR="00790A0D" w:rsidRPr="00DD47DF">
                <w:rPr>
                  <w:rStyle w:val="Hypertextovodkaz"/>
                  <w:rFonts w:cs="Calibri"/>
                </w:rPr>
                <w:t>http://portal.cenia.cz/eiasea/static/sea_legislativa</w:t>
              </w:r>
            </w:hyperlink>
          </w:p>
          <w:p w14:paraId="5261C94C" w14:textId="77777777" w:rsidR="00790A0D" w:rsidRPr="00DD47DF" w:rsidRDefault="00790A0D" w:rsidP="006D2F5F">
            <w:pPr>
              <w:pStyle w:val="Tabulka"/>
              <w:jc w:val="left"/>
              <w:rPr>
                <w:rFonts w:cs="Calibri"/>
              </w:rPr>
            </w:pPr>
            <w:r w:rsidRPr="00DD47DF">
              <w:rPr>
                <w:rFonts w:cs="Calibri"/>
              </w:rPr>
              <w:t>§ 19 zákona č. 100/2001 Sb., o posuzování vlivů na životní prostředí:</w:t>
            </w:r>
          </w:p>
          <w:p w14:paraId="0C7452C9" w14:textId="77777777" w:rsidR="00790A0D" w:rsidRPr="00DD47DF" w:rsidRDefault="00790A0D" w:rsidP="006D2F5F">
            <w:pPr>
              <w:pStyle w:val="Tabulka"/>
              <w:jc w:val="left"/>
              <w:rPr>
                <w:rFonts w:cs="Calibri"/>
              </w:rPr>
            </w:pPr>
          </w:p>
          <w:p w14:paraId="6598AB41" w14:textId="77777777" w:rsidR="00790A0D" w:rsidRPr="00DD47DF" w:rsidRDefault="00013622" w:rsidP="006D2F5F">
            <w:pPr>
              <w:pStyle w:val="Tabulka"/>
              <w:jc w:val="left"/>
              <w:rPr>
                <w:rFonts w:cs="Calibri"/>
              </w:rPr>
            </w:pPr>
            <w:hyperlink r:id="rId97" w:history="1">
              <w:r w:rsidR="00790A0D" w:rsidRPr="00DD47DF">
                <w:rPr>
                  <w:rStyle w:val="Hypertextovodkaz"/>
                  <w:rFonts w:eastAsia="SimSun" w:cs="Calibri"/>
                </w:rPr>
                <w:t>http://portal.cenia.cz/eiasea/static/eia_legislativa</w:t>
              </w:r>
            </w:hyperlink>
          </w:p>
        </w:tc>
        <w:tc>
          <w:tcPr>
            <w:tcW w:w="4394" w:type="dxa"/>
            <w:shd w:val="clear" w:color="auto" w:fill="auto"/>
          </w:tcPr>
          <w:p w14:paraId="2CEECC55" w14:textId="77777777" w:rsidR="0015299B" w:rsidRPr="00DD47DF" w:rsidRDefault="0015299B" w:rsidP="00EF7241">
            <w:pPr>
              <w:pStyle w:val="Tabulka"/>
              <w:spacing w:before="0" w:after="0"/>
              <w:jc w:val="left"/>
              <w:rPr>
                <w:rFonts w:cs="Calibri"/>
              </w:rPr>
            </w:pPr>
            <w:r w:rsidRPr="00DD47DF">
              <w:rPr>
                <w:rFonts w:cs="Calibri"/>
              </w:rPr>
              <w:lastRenderedPageBreak/>
              <w:t xml:space="preserve">Gestor PP: Plnění </w:t>
            </w:r>
            <w:r w:rsidR="000634EB" w:rsidRPr="00DD47DF">
              <w:rPr>
                <w:rFonts w:cs="Calibri"/>
              </w:rPr>
              <w:t>ANO</w:t>
            </w:r>
          </w:p>
          <w:p w14:paraId="6021AC0C" w14:textId="77777777" w:rsidR="00457706" w:rsidRPr="00DD47DF" w:rsidRDefault="00457706" w:rsidP="00457706">
            <w:pPr>
              <w:pStyle w:val="DAVA"/>
              <w:spacing w:before="80" w:after="80"/>
              <w:rPr>
                <w:rFonts w:ascii="Times New Roman" w:hAnsi="Times New Roman"/>
                <w:sz w:val="22"/>
                <w:szCs w:val="22"/>
              </w:rPr>
            </w:pPr>
            <w:r w:rsidRPr="00DD47DF">
              <w:rPr>
                <w:rFonts w:ascii="Times New Roman" w:hAnsi="Times New Roman"/>
                <w:sz w:val="22"/>
                <w:szCs w:val="22"/>
              </w:rPr>
              <w:t>Novela zákona EIA</w:t>
            </w:r>
            <w:r w:rsidR="000634EB" w:rsidRPr="00DD47DF">
              <w:rPr>
                <w:rFonts w:ascii="Times New Roman" w:hAnsi="Times New Roman"/>
                <w:sz w:val="22"/>
                <w:szCs w:val="22"/>
              </w:rPr>
              <w:t xml:space="preserve"> nabyla účinnosti dne 1.4.2015.</w:t>
            </w:r>
            <w:r w:rsidRPr="00DD47DF">
              <w:rPr>
                <w:rFonts w:ascii="Times New Roman" w:hAnsi="Times New Roman"/>
                <w:sz w:val="22"/>
                <w:szCs w:val="22"/>
              </w:rPr>
              <w:t xml:space="preserve">  Změny novely byly konzult</w:t>
            </w:r>
            <w:r w:rsidR="005F769E" w:rsidRPr="00DD47DF">
              <w:rPr>
                <w:rFonts w:ascii="Times New Roman" w:hAnsi="Times New Roman"/>
                <w:sz w:val="22"/>
                <w:szCs w:val="22"/>
              </w:rPr>
              <w:t>ovány</w:t>
            </w:r>
            <w:r w:rsidRPr="00DD47DF">
              <w:rPr>
                <w:rFonts w:ascii="Times New Roman" w:hAnsi="Times New Roman"/>
                <w:sz w:val="22"/>
                <w:szCs w:val="22"/>
              </w:rPr>
              <w:t xml:space="preserve"> a schváleny EK. Novela bude  i pro již zahájená navazující řízení, budou tak naplněny požadavky směrnice EIA u všech projektů a </w:t>
            </w:r>
            <w:r w:rsidRPr="00DD47DF">
              <w:rPr>
                <w:rFonts w:ascii="Times New Roman" w:hAnsi="Times New Roman"/>
                <w:sz w:val="22"/>
                <w:szCs w:val="22"/>
              </w:rPr>
              <w:lastRenderedPageBreak/>
              <w:t>neukončeným povolovacím procesem, a bude prováděna kontrola souladu již vydaných stanovisek EIA se směrnicí EIA.</w:t>
            </w:r>
          </w:p>
          <w:p w14:paraId="06D23A08" w14:textId="77777777" w:rsidR="00EF7241" w:rsidRPr="00DD47DF" w:rsidRDefault="00457706" w:rsidP="00EF7241">
            <w:pPr>
              <w:pStyle w:val="Tabulka"/>
              <w:spacing w:before="0" w:after="0"/>
              <w:jc w:val="left"/>
              <w:rPr>
                <w:rFonts w:cs="Calibri"/>
              </w:rPr>
            </w:pPr>
            <w:r w:rsidRPr="00DD47DF">
              <w:t>Metodická pomůcka pro projekty s povolovacím procesem vydána 20. 8. 2014 MŽP a MMR. U projektů a ukončeným povol. procesem před nabytím účinnosti novely, bude vyhodnocen soulad povol. procesu se směrnicí EIA. K tomu zřízena PS.</w:t>
            </w:r>
          </w:p>
          <w:p w14:paraId="4A08E713" w14:textId="77777777" w:rsidR="00790A0D" w:rsidRPr="00DD47DF" w:rsidRDefault="00557467" w:rsidP="00557467">
            <w:pPr>
              <w:pStyle w:val="Tabulka"/>
              <w:spacing w:before="0" w:after="0"/>
              <w:jc w:val="left"/>
              <w:rPr>
                <w:rFonts w:cs="Calibri"/>
              </w:rPr>
            </w:pPr>
            <w:r w:rsidRPr="00DD47DF">
              <w:rPr>
                <w:rFonts w:cs="Calibri"/>
              </w:rPr>
              <w:t xml:space="preserve">Viz též </w:t>
            </w:r>
            <w:r w:rsidR="00790A0D" w:rsidRPr="00DD47DF">
              <w:rPr>
                <w:rFonts w:cs="Calibri"/>
              </w:rPr>
              <w:t>Akční plán v gesci MŽP.</w:t>
            </w:r>
          </w:p>
        </w:tc>
      </w:tr>
      <w:tr w:rsidR="00790A0D" w:rsidRPr="00DD47DF" w14:paraId="0A7B0E05" w14:textId="77777777" w:rsidTr="006D2F5F">
        <w:tc>
          <w:tcPr>
            <w:tcW w:w="1752" w:type="dxa"/>
            <w:vMerge/>
            <w:shd w:val="clear" w:color="auto" w:fill="auto"/>
          </w:tcPr>
          <w:p w14:paraId="4FD45F13" w14:textId="77777777" w:rsidR="00790A0D" w:rsidRPr="00DD47DF" w:rsidRDefault="00790A0D" w:rsidP="006D2F5F">
            <w:pPr>
              <w:pStyle w:val="Tabulka"/>
              <w:rPr>
                <w:rFonts w:cs="Calibri"/>
                <w:b/>
              </w:rPr>
            </w:pPr>
          </w:p>
        </w:tc>
        <w:tc>
          <w:tcPr>
            <w:tcW w:w="1701" w:type="dxa"/>
            <w:vMerge/>
            <w:shd w:val="clear" w:color="auto" w:fill="auto"/>
          </w:tcPr>
          <w:p w14:paraId="215046AD" w14:textId="77777777" w:rsidR="00790A0D" w:rsidRPr="00DD47DF" w:rsidRDefault="00790A0D" w:rsidP="006D2F5F">
            <w:pPr>
              <w:pStyle w:val="Tabulka"/>
              <w:rPr>
                <w:rFonts w:cs="Calibri"/>
              </w:rPr>
            </w:pPr>
          </w:p>
        </w:tc>
        <w:tc>
          <w:tcPr>
            <w:tcW w:w="1276" w:type="dxa"/>
            <w:vMerge/>
            <w:shd w:val="clear" w:color="auto" w:fill="auto"/>
          </w:tcPr>
          <w:p w14:paraId="1FB42E78" w14:textId="77777777" w:rsidR="00790A0D" w:rsidRPr="00DD47DF" w:rsidRDefault="00790A0D" w:rsidP="006D2F5F">
            <w:pPr>
              <w:pStyle w:val="Tabulka"/>
              <w:rPr>
                <w:rFonts w:cs="Calibri"/>
              </w:rPr>
            </w:pPr>
          </w:p>
        </w:tc>
        <w:tc>
          <w:tcPr>
            <w:tcW w:w="1843" w:type="dxa"/>
            <w:shd w:val="clear" w:color="auto" w:fill="auto"/>
          </w:tcPr>
          <w:p w14:paraId="5E678058" w14:textId="77777777" w:rsidR="00790A0D" w:rsidRPr="00DD47DF" w:rsidRDefault="00790A0D" w:rsidP="006D2F5F">
            <w:pPr>
              <w:pStyle w:val="Tabulka"/>
              <w:jc w:val="left"/>
              <w:rPr>
                <w:rFonts w:cs="Calibri"/>
              </w:rPr>
            </w:pPr>
            <w:r w:rsidRPr="00DD47DF">
              <w:rPr>
                <w:rFonts w:cs="Calibri"/>
              </w:rPr>
              <w:t>Opatření pro odbornou přípravu a šíření informací pro zaměstnance podílející se na provádění směrnic EIA a SEA</w:t>
            </w:r>
          </w:p>
        </w:tc>
        <w:tc>
          <w:tcPr>
            <w:tcW w:w="1134" w:type="dxa"/>
            <w:shd w:val="clear" w:color="auto" w:fill="auto"/>
          </w:tcPr>
          <w:p w14:paraId="43B3862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592DC235" w14:textId="77777777" w:rsidR="00790A0D" w:rsidRPr="00DD47DF" w:rsidRDefault="00790A0D" w:rsidP="006D2F5F">
            <w:pPr>
              <w:pStyle w:val="Tabulka"/>
              <w:jc w:val="left"/>
              <w:rPr>
                <w:rFonts w:cs="Calibri"/>
              </w:rPr>
            </w:pPr>
            <w:r w:rsidRPr="00DD47DF">
              <w:rPr>
                <w:rFonts w:cs="Calibri"/>
              </w:rPr>
              <w:t>§21 a 22 zákona č. 100/2001 Sb., o posuzování vlivů na životní prostředí</w:t>
            </w:r>
          </w:p>
          <w:p w14:paraId="4B804EC2" w14:textId="77777777" w:rsidR="00790A0D" w:rsidRPr="00DD47DF" w:rsidRDefault="00790A0D" w:rsidP="006D2F5F">
            <w:pPr>
              <w:pStyle w:val="Tabulka"/>
              <w:jc w:val="left"/>
              <w:rPr>
                <w:rFonts w:cs="Calibri"/>
              </w:rPr>
            </w:pPr>
          </w:p>
          <w:p w14:paraId="145A4AB6" w14:textId="77777777" w:rsidR="00790A0D" w:rsidRPr="00DD47DF" w:rsidRDefault="00790A0D" w:rsidP="006D2F5F">
            <w:pPr>
              <w:pStyle w:val="Tabulka"/>
              <w:jc w:val="left"/>
              <w:rPr>
                <w:rFonts w:cs="Calibri"/>
              </w:rPr>
            </w:pPr>
            <w:r w:rsidRPr="00DD47DF">
              <w:rPr>
                <w:rFonts w:cs="Calibri"/>
              </w:rPr>
              <w:t>§21 zákona č. 312/2002 Sb., o úřednících územních samosprávných celků a o změně některých zákonů</w:t>
            </w:r>
          </w:p>
          <w:p w14:paraId="66F0E09C" w14:textId="77777777" w:rsidR="00790A0D" w:rsidRPr="00DD47DF" w:rsidRDefault="00790A0D" w:rsidP="006D2F5F">
            <w:pPr>
              <w:pStyle w:val="Tabulka"/>
              <w:jc w:val="left"/>
              <w:rPr>
                <w:rFonts w:cs="Calibri"/>
              </w:rPr>
            </w:pPr>
          </w:p>
          <w:p w14:paraId="41E5BF3A" w14:textId="77777777" w:rsidR="00790A0D" w:rsidRPr="00DD47DF" w:rsidRDefault="00790A0D" w:rsidP="006D2F5F">
            <w:pPr>
              <w:pStyle w:val="Tabulka"/>
              <w:jc w:val="left"/>
              <w:rPr>
                <w:rFonts w:cs="Calibri"/>
              </w:rPr>
            </w:pPr>
            <w:r w:rsidRPr="00DD47DF">
              <w:rPr>
                <w:rFonts w:cs="Calibri"/>
              </w:rPr>
              <w:t>Usnesení Vlády ČR ze dne 30. listopadu 2005 č. 1542</w:t>
            </w:r>
          </w:p>
          <w:p w14:paraId="25E5E5E5" w14:textId="77777777" w:rsidR="00790A0D" w:rsidRPr="00DD47DF" w:rsidRDefault="00790A0D" w:rsidP="006D2F5F">
            <w:pPr>
              <w:pStyle w:val="Tabulka"/>
              <w:jc w:val="left"/>
              <w:rPr>
                <w:rFonts w:cs="Calibri"/>
              </w:rPr>
            </w:pPr>
          </w:p>
          <w:p w14:paraId="7FB14327" w14:textId="77777777" w:rsidR="00790A0D" w:rsidRPr="00DD47DF" w:rsidRDefault="00013622" w:rsidP="006D2F5F">
            <w:pPr>
              <w:pStyle w:val="Tabulka"/>
              <w:jc w:val="left"/>
              <w:rPr>
                <w:rFonts w:cs="Calibri"/>
              </w:rPr>
            </w:pPr>
            <w:hyperlink r:id="rId98" w:history="1">
              <w:r w:rsidR="00790A0D" w:rsidRPr="00DD47DF">
                <w:rPr>
                  <w:rStyle w:val="Hypertextovodkaz"/>
                  <w:rFonts w:cs="Calibri"/>
                </w:rPr>
                <w:t>http://www.mzp.cz/cz/posuzovani_vlivu_zivotni_prostredi</w:t>
              </w:r>
            </w:hyperlink>
          </w:p>
          <w:p w14:paraId="4E6A1B84" w14:textId="77777777" w:rsidR="00790A0D" w:rsidRPr="00DD47DF" w:rsidRDefault="00790A0D" w:rsidP="006D2F5F">
            <w:pPr>
              <w:pStyle w:val="Tabulka"/>
              <w:jc w:val="left"/>
              <w:rPr>
                <w:rFonts w:cs="Calibri"/>
              </w:rPr>
            </w:pPr>
          </w:p>
          <w:p w14:paraId="57AE639B" w14:textId="77777777" w:rsidR="00790A0D" w:rsidRPr="00DD47DF" w:rsidRDefault="00013622" w:rsidP="006D2F5F">
            <w:pPr>
              <w:pStyle w:val="Tabulka"/>
              <w:jc w:val="left"/>
              <w:rPr>
                <w:rFonts w:cs="Calibri"/>
              </w:rPr>
            </w:pPr>
            <w:hyperlink r:id="rId99" w:history="1">
              <w:r w:rsidR="00790A0D" w:rsidRPr="00DD47DF">
                <w:rPr>
                  <w:rStyle w:val="Hypertextovodkaz"/>
                  <w:rFonts w:cs="Calibri"/>
                </w:rPr>
                <w:t>http://portal.cenia.cz/eiasea/view/eia100_cr</w:t>
              </w:r>
            </w:hyperlink>
            <w:r w:rsidR="00790A0D" w:rsidRPr="00DD47DF">
              <w:rPr>
                <w:rFonts w:cs="Calibri"/>
              </w:rPr>
              <w:t xml:space="preserve"> (+ záložka legislativa, pokyny a sdělení atd.)</w:t>
            </w:r>
          </w:p>
          <w:p w14:paraId="5830042E" w14:textId="77777777" w:rsidR="00790A0D" w:rsidRPr="00DD47DF" w:rsidRDefault="00790A0D" w:rsidP="006D2F5F">
            <w:pPr>
              <w:pStyle w:val="Tabulka"/>
              <w:jc w:val="left"/>
              <w:rPr>
                <w:rFonts w:cs="Calibri"/>
              </w:rPr>
            </w:pPr>
          </w:p>
          <w:p w14:paraId="451D2E81" w14:textId="77777777" w:rsidR="00790A0D" w:rsidRPr="00DD47DF" w:rsidRDefault="00013622" w:rsidP="006D2F5F">
            <w:pPr>
              <w:pStyle w:val="Tabulka"/>
              <w:jc w:val="left"/>
              <w:rPr>
                <w:rFonts w:cs="Calibri"/>
              </w:rPr>
            </w:pPr>
            <w:hyperlink r:id="rId100" w:history="1">
              <w:r w:rsidR="00790A0D" w:rsidRPr="00DD47DF">
                <w:rPr>
                  <w:rStyle w:val="Hypertextovodkaz"/>
                  <w:rFonts w:cs="Calibri"/>
                </w:rPr>
                <w:t>http://portal.cenia.cz/eiasea/view/eia100_cr</w:t>
              </w:r>
            </w:hyperlink>
          </w:p>
          <w:p w14:paraId="0B8DE3E2" w14:textId="77777777" w:rsidR="00790A0D" w:rsidRPr="00DD47DF" w:rsidRDefault="00013622" w:rsidP="006D2F5F">
            <w:pPr>
              <w:pStyle w:val="Tabulka"/>
              <w:jc w:val="left"/>
              <w:rPr>
                <w:rFonts w:cs="Calibri"/>
              </w:rPr>
            </w:pPr>
            <w:hyperlink r:id="rId101" w:history="1">
              <w:r w:rsidR="00790A0D" w:rsidRPr="00DD47DF">
                <w:rPr>
                  <w:rStyle w:val="Hypertextovodkaz"/>
                  <w:rFonts w:cs="Calibri"/>
                </w:rPr>
                <w:t>http://portal.cenia.cz/eiasea/view/SEA100_koncepce</w:t>
              </w:r>
            </w:hyperlink>
          </w:p>
        </w:tc>
        <w:tc>
          <w:tcPr>
            <w:tcW w:w="4394" w:type="dxa"/>
            <w:shd w:val="clear" w:color="auto" w:fill="auto"/>
          </w:tcPr>
          <w:p w14:paraId="5D6C007C" w14:textId="77777777" w:rsidR="00CC122F" w:rsidRPr="00DD47DF" w:rsidRDefault="00CC122F" w:rsidP="006D2F5F">
            <w:pPr>
              <w:pStyle w:val="Tabulka"/>
              <w:spacing w:before="0"/>
              <w:jc w:val="left"/>
              <w:rPr>
                <w:rFonts w:cs="Calibri"/>
              </w:rPr>
            </w:pPr>
            <w:r w:rsidRPr="00DD47DF">
              <w:rPr>
                <w:rFonts w:cs="Calibri"/>
              </w:rPr>
              <w:lastRenderedPageBreak/>
              <w:t>Gestor PP: Plnění ANO</w:t>
            </w:r>
          </w:p>
          <w:p w14:paraId="135B7568" w14:textId="77777777" w:rsidR="00790A0D" w:rsidRPr="00DD47DF" w:rsidRDefault="00790A0D" w:rsidP="006D2F5F">
            <w:pPr>
              <w:pStyle w:val="Tabulka"/>
              <w:spacing w:before="0"/>
              <w:jc w:val="left"/>
              <w:rPr>
                <w:rFonts w:cs="Calibri"/>
              </w:rPr>
            </w:pPr>
            <w:r w:rsidRPr="00DD47DF">
              <w:rPr>
                <w:rFonts w:cs="Calibri"/>
              </w:rPr>
              <w:t xml:space="preserve">MŽP metodicky vede všechny pracovníky provádějící směrnice EIA a SEA. </w:t>
            </w:r>
            <w:r w:rsidR="00CC122F" w:rsidRPr="00DD47DF">
              <w:rPr>
                <w:rFonts w:cs="Calibri"/>
              </w:rPr>
              <w:t>V</w:t>
            </w:r>
            <w:r w:rsidR="0045099F" w:rsidRPr="00DD47DF">
              <w:rPr>
                <w:rFonts w:cs="Calibri"/>
              </w:rPr>
              <w:t xml:space="preserve"> </w:t>
            </w:r>
            <w:r w:rsidRPr="00DD47DF">
              <w:rPr>
                <w:rFonts w:cs="Calibri"/>
              </w:rPr>
              <w:t xml:space="preserve">součinnosti s MMR </w:t>
            </w:r>
            <w:r w:rsidR="00CC122F" w:rsidRPr="00DD47DF">
              <w:rPr>
                <w:rFonts w:cs="Calibri"/>
              </w:rPr>
              <w:t xml:space="preserve">realizuje </w:t>
            </w:r>
            <w:r w:rsidRPr="00DD47DF">
              <w:rPr>
                <w:rFonts w:cs="Calibri"/>
              </w:rPr>
              <w:t>školení pro pracovníky</w:t>
            </w:r>
            <w:r w:rsidR="00CC122F" w:rsidRPr="00DD47DF">
              <w:rPr>
                <w:rFonts w:cs="Calibri"/>
              </w:rPr>
              <w:t xml:space="preserve"> ŘO.</w:t>
            </w:r>
          </w:p>
          <w:p w14:paraId="36B3E0E3" w14:textId="77777777" w:rsidR="00790A0D" w:rsidRPr="00DD47DF" w:rsidRDefault="00790A0D" w:rsidP="006D2F5F">
            <w:pPr>
              <w:pStyle w:val="Tabulka"/>
              <w:spacing w:before="0"/>
              <w:jc w:val="left"/>
            </w:pPr>
            <w:r w:rsidRPr="00DD47DF">
              <w:rPr>
                <w:rFonts w:cs="Calibri"/>
              </w:rPr>
              <w:t xml:space="preserve">Informace z oblasti EIA a SEA jsou šířeny prostřednictvím informačního systému a metodických pokynů. </w:t>
            </w:r>
            <w:r w:rsidR="00684FC1" w:rsidRPr="00DD47DF">
              <w:t>Krajští úředníci pravidelně využívají také možnosti individuální konzultace.</w:t>
            </w:r>
            <w:r w:rsidRPr="00DD47DF">
              <w:rPr>
                <w:rFonts w:cs="Calibri"/>
              </w:rPr>
              <w:t xml:space="preserve"> </w:t>
            </w:r>
            <w:r w:rsidR="00684FC1" w:rsidRPr="00DD47DF">
              <w:rPr>
                <w:rFonts w:cs="Calibri"/>
              </w:rPr>
              <w:t>P</w:t>
            </w:r>
            <w:r w:rsidRPr="00DD47DF">
              <w:rPr>
                <w:rFonts w:cs="Calibri"/>
              </w:rPr>
              <w:t>racovníci provádějící směrnice EIA a SEA jsou kvalifikováni k poradenství.</w:t>
            </w:r>
            <w:r w:rsidR="00684FC1" w:rsidRPr="00DD47DF">
              <w:t xml:space="preserve"> Krajští úředníci prokazují zvláštní odbornou způsobilost v oblasti posuzování vlivů na </w:t>
            </w:r>
            <w:r w:rsidR="00684FC1" w:rsidRPr="00DD47DF">
              <w:lastRenderedPageBreak/>
              <w:t>životní prostředí, která se ověřuje zkouškou a prokazuje osvědčením.</w:t>
            </w:r>
            <w:r w:rsidR="00684FC1" w:rsidRPr="00DD47DF">
              <w:rPr>
                <w:bCs/>
                <w:color w:val="000000"/>
              </w:rPr>
              <w:t xml:space="preserve"> Součástí vzdělávání pracovníků </w:t>
            </w:r>
            <w:r w:rsidR="00967531" w:rsidRPr="00DD47DF">
              <w:rPr>
                <w:bCs/>
                <w:color w:val="000000"/>
              </w:rPr>
              <w:t xml:space="preserve"> </w:t>
            </w:r>
            <w:r w:rsidR="00684FC1" w:rsidRPr="00DD47DF">
              <w:rPr>
                <w:bCs/>
                <w:color w:val="000000"/>
              </w:rPr>
              <w:t>jsou rovněž informace o aktuálním stavu infringementového řízení a o nové právní úprav</w:t>
            </w:r>
            <w:r w:rsidR="004738B8" w:rsidRPr="00DD47DF">
              <w:rPr>
                <w:bCs/>
                <w:color w:val="000000"/>
              </w:rPr>
              <w:t>ě</w:t>
            </w:r>
            <w:r w:rsidR="00684FC1" w:rsidRPr="00DD47DF">
              <w:rPr>
                <w:bCs/>
                <w:color w:val="000000"/>
              </w:rPr>
              <w:t xml:space="preserve"> v oblasti EIA</w:t>
            </w:r>
            <w:r w:rsidR="00F26664" w:rsidRPr="00DD47DF">
              <w:rPr>
                <w:bCs/>
                <w:color w:val="000000"/>
              </w:rPr>
              <w:t xml:space="preserve">  (zákon č. 39/2015 Sb.). </w:t>
            </w:r>
          </w:p>
          <w:p w14:paraId="2DC73098" w14:textId="77777777" w:rsidR="00790A0D" w:rsidRPr="00DD47DF" w:rsidRDefault="00790A0D" w:rsidP="006D2F5F">
            <w:pPr>
              <w:pStyle w:val="Tabulka"/>
              <w:spacing w:before="0"/>
              <w:jc w:val="left"/>
              <w:rPr>
                <w:rFonts w:cs="Calibri"/>
              </w:rPr>
            </w:pPr>
            <w:r w:rsidRPr="00DD47DF">
              <w:rPr>
                <w:rFonts w:cs="Calibri"/>
              </w:rPr>
              <w:t>MMR-NOK zajišťuje na horizontální úrovni proškolení zaměstnanců implementujících fondy EU v rámci Systému vzdělávání, MŽP zajišťuje obsahovou náplň vzdělávání a lektorské zajištění. Zaměstnanci ŘO OP PIK jsou zapojeni do Systému vzdělávání.</w:t>
            </w:r>
          </w:p>
          <w:p w14:paraId="4D9FFFAD" w14:textId="77777777" w:rsidR="00790A0D" w:rsidRPr="00DD47DF" w:rsidRDefault="00967531" w:rsidP="006D2F5F">
            <w:pPr>
              <w:pStyle w:val="Tabulka"/>
              <w:spacing w:before="0"/>
              <w:jc w:val="left"/>
              <w:rPr>
                <w:rFonts w:cs="Calibri"/>
              </w:rPr>
            </w:pPr>
            <w:r w:rsidRPr="00DD47DF">
              <w:rPr>
                <w:rFonts w:cs="Calibri"/>
              </w:rPr>
              <w:t>V</w:t>
            </w:r>
            <w:r w:rsidR="00790A0D" w:rsidRPr="00DD47DF">
              <w:rPr>
                <w:rFonts w:cs="Calibri"/>
              </w:rPr>
              <w:t xml:space="preserve">iz </w:t>
            </w:r>
            <w:r w:rsidRPr="00DD47DF">
              <w:rPr>
                <w:rFonts w:cs="Calibri"/>
              </w:rPr>
              <w:t xml:space="preserve">též </w:t>
            </w:r>
            <w:r w:rsidR="00790A0D" w:rsidRPr="00DD47DF">
              <w:rPr>
                <w:rFonts w:cs="Calibri"/>
              </w:rPr>
              <w:t xml:space="preserve">Příloha č. II </w:t>
            </w:r>
            <w:r w:rsidR="004738B8" w:rsidRPr="00DD47DF">
              <w:rPr>
                <w:rFonts w:cs="Calibri"/>
              </w:rPr>
              <w:t xml:space="preserve">- </w:t>
            </w:r>
            <w:r w:rsidR="00790A0D" w:rsidRPr="00DD47DF">
              <w:rPr>
                <w:rFonts w:cs="Calibri"/>
              </w:rPr>
              <w:t xml:space="preserve"> Akční plán.</w:t>
            </w:r>
          </w:p>
          <w:p w14:paraId="0E205C21" w14:textId="77777777" w:rsidR="00790A0D" w:rsidRPr="00DD47DF" w:rsidRDefault="00790A0D" w:rsidP="006D2F5F">
            <w:pPr>
              <w:pStyle w:val="Tabulka"/>
              <w:jc w:val="left"/>
              <w:rPr>
                <w:rFonts w:cs="Calibri"/>
              </w:rPr>
            </w:pPr>
          </w:p>
        </w:tc>
      </w:tr>
      <w:tr w:rsidR="00790A0D" w:rsidRPr="00DD47DF" w14:paraId="527EF10F" w14:textId="77777777" w:rsidTr="006D2F5F">
        <w:tc>
          <w:tcPr>
            <w:tcW w:w="1752" w:type="dxa"/>
            <w:vMerge/>
            <w:shd w:val="clear" w:color="auto" w:fill="auto"/>
          </w:tcPr>
          <w:p w14:paraId="2DD599DA" w14:textId="77777777" w:rsidR="00790A0D" w:rsidRPr="00DD47DF" w:rsidRDefault="00790A0D" w:rsidP="006D2F5F">
            <w:pPr>
              <w:pStyle w:val="Tabulka"/>
              <w:jc w:val="left"/>
              <w:rPr>
                <w:rFonts w:cs="Calibri"/>
                <w:b/>
              </w:rPr>
            </w:pPr>
          </w:p>
        </w:tc>
        <w:tc>
          <w:tcPr>
            <w:tcW w:w="1701" w:type="dxa"/>
            <w:vMerge/>
            <w:shd w:val="clear" w:color="auto" w:fill="auto"/>
          </w:tcPr>
          <w:p w14:paraId="767C1755" w14:textId="77777777" w:rsidR="00790A0D" w:rsidRPr="00DD47DF" w:rsidRDefault="00790A0D" w:rsidP="006D2F5F">
            <w:pPr>
              <w:pStyle w:val="Tabulka"/>
              <w:jc w:val="left"/>
              <w:rPr>
                <w:rFonts w:cs="Calibri"/>
              </w:rPr>
            </w:pPr>
          </w:p>
        </w:tc>
        <w:tc>
          <w:tcPr>
            <w:tcW w:w="1276" w:type="dxa"/>
            <w:vMerge/>
            <w:shd w:val="clear" w:color="auto" w:fill="auto"/>
          </w:tcPr>
          <w:p w14:paraId="1198219A" w14:textId="77777777" w:rsidR="00790A0D" w:rsidRPr="00DD47DF" w:rsidRDefault="00790A0D" w:rsidP="006D2F5F">
            <w:pPr>
              <w:pStyle w:val="Tabulka"/>
              <w:jc w:val="left"/>
              <w:rPr>
                <w:rFonts w:cs="Calibri"/>
              </w:rPr>
            </w:pPr>
          </w:p>
        </w:tc>
        <w:tc>
          <w:tcPr>
            <w:tcW w:w="1843" w:type="dxa"/>
            <w:shd w:val="clear" w:color="auto" w:fill="auto"/>
          </w:tcPr>
          <w:p w14:paraId="144DBF07" w14:textId="77777777" w:rsidR="00790A0D" w:rsidRPr="00DD47DF" w:rsidRDefault="00790A0D" w:rsidP="006D2F5F">
            <w:pPr>
              <w:pStyle w:val="Tabulka"/>
              <w:jc w:val="left"/>
              <w:rPr>
                <w:rFonts w:cs="Calibri"/>
              </w:rPr>
            </w:pPr>
            <w:r w:rsidRPr="00DD47DF">
              <w:rPr>
                <w:rFonts w:cs="Calibri"/>
              </w:rPr>
              <w:t>Opatření k zajištění dostatečné správní kapacity</w:t>
            </w:r>
          </w:p>
        </w:tc>
        <w:tc>
          <w:tcPr>
            <w:tcW w:w="1134" w:type="dxa"/>
            <w:shd w:val="clear" w:color="auto" w:fill="auto"/>
          </w:tcPr>
          <w:p w14:paraId="05A63E39"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55ADB98B" w14:textId="77777777" w:rsidR="00790A0D" w:rsidRPr="00DD47DF" w:rsidRDefault="00790A0D" w:rsidP="006D2F5F">
            <w:pPr>
              <w:pStyle w:val="Tabulka"/>
              <w:jc w:val="left"/>
              <w:rPr>
                <w:rFonts w:cs="Calibri"/>
              </w:rPr>
            </w:pPr>
            <w:r w:rsidRPr="00DD47DF">
              <w:rPr>
                <w:rFonts w:cs="Calibri"/>
              </w:rPr>
              <w:t>§21 a 22 zákona č. 100/2001 Sb., o posuzování vlivů na životní prostředí</w:t>
            </w:r>
          </w:p>
          <w:p w14:paraId="04B3E31D" w14:textId="77777777" w:rsidR="00790A0D" w:rsidRPr="00DD47DF" w:rsidRDefault="00790A0D" w:rsidP="006D2F5F">
            <w:pPr>
              <w:pStyle w:val="Tabulka"/>
              <w:jc w:val="left"/>
              <w:rPr>
                <w:rFonts w:cs="Calibri"/>
              </w:rPr>
            </w:pPr>
          </w:p>
          <w:p w14:paraId="041C8C4E" w14:textId="77777777" w:rsidR="00790A0D" w:rsidRPr="00DD47DF" w:rsidRDefault="00790A0D" w:rsidP="006D2F5F">
            <w:pPr>
              <w:pStyle w:val="Tabulka"/>
              <w:jc w:val="left"/>
              <w:rPr>
                <w:rFonts w:cs="Calibri"/>
              </w:rPr>
            </w:pPr>
            <w:r w:rsidRPr="00DD47DF">
              <w:rPr>
                <w:rFonts w:cs="Calibri"/>
              </w:rPr>
              <w:t>§21 zákona č. 312/2002 Sb., o úřednících územních samosprávných celků a o změně některých zákonů</w:t>
            </w:r>
          </w:p>
          <w:p w14:paraId="563F4BB9" w14:textId="77777777" w:rsidR="00790A0D" w:rsidRPr="00DD47DF" w:rsidRDefault="00790A0D" w:rsidP="006D2F5F">
            <w:pPr>
              <w:pStyle w:val="Tabulka"/>
              <w:jc w:val="left"/>
              <w:rPr>
                <w:rFonts w:cs="Calibri"/>
              </w:rPr>
            </w:pPr>
          </w:p>
          <w:p w14:paraId="5548EBAC" w14:textId="77777777" w:rsidR="00790A0D" w:rsidRPr="00DD47DF" w:rsidRDefault="00790A0D" w:rsidP="006D2F5F">
            <w:pPr>
              <w:pStyle w:val="Tabulka"/>
              <w:jc w:val="left"/>
              <w:rPr>
                <w:rFonts w:cs="Calibri"/>
              </w:rPr>
            </w:pPr>
            <w:r w:rsidRPr="00DD47DF">
              <w:rPr>
                <w:rFonts w:cs="Calibri"/>
              </w:rPr>
              <w:t>Usnesení Vlády ČR ze dne 30. listopadu 2005 č. 1542</w:t>
            </w:r>
          </w:p>
          <w:p w14:paraId="6985FBCD" w14:textId="77777777" w:rsidR="00790A0D" w:rsidRPr="00DD47DF" w:rsidRDefault="00790A0D" w:rsidP="006D2F5F">
            <w:pPr>
              <w:pStyle w:val="Tabulka"/>
              <w:jc w:val="left"/>
              <w:rPr>
                <w:rFonts w:cs="Calibri"/>
              </w:rPr>
            </w:pPr>
          </w:p>
          <w:p w14:paraId="5419CAE7" w14:textId="77777777" w:rsidR="00790A0D" w:rsidRPr="00DD47DF" w:rsidRDefault="00790A0D" w:rsidP="006D2F5F">
            <w:pPr>
              <w:pStyle w:val="Tabulka"/>
              <w:jc w:val="left"/>
              <w:rPr>
                <w:rFonts w:cs="Calibri"/>
              </w:rPr>
            </w:pPr>
            <w:r w:rsidRPr="00DD47DF">
              <w:rPr>
                <w:rFonts w:cs="Calibri"/>
              </w:rPr>
              <w:t>Zákon č. 111/2009 Sb., o základních registrech</w:t>
            </w:r>
          </w:p>
          <w:p w14:paraId="7C89DB2D" w14:textId="77777777" w:rsidR="00790A0D" w:rsidRPr="00DD47DF" w:rsidRDefault="00790A0D" w:rsidP="006D2F5F">
            <w:pPr>
              <w:pStyle w:val="Tabulka"/>
              <w:jc w:val="left"/>
              <w:rPr>
                <w:rFonts w:cs="Calibri"/>
              </w:rPr>
            </w:pPr>
          </w:p>
          <w:p w14:paraId="4FAA56B1" w14:textId="77777777" w:rsidR="00790A0D" w:rsidRPr="00DD47DF" w:rsidRDefault="00013622" w:rsidP="006D2F5F">
            <w:pPr>
              <w:pStyle w:val="Tabulka"/>
              <w:jc w:val="left"/>
              <w:rPr>
                <w:rFonts w:cs="Calibri"/>
              </w:rPr>
            </w:pPr>
            <w:hyperlink r:id="rId102" w:history="1">
              <w:r w:rsidR="00790A0D" w:rsidRPr="00DD47DF">
                <w:rPr>
                  <w:rStyle w:val="Hypertextovodkaz"/>
                  <w:rFonts w:cs="Calibri"/>
                </w:rPr>
                <w:t>http://www.mzp.cz/cz/posuzovani_vlivu_zivotni_prostredi</w:t>
              </w:r>
            </w:hyperlink>
          </w:p>
          <w:p w14:paraId="54CC9C31" w14:textId="77777777" w:rsidR="00790A0D" w:rsidRPr="00DD47DF" w:rsidRDefault="00790A0D" w:rsidP="006D2F5F">
            <w:pPr>
              <w:pStyle w:val="Tabulka"/>
              <w:jc w:val="left"/>
              <w:rPr>
                <w:rFonts w:cs="Calibri"/>
              </w:rPr>
            </w:pPr>
          </w:p>
          <w:p w14:paraId="4890E01D" w14:textId="77777777" w:rsidR="00790A0D" w:rsidRPr="00DD47DF" w:rsidRDefault="00013622" w:rsidP="006D2F5F">
            <w:pPr>
              <w:pStyle w:val="Tabulka"/>
              <w:jc w:val="left"/>
              <w:rPr>
                <w:rFonts w:cs="Calibri"/>
              </w:rPr>
            </w:pPr>
            <w:hyperlink r:id="rId103" w:history="1">
              <w:r w:rsidR="00790A0D" w:rsidRPr="00DD47DF">
                <w:rPr>
                  <w:rStyle w:val="Hypertextovodkaz"/>
                  <w:rFonts w:cs="Calibri"/>
                </w:rPr>
                <w:t>http://portal.cenia.cz/eiasea/view/eia100_cr</w:t>
              </w:r>
            </w:hyperlink>
            <w:r w:rsidR="00790A0D" w:rsidRPr="00DD47DF">
              <w:rPr>
                <w:rStyle w:val="Hypertextovodkaz"/>
                <w:rFonts w:cs="Calibri"/>
              </w:rPr>
              <w:t xml:space="preserve"> </w:t>
            </w:r>
          </w:p>
          <w:p w14:paraId="78F289FB" w14:textId="77777777" w:rsidR="00790A0D" w:rsidRPr="00DD47DF" w:rsidRDefault="00790A0D" w:rsidP="006D2F5F">
            <w:pPr>
              <w:pStyle w:val="Tabulka"/>
              <w:jc w:val="left"/>
              <w:rPr>
                <w:rFonts w:cs="Calibri"/>
              </w:rPr>
            </w:pPr>
          </w:p>
          <w:p w14:paraId="0BA44D09" w14:textId="77777777" w:rsidR="00790A0D" w:rsidRPr="00DD47DF" w:rsidRDefault="00013622" w:rsidP="006D2F5F">
            <w:pPr>
              <w:pStyle w:val="Tabulka"/>
              <w:jc w:val="left"/>
              <w:rPr>
                <w:rFonts w:cs="Calibri"/>
                <w:color w:val="0000FF"/>
                <w:u w:val="single"/>
              </w:rPr>
            </w:pPr>
            <w:hyperlink r:id="rId104" w:history="1">
              <w:r w:rsidR="00790A0D" w:rsidRPr="00DD47DF">
                <w:rPr>
                  <w:rStyle w:val="Hypertextovodkaz"/>
                  <w:rFonts w:cs="Calibri"/>
                </w:rPr>
                <w:t>http://portal.cenia.cz/eiasea/view/SEA100_koncepce</w:t>
              </w:r>
            </w:hyperlink>
            <w:r w:rsidR="00790A0D" w:rsidRPr="00DD47DF">
              <w:rPr>
                <w:rFonts w:cs="Calibri"/>
              </w:rPr>
              <w:t xml:space="preserve"> </w:t>
            </w:r>
            <w:hyperlink r:id="rId105" w:history="1">
              <w:r w:rsidR="00790A0D" w:rsidRPr="00DD47DF">
                <w:rPr>
                  <w:rStyle w:val="Hypertextovodkaz"/>
                  <w:rFonts w:cs="Calibri"/>
                </w:rPr>
                <w:t>http://portal.cenia.cz/eiasea/osoby/osoby</w:t>
              </w:r>
            </w:hyperlink>
          </w:p>
        </w:tc>
        <w:tc>
          <w:tcPr>
            <w:tcW w:w="4394" w:type="dxa"/>
            <w:shd w:val="clear" w:color="auto" w:fill="auto"/>
          </w:tcPr>
          <w:p w14:paraId="392C06A5" w14:textId="77777777" w:rsidR="003F16D3" w:rsidRPr="00DD47DF" w:rsidRDefault="003F16D3" w:rsidP="006D2F5F">
            <w:pPr>
              <w:pStyle w:val="DAVA"/>
              <w:spacing w:before="0"/>
              <w:rPr>
                <w:rFonts w:ascii="Times New Roman" w:hAnsi="Times New Roman"/>
                <w:bCs/>
                <w:color w:val="000000"/>
                <w:sz w:val="22"/>
                <w:szCs w:val="22"/>
              </w:rPr>
            </w:pPr>
            <w:r w:rsidRPr="00DD47DF">
              <w:rPr>
                <w:rFonts w:ascii="Times New Roman" w:hAnsi="Times New Roman"/>
                <w:bCs/>
                <w:color w:val="000000"/>
                <w:sz w:val="22"/>
                <w:szCs w:val="22"/>
              </w:rPr>
              <w:lastRenderedPageBreak/>
              <w:t>Gestor PP: Plnění ANO</w:t>
            </w:r>
          </w:p>
          <w:p w14:paraId="6907C081" w14:textId="77777777" w:rsidR="0078753D" w:rsidRPr="00DD47DF" w:rsidRDefault="0078753D" w:rsidP="0078753D">
            <w:pPr>
              <w:pStyle w:val="DAVA"/>
              <w:spacing w:before="80" w:after="80"/>
              <w:rPr>
                <w:rFonts w:ascii="Times New Roman" w:hAnsi="Times New Roman"/>
                <w:bCs/>
                <w:color w:val="000000"/>
                <w:sz w:val="22"/>
                <w:szCs w:val="22"/>
                <w:lang w:eastAsia="cs-CZ"/>
              </w:rPr>
            </w:pPr>
            <w:r w:rsidRPr="00DD47DF">
              <w:rPr>
                <w:rFonts w:ascii="Times New Roman" w:hAnsi="Times New Roman"/>
                <w:bCs/>
                <w:color w:val="000000"/>
                <w:sz w:val="22"/>
                <w:szCs w:val="22"/>
                <w:lang w:eastAsia="cs-CZ"/>
              </w:rPr>
              <w:t xml:space="preserve">V souladu se zákonem č. 111/2009 Sb., byl zahájen proces zefektivnění veřejné správy, na základě kterého jsou nyní průběžně stanovovány dostatečné počty pracovníků pro výkon státní správy, tedy i počet úředníků zajišťující provádění směrnice EIA a SEA. </w:t>
            </w:r>
            <w:r w:rsidRPr="00DD47DF">
              <w:rPr>
                <w:rFonts w:ascii="Times New Roman" w:hAnsi="Times New Roman"/>
                <w:bCs/>
                <w:color w:val="000000"/>
                <w:sz w:val="22"/>
                <w:szCs w:val="22"/>
              </w:rPr>
              <w:t xml:space="preserve">Tento počet odpovídá aktuálním požadavkům na správní kapacitu reagující na změnu podmínek. </w:t>
            </w:r>
            <w:r w:rsidRPr="00DD47DF">
              <w:rPr>
                <w:rFonts w:ascii="Times New Roman" w:hAnsi="Times New Roman"/>
                <w:bCs/>
                <w:color w:val="000000"/>
                <w:sz w:val="22"/>
                <w:szCs w:val="22"/>
                <w:lang w:eastAsia="cs-CZ"/>
              </w:rPr>
              <w:t xml:space="preserve">Technická pomoc je zajišťována skrze informační systém a metodické pokyny </w:t>
            </w:r>
            <w:r w:rsidRPr="00DD47DF">
              <w:rPr>
                <w:rFonts w:ascii="Times New Roman" w:hAnsi="Times New Roman"/>
                <w:sz w:val="22"/>
                <w:szCs w:val="22"/>
              </w:rPr>
              <w:t xml:space="preserve">a </w:t>
            </w:r>
            <w:r w:rsidRPr="00DD47DF">
              <w:rPr>
                <w:rFonts w:ascii="Times New Roman" w:hAnsi="Times New Roman"/>
                <w:sz w:val="22"/>
                <w:szCs w:val="22"/>
              </w:rPr>
              <w:lastRenderedPageBreak/>
              <w:t>pomocí systému autorizovaných expertů.</w:t>
            </w:r>
          </w:p>
          <w:p w14:paraId="69710986" w14:textId="77777777" w:rsidR="00790A0D" w:rsidRPr="00DD47DF" w:rsidRDefault="00790A0D" w:rsidP="006D2F5F">
            <w:pPr>
              <w:pStyle w:val="DAVA"/>
              <w:spacing w:before="0"/>
              <w:rPr>
                <w:rFonts w:ascii="Times New Roman" w:hAnsi="Times New Roman"/>
                <w:bCs/>
                <w:color w:val="000000"/>
                <w:sz w:val="22"/>
                <w:szCs w:val="22"/>
              </w:rPr>
            </w:pPr>
            <w:r w:rsidRPr="00DD47DF">
              <w:rPr>
                <w:rFonts w:ascii="Times New Roman" w:hAnsi="Times New Roman"/>
                <w:bCs/>
                <w:color w:val="000000"/>
                <w:sz w:val="22"/>
                <w:szCs w:val="22"/>
              </w:rPr>
              <w:t>Viz Příloha č. II a Akční plán.</w:t>
            </w:r>
          </w:p>
          <w:p w14:paraId="308752C4" w14:textId="77777777" w:rsidR="00790A0D" w:rsidRPr="00DD47DF" w:rsidRDefault="00790A0D" w:rsidP="006D2F5F">
            <w:pPr>
              <w:pStyle w:val="Tabulka"/>
              <w:jc w:val="left"/>
              <w:rPr>
                <w:rFonts w:cs="Calibri"/>
              </w:rPr>
            </w:pPr>
          </w:p>
        </w:tc>
      </w:tr>
      <w:tr w:rsidR="00790A0D" w:rsidRPr="00DD47DF" w14:paraId="00905C28" w14:textId="77777777" w:rsidTr="006D2F5F">
        <w:tc>
          <w:tcPr>
            <w:tcW w:w="1752" w:type="dxa"/>
            <w:vMerge w:val="restart"/>
            <w:shd w:val="clear" w:color="auto" w:fill="auto"/>
          </w:tcPr>
          <w:p w14:paraId="6AF2ADB4" w14:textId="77777777" w:rsidR="00790A0D" w:rsidRPr="00DD47DF" w:rsidRDefault="00790A0D" w:rsidP="006D2F5F">
            <w:pPr>
              <w:pStyle w:val="Tabulka"/>
              <w:jc w:val="left"/>
              <w:rPr>
                <w:rFonts w:cs="Calibri"/>
                <w:b/>
              </w:rPr>
            </w:pPr>
            <w:r w:rsidRPr="00DD47DF">
              <w:rPr>
                <w:rFonts w:cs="Calibri"/>
                <w:b/>
              </w:rPr>
              <w:lastRenderedPageBreak/>
              <w:t xml:space="preserve">Existence statistického základu nezbytného k provádění hodnocení za účelem posouzení účinnosti a </w:t>
            </w:r>
            <w:r w:rsidRPr="00DD47DF">
              <w:rPr>
                <w:rFonts w:cs="Calibri"/>
                <w:b/>
              </w:rPr>
              <w:lastRenderedPageBreak/>
              <w:t>dopadu programů.</w:t>
            </w:r>
          </w:p>
          <w:p w14:paraId="7AFEC9C0" w14:textId="77777777" w:rsidR="00790A0D" w:rsidRPr="00DD47DF" w:rsidRDefault="00790A0D" w:rsidP="006D2F5F">
            <w:pPr>
              <w:pStyle w:val="Tabulka"/>
              <w:jc w:val="left"/>
              <w:rPr>
                <w:rFonts w:cs="Calibri"/>
                <w:b/>
              </w:rPr>
            </w:pPr>
          </w:p>
          <w:p w14:paraId="1B8EB23B" w14:textId="77777777" w:rsidR="00790A0D" w:rsidRPr="00DD47DF" w:rsidRDefault="00790A0D" w:rsidP="006D2F5F">
            <w:pPr>
              <w:pStyle w:val="Tabulka"/>
              <w:jc w:val="left"/>
              <w:rPr>
                <w:rFonts w:cs="Calibri"/>
                <w:b/>
              </w:rPr>
            </w:pPr>
            <w:r w:rsidRPr="00DD47DF">
              <w:rPr>
                <w:rFonts w:cs="Calibri"/>
                <w:b/>
              </w:rPr>
              <w:t>Existence systému ukazatele výsledků nezbytného pro výběr opatření, jež budou nejúčinněji přispívat k dosahování požadovaných výsledků, k sledování pokroku při plnění cílů a k provedení posouzení dopadů</w:t>
            </w:r>
          </w:p>
        </w:tc>
        <w:tc>
          <w:tcPr>
            <w:tcW w:w="1701" w:type="dxa"/>
            <w:vMerge w:val="restart"/>
            <w:shd w:val="clear" w:color="auto" w:fill="auto"/>
          </w:tcPr>
          <w:p w14:paraId="4C582F11" w14:textId="77777777" w:rsidR="00790A0D" w:rsidRPr="00DD47DF" w:rsidRDefault="00790A0D" w:rsidP="006D2F5F">
            <w:pPr>
              <w:pStyle w:val="Tabulka"/>
              <w:jc w:val="left"/>
              <w:rPr>
                <w:rFonts w:cs="Calibri"/>
              </w:rPr>
            </w:pPr>
            <w:r w:rsidRPr="00DD47DF">
              <w:rPr>
                <w:rFonts w:cs="Calibri"/>
              </w:rPr>
              <w:lastRenderedPageBreak/>
              <w:t>Všechny prioritní osy OP PIK</w:t>
            </w:r>
          </w:p>
          <w:p w14:paraId="6E126A67" w14:textId="77777777" w:rsidR="00790A0D" w:rsidRPr="00DD47DF" w:rsidRDefault="00790A0D" w:rsidP="006D2F5F">
            <w:pPr>
              <w:pStyle w:val="Tabulka"/>
              <w:jc w:val="left"/>
              <w:rPr>
                <w:rFonts w:cs="Calibri"/>
              </w:rPr>
            </w:pPr>
          </w:p>
          <w:p w14:paraId="5388D958" w14:textId="77777777" w:rsidR="00790A0D" w:rsidRPr="00DD47DF" w:rsidRDefault="00790A0D" w:rsidP="006D2F5F">
            <w:pPr>
              <w:pStyle w:val="Tabulka"/>
              <w:jc w:val="left"/>
              <w:rPr>
                <w:rFonts w:cs="Calibri"/>
              </w:rPr>
            </w:pPr>
          </w:p>
        </w:tc>
        <w:tc>
          <w:tcPr>
            <w:tcW w:w="1276" w:type="dxa"/>
            <w:vMerge w:val="restart"/>
            <w:shd w:val="clear" w:color="auto" w:fill="auto"/>
          </w:tcPr>
          <w:p w14:paraId="4406DC69" w14:textId="77777777" w:rsidR="00790A0D" w:rsidRPr="00DD47DF" w:rsidRDefault="002D4CC1" w:rsidP="006D2F5F">
            <w:pPr>
              <w:pStyle w:val="Tabulka"/>
              <w:jc w:val="left"/>
              <w:rPr>
                <w:rFonts w:cs="Calibri"/>
              </w:rPr>
            </w:pPr>
            <w:r>
              <w:rPr>
                <w:rFonts w:cs="Calibri"/>
              </w:rPr>
              <w:t>Částečně</w:t>
            </w:r>
          </w:p>
          <w:p w14:paraId="56428102" w14:textId="77777777" w:rsidR="00790A0D" w:rsidRPr="00DD47DF" w:rsidRDefault="00790A0D" w:rsidP="006D2F5F">
            <w:pPr>
              <w:pStyle w:val="Tabulka"/>
              <w:jc w:val="left"/>
              <w:rPr>
                <w:rFonts w:cs="Calibri"/>
              </w:rPr>
            </w:pPr>
          </w:p>
          <w:p w14:paraId="505C13E6" w14:textId="77777777" w:rsidR="00790A0D" w:rsidRPr="00DD47DF" w:rsidRDefault="00790A0D" w:rsidP="006D2F5F">
            <w:pPr>
              <w:pStyle w:val="Tabulka"/>
              <w:jc w:val="left"/>
              <w:rPr>
                <w:rFonts w:cs="Calibri"/>
              </w:rPr>
            </w:pPr>
          </w:p>
          <w:p w14:paraId="77744727" w14:textId="77777777" w:rsidR="00790A0D" w:rsidRPr="00DD47DF" w:rsidRDefault="00790A0D" w:rsidP="006D2F5F">
            <w:pPr>
              <w:pStyle w:val="Tabulka"/>
              <w:jc w:val="left"/>
              <w:rPr>
                <w:rFonts w:cs="Calibri"/>
              </w:rPr>
            </w:pPr>
          </w:p>
        </w:tc>
        <w:tc>
          <w:tcPr>
            <w:tcW w:w="1843" w:type="dxa"/>
            <w:shd w:val="clear" w:color="auto" w:fill="auto"/>
          </w:tcPr>
          <w:p w14:paraId="42DA92E3" w14:textId="77777777" w:rsidR="00790A0D" w:rsidRPr="00DD47DF" w:rsidRDefault="00790A0D" w:rsidP="006D2F5F">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rPr>
              <w:t>Jsou vypracována opatření pro včasný sběr a agregaci statistických údajů, která obsahují tyto prvky:</w:t>
            </w:r>
          </w:p>
          <w:p w14:paraId="5641E1B6" w14:textId="77777777" w:rsidR="00790A0D" w:rsidRPr="00DD47DF" w:rsidRDefault="00790A0D" w:rsidP="00D43AF5">
            <w:pPr>
              <w:pStyle w:val="Odstavecseseznamem"/>
              <w:numPr>
                <w:ilvl w:val="0"/>
                <w:numId w:val="92"/>
              </w:numPr>
              <w:overflowPunct/>
              <w:autoSpaceDE/>
              <w:autoSpaceDN/>
              <w:adjustRightInd/>
              <w:spacing w:before="80" w:after="80"/>
              <w:ind w:left="355"/>
              <w:textAlignment w:val="auto"/>
              <w:rPr>
                <w:sz w:val="22"/>
                <w:szCs w:val="22"/>
              </w:rPr>
            </w:pPr>
            <w:r w:rsidRPr="00DD47DF">
              <w:rPr>
                <w:bCs/>
                <w:sz w:val="22"/>
                <w:szCs w:val="22"/>
              </w:rPr>
              <w:t xml:space="preserve">určení zdrojů a mechanismů </w:t>
            </w:r>
            <w:r w:rsidRPr="00DD47DF">
              <w:rPr>
                <w:bCs/>
                <w:sz w:val="22"/>
                <w:szCs w:val="22"/>
              </w:rPr>
              <w:lastRenderedPageBreak/>
              <w:t>pro zajištění statistického ověřování,</w:t>
            </w:r>
          </w:p>
        </w:tc>
        <w:tc>
          <w:tcPr>
            <w:tcW w:w="1134" w:type="dxa"/>
            <w:shd w:val="clear" w:color="auto" w:fill="auto"/>
          </w:tcPr>
          <w:p w14:paraId="387CD564" w14:textId="77777777" w:rsidR="00790A0D" w:rsidRPr="00DD47DF" w:rsidRDefault="00A0467F" w:rsidP="006D2F5F">
            <w:pPr>
              <w:pStyle w:val="Tabulka"/>
              <w:jc w:val="left"/>
            </w:pPr>
            <w:r w:rsidRPr="00DD47DF">
              <w:lastRenderedPageBreak/>
              <w:t>ne</w:t>
            </w:r>
          </w:p>
        </w:tc>
        <w:tc>
          <w:tcPr>
            <w:tcW w:w="2126" w:type="dxa"/>
            <w:shd w:val="clear" w:color="auto" w:fill="auto"/>
          </w:tcPr>
          <w:p w14:paraId="281321BD" w14:textId="77777777" w:rsidR="00790A0D" w:rsidRPr="00DD47DF" w:rsidRDefault="00790A0D" w:rsidP="006D2F5F">
            <w:pPr>
              <w:pStyle w:val="Tabulka"/>
              <w:jc w:val="left"/>
            </w:pPr>
          </w:p>
        </w:tc>
        <w:tc>
          <w:tcPr>
            <w:tcW w:w="4394" w:type="dxa"/>
            <w:shd w:val="clear" w:color="auto" w:fill="auto"/>
          </w:tcPr>
          <w:p w14:paraId="01022349" w14:textId="77777777" w:rsidR="00F97C3B"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529F1" w:rsidRPr="00DD47DF">
              <w:rPr>
                <w:rFonts w:ascii="Times New Roman" w:hAnsi="Times New Roman"/>
                <w:sz w:val="22"/>
                <w:szCs w:val="22"/>
              </w:rPr>
              <w:t xml:space="preserve">ČÁSTEČNĚ </w:t>
            </w:r>
          </w:p>
          <w:p w14:paraId="4A104FE8"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9. srpna 2013 byl usnesením vlády č. 597 schválen závazný metodický pokyn určující pravidla pro tvorbu indikátorových soustav (MP indikátorů 2014-2020).</w:t>
            </w:r>
          </w:p>
          <w:p w14:paraId="6ED64D73"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Připravováno technické řešení v rámci monitorovacího systému MS2014+. </w:t>
            </w:r>
          </w:p>
          <w:p w14:paraId="2E6615BC"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V rámci přípravy indikátorové soustavy dochází </w:t>
            </w:r>
            <w:r w:rsidRPr="00DD47DF">
              <w:rPr>
                <w:rFonts w:ascii="Times New Roman" w:hAnsi="Times New Roman"/>
                <w:sz w:val="22"/>
                <w:szCs w:val="22"/>
              </w:rPr>
              <w:lastRenderedPageBreak/>
              <w:t>k posuzování jednotlivých ukazatelů s ohledem na jejich relevanci, jednoznačnost a také dostupnost. Při přípravě probíhá spolupráce také s ex-ante hodnotiteli programů.</w:t>
            </w:r>
          </w:p>
          <w:p w14:paraId="1D5CA8F0" w14:textId="77777777" w:rsidR="00790A0D" w:rsidRPr="00DD47DF" w:rsidRDefault="00790A0D" w:rsidP="0078753D">
            <w:pPr>
              <w:pStyle w:val="Tabulka"/>
              <w:jc w:val="left"/>
            </w:pPr>
            <w:r w:rsidRPr="00DD47DF">
              <w:t>U relevantních výsledkových indikátorů, jejichž zdrojem jsou centrální statistiky, je nastavována spolupráce s ČSÚ na pravidelné dodávání potřebných dat.</w:t>
            </w:r>
          </w:p>
          <w:p w14:paraId="06C9B849" w14:textId="77777777" w:rsidR="0078753D" w:rsidRPr="00DD47DF" w:rsidRDefault="0078753D" w:rsidP="00D32020">
            <w:pPr>
              <w:pStyle w:val="Tabulka"/>
              <w:jc w:val="left"/>
            </w:pPr>
            <w:r w:rsidRPr="00DD47DF">
              <w:t>ŘO: Plnění</w:t>
            </w:r>
            <w:r w:rsidR="00D32020" w:rsidRPr="00DD47DF">
              <w:t xml:space="preserve"> částečně</w:t>
            </w:r>
          </w:p>
          <w:p w14:paraId="03AF8BBC" w14:textId="77777777" w:rsidR="00D32020" w:rsidRPr="00DD47DF" w:rsidRDefault="00D32020" w:rsidP="00D32020">
            <w:pPr>
              <w:pStyle w:val="Tabulka"/>
              <w:jc w:val="left"/>
            </w:pPr>
            <w:r w:rsidRPr="00DD47DF">
              <w:t>V současné době má MPO uzavřenou rámcovou dohodu o spolupráci s ČSÚ, která se týká poskytování relevantních dat pro potřeby MPO.</w:t>
            </w:r>
          </w:p>
        </w:tc>
      </w:tr>
      <w:tr w:rsidR="00790A0D" w:rsidRPr="00DD47DF" w14:paraId="348DBF76" w14:textId="77777777" w:rsidTr="006D2F5F">
        <w:tc>
          <w:tcPr>
            <w:tcW w:w="1752" w:type="dxa"/>
            <w:vMerge/>
            <w:shd w:val="clear" w:color="auto" w:fill="auto"/>
          </w:tcPr>
          <w:p w14:paraId="3D2C0821" w14:textId="77777777" w:rsidR="00790A0D" w:rsidRPr="00DD47DF" w:rsidRDefault="00790A0D" w:rsidP="006D2F5F">
            <w:pPr>
              <w:pStyle w:val="Tabulka"/>
              <w:rPr>
                <w:rFonts w:cs="Calibri"/>
                <w:b/>
              </w:rPr>
            </w:pPr>
          </w:p>
        </w:tc>
        <w:tc>
          <w:tcPr>
            <w:tcW w:w="1701" w:type="dxa"/>
            <w:vMerge/>
            <w:shd w:val="clear" w:color="auto" w:fill="auto"/>
          </w:tcPr>
          <w:p w14:paraId="5D40AA29" w14:textId="77777777" w:rsidR="00790A0D" w:rsidRPr="00DD47DF" w:rsidRDefault="00790A0D" w:rsidP="006D2F5F">
            <w:pPr>
              <w:pStyle w:val="Tabulka"/>
              <w:rPr>
                <w:rFonts w:cs="Calibri"/>
              </w:rPr>
            </w:pPr>
          </w:p>
        </w:tc>
        <w:tc>
          <w:tcPr>
            <w:tcW w:w="1276" w:type="dxa"/>
            <w:vMerge/>
            <w:shd w:val="clear" w:color="auto" w:fill="auto"/>
          </w:tcPr>
          <w:p w14:paraId="14CCD9D6" w14:textId="77777777" w:rsidR="00790A0D" w:rsidRPr="00DD47DF" w:rsidRDefault="00790A0D" w:rsidP="006D2F5F">
            <w:pPr>
              <w:pStyle w:val="Tabulka"/>
              <w:rPr>
                <w:rFonts w:cs="Calibri"/>
              </w:rPr>
            </w:pPr>
          </w:p>
        </w:tc>
        <w:tc>
          <w:tcPr>
            <w:tcW w:w="1843" w:type="dxa"/>
            <w:shd w:val="clear" w:color="auto" w:fill="auto"/>
          </w:tcPr>
          <w:p w14:paraId="11CDB2A6"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Jsou vypracována opatření pro včasný sběr a agregaci statistických údajů, která obsahují tyto prvky:</w:t>
            </w:r>
          </w:p>
          <w:p w14:paraId="1B4B3DDC" w14:textId="77777777" w:rsidR="00790A0D" w:rsidRPr="00DD47DF" w:rsidRDefault="00790A0D" w:rsidP="00F91E8F">
            <w:pPr>
              <w:pStyle w:val="Tabulka"/>
              <w:numPr>
                <w:ilvl w:val="0"/>
                <w:numId w:val="92"/>
              </w:numPr>
              <w:jc w:val="left"/>
            </w:pPr>
            <w:r w:rsidRPr="00DD47DF">
              <w:rPr>
                <w:bCs/>
              </w:rPr>
              <w:t>opatření pro zveřejňování a zpřístupňování souhrnných informací veřejnosti;</w:t>
            </w:r>
          </w:p>
        </w:tc>
        <w:tc>
          <w:tcPr>
            <w:tcW w:w="1134" w:type="dxa"/>
            <w:shd w:val="clear" w:color="auto" w:fill="auto"/>
          </w:tcPr>
          <w:p w14:paraId="3090D333" w14:textId="77777777" w:rsidR="00790A0D" w:rsidRPr="00DD47DF" w:rsidRDefault="00790A0D" w:rsidP="006D2F5F">
            <w:pPr>
              <w:pStyle w:val="Tabulka"/>
              <w:jc w:val="left"/>
            </w:pPr>
            <w:r w:rsidRPr="00DD47DF">
              <w:t>ano</w:t>
            </w:r>
          </w:p>
        </w:tc>
        <w:tc>
          <w:tcPr>
            <w:tcW w:w="2126" w:type="dxa"/>
            <w:shd w:val="clear" w:color="auto" w:fill="auto"/>
          </w:tcPr>
          <w:p w14:paraId="3F0320CC" w14:textId="77777777" w:rsidR="00790A0D" w:rsidRPr="00DD47DF" w:rsidRDefault="00013622" w:rsidP="006D2F5F">
            <w:pPr>
              <w:rPr>
                <w:sz w:val="22"/>
                <w:szCs w:val="22"/>
              </w:rPr>
            </w:pPr>
            <w:hyperlink r:id="rId106" w:history="1">
              <w:r w:rsidR="00790A0D" w:rsidRPr="00DD47DF">
                <w:rPr>
                  <w:rStyle w:val="Hypertextovodkaz"/>
                  <w:sz w:val="22"/>
                  <w:szCs w:val="22"/>
                </w:rPr>
                <w:t>http://www.s-f.cz/cs/Fondy-EU/2014-2020/Metodicke-pokyny</w:t>
              </w:r>
            </w:hyperlink>
          </w:p>
          <w:p w14:paraId="760E00B5" w14:textId="77777777" w:rsidR="00790A0D" w:rsidRPr="00DD47DF" w:rsidRDefault="00790A0D" w:rsidP="006D2F5F">
            <w:pPr>
              <w:pStyle w:val="Tabulka"/>
              <w:jc w:val="left"/>
            </w:pPr>
          </w:p>
        </w:tc>
        <w:tc>
          <w:tcPr>
            <w:tcW w:w="4394" w:type="dxa"/>
            <w:shd w:val="clear" w:color="auto" w:fill="auto"/>
          </w:tcPr>
          <w:p w14:paraId="123E0E5A" w14:textId="77777777" w:rsidR="0078753D"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Gestor PP: Plnění ANO</w:t>
            </w:r>
          </w:p>
          <w:p w14:paraId="71B94A11"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Z metodického hlediska splněno v podobě následujících závazných metodických pokynů:</w:t>
            </w:r>
          </w:p>
          <w:p w14:paraId="6C5B50EE"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MP evaluace (schválen ÚV 597/2013), kde je zapracován požadavek na povinné zveřejňování všech evaluačních výstupů.</w:t>
            </w:r>
          </w:p>
          <w:p w14:paraId="063CA3E4"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MP monitorování (schválen), která definuje obsah a pravidelné zveřejňování zpráv o průběhu implementace</w:t>
            </w:r>
          </w:p>
          <w:p w14:paraId="5F6804D1" w14:textId="77777777" w:rsidR="00790A0D" w:rsidRPr="00DD47DF" w:rsidRDefault="00790A0D" w:rsidP="001D2CCD">
            <w:pPr>
              <w:pStyle w:val="DAVA"/>
              <w:spacing w:before="80" w:after="80"/>
              <w:rPr>
                <w:rFonts w:ascii="Times New Roman" w:hAnsi="Times New Roman"/>
                <w:sz w:val="22"/>
                <w:szCs w:val="22"/>
              </w:rPr>
            </w:pPr>
            <w:r w:rsidRPr="00DD47DF">
              <w:rPr>
                <w:rFonts w:ascii="Times New Roman" w:hAnsi="Times New Roman"/>
                <w:sz w:val="22"/>
                <w:szCs w:val="22"/>
              </w:rPr>
              <w:t xml:space="preserve">MP publicita (schválen </w:t>
            </w:r>
            <w:r w:rsidR="0045099F" w:rsidRPr="00DD47DF">
              <w:rPr>
                <w:rFonts w:ascii="Times New Roman" w:hAnsi="Times New Roman"/>
                <w:sz w:val="22"/>
                <w:szCs w:val="22"/>
              </w:rPr>
              <w:t>U</w:t>
            </w:r>
            <w:r w:rsidRPr="00DD47DF">
              <w:rPr>
                <w:rFonts w:ascii="Times New Roman" w:hAnsi="Times New Roman"/>
                <w:sz w:val="22"/>
                <w:szCs w:val="22"/>
              </w:rPr>
              <w:t>V 44/2014), který definuje závazná pravidla pro tv</w:t>
            </w:r>
            <w:r w:rsidR="001D2CCD" w:rsidRPr="00DD47DF">
              <w:rPr>
                <w:rFonts w:ascii="Times New Roman" w:hAnsi="Times New Roman"/>
                <w:sz w:val="22"/>
                <w:szCs w:val="22"/>
              </w:rPr>
              <w:t>orbu jednotného webu ESI fondů.</w:t>
            </w:r>
          </w:p>
        </w:tc>
      </w:tr>
      <w:tr w:rsidR="00790A0D" w:rsidRPr="00DD47DF" w14:paraId="0C828416" w14:textId="77777777" w:rsidTr="006D2F5F">
        <w:tc>
          <w:tcPr>
            <w:tcW w:w="1752" w:type="dxa"/>
            <w:vMerge/>
            <w:shd w:val="clear" w:color="auto" w:fill="auto"/>
          </w:tcPr>
          <w:p w14:paraId="3CF6DD2C" w14:textId="77777777" w:rsidR="00790A0D" w:rsidRPr="00DD47DF" w:rsidRDefault="00790A0D" w:rsidP="006D2F5F">
            <w:pPr>
              <w:pStyle w:val="Tabulka"/>
              <w:rPr>
                <w:rFonts w:cs="Calibri"/>
                <w:b/>
              </w:rPr>
            </w:pPr>
          </w:p>
        </w:tc>
        <w:tc>
          <w:tcPr>
            <w:tcW w:w="1701" w:type="dxa"/>
            <w:vMerge/>
            <w:shd w:val="clear" w:color="auto" w:fill="auto"/>
          </w:tcPr>
          <w:p w14:paraId="658FA983" w14:textId="77777777" w:rsidR="00790A0D" w:rsidRPr="00DD47DF" w:rsidRDefault="00790A0D" w:rsidP="006D2F5F">
            <w:pPr>
              <w:pStyle w:val="Tabulka"/>
              <w:rPr>
                <w:rFonts w:cs="Calibri"/>
              </w:rPr>
            </w:pPr>
          </w:p>
        </w:tc>
        <w:tc>
          <w:tcPr>
            <w:tcW w:w="1276" w:type="dxa"/>
            <w:vMerge/>
            <w:shd w:val="clear" w:color="auto" w:fill="auto"/>
          </w:tcPr>
          <w:p w14:paraId="53670033" w14:textId="77777777" w:rsidR="00790A0D" w:rsidRPr="00DD47DF" w:rsidRDefault="00790A0D" w:rsidP="006D2F5F">
            <w:pPr>
              <w:pStyle w:val="Tabulka"/>
              <w:rPr>
                <w:rFonts w:cs="Calibri"/>
              </w:rPr>
            </w:pPr>
          </w:p>
        </w:tc>
        <w:tc>
          <w:tcPr>
            <w:tcW w:w="1843" w:type="dxa"/>
            <w:shd w:val="clear" w:color="auto" w:fill="auto"/>
          </w:tcPr>
          <w:p w14:paraId="317F76CD" w14:textId="77777777" w:rsidR="00790A0D" w:rsidRPr="00DD47DF" w:rsidRDefault="00790A0D"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Účinný systém ukazatelů výsledků, včetně:</w:t>
            </w:r>
          </w:p>
          <w:p w14:paraId="01FD5AE3" w14:textId="77777777" w:rsidR="00790A0D" w:rsidRPr="00DD47DF" w:rsidRDefault="00790A0D" w:rsidP="00F91E8F">
            <w:pPr>
              <w:pStyle w:val="Tabulka"/>
              <w:numPr>
                <w:ilvl w:val="0"/>
                <w:numId w:val="92"/>
              </w:numPr>
              <w:jc w:val="left"/>
            </w:pPr>
            <w:r w:rsidRPr="00DD47DF">
              <w:rPr>
                <w:bCs/>
              </w:rPr>
              <w:t xml:space="preserve">výběru ukazatelů </w:t>
            </w:r>
            <w:r w:rsidRPr="00DD47DF">
              <w:rPr>
                <w:bCs/>
              </w:rPr>
              <w:lastRenderedPageBreak/>
              <w:t>výsledků pro každý program, jež budou vypovídat o motivaci k výběru strategických kroků financovaných z programu,</w:t>
            </w:r>
          </w:p>
        </w:tc>
        <w:tc>
          <w:tcPr>
            <w:tcW w:w="1134" w:type="dxa"/>
            <w:shd w:val="clear" w:color="auto" w:fill="auto"/>
          </w:tcPr>
          <w:p w14:paraId="6F9463B8" w14:textId="77777777" w:rsidR="00790A0D" w:rsidRPr="00DD47DF" w:rsidRDefault="008B1FD2" w:rsidP="006D2F5F">
            <w:pPr>
              <w:pStyle w:val="Tabulka"/>
              <w:jc w:val="left"/>
            </w:pPr>
            <w:r w:rsidRPr="00DD47DF">
              <w:lastRenderedPageBreak/>
              <w:t>ne</w:t>
            </w:r>
          </w:p>
        </w:tc>
        <w:tc>
          <w:tcPr>
            <w:tcW w:w="2126" w:type="dxa"/>
            <w:shd w:val="clear" w:color="auto" w:fill="auto"/>
          </w:tcPr>
          <w:p w14:paraId="2AC27EF6" w14:textId="77777777" w:rsidR="00790A0D" w:rsidRPr="00DD47DF" w:rsidRDefault="00790A0D" w:rsidP="006D2F5F">
            <w:pPr>
              <w:pStyle w:val="Tabulka"/>
              <w:jc w:val="left"/>
            </w:pPr>
          </w:p>
        </w:tc>
        <w:tc>
          <w:tcPr>
            <w:tcW w:w="4394" w:type="dxa"/>
            <w:shd w:val="clear" w:color="auto" w:fill="auto"/>
          </w:tcPr>
          <w:p w14:paraId="028D6A2E" w14:textId="77777777" w:rsidR="002862A9"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529F1" w:rsidRPr="00DD47DF">
              <w:rPr>
                <w:rFonts w:ascii="Times New Roman" w:hAnsi="Times New Roman"/>
                <w:sz w:val="22"/>
                <w:szCs w:val="22"/>
              </w:rPr>
              <w:t xml:space="preserve">ČÁSTEČNĚ </w:t>
            </w:r>
          </w:p>
          <w:p w14:paraId="062F0CC7" w14:textId="77777777" w:rsidR="00790A0D" w:rsidRPr="00DD47DF" w:rsidRDefault="0078753D" w:rsidP="006D2F5F">
            <w:pPr>
              <w:pStyle w:val="DAVA"/>
              <w:spacing w:before="80" w:after="80"/>
              <w:rPr>
                <w:rFonts w:ascii="Times New Roman" w:hAnsi="Times New Roman"/>
                <w:sz w:val="22"/>
                <w:szCs w:val="22"/>
              </w:rPr>
            </w:pPr>
            <w:r w:rsidRPr="00DD47DF">
              <w:rPr>
                <w:rFonts w:ascii="Times New Roman" w:hAnsi="Times New Roman"/>
                <w:sz w:val="22"/>
                <w:szCs w:val="22"/>
              </w:rPr>
              <w:t>P</w:t>
            </w:r>
            <w:r w:rsidR="00790A0D" w:rsidRPr="00DD47DF">
              <w:rPr>
                <w:rFonts w:ascii="Times New Roman" w:hAnsi="Times New Roman"/>
                <w:sz w:val="22"/>
                <w:szCs w:val="22"/>
              </w:rPr>
              <w:t>robíhá příprava indikátorových soustav programů a spolupráce s ČSÚ pro definování zdrojů statistických dat.</w:t>
            </w:r>
          </w:p>
          <w:p w14:paraId="5609EC43" w14:textId="77777777" w:rsidR="00790A0D" w:rsidRPr="00DD47DF" w:rsidRDefault="00790A0D" w:rsidP="003C2AF9">
            <w:pPr>
              <w:pStyle w:val="DAVA"/>
              <w:spacing w:before="80" w:after="80"/>
              <w:rPr>
                <w:rFonts w:ascii="Times New Roman" w:hAnsi="Times New Roman"/>
                <w:sz w:val="22"/>
                <w:szCs w:val="22"/>
              </w:rPr>
            </w:pPr>
            <w:r w:rsidRPr="00DD47DF">
              <w:rPr>
                <w:rFonts w:ascii="Times New Roman" w:hAnsi="Times New Roman"/>
                <w:sz w:val="22"/>
                <w:szCs w:val="22"/>
              </w:rPr>
              <w:t xml:space="preserve">V rámci přípravy programových dokumentů </w:t>
            </w:r>
            <w:r w:rsidRPr="00DD47DF">
              <w:rPr>
                <w:rFonts w:ascii="Times New Roman" w:hAnsi="Times New Roman"/>
                <w:sz w:val="22"/>
                <w:szCs w:val="22"/>
              </w:rPr>
              <w:lastRenderedPageBreak/>
              <w:t>probíhá intenzivní spolupráce mezi MMR-NOK, ŘO a ex-ante hodnotiteli, důraz</w:t>
            </w:r>
            <w:r w:rsidR="0078753D" w:rsidRPr="00DD47DF">
              <w:rPr>
                <w:rFonts w:ascii="Times New Roman" w:hAnsi="Times New Roman"/>
                <w:sz w:val="22"/>
                <w:szCs w:val="22"/>
              </w:rPr>
              <w:t xml:space="preserve"> je kladen </w:t>
            </w:r>
            <w:r w:rsidRPr="00DD47DF">
              <w:rPr>
                <w:rFonts w:ascii="Times New Roman" w:hAnsi="Times New Roman"/>
                <w:sz w:val="22"/>
                <w:szCs w:val="22"/>
              </w:rPr>
              <w:t xml:space="preserve"> na správné nastavení intervenční logiky programu  včetně </w:t>
            </w:r>
            <w:r w:rsidR="003C2AF9" w:rsidRPr="00DD47DF">
              <w:rPr>
                <w:rFonts w:ascii="Times New Roman" w:hAnsi="Times New Roman"/>
                <w:sz w:val="22"/>
                <w:szCs w:val="22"/>
              </w:rPr>
              <w:t xml:space="preserve"> </w:t>
            </w:r>
            <w:r w:rsidRPr="00DD47DF">
              <w:rPr>
                <w:rFonts w:ascii="Times New Roman" w:hAnsi="Times New Roman"/>
                <w:sz w:val="22"/>
                <w:szCs w:val="22"/>
              </w:rPr>
              <w:t>soustavy indikátorů. Indikátorové soustavy a tvorba programově specifických indikátorů je připravována dle závazného MP indikátorů 2014-2020 a respektuje požadavky EK včetně obsahu této předběžné podmínky. V souladu s MP monitorování a MP evaluace budou pravidelně probíhat hodnocení plnění stanovených cílů. Závěry provedených evaluací budou vodítk</w:t>
            </w:r>
            <w:r w:rsidR="00BE586C" w:rsidRPr="00DD47DF">
              <w:rPr>
                <w:rFonts w:ascii="Times New Roman" w:hAnsi="Times New Roman"/>
                <w:sz w:val="22"/>
                <w:szCs w:val="22"/>
              </w:rPr>
              <w:t xml:space="preserve">em </w:t>
            </w:r>
            <w:r w:rsidRPr="00DD47DF">
              <w:rPr>
                <w:rFonts w:ascii="Times New Roman" w:hAnsi="Times New Roman"/>
                <w:sz w:val="22"/>
                <w:szCs w:val="22"/>
              </w:rPr>
              <w:t xml:space="preserve"> k případné revizi strategie resp. programového dokumentu.</w:t>
            </w:r>
          </w:p>
          <w:p w14:paraId="55B99920" w14:textId="77777777" w:rsidR="003C2AF9" w:rsidRPr="00DD47DF" w:rsidRDefault="003C2AF9" w:rsidP="00BE586C">
            <w:pPr>
              <w:pStyle w:val="DAVA"/>
              <w:spacing w:before="80" w:after="80"/>
              <w:rPr>
                <w:rFonts w:ascii="Times New Roman" w:hAnsi="Times New Roman"/>
                <w:sz w:val="22"/>
                <w:szCs w:val="22"/>
              </w:rPr>
            </w:pPr>
            <w:r w:rsidRPr="00DD47DF">
              <w:rPr>
                <w:rFonts w:ascii="Times New Roman" w:hAnsi="Times New Roman"/>
                <w:sz w:val="22"/>
                <w:szCs w:val="22"/>
              </w:rPr>
              <w:t>ŘO: Plnění</w:t>
            </w:r>
            <w:r w:rsidR="00BE586C" w:rsidRPr="00DD47DF">
              <w:rPr>
                <w:rFonts w:ascii="Times New Roman" w:hAnsi="Times New Roman"/>
                <w:sz w:val="22"/>
                <w:szCs w:val="22"/>
              </w:rPr>
              <w:t xml:space="preserve"> </w:t>
            </w:r>
            <w:r w:rsidR="00FC061B" w:rsidRPr="00DD47DF">
              <w:rPr>
                <w:sz w:val="22"/>
                <w:szCs w:val="22"/>
              </w:rPr>
              <w:t xml:space="preserve"> </w:t>
            </w:r>
            <w:r w:rsidR="00FC061B" w:rsidRPr="00DD47DF">
              <w:rPr>
                <w:rFonts w:ascii="Times New Roman" w:hAnsi="Times New Roman"/>
                <w:sz w:val="22"/>
                <w:szCs w:val="22"/>
              </w:rPr>
              <w:t>ČÁSTEČNĚ</w:t>
            </w:r>
          </w:p>
          <w:p w14:paraId="4C344687" w14:textId="77777777" w:rsidR="00BE586C" w:rsidRPr="00DD47DF" w:rsidRDefault="00BE586C" w:rsidP="00BE586C">
            <w:pPr>
              <w:pStyle w:val="DAVA"/>
              <w:spacing w:before="80" w:after="80"/>
              <w:rPr>
                <w:rFonts w:ascii="Times New Roman" w:hAnsi="Times New Roman"/>
                <w:sz w:val="22"/>
                <w:szCs w:val="22"/>
              </w:rPr>
            </w:pPr>
            <w:r w:rsidRPr="00DD47DF">
              <w:rPr>
                <w:rFonts w:ascii="Times New Roman" w:hAnsi="Times New Roman"/>
                <w:sz w:val="22"/>
                <w:szCs w:val="22"/>
              </w:rPr>
              <w:t>Ukazatele výsledků SC byly nastaveny ve spolupráci s ex-ante hodnotitelem OP PIK a při zohlednění specifických připomínek a doporučení EK (Evaluation Unit) . Ukazatele výsledků SC byly voleny tak, aby co nejlépe vyjadřovaly žádoucí změnu.</w:t>
            </w:r>
          </w:p>
        </w:tc>
      </w:tr>
      <w:tr w:rsidR="00790A0D" w:rsidRPr="00DD47DF" w14:paraId="0AE23009" w14:textId="77777777" w:rsidTr="006D2F5F">
        <w:tc>
          <w:tcPr>
            <w:tcW w:w="1752" w:type="dxa"/>
            <w:vMerge/>
            <w:shd w:val="clear" w:color="auto" w:fill="auto"/>
          </w:tcPr>
          <w:p w14:paraId="0611E7B5" w14:textId="77777777" w:rsidR="00790A0D" w:rsidRPr="00DD47DF" w:rsidRDefault="00790A0D" w:rsidP="006D2F5F">
            <w:pPr>
              <w:pStyle w:val="Tabulka"/>
              <w:jc w:val="left"/>
              <w:rPr>
                <w:rFonts w:cs="Calibri"/>
                <w:b/>
              </w:rPr>
            </w:pPr>
          </w:p>
        </w:tc>
        <w:tc>
          <w:tcPr>
            <w:tcW w:w="1701" w:type="dxa"/>
            <w:vMerge/>
            <w:shd w:val="clear" w:color="auto" w:fill="auto"/>
          </w:tcPr>
          <w:p w14:paraId="77F2C891" w14:textId="77777777" w:rsidR="00790A0D" w:rsidRPr="00DD47DF" w:rsidRDefault="00790A0D" w:rsidP="006D2F5F">
            <w:pPr>
              <w:pStyle w:val="Tabulka"/>
              <w:jc w:val="left"/>
              <w:rPr>
                <w:rFonts w:cs="Calibri"/>
              </w:rPr>
            </w:pPr>
          </w:p>
        </w:tc>
        <w:tc>
          <w:tcPr>
            <w:tcW w:w="1276" w:type="dxa"/>
            <w:vMerge/>
            <w:shd w:val="clear" w:color="auto" w:fill="auto"/>
          </w:tcPr>
          <w:p w14:paraId="38055D42" w14:textId="77777777" w:rsidR="00790A0D" w:rsidRPr="00DD47DF" w:rsidRDefault="00790A0D" w:rsidP="006D2F5F">
            <w:pPr>
              <w:pStyle w:val="Tabulka"/>
              <w:jc w:val="left"/>
              <w:rPr>
                <w:rFonts w:cs="Calibri"/>
              </w:rPr>
            </w:pPr>
          </w:p>
        </w:tc>
        <w:tc>
          <w:tcPr>
            <w:tcW w:w="1843" w:type="dxa"/>
            <w:shd w:val="clear" w:color="auto" w:fill="auto"/>
          </w:tcPr>
          <w:p w14:paraId="40D78D1C"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284D46BC" w14:textId="77777777" w:rsidR="00790A0D" w:rsidRPr="00DD47DF" w:rsidRDefault="00790A0D" w:rsidP="00BE586C">
            <w:pPr>
              <w:pStyle w:val="Tabulka"/>
              <w:numPr>
                <w:ilvl w:val="0"/>
                <w:numId w:val="92"/>
              </w:numPr>
              <w:jc w:val="left"/>
            </w:pPr>
            <w:r w:rsidRPr="00DD47DF">
              <w:rPr>
                <w:bCs/>
              </w:rPr>
              <w:t>vytyčení cílů pro tyto ukazatele,</w:t>
            </w:r>
          </w:p>
        </w:tc>
        <w:tc>
          <w:tcPr>
            <w:tcW w:w="1134" w:type="dxa"/>
            <w:shd w:val="clear" w:color="auto" w:fill="auto"/>
          </w:tcPr>
          <w:p w14:paraId="379F72CA" w14:textId="77777777" w:rsidR="00790A0D" w:rsidRPr="00DD47DF" w:rsidRDefault="008B1FD2" w:rsidP="006D2F5F">
            <w:pPr>
              <w:pStyle w:val="Tabulka"/>
              <w:jc w:val="left"/>
            </w:pPr>
            <w:r w:rsidRPr="00DD47DF">
              <w:t>ne</w:t>
            </w:r>
          </w:p>
        </w:tc>
        <w:tc>
          <w:tcPr>
            <w:tcW w:w="2126" w:type="dxa"/>
            <w:shd w:val="clear" w:color="auto" w:fill="auto"/>
          </w:tcPr>
          <w:p w14:paraId="7B0376B6" w14:textId="77777777" w:rsidR="00790A0D" w:rsidRPr="00DD47DF" w:rsidRDefault="00790A0D" w:rsidP="006D2F5F">
            <w:pPr>
              <w:pStyle w:val="Tabulka"/>
              <w:jc w:val="left"/>
            </w:pPr>
          </w:p>
        </w:tc>
        <w:tc>
          <w:tcPr>
            <w:tcW w:w="4394" w:type="dxa"/>
            <w:shd w:val="clear" w:color="auto" w:fill="auto"/>
          </w:tcPr>
          <w:p w14:paraId="4EEE2152" w14:textId="77777777" w:rsidR="00F97C3B" w:rsidRPr="00DD47DF" w:rsidRDefault="003C2AF9" w:rsidP="006D2F5F">
            <w:pPr>
              <w:pStyle w:val="DAVA"/>
              <w:spacing w:before="80" w:after="80"/>
              <w:rPr>
                <w:rFonts w:ascii="Times New Roman" w:hAnsi="Times New Roman"/>
                <w:sz w:val="22"/>
                <w:szCs w:val="22"/>
              </w:rPr>
            </w:pPr>
            <w:r w:rsidRPr="00DD47DF">
              <w:rPr>
                <w:rFonts w:ascii="Times New Roman" w:hAnsi="Times New Roman"/>
                <w:sz w:val="22"/>
                <w:szCs w:val="22"/>
              </w:rPr>
              <w:t>Gestor</w:t>
            </w:r>
            <w:r w:rsidR="000529F1" w:rsidRPr="00DD47DF">
              <w:rPr>
                <w:rFonts w:ascii="Times New Roman" w:hAnsi="Times New Roman"/>
                <w:sz w:val="22"/>
                <w:szCs w:val="22"/>
              </w:rPr>
              <w:t xml:space="preserve"> </w:t>
            </w:r>
            <w:r w:rsidRPr="00DD47DF">
              <w:rPr>
                <w:rFonts w:ascii="Times New Roman" w:hAnsi="Times New Roman"/>
                <w:sz w:val="22"/>
                <w:szCs w:val="22"/>
              </w:rPr>
              <w:t xml:space="preserve">PP: Plnění </w:t>
            </w:r>
            <w:r w:rsidR="000529F1" w:rsidRPr="00DD47DF">
              <w:rPr>
                <w:rFonts w:ascii="Times New Roman" w:hAnsi="Times New Roman"/>
                <w:sz w:val="22"/>
                <w:szCs w:val="22"/>
              </w:rPr>
              <w:t xml:space="preserve">ČÁSTEČNĚ </w:t>
            </w:r>
          </w:p>
          <w:p w14:paraId="208134B6"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Budou součástí programových dokumentů. </w:t>
            </w:r>
          </w:p>
          <w:p w14:paraId="17CFEF81" w14:textId="77777777" w:rsidR="00790A0D" w:rsidRPr="00DD47DF" w:rsidRDefault="00790A0D" w:rsidP="006D2F5F">
            <w:pPr>
              <w:pStyle w:val="Tabulka"/>
              <w:jc w:val="left"/>
            </w:pPr>
            <w:r w:rsidRPr="00DD47DF">
              <w:t>Nastavení výchozích a cílových hodnot je prováděno v rámci přípravy programů. Průběžně ve spolupráci s ex-ante hodnotiteli probíhá expertní posuzování relevance hodnot ve vazbě na alokaci pro dané téma.</w:t>
            </w:r>
          </w:p>
          <w:p w14:paraId="1F23E2FC" w14:textId="77777777" w:rsidR="003C2AF9" w:rsidRPr="00DD47DF" w:rsidRDefault="003C2AF9" w:rsidP="00D43AF5">
            <w:pPr>
              <w:pStyle w:val="Tabulka"/>
              <w:jc w:val="left"/>
            </w:pPr>
            <w:r w:rsidRPr="00DD47DF">
              <w:t>ŘO: Plnění</w:t>
            </w:r>
            <w:r w:rsidR="00D43AF5" w:rsidRPr="00DD47DF">
              <w:t xml:space="preserve"> </w:t>
            </w:r>
            <w:r w:rsidR="00FC061B" w:rsidRPr="00DD47DF">
              <w:t xml:space="preserve"> ČÁSTEČNĚ</w:t>
            </w:r>
          </w:p>
          <w:p w14:paraId="3EC79D16" w14:textId="77777777" w:rsidR="00D43AF5" w:rsidRPr="00DD47DF" w:rsidRDefault="00D43AF5" w:rsidP="00D43AF5">
            <w:pPr>
              <w:pStyle w:val="Tabulka"/>
              <w:jc w:val="left"/>
            </w:pPr>
            <w:r w:rsidRPr="00DD47DF">
              <w:t xml:space="preserve">Cílové hodnoty ukazatelů výsledků OP PIK </w:t>
            </w:r>
            <w:r w:rsidRPr="00DD47DF">
              <w:lastRenderedPageBreak/>
              <w:t>byly nastaveny na základě spolupráce odborných pracovníků ŘO s externí poradenskou firmou a ověřeny a potvrzeny ex-ante hodnotitelem.</w:t>
            </w:r>
          </w:p>
        </w:tc>
      </w:tr>
      <w:tr w:rsidR="00790A0D" w:rsidRPr="00DD47DF" w14:paraId="58369F27" w14:textId="77777777" w:rsidTr="006D2F5F">
        <w:tc>
          <w:tcPr>
            <w:tcW w:w="1752" w:type="dxa"/>
            <w:vMerge/>
            <w:shd w:val="clear" w:color="auto" w:fill="auto"/>
          </w:tcPr>
          <w:p w14:paraId="225970FC" w14:textId="77777777" w:rsidR="00790A0D" w:rsidRPr="00DD47DF" w:rsidRDefault="00790A0D" w:rsidP="006D2F5F">
            <w:pPr>
              <w:pStyle w:val="Tabulka"/>
              <w:jc w:val="left"/>
              <w:rPr>
                <w:rFonts w:cs="Calibri"/>
                <w:b/>
              </w:rPr>
            </w:pPr>
          </w:p>
        </w:tc>
        <w:tc>
          <w:tcPr>
            <w:tcW w:w="1701" w:type="dxa"/>
            <w:vMerge/>
            <w:shd w:val="clear" w:color="auto" w:fill="auto"/>
          </w:tcPr>
          <w:p w14:paraId="5C50315C" w14:textId="77777777" w:rsidR="00790A0D" w:rsidRPr="00DD47DF" w:rsidRDefault="00790A0D" w:rsidP="006D2F5F">
            <w:pPr>
              <w:pStyle w:val="Tabulka"/>
              <w:jc w:val="left"/>
              <w:rPr>
                <w:rFonts w:cs="Calibri"/>
              </w:rPr>
            </w:pPr>
          </w:p>
        </w:tc>
        <w:tc>
          <w:tcPr>
            <w:tcW w:w="1276" w:type="dxa"/>
            <w:vMerge/>
            <w:shd w:val="clear" w:color="auto" w:fill="auto"/>
          </w:tcPr>
          <w:p w14:paraId="0B829102" w14:textId="77777777" w:rsidR="00790A0D" w:rsidRPr="00DD47DF" w:rsidRDefault="00790A0D" w:rsidP="006D2F5F">
            <w:pPr>
              <w:pStyle w:val="Tabulka"/>
              <w:jc w:val="left"/>
              <w:rPr>
                <w:rFonts w:cs="Calibri"/>
              </w:rPr>
            </w:pPr>
          </w:p>
        </w:tc>
        <w:tc>
          <w:tcPr>
            <w:tcW w:w="1843" w:type="dxa"/>
            <w:shd w:val="clear" w:color="auto" w:fill="auto"/>
          </w:tcPr>
          <w:p w14:paraId="2B01B37F" w14:textId="77777777" w:rsidR="00790A0D" w:rsidRPr="00DD47DF" w:rsidRDefault="00790A0D"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7B4FEAB2" w14:textId="77777777" w:rsidR="00790A0D" w:rsidRPr="00DD47DF" w:rsidRDefault="00790A0D" w:rsidP="00D43AF5">
            <w:pPr>
              <w:pStyle w:val="Tabulka"/>
              <w:numPr>
                <w:ilvl w:val="0"/>
                <w:numId w:val="92"/>
              </w:numPr>
              <w:jc w:val="left"/>
            </w:pPr>
            <w:r w:rsidRPr="00DD47DF">
              <w:rPr>
                <w:bCs/>
              </w:rPr>
              <w:t>musí být zajištěn soulad každého ukazatele s těmito podmínkami: robustností a statistickou validací, jasným normativním výkladem, souladem se strategiemi, včasným sběrem údajů,</w:t>
            </w:r>
          </w:p>
        </w:tc>
        <w:tc>
          <w:tcPr>
            <w:tcW w:w="1134" w:type="dxa"/>
            <w:shd w:val="clear" w:color="auto" w:fill="auto"/>
          </w:tcPr>
          <w:p w14:paraId="43EBAD85" w14:textId="77777777" w:rsidR="00790A0D" w:rsidRPr="00DD47DF" w:rsidRDefault="008B1FD2" w:rsidP="006D2F5F">
            <w:pPr>
              <w:pStyle w:val="Tabulka"/>
              <w:jc w:val="left"/>
            </w:pPr>
            <w:r w:rsidRPr="00DD47DF">
              <w:rPr>
                <w:rFonts w:eastAsia="Calibri"/>
              </w:rPr>
              <w:t>ne</w:t>
            </w:r>
          </w:p>
        </w:tc>
        <w:tc>
          <w:tcPr>
            <w:tcW w:w="2126" w:type="dxa"/>
            <w:shd w:val="clear" w:color="auto" w:fill="auto"/>
          </w:tcPr>
          <w:p w14:paraId="436C8EB9" w14:textId="77777777" w:rsidR="00790A0D" w:rsidRPr="00DD47DF" w:rsidRDefault="00790A0D" w:rsidP="006D2F5F">
            <w:pPr>
              <w:pStyle w:val="Tabulka"/>
              <w:jc w:val="left"/>
            </w:pPr>
          </w:p>
        </w:tc>
        <w:tc>
          <w:tcPr>
            <w:tcW w:w="4394" w:type="dxa"/>
            <w:shd w:val="clear" w:color="auto" w:fill="auto"/>
          </w:tcPr>
          <w:p w14:paraId="36AC2D05" w14:textId="77777777" w:rsidR="003C2AF9" w:rsidRPr="00DD47DF" w:rsidRDefault="003C2AF9" w:rsidP="006D2F5F">
            <w:pPr>
              <w:rPr>
                <w:sz w:val="22"/>
                <w:szCs w:val="22"/>
              </w:rPr>
            </w:pPr>
            <w:r w:rsidRPr="00DD47DF">
              <w:rPr>
                <w:sz w:val="22"/>
                <w:szCs w:val="22"/>
              </w:rPr>
              <w:t xml:space="preserve">Gestor PP: Plnění </w:t>
            </w:r>
            <w:r w:rsidR="0004197D" w:rsidRPr="00DD47DF">
              <w:rPr>
                <w:sz w:val="22"/>
                <w:szCs w:val="22"/>
              </w:rPr>
              <w:t>ČÁSTEČNĚ</w:t>
            </w:r>
          </w:p>
          <w:p w14:paraId="0647DC2E" w14:textId="77777777" w:rsidR="00790A0D" w:rsidRPr="00DD47DF" w:rsidRDefault="00790A0D" w:rsidP="006D2F5F">
            <w:pPr>
              <w:rPr>
                <w:sz w:val="22"/>
                <w:szCs w:val="22"/>
              </w:rPr>
            </w:pPr>
            <w:r w:rsidRPr="00DD47DF">
              <w:rPr>
                <w:sz w:val="22"/>
                <w:szCs w:val="22"/>
              </w:rPr>
              <w:t>Je součástí programových dokumentů. Stejná pravidla jsou součástí MP indikátorů (schváleno UV 597/2013).</w:t>
            </w:r>
          </w:p>
          <w:p w14:paraId="0DD68F81" w14:textId="77777777" w:rsidR="003C2AF9" w:rsidRPr="00DD47DF" w:rsidRDefault="003C2AF9" w:rsidP="006D2F5F">
            <w:pPr>
              <w:rPr>
                <w:sz w:val="22"/>
                <w:szCs w:val="22"/>
              </w:rPr>
            </w:pPr>
            <w:r w:rsidRPr="00DD47DF">
              <w:rPr>
                <w:sz w:val="22"/>
                <w:szCs w:val="22"/>
              </w:rPr>
              <w:t>ŘO: Plnění</w:t>
            </w:r>
            <w:r w:rsidR="00D43AF5" w:rsidRPr="00DD47DF">
              <w:rPr>
                <w:sz w:val="22"/>
                <w:szCs w:val="22"/>
              </w:rPr>
              <w:t xml:space="preserve"> </w:t>
            </w:r>
            <w:r w:rsidR="00FC061B" w:rsidRPr="00DD47DF">
              <w:rPr>
                <w:sz w:val="22"/>
                <w:szCs w:val="22"/>
              </w:rPr>
              <w:t>ČÁSTEČNĚ</w:t>
            </w:r>
          </w:p>
          <w:p w14:paraId="7B4C0394" w14:textId="77777777" w:rsidR="00D43AF5" w:rsidRPr="00DD47DF" w:rsidRDefault="00D43AF5" w:rsidP="006D2F5F">
            <w:pPr>
              <w:rPr>
                <w:sz w:val="22"/>
                <w:szCs w:val="22"/>
              </w:rPr>
            </w:pPr>
            <w:r w:rsidRPr="00DD47DF">
              <w:rPr>
                <w:sz w:val="22"/>
                <w:szCs w:val="22"/>
              </w:rPr>
              <w:t xml:space="preserve">Ukazatele výsledků SC byly nastaveny ve spolupráci s ex-ante hodnotitelem OP PIK a při zohlednění specifických připomínek a doporučení EK (Evaluation </w:t>
            </w:r>
            <w:r w:rsidR="00370AC0" w:rsidRPr="00DD47DF">
              <w:rPr>
                <w:sz w:val="22"/>
                <w:szCs w:val="22"/>
              </w:rPr>
              <w:t>U</w:t>
            </w:r>
            <w:r w:rsidRPr="00DD47DF">
              <w:rPr>
                <w:sz w:val="22"/>
                <w:szCs w:val="22"/>
              </w:rPr>
              <w:t xml:space="preserve">nit) a splňují požadavky na robustnost a statistickou validaci.  </w:t>
            </w:r>
          </w:p>
          <w:p w14:paraId="2E323C0E" w14:textId="77777777" w:rsidR="00790A0D" w:rsidRPr="00DD47DF" w:rsidRDefault="00790A0D" w:rsidP="006D2F5F">
            <w:pPr>
              <w:pStyle w:val="Tabulka"/>
              <w:jc w:val="left"/>
            </w:pPr>
          </w:p>
        </w:tc>
      </w:tr>
      <w:tr w:rsidR="00790A0D" w:rsidRPr="00DD47DF" w14:paraId="1B41FAF7" w14:textId="77777777" w:rsidTr="006D2F5F">
        <w:tc>
          <w:tcPr>
            <w:tcW w:w="1752" w:type="dxa"/>
            <w:vMerge/>
            <w:shd w:val="clear" w:color="auto" w:fill="auto"/>
          </w:tcPr>
          <w:p w14:paraId="4284929B" w14:textId="77777777" w:rsidR="00790A0D" w:rsidRPr="00DD47DF" w:rsidRDefault="00790A0D" w:rsidP="006D2F5F">
            <w:pPr>
              <w:pStyle w:val="Tabulka"/>
              <w:jc w:val="left"/>
              <w:rPr>
                <w:rFonts w:cs="Calibri"/>
                <w:b/>
              </w:rPr>
            </w:pPr>
          </w:p>
        </w:tc>
        <w:tc>
          <w:tcPr>
            <w:tcW w:w="1701" w:type="dxa"/>
            <w:vMerge/>
            <w:shd w:val="clear" w:color="auto" w:fill="auto"/>
          </w:tcPr>
          <w:p w14:paraId="72F90C50" w14:textId="77777777" w:rsidR="00790A0D" w:rsidRPr="00DD47DF" w:rsidRDefault="00790A0D" w:rsidP="006D2F5F">
            <w:pPr>
              <w:pStyle w:val="Tabulka"/>
              <w:jc w:val="left"/>
              <w:rPr>
                <w:rFonts w:cs="Calibri"/>
              </w:rPr>
            </w:pPr>
          </w:p>
        </w:tc>
        <w:tc>
          <w:tcPr>
            <w:tcW w:w="1276" w:type="dxa"/>
            <w:vMerge/>
            <w:shd w:val="clear" w:color="auto" w:fill="auto"/>
          </w:tcPr>
          <w:p w14:paraId="575A4841" w14:textId="77777777" w:rsidR="00790A0D" w:rsidRPr="00DD47DF" w:rsidRDefault="00790A0D" w:rsidP="006D2F5F">
            <w:pPr>
              <w:pStyle w:val="Tabulka"/>
              <w:jc w:val="left"/>
              <w:rPr>
                <w:rFonts w:cs="Calibri"/>
              </w:rPr>
            </w:pPr>
          </w:p>
        </w:tc>
        <w:tc>
          <w:tcPr>
            <w:tcW w:w="1843" w:type="dxa"/>
            <w:shd w:val="clear" w:color="auto" w:fill="auto"/>
          </w:tcPr>
          <w:p w14:paraId="3D92D4BB" w14:textId="77777777" w:rsidR="00790A0D" w:rsidRPr="00DD47DF" w:rsidRDefault="00790A0D" w:rsidP="006D2F5F">
            <w:pPr>
              <w:pStyle w:val="Tabulka"/>
              <w:jc w:val="left"/>
              <w:rPr>
                <w:rFonts w:cs="Calibri"/>
              </w:rPr>
            </w:pPr>
            <w:r w:rsidRPr="00DD47DF">
              <w:rPr>
                <w:rFonts w:cs="Calibri"/>
              </w:rPr>
              <w:t>Postupy zajišťující, aby všechny operace financované z programu používaly účinný systém ukazatelů.</w:t>
            </w:r>
          </w:p>
        </w:tc>
        <w:tc>
          <w:tcPr>
            <w:tcW w:w="1134" w:type="dxa"/>
            <w:shd w:val="clear" w:color="auto" w:fill="auto"/>
          </w:tcPr>
          <w:p w14:paraId="44F7F215" w14:textId="77777777" w:rsidR="00790A0D" w:rsidRPr="00DD47DF" w:rsidRDefault="008B1FD2" w:rsidP="006D2F5F">
            <w:pPr>
              <w:pStyle w:val="Tabulka"/>
              <w:jc w:val="left"/>
              <w:rPr>
                <w:rFonts w:cs="Calibri"/>
              </w:rPr>
            </w:pPr>
            <w:r w:rsidRPr="00DD47DF">
              <w:rPr>
                <w:rFonts w:eastAsia="Calibri" w:cs="Calibri"/>
              </w:rPr>
              <w:t>ne</w:t>
            </w:r>
          </w:p>
        </w:tc>
        <w:tc>
          <w:tcPr>
            <w:tcW w:w="2126" w:type="dxa"/>
            <w:shd w:val="clear" w:color="auto" w:fill="auto"/>
          </w:tcPr>
          <w:p w14:paraId="770EFBE6" w14:textId="77777777" w:rsidR="00790A0D" w:rsidRPr="00DD47DF" w:rsidRDefault="00013622" w:rsidP="006D2F5F">
            <w:pPr>
              <w:pStyle w:val="Tabulka"/>
              <w:jc w:val="left"/>
              <w:rPr>
                <w:rFonts w:cs="Calibri"/>
              </w:rPr>
            </w:pPr>
            <w:hyperlink r:id="rId107" w:history="1">
              <w:r w:rsidR="00790A0D" w:rsidRPr="00DD47DF">
                <w:rPr>
                  <w:rStyle w:val="Hypertextovodkaz"/>
                </w:rPr>
                <w:t>http://www.s-f.cz/cs/Fondy-EU/2014-2020/Metodicke-pokyny</w:t>
              </w:r>
            </w:hyperlink>
          </w:p>
        </w:tc>
        <w:tc>
          <w:tcPr>
            <w:tcW w:w="4394" w:type="dxa"/>
            <w:shd w:val="clear" w:color="auto" w:fill="auto"/>
          </w:tcPr>
          <w:p w14:paraId="14E29274" w14:textId="77777777" w:rsidR="003C2AF9" w:rsidRPr="00DD47DF" w:rsidRDefault="003C2AF9" w:rsidP="006D2F5F">
            <w:pPr>
              <w:pStyle w:val="DAVA"/>
              <w:spacing w:before="80" w:after="80"/>
              <w:rPr>
                <w:rFonts w:ascii="Times New Roman" w:hAnsi="Times New Roman"/>
                <w:sz w:val="22"/>
                <w:szCs w:val="22"/>
              </w:rPr>
            </w:pPr>
            <w:r w:rsidRPr="00DD47DF">
              <w:rPr>
                <w:rFonts w:ascii="Times New Roman" w:hAnsi="Times New Roman"/>
                <w:sz w:val="22"/>
                <w:szCs w:val="22"/>
              </w:rPr>
              <w:t xml:space="preserve">Gestor PP: Plnění </w:t>
            </w:r>
            <w:r w:rsidR="0004197D" w:rsidRPr="00DD47DF">
              <w:rPr>
                <w:rFonts w:ascii="Times New Roman" w:hAnsi="Times New Roman"/>
                <w:sz w:val="22"/>
                <w:szCs w:val="22"/>
              </w:rPr>
              <w:t>ČÁSTEČNĚ</w:t>
            </w:r>
          </w:p>
          <w:p w14:paraId="53193532" w14:textId="77777777" w:rsidR="00790A0D" w:rsidRPr="00DD47DF" w:rsidRDefault="00790A0D" w:rsidP="006D2F5F">
            <w:pPr>
              <w:pStyle w:val="DAVA"/>
              <w:spacing w:before="80" w:after="80"/>
              <w:rPr>
                <w:rFonts w:ascii="Times New Roman" w:hAnsi="Times New Roman"/>
                <w:sz w:val="22"/>
                <w:szCs w:val="22"/>
              </w:rPr>
            </w:pPr>
            <w:r w:rsidRPr="00DD47DF">
              <w:rPr>
                <w:rFonts w:ascii="Times New Roman" w:hAnsi="Times New Roman"/>
                <w:sz w:val="22"/>
                <w:szCs w:val="22"/>
              </w:rPr>
              <w:t>Povinné postupy pro splnění kritéria jsou součástí schváleného závazného metodického prostředí:</w:t>
            </w:r>
          </w:p>
          <w:p w14:paraId="091A9CD4" w14:textId="77777777" w:rsidR="00790A0D" w:rsidRPr="00DD47DF" w:rsidRDefault="00790A0D" w:rsidP="003C2AF9">
            <w:pPr>
              <w:pStyle w:val="DAVA"/>
              <w:spacing w:before="80" w:after="80"/>
              <w:rPr>
                <w:sz w:val="22"/>
                <w:szCs w:val="22"/>
              </w:rPr>
            </w:pPr>
            <w:r w:rsidRPr="00DD47DF">
              <w:rPr>
                <w:rFonts w:ascii="Times New Roman" w:hAnsi="Times New Roman"/>
                <w:sz w:val="22"/>
                <w:szCs w:val="22"/>
              </w:rPr>
              <w:t xml:space="preserve">MP indikátory (UV 597/2013 a MP výběr a hodnocení projektů (schválen UV 873/2013), které definují závazná pravidla pro výběr a plnění alespoň jednoho indikátoru ve vazbě na </w:t>
            </w:r>
            <w:r w:rsidRPr="00DD47DF">
              <w:rPr>
                <w:rFonts w:ascii="Times New Roman" w:hAnsi="Times New Roman"/>
                <w:sz w:val="22"/>
                <w:szCs w:val="22"/>
              </w:rPr>
              <w:lastRenderedPageBreak/>
              <w:t>specifický cíl. V rámci uvedeného pokynu jsou současně promítnuty principy 3E pro výběr a hodnocení operací. Závazné a jednotné metodické konstrukce všech indikátorů používaných v rámci programů a každé operace jsou definovány v rámci tzn. NČI2014+</w:t>
            </w:r>
            <w:r w:rsidR="003C2AF9" w:rsidRPr="00DD47DF">
              <w:rPr>
                <w:rFonts w:ascii="Times New Roman" w:hAnsi="Times New Roman"/>
                <w:sz w:val="22"/>
                <w:szCs w:val="22"/>
              </w:rPr>
              <w:t>.</w:t>
            </w:r>
          </w:p>
          <w:p w14:paraId="5CFF2670" w14:textId="77777777" w:rsidR="003C2AF9" w:rsidRPr="00DD47DF" w:rsidRDefault="003C2AF9" w:rsidP="003C2AF9">
            <w:pPr>
              <w:pStyle w:val="DAVA"/>
              <w:spacing w:before="80" w:after="80"/>
              <w:rPr>
                <w:rFonts w:ascii="Times New Roman" w:hAnsi="Times New Roman"/>
                <w:sz w:val="22"/>
                <w:szCs w:val="22"/>
              </w:rPr>
            </w:pPr>
            <w:r w:rsidRPr="00DD47DF">
              <w:rPr>
                <w:rFonts w:ascii="Times New Roman" w:hAnsi="Times New Roman"/>
                <w:sz w:val="22"/>
                <w:szCs w:val="22"/>
              </w:rPr>
              <w:t>ŘO: Plnění</w:t>
            </w:r>
            <w:r w:rsidR="00BF4517" w:rsidRPr="00DD47DF">
              <w:rPr>
                <w:rFonts w:ascii="Times New Roman" w:hAnsi="Times New Roman"/>
                <w:sz w:val="22"/>
                <w:szCs w:val="22"/>
              </w:rPr>
              <w:t xml:space="preserve"> částečně</w:t>
            </w:r>
          </w:p>
          <w:p w14:paraId="43728415" w14:textId="77777777" w:rsidR="00BF4517" w:rsidRPr="00DD47DF" w:rsidRDefault="00BF4517" w:rsidP="00F34E54">
            <w:pPr>
              <w:pStyle w:val="DAVA"/>
              <w:spacing w:before="80" w:after="80"/>
              <w:rPr>
                <w:rFonts w:ascii="Times New Roman" w:hAnsi="Times New Roman"/>
                <w:sz w:val="22"/>
                <w:szCs w:val="22"/>
              </w:rPr>
            </w:pPr>
            <w:r w:rsidRPr="00DD47DF">
              <w:rPr>
                <w:rFonts w:ascii="Times New Roman" w:hAnsi="Times New Roman"/>
                <w:sz w:val="22"/>
                <w:szCs w:val="22"/>
              </w:rPr>
              <w:t>Požadavky a pravidla na používání systému ukazatelů OP PIK jsou</w:t>
            </w:r>
            <w:r w:rsidR="006F0E4D" w:rsidRPr="00DD47DF">
              <w:rPr>
                <w:rFonts w:ascii="Times New Roman" w:hAnsi="Times New Roman"/>
                <w:sz w:val="22"/>
                <w:szCs w:val="22"/>
              </w:rPr>
              <w:t xml:space="preserve"> součástí</w:t>
            </w:r>
            <w:r w:rsidRPr="00DD47DF">
              <w:rPr>
                <w:rFonts w:ascii="Times New Roman" w:hAnsi="Times New Roman"/>
                <w:sz w:val="22"/>
                <w:szCs w:val="22"/>
              </w:rPr>
              <w:t> navazující řídící dokumentac</w:t>
            </w:r>
            <w:r w:rsidR="006F0E4D" w:rsidRPr="00DD47DF">
              <w:rPr>
                <w:rFonts w:ascii="Times New Roman" w:hAnsi="Times New Roman"/>
                <w:sz w:val="22"/>
                <w:szCs w:val="22"/>
              </w:rPr>
              <w:t>e</w:t>
            </w:r>
            <w:r w:rsidRPr="00DD47DF">
              <w:rPr>
                <w:rFonts w:ascii="Times New Roman" w:hAnsi="Times New Roman"/>
                <w:sz w:val="22"/>
                <w:szCs w:val="22"/>
              </w:rPr>
              <w:t xml:space="preserve"> k programu a také pokyn</w:t>
            </w:r>
            <w:r w:rsidR="006F0E4D" w:rsidRPr="00DD47DF">
              <w:rPr>
                <w:rFonts w:ascii="Times New Roman" w:hAnsi="Times New Roman"/>
                <w:sz w:val="22"/>
                <w:szCs w:val="22"/>
              </w:rPr>
              <w:t>ů</w:t>
            </w:r>
            <w:r w:rsidRPr="00DD47DF">
              <w:rPr>
                <w:rFonts w:ascii="Times New Roman" w:hAnsi="Times New Roman"/>
                <w:sz w:val="22"/>
                <w:szCs w:val="22"/>
              </w:rPr>
              <w:t xml:space="preserve"> a podmín</w:t>
            </w:r>
            <w:r w:rsidR="006F0E4D" w:rsidRPr="00DD47DF">
              <w:rPr>
                <w:rFonts w:ascii="Times New Roman" w:hAnsi="Times New Roman"/>
                <w:sz w:val="22"/>
                <w:szCs w:val="22"/>
              </w:rPr>
              <w:t>e</w:t>
            </w:r>
            <w:r w:rsidRPr="00DD47DF">
              <w:rPr>
                <w:rFonts w:ascii="Times New Roman" w:hAnsi="Times New Roman"/>
                <w:sz w:val="22"/>
                <w:szCs w:val="22"/>
              </w:rPr>
              <w:t>k pro žadatele a příjemce</w:t>
            </w:r>
            <w:r w:rsidR="006F0E4D" w:rsidRPr="00DD47DF">
              <w:rPr>
                <w:rFonts w:ascii="Times New Roman" w:hAnsi="Times New Roman"/>
                <w:sz w:val="22"/>
                <w:szCs w:val="22"/>
              </w:rPr>
              <w:t xml:space="preserve">, kde </w:t>
            </w:r>
            <w:r w:rsidR="00F34E54" w:rsidRPr="00DD47DF">
              <w:rPr>
                <w:rFonts w:ascii="Times New Roman" w:hAnsi="Times New Roman"/>
                <w:sz w:val="22"/>
                <w:szCs w:val="22"/>
              </w:rPr>
              <w:t>budou</w:t>
            </w:r>
            <w:r w:rsidR="006F0E4D" w:rsidRPr="00DD47DF">
              <w:rPr>
                <w:rFonts w:ascii="Times New Roman" w:hAnsi="Times New Roman"/>
                <w:sz w:val="22"/>
                <w:szCs w:val="22"/>
              </w:rPr>
              <w:t xml:space="preserve"> podrobně popsány povinnosti příjemců poskytovat ŘO potřebné informace pro naplňování indikátorů.</w:t>
            </w:r>
          </w:p>
        </w:tc>
      </w:tr>
      <w:tr w:rsidR="00790A0D" w:rsidRPr="00DD47DF" w14:paraId="2A18850B" w14:textId="77777777" w:rsidTr="006D2F5F">
        <w:tc>
          <w:tcPr>
            <w:tcW w:w="1752" w:type="dxa"/>
            <w:vMerge w:val="restart"/>
            <w:shd w:val="clear" w:color="auto" w:fill="auto"/>
          </w:tcPr>
          <w:p w14:paraId="4D458755" w14:textId="77777777" w:rsidR="00790A0D" w:rsidRPr="00DD47DF" w:rsidRDefault="00790A0D" w:rsidP="006D2F5F">
            <w:pPr>
              <w:pStyle w:val="Tabulka"/>
              <w:jc w:val="left"/>
              <w:rPr>
                <w:rFonts w:cs="Calibri"/>
                <w:b/>
              </w:rPr>
            </w:pPr>
            <w:r w:rsidRPr="00DD47DF">
              <w:rPr>
                <w:rFonts w:cs="Calibri"/>
                <w:b/>
              </w:rPr>
              <w:lastRenderedPageBreak/>
              <w:t xml:space="preserve">1.1. Výzkum a inovace: Existence národní nebo regionální strategie pro inteligentní specializaci v souladu s národním programem reforem na podporu soukromých výdajů na výzkum a inovace, která je v souladu s rysy </w:t>
            </w:r>
            <w:r w:rsidRPr="00DD47DF">
              <w:rPr>
                <w:rFonts w:cs="Calibri"/>
                <w:b/>
              </w:rPr>
              <w:lastRenderedPageBreak/>
              <w:t>dobře fungujících celostátních nebo regionálních systémů výzkumu a inovací.</w:t>
            </w:r>
          </w:p>
        </w:tc>
        <w:tc>
          <w:tcPr>
            <w:tcW w:w="1701" w:type="dxa"/>
            <w:vMerge w:val="restart"/>
            <w:shd w:val="clear" w:color="auto" w:fill="auto"/>
          </w:tcPr>
          <w:p w14:paraId="7F65AB28" w14:textId="77777777" w:rsidR="00790A0D" w:rsidRPr="00DD47DF" w:rsidRDefault="00790A0D" w:rsidP="006D2F5F">
            <w:pPr>
              <w:pStyle w:val="Tabulka"/>
              <w:jc w:val="left"/>
              <w:rPr>
                <w:rFonts w:cs="Calibri"/>
              </w:rPr>
            </w:pPr>
            <w:r w:rsidRPr="00DD47DF">
              <w:rPr>
                <w:rFonts w:cs="Calibri"/>
              </w:rPr>
              <w:lastRenderedPageBreak/>
              <w:t>PO 1 - Rozvoj výzkumu a vývoje pro inovace</w:t>
            </w:r>
          </w:p>
          <w:p w14:paraId="7A641138" w14:textId="77777777" w:rsidR="00790A0D" w:rsidRPr="00DD47DF" w:rsidRDefault="00790A0D" w:rsidP="006D2F5F">
            <w:pPr>
              <w:pStyle w:val="Tabulka"/>
              <w:jc w:val="left"/>
              <w:rPr>
                <w:rFonts w:cs="Calibri"/>
              </w:rPr>
            </w:pPr>
          </w:p>
          <w:p w14:paraId="6BF57C90" w14:textId="77777777" w:rsidR="00790A0D" w:rsidRPr="00DD47DF" w:rsidRDefault="00790A0D" w:rsidP="006D2F5F">
            <w:pPr>
              <w:pStyle w:val="Tabulka"/>
              <w:jc w:val="left"/>
              <w:rPr>
                <w:rFonts w:cs="Calibri"/>
              </w:rPr>
            </w:pPr>
          </w:p>
          <w:p w14:paraId="43B89DD1" w14:textId="77777777" w:rsidR="00790A0D" w:rsidRPr="00DD47DF" w:rsidRDefault="00790A0D" w:rsidP="006D2F5F">
            <w:pPr>
              <w:pStyle w:val="Tabulka"/>
              <w:jc w:val="left"/>
              <w:rPr>
                <w:rFonts w:cs="Calibri"/>
              </w:rPr>
            </w:pPr>
          </w:p>
          <w:p w14:paraId="1C8B3E5C" w14:textId="77777777" w:rsidR="00790A0D" w:rsidRPr="00DD47DF" w:rsidRDefault="00790A0D" w:rsidP="006D2F5F">
            <w:pPr>
              <w:pStyle w:val="Tabulka"/>
              <w:jc w:val="left"/>
              <w:rPr>
                <w:rFonts w:cs="Calibri"/>
              </w:rPr>
            </w:pPr>
          </w:p>
          <w:p w14:paraId="24E40453" w14:textId="77777777" w:rsidR="00790A0D" w:rsidRPr="00DD47DF" w:rsidRDefault="00790A0D" w:rsidP="006D2F5F">
            <w:pPr>
              <w:pStyle w:val="Tabulka"/>
              <w:jc w:val="left"/>
              <w:rPr>
                <w:rFonts w:cs="Calibri"/>
              </w:rPr>
            </w:pPr>
          </w:p>
        </w:tc>
        <w:tc>
          <w:tcPr>
            <w:tcW w:w="1276" w:type="dxa"/>
            <w:vMerge w:val="restart"/>
            <w:shd w:val="clear" w:color="auto" w:fill="auto"/>
          </w:tcPr>
          <w:p w14:paraId="5A86A0C5" w14:textId="77777777" w:rsidR="00790A0D" w:rsidRPr="00DD47DF" w:rsidRDefault="00DF7373" w:rsidP="006D2F5F">
            <w:pPr>
              <w:pStyle w:val="Tabulka"/>
              <w:jc w:val="left"/>
              <w:rPr>
                <w:rFonts w:cs="Calibri"/>
              </w:rPr>
            </w:pPr>
            <w:r w:rsidRPr="00DD47DF">
              <w:rPr>
                <w:rFonts w:cs="Calibri"/>
              </w:rPr>
              <w:t>částečně</w:t>
            </w:r>
          </w:p>
          <w:p w14:paraId="79D27D61" w14:textId="77777777" w:rsidR="00790A0D" w:rsidRPr="00DD47DF" w:rsidRDefault="00790A0D" w:rsidP="006D2F5F">
            <w:pPr>
              <w:pStyle w:val="Tabulka"/>
              <w:jc w:val="left"/>
              <w:rPr>
                <w:rFonts w:cs="Calibri"/>
              </w:rPr>
            </w:pPr>
          </w:p>
          <w:p w14:paraId="1B20EDF3" w14:textId="77777777" w:rsidR="00790A0D" w:rsidRPr="00DD47DF" w:rsidRDefault="00790A0D" w:rsidP="006D2F5F">
            <w:pPr>
              <w:pStyle w:val="Tabulka"/>
              <w:jc w:val="left"/>
              <w:rPr>
                <w:rFonts w:cs="Calibri"/>
              </w:rPr>
            </w:pPr>
          </w:p>
          <w:p w14:paraId="5955328E" w14:textId="77777777" w:rsidR="00790A0D" w:rsidRPr="00DD47DF" w:rsidRDefault="00790A0D" w:rsidP="006D2F5F">
            <w:pPr>
              <w:pStyle w:val="Tabulka"/>
              <w:jc w:val="left"/>
              <w:rPr>
                <w:rFonts w:cs="Calibri"/>
              </w:rPr>
            </w:pPr>
          </w:p>
          <w:p w14:paraId="34816307" w14:textId="77777777" w:rsidR="00790A0D" w:rsidRPr="00DD47DF" w:rsidRDefault="00790A0D" w:rsidP="006D2F5F">
            <w:pPr>
              <w:pStyle w:val="Tabulka"/>
              <w:jc w:val="left"/>
              <w:rPr>
                <w:rFonts w:cs="Calibri"/>
              </w:rPr>
            </w:pPr>
          </w:p>
          <w:p w14:paraId="62C0DD88" w14:textId="77777777" w:rsidR="00790A0D" w:rsidRPr="00DD47DF" w:rsidRDefault="00790A0D" w:rsidP="006D2F5F">
            <w:pPr>
              <w:pStyle w:val="Tabulka"/>
              <w:jc w:val="left"/>
              <w:rPr>
                <w:rFonts w:cs="Calibri"/>
              </w:rPr>
            </w:pPr>
          </w:p>
          <w:p w14:paraId="1BFF8A04" w14:textId="77777777" w:rsidR="00790A0D" w:rsidRPr="00DD47DF" w:rsidRDefault="00790A0D" w:rsidP="006D2F5F">
            <w:pPr>
              <w:pStyle w:val="Tabulka"/>
              <w:jc w:val="left"/>
              <w:rPr>
                <w:rFonts w:cs="Calibri"/>
              </w:rPr>
            </w:pPr>
          </w:p>
        </w:tc>
        <w:tc>
          <w:tcPr>
            <w:tcW w:w="1843" w:type="dxa"/>
            <w:shd w:val="clear" w:color="auto" w:fill="auto"/>
          </w:tcPr>
          <w:p w14:paraId="355E8C9A" w14:textId="77777777" w:rsidR="00790A0D" w:rsidRPr="00DD47DF" w:rsidRDefault="00790A0D" w:rsidP="006D2F5F">
            <w:pPr>
              <w:pStyle w:val="Tabulka"/>
              <w:jc w:val="left"/>
              <w:rPr>
                <w:rFonts w:cs="Calibri"/>
              </w:rPr>
            </w:pPr>
            <w:r w:rsidRPr="00DD47DF">
              <w:rPr>
                <w:rFonts w:cs="Calibri"/>
                <w:bCs/>
              </w:rPr>
              <w:t>Je k dispozici národní strategie pro inteligentní specializaci, která:</w:t>
            </w:r>
          </w:p>
        </w:tc>
        <w:tc>
          <w:tcPr>
            <w:tcW w:w="1134" w:type="dxa"/>
            <w:shd w:val="clear" w:color="auto" w:fill="auto"/>
          </w:tcPr>
          <w:p w14:paraId="0744BEEC" w14:textId="77777777" w:rsidR="00790A0D" w:rsidRPr="00DD47DF" w:rsidRDefault="00DF7373" w:rsidP="006D2F5F">
            <w:pPr>
              <w:pStyle w:val="Tabulka"/>
              <w:jc w:val="left"/>
              <w:rPr>
                <w:rFonts w:cs="Calibri"/>
              </w:rPr>
            </w:pPr>
            <w:r w:rsidRPr="00DD47DF">
              <w:rPr>
                <w:rFonts w:cs="Calibri"/>
              </w:rPr>
              <w:t>ano</w:t>
            </w:r>
          </w:p>
        </w:tc>
        <w:tc>
          <w:tcPr>
            <w:tcW w:w="2126" w:type="dxa"/>
            <w:shd w:val="clear" w:color="auto" w:fill="auto"/>
          </w:tcPr>
          <w:p w14:paraId="735D2871" w14:textId="77777777" w:rsidR="00790A0D" w:rsidRPr="00DD47DF" w:rsidRDefault="00013622" w:rsidP="006D2F5F">
            <w:pPr>
              <w:pStyle w:val="Tabulka"/>
              <w:jc w:val="left"/>
            </w:pPr>
            <w:hyperlink r:id="rId108" w:history="1">
              <w:r w:rsidR="00790A0D" w:rsidRPr="00DD47DF">
                <w:rPr>
                  <w:rStyle w:val="Hypertextovodkaz"/>
                </w:rPr>
                <w:t>http://www.msmt.cz/strukturalni-fondy/ris3-strategie-cr</w:t>
              </w:r>
            </w:hyperlink>
          </w:p>
          <w:p w14:paraId="57E5668B" w14:textId="77777777" w:rsidR="00790A0D" w:rsidRPr="00DD47DF" w:rsidRDefault="00790A0D" w:rsidP="006D2F5F">
            <w:pPr>
              <w:pStyle w:val="Tabulka"/>
              <w:jc w:val="left"/>
            </w:pPr>
          </w:p>
          <w:p w14:paraId="169BC721" w14:textId="77777777" w:rsidR="00790A0D" w:rsidRPr="00DD47DF" w:rsidRDefault="00790A0D" w:rsidP="006D2F5F">
            <w:pPr>
              <w:pStyle w:val="Tabulka"/>
              <w:jc w:val="left"/>
            </w:pPr>
          </w:p>
          <w:p w14:paraId="7132EE4A" w14:textId="77777777" w:rsidR="00790A0D" w:rsidRPr="00DD47DF" w:rsidRDefault="00790A0D" w:rsidP="006D2F5F">
            <w:pPr>
              <w:pStyle w:val="Tabulka"/>
              <w:jc w:val="left"/>
              <w:rPr>
                <w:sz w:val="18"/>
                <w:szCs w:val="18"/>
              </w:rPr>
            </w:pPr>
          </w:p>
        </w:tc>
        <w:tc>
          <w:tcPr>
            <w:tcW w:w="4394" w:type="dxa"/>
            <w:shd w:val="clear" w:color="auto" w:fill="auto"/>
          </w:tcPr>
          <w:p w14:paraId="49EC7AA7" w14:textId="77777777" w:rsidR="00DF7373" w:rsidRPr="00DD47DF" w:rsidRDefault="00DF7373" w:rsidP="006D2F5F">
            <w:pPr>
              <w:pStyle w:val="Tabulka"/>
              <w:jc w:val="left"/>
            </w:pPr>
            <w:r w:rsidRPr="00DD47DF">
              <w:t xml:space="preserve">Národní RIS3 byla do r. 2014 připravována MŠMT, usnesením vlády č. 1028 z 8.12.2014 byla strategie schválena a jejím dalším řízením byl  pověřen Úřad vlády. V souladu s metodickým dokumentem EK k ex-ante kondicionalitám byl vytvořen Akční plán RIS3, který rekapituluje koncepční přístup ČR k této kondicionalitě a obsahuje popis již uskutečněných a zbývajících kroků ke splnění kritérií, která jsou dle vyjádření EK ze dne 12.12.2014 zatím nenaplněna, (spolu s harmonogramem aktivit a určením zodpovědných subjektů). </w:t>
            </w:r>
            <w:r w:rsidR="00E91F3C" w:rsidRPr="00DD47DF">
              <w:t xml:space="preserve">Akční plán je přílohou relevantních </w:t>
            </w:r>
            <w:r w:rsidR="001315A2" w:rsidRPr="00DD47DF">
              <w:t>programů</w:t>
            </w:r>
            <w:r w:rsidR="00E91F3C" w:rsidRPr="00DD47DF">
              <w:t xml:space="preserve">. </w:t>
            </w:r>
            <w:r w:rsidRPr="00DD47DF">
              <w:t xml:space="preserve">Schválením vládou ČR se Národní RIS3 stává nedílnou součástí „Aktualizace Národní politiky výzkumu, vývoje a inovací České republiky na léta 2009 až 2015 s výhledem do roku 2020“ (NP VaVaI), která je </w:t>
            </w:r>
            <w:r w:rsidRPr="00DD47DF">
              <w:lastRenderedPageBreak/>
              <w:t xml:space="preserve">na základě Usnesení vlády č. 294 ze dne 24. </w:t>
            </w:r>
            <w:r w:rsidR="00E91F3C" w:rsidRPr="00DD47DF">
              <w:t xml:space="preserve">4. </w:t>
            </w:r>
            <w:r w:rsidRPr="00DD47DF">
              <w:t>2013 základním strategickým dokumentem pro oblast VaVaI na národní úrovni.</w:t>
            </w:r>
          </w:p>
          <w:p w14:paraId="102A368E" w14:textId="77777777" w:rsidR="00790A0D" w:rsidRPr="00DD47DF" w:rsidRDefault="00790A0D" w:rsidP="006D2F5F">
            <w:pPr>
              <w:pStyle w:val="Tabulka"/>
              <w:jc w:val="left"/>
              <w:rPr>
                <w:rFonts w:cs="Calibri"/>
              </w:rPr>
            </w:pPr>
            <w:r w:rsidRPr="00DD47DF">
              <w:rPr>
                <w:rFonts w:cs="Calibri"/>
              </w:rPr>
              <w:t xml:space="preserve">OP PIK </w:t>
            </w:r>
            <w:r w:rsidR="00DF7373" w:rsidRPr="00DD47DF">
              <w:rPr>
                <w:rFonts w:cs="Calibri"/>
              </w:rPr>
              <w:t>je</w:t>
            </w:r>
            <w:r w:rsidRPr="00DD47DF">
              <w:rPr>
                <w:rFonts w:cs="Calibri"/>
              </w:rPr>
              <w:t xml:space="preserve"> navázán na RIS3 a v relevantních specifických cílech </w:t>
            </w:r>
            <w:r w:rsidR="00DF7373" w:rsidRPr="00DD47DF">
              <w:rPr>
                <w:rFonts w:cs="Calibri"/>
              </w:rPr>
              <w:t xml:space="preserve">ji </w:t>
            </w:r>
            <w:r w:rsidRPr="00DD47DF">
              <w:rPr>
                <w:rFonts w:cs="Calibri"/>
              </w:rPr>
              <w:t>zohledň</w:t>
            </w:r>
            <w:r w:rsidR="00DF7373" w:rsidRPr="00DD47DF">
              <w:rPr>
                <w:rFonts w:cs="Calibri"/>
              </w:rPr>
              <w:t>uje</w:t>
            </w:r>
            <w:r w:rsidRPr="00DD47DF">
              <w:rPr>
                <w:rFonts w:cs="Calibri"/>
              </w:rPr>
              <w:t xml:space="preserve">. </w:t>
            </w:r>
          </w:p>
          <w:p w14:paraId="3E7BAFEA" w14:textId="77777777" w:rsidR="00790A0D" w:rsidRPr="00DD47DF" w:rsidRDefault="00E91F3C" w:rsidP="00E91F3C">
            <w:pPr>
              <w:pStyle w:val="Tabulka"/>
              <w:jc w:val="left"/>
              <w:rPr>
                <w:rFonts w:cs="Calibri"/>
              </w:rPr>
            </w:pPr>
            <w:r w:rsidRPr="00DD47DF">
              <w:rPr>
                <w:rFonts w:cs="Calibri"/>
              </w:rPr>
              <w:t>V</w:t>
            </w:r>
            <w:r w:rsidR="00790A0D" w:rsidRPr="00DD47DF">
              <w:rPr>
                <w:rFonts w:cs="Calibri"/>
              </w:rPr>
              <w:t>iz</w:t>
            </w:r>
            <w:r w:rsidR="00790A0D" w:rsidRPr="00DD47DF">
              <w:t xml:space="preserve"> Akční plán</w:t>
            </w:r>
            <w:r w:rsidR="00CA1478" w:rsidRPr="00DD47DF">
              <w:t xml:space="preserve"> </w:t>
            </w:r>
            <w:r w:rsidR="00DF7373" w:rsidRPr="00DD47DF">
              <w:t xml:space="preserve">- </w:t>
            </w:r>
            <w:r w:rsidR="00CA1478" w:rsidRPr="00DD47DF">
              <w:t xml:space="preserve"> Příloha II</w:t>
            </w:r>
            <w:r w:rsidR="00790A0D" w:rsidRPr="00DD47DF">
              <w:t xml:space="preserve">. </w:t>
            </w:r>
          </w:p>
        </w:tc>
      </w:tr>
      <w:tr w:rsidR="00790A0D" w:rsidRPr="00DD47DF" w14:paraId="3F347EB1" w14:textId="77777777" w:rsidTr="006D2F5F">
        <w:tc>
          <w:tcPr>
            <w:tcW w:w="1752" w:type="dxa"/>
            <w:vMerge/>
            <w:shd w:val="clear" w:color="auto" w:fill="auto"/>
          </w:tcPr>
          <w:p w14:paraId="09B4B318" w14:textId="77777777" w:rsidR="00790A0D" w:rsidRPr="00DD47DF" w:rsidRDefault="00790A0D" w:rsidP="006D2F5F">
            <w:pPr>
              <w:pStyle w:val="Tabulka"/>
              <w:jc w:val="left"/>
              <w:rPr>
                <w:rFonts w:cs="Calibri"/>
                <w:b/>
              </w:rPr>
            </w:pPr>
          </w:p>
        </w:tc>
        <w:tc>
          <w:tcPr>
            <w:tcW w:w="1701" w:type="dxa"/>
            <w:vMerge/>
            <w:shd w:val="clear" w:color="auto" w:fill="auto"/>
          </w:tcPr>
          <w:p w14:paraId="744746C1" w14:textId="77777777" w:rsidR="00790A0D" w:rsidRPr="00DD47DF" w:rsidRDefault="00790A0D" w:rsidP="006D2F5F">
            <w:pPr>
              <w:pStyle w:val="Tabulka"/>
              <w:jc w:val="left"/>
              <w:rPr>
                <w:rFonts w:cs="Calibri"/>
              </w:rPr>
            </w:pPr>
          </w:p>
        </w:tc>
        <w:tc>
          <w:tcPr>
            <w:tcW w:w="1276" w:type="dxa"/>
            <w:vMerge/>
            <w:shd w:val="clear" w:color="auto" w:fill="auto"/>
          </w:tcPr>
          <w:p w14:paraId="6D724C4D" w14:textId="77777777" w:rsidR="00790A0D" w:rsidRPr="00DD47DF" w:rsidRDefault="00790A0D" w:rsidP="006D2F5F">
            <w:pPr>
              <w:pStyle w:val="Tabulka"/>
              <w:jc w:val="left"/>
              <w:rPr>
                <w:rFonts w:cs="Calibri"/>
              </w:rPr>
            </w:pPr>
          </w:p>
        </w:tc>
        <w:tc>
          <w:tcPr>
            <w:tcW w:w="1843" w:type="dxa"/>
            <w:shd w:val="clear" w:color="auto" w:fill="auto"/>
          </w:tcPr>
          <w:p w14:paraId="54E61F48" w14:textId="77777777" w:rsidR="00790A0D" w:rsidRPr="00DD47DF" w:rsidRDefault="00790A0D" w:rsidP="006D2F5F">
            <w:pPr>
              <w:pStyle w:val="Tabulka"/>
              <w:jc w:val="left"/>
              <w:rPr>
                <w:rFonts w:cs="Calibri"/>
              </w:rPr>
            </w:pPr>
            <w:r w:rsidRPr="00DD47DF">
              <w:rPr>
                <w:rFonts w:cs="Calibri"/>
              </w:rPr>
              <w:t>• je založena na analýze silných a slabých stránek, příležitostí a hrozeb nebo podobné analýze s cílem soustředit zdroje na omezený soubor priorit v oblasti výzkumu a inovací,</w:t>
            </w:r>
          </w:p>
        </w:tc>
        <w:tc>
          <w:tcPr>
            <w:tcW w:w="1134" w:type="dxa"/>
            <w:shd w:val="clear" w:color="auto" w:fill="auto"/>
          </w:tcPr>
          <w:p w14:paraId="1B4AE9FF" w14:textId="77777777" w:rsidR="00790A0D" w:rsidRPr="00DD47DF" w:rsidRDefault="00865021" w:rsidP="006D2F5F">
            <w:pPr>
              <w:pStyle w:val="Tabulka"/>
              <w:jc w:val="left"/>
              <w:rPr>
                <w:rFonts w:cs="Calibri"/>
              </w:rPr>
            </w:pPr>
            <w:r w:rsidRPr="00DD47DF">
              <w:rPr>
                <w:rFonts w:cs="Calibri"/>
              </w:rPr>
              <w:t>ano</w:t>
            </w:r>
          </w:p>
        </w:tc>
        <w:tc>
          <w:tcPr>
            <w:tcW w:w="2126" w:type="dxa"/>
            <w:shd w:val="clear" w:color="auto" w:fill="auto"/>
          </w:tcPr>
          <w:p w14:paraId="23FF9123" w14:textId="77777777" w:rsidR="00790A0D" w:rsidRPr="0069482B" w:rsidRDefault="00013622" w:rsidP="006D2F5F">
            <w:pPr>
              <w:rPr>
                <w:sz w:val="22"/>
                <w:szCs w:val="22"/>
              </w:rPr>
            </w:pPr>
            <w:hyperlink r:id="rId109" w:history="1">
              <w:r w:rsidR="0069482B" w:rsidRPr="0069482B">
                <w:rPr>
                  <w:rStyle w:val="Hypertextovodkaz"/>
                  <w:sz w:val="22"/>
                  <w:szCs w:val="22"/>
                </w:rPr>
                <w:t>http://www.msmt.cz/strukturalni-fondy/ris3-strategie-cr</w:t>
              </w:r>
            </w:hyperlink>
          </w:p>
        </w:tc>
        <w:tc>
          <w:tcPr>
            <w:tcW w:w="4394" w:type="dxa"/>
            <w:shd w:val="clear" w:color="auto" w:fill="auto"/>
          </w:tcPr>
          <w:p w14:paraId="1E6FB9B8" w14:textId="77777777" w:rsidR="002F562B" w:rsidRPr="00DD47DF" w:rsidRDefault="00865021" w:rsidP="002F562B">
            <w:pPr>
              <w:rPr>
                <w:sz w:val="22"/>
                <w:szCs w:val="22"/>
              </w:rPr>
            </w:pPr>
            <w:r w:rsidRPr="00DD47DF">
              <w:rPr>
                <w:sz w:val="22"/>
                <w:szCs w:val="22"/>
              </w:rPr>
              <w:t>Národní RIS3 je zpracovávána v návaznosti na stávající strategické dokumenty ČR (Aktualizace NP VaVaI, Národní inovační strategie ČR (NIS), Strategie mezinárodní konkurenceschopnosti pro období 2012 až 2020 (SMK), Priority orientovaného výzkumu ad.), ale opírá se i o nové vlastní analýzy (včetně SWOT), které poskytují rámec pro přesnější zacílení navrhovaných intervencí, a dále též i o řadu analýz jiných subjektů .Oblasti specializace RIS3 (vertikální a horizontální priority) budou dále zpřesňovány v návaznosti na kontinuálně probíhající proces „entrepreneurial discovery“ a také v návaznosti na rozpracování krajských příloh a na uplatnění principu entrepreneurial discovery v jednotlivých regionech. EK bude průběžně informována o postupu dalších kol jednání inovačních platforem (nejbližší 2 kola jednání jsou plánována v březnu a září 2015).</w:t>
            </w:r>
          </w:p>
        </w:tc>
      </w:tr>
      <w:tr w:rsidR="00790A0D" w:rsidRPr="00DD47DF" w14:paraId="0BEFE7E7" w14:textId="77777777" w:rsidTr="006D2F5F">
        <w:tc>
          <w:tcPr>
            <w:tcW w:w="1752" w:type="dxa"/>
            <w:vMerge/>
            <w:shd w:val="clear" w:color="auto" w:fill="auto"/>
          </w:tcPr>
          <w:p w14:paraId="5BED24A4" w14:textId="77777777" w:rsidR="00790A0D" w:rsidRPr="00DD47DF" w:rsidRDefault="00790A0D" w:rsidP="006D2F5F">
            <w:pPr>
              <w:pStyle w:val="Tabulka"/>
              <w:jc w:val="left"/>
              <w:rPr>
                <w:rFonts w:cs="Calibri"/>
                <w:b/>
              </w:rPr>
            </w:pPr>
          </w:p>
        </w:tc>
        <w:tc>
          <w:tcPr>
            <w:tcW w:w="1701" w:type="dxa"/>
            <w:vMerge/>
            <w:shd w:val="clear" w:color="auto" w:fill="auto"/>
          </w:tcPr>
          <w:p w14:paraId="33A38756" w14:textId="77777777" w:rsidR="00790A0D" w:rsidRPr="00DD47DF" w:rsidRDefault="00790A0D" w:rsidP="006D2F5F">
            <w:pPr>
              <w:pStyle w:val="Tabulka"/>
              <w:jc w:val="left"/>
              <w:rPr>
                <w:rFonts w:cs="Calibri"/>
              </w:rPr>
            </w:pPr>
          </w:p>
        </w:tc>
        <w:tc>
          <w:tcPr>
            <w:tcW w:w="1276" w:type="dxa"/>
            <w:vMerge/>
            <w:shd w:val="clear" w:color="auto" w:fill="auto"/>
          </w:tcPr>
          <w:p w14:paraId="238BCD54" w14:textId="77777777" w:rsidR="00790A0D" w:rsidRPr="00DD47DF" w:rsidRDefault="00790A0D" w:rsidP="006D2F5F">
            <w:pPr>
              <w:pStyle w:val="Tabulka"/>
              <w:jc w:val="left"/>
              <w:rPr>
                <w:rFonts w:cs="Calibri"/>
              </w:rPr>
            </w:pPr>
          </w:p>
        </w:tc>
        <w:tc>
          <w:tcPr>
            <w:tcW w:w="1843" w:type="dxa"/>
            <w:shd w:val="clear" w:color="auto" w:fill="auto"/>
          </w:tcPr>
          <w:p w14:paraId="4550D63F" w14:textId="77777777" w:rsidR="00790A0D" w:rsidRPr="00DD47DF" w:rsidRDefault="00790A0D" w:rsidP="006D2F5F">
            <w:pPr>
              <w:pStyle w:val="Tabulka"/>
              <w:jc w:val="left"/>
              <w:rPr>
                <w:rFonts w:cs="Calibri"/>
              </w:rPr>
            </w:pPr>
            <w:r w:rsidRPr="00DD47DF">
              <w:rPr>
                <w:rFonts w:cs="Calibri"/>
              </w:rPr>
              <w:t xml:space="preserve">• nastiňuje opatření na podporu soukromých investic v oblasti výzkumu a technického </w:t>
            </w:r>
            <w:r w:rsidRPr="00DD47DF">
              <w:rPr>
                <w:rFonts w:cs="Calibri"/>
              </w:rPr>
              <w:lastRenderedPageBreak/>
              <w:t>rozvoje,</w:t>
            </w:r>
          </w:p>
        </w:tc>
        <w:tc>
          <w:tcPr>
            <w:tcW w:w="1134" w:type="dxa"/>
            <w:shd w:val="clear" w:color="auto" w:fill="auto"/>
          </w:tcPr>
          <w:p w14:paraId="49381AB5" w14:textId="77777777" w:rsidR="00790A0D" w:rsidRPr="00DD47DF" w:rsidRDefault="00865021" w:rsidP="006D2F5F">
            <w:pPr>
              <w:pStyle w:val="Tabulka"/>
              <w:jc w:val="left"/>
              <w:rPr>
                <w:rFonts w:cs="Calibri"/>
              </w:rPr>
            </w:pPr>
            <w:r w:rsidRPr="00DD47DF">
              <w:rPr>
                <w:rFonts w:cs="Calibri"/>
              </w:rPr>
              <w:lastRenderedPageBreak/>
              <w:t>ano</w:t>
            </w:r>
          </w:p>
        </w:tc>
        <w:tc>
          <w:tcPr>
            <w:tcW w:w="2126" w:type="dxa"/>
            <w:shd w:val="clear" w:color="auto" w:fill="auto"/>
          </w:tcPr>
          <w:p w14:paraId="08657A35" w14:textId="77777777" w:rsidR="00790A0D" w:rsidRPr="00DD47DF" w:rsidRDefault="00013622" w:rsidP="006D2F5F">
            <w:pPr>
              <w:pStyle w:val="Tabulka"/>
              <w:jc w:val="left"/>
              <w:rPr>
                <w:rFonts w:cs="Calibri"/>
              </w:rPr>
            </w:pPr>
            <w:hyperlink r:id="rId110" w:history="1">
              <w:r w:rsidR="0069482B" w:rsidRPr="00DD47DF">
                <w:rPr>
                  <w:rStyle w:val="Hypertextovodkaz"/>
                </w:rPr>
                <w:t>http://www.msmt.cz/strukturalni-fondy/ris3-strategie-cr</w:t>
              </w:r>
            </w:hyperlink>
          </w:p>
        </w:tc>
        <w:tc>
          <w:tcPr>
            <w:tcW w:w="4394" w:type="dxa"/>
            <w:shd w:val="clear" w:color="auto" w:fill="auto"/>
          </w:tcPr>
          <w:p w14:paraId="380DFEAC" w14:textId="77777777" w:rsidR="00790A0D" w:rsidRPr="00DD47DF" w:rsidRDefault="00865021" w:rsidP="00865021">
            <w:pPr>
              <w:spacing w:after="120"/>
              <w:jc w:val="both"/>
              <w:rPr>
                <w:sz w:val="22"/>
                <w:szCs w:val="22"/>
              </w:rPr>
            </w:pPr>
            <w:r w:rsidRPr="00DD47DF">
              <w:rPr>
                <w:sz w:val="22"/>
                <w:szCs w:val="22"/>
              </w:rPr>
              <w:t>Zpracovaná Národní RIS3 strategie obsahuje opatření na podporu soukromých investic ve VaVaI ve všech 6 identifikovaných klíčových oblastech změn (více viz kap. 6 Národní RIS3)</w:t>
            </w:r>
            <w:r w:rsidR="000C4C8E" w:rsidRPr="00DD47DF">
              <w:rPr>
                <w:sz w:val="22"/>
                <w:szCs w:val="22"/>
              </w:rPr>
              <w:t>.</w:t>
            </w:r>
          </w:p>
        </w:tc>
      </w:tr>
      <w:tr w:rsidR="00790A0D" w:rsidRPr="00DD47DF" w14:paraId="79BA8060" w14:textId="77777777" w:rsidTr="006D2F5F">
        <w:tc>
          <w:tcPr>
            <w:tcW w:w="1752" w:type="dxa"/>
            <w:vMerge/>
            <w:shd w:val="clear" w:color="auto" w:fill="auto"/>
          </w:tcPr>
          <w:p w14:paraId="0DA02D1D" w14:textId="77777777" w:rsidR="00790A0D" w:rsidRPr="00DD47DF" w:rsidRDefault="00790A0D" w:rsidP="006D2F5F">
            <w:pPr>
              <w:pStyle w:val="Tabulka"/>
              <w:jc w:val="left"/>
              <w:rPr>
                <w:rFonts w:cs="Calibri"/>
                <w:b/>
              </w:rPr>
            </w:pPr>
          </w:p>
        </w:tc>
        <w:tc>
          <w:tcPr>
            <w:tcW w:w="1701" w:type="dxa"/>
            <w:vMerge/>
            <w:shd w:val="clear" w:color="auto" w:fill="auto"/>
          </w:tcPr>
          <w:p w14:paraId="54EF5ABF" w14:textId="77777777" w:rsidR="00790A0D" w:rsidRPr="00DD47DF" w:rsidRDefault="00790A0D" w:rsidP="006D2F5F">
            <w:pPr>
              <w:pStyle w:val="Tabulka"/>
              <w:jc w:val="left"/>
              <w:rPr>
                <w:rFonts w:cs="Calibri"/>
              </w:rPr>
            </w:pPr>
          </w:p>
        </w:tc>
        <w:tc>
          <w:tcPr>
            <w:tcW w:w="1276" w:type="dxa"/>
            <w:vMerge/>
            <w:shd w:val="clear" w:color="auto" w:fill="auto"/>
          </w:tcPr>
          <w:p w14:paraId="7D79277A" w14:textId="77777777" w:rsidR="00790A0D" w:rsidRPr="00DD47DF" w:rsidRDefault="00790A0D" w:rsidP="006D2F5F">
            <w:pPr>
              <w:pStyle w:val="Tabulka"/>
              <w:jc w:val="left"/>
              <w:rPr>
                <w:rFonts w:cs="Calibri"/>
              </w:rPr>
            </w:pPr>
          </w:p>
        </w:tc>
        <w:tc>
          <w:tcPr>
            <w:tcW w:w="1843" w:type="dxa"/>
            <w:shd w:val="clear" w:color="auto" w:fill="auto"/>
          </w:tcPr>
          <w:p w14:paraId="2BEC6836" w14:textId="77777777" w:rsidR="00790A0D" w:rsidRPr="00DD47DF" w:rsidRDefault="00790A0D" w:rsidP="006D2F5F">
            <w:pPr>
              <w:pStyle w:val="Tabulka"/>
              <w:jc w:val="left"/>
              <w:rPr>
                <w:rFonts w:cs="Calibri"/>
              </w:rPr>
            </w:pPr>
            <w:r w:rsidRPr="00DD47DF">
              <w:rPr>
                <w:rFonts w:cs="Calibri"/>
              </w:rPr>
              <w:t>•obsahuje mechanismus sledování</w:t>
            </w:r>
          </w:p>
        </w:tc>
        <w:tc>
          <w:tcPr>
            <w:tcW w:w="1134" w:type="dxa"/>
            <w:shd w:val="clear" w:color="auto" w:fill="auto"/>
          </w:tcPr>
          <w:p w14:paraId="2766A0E2"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2736B999" w14:textId="77777777" w:rsidR="00790A0D" w:rsidRPr="00DD47DF" w:rsidRDefault="00790A0D" w:rsidP="006D2F5F">
            <w:pPr>
              <w:pStyle w:val="Tabulka"/>
              <w:jc w:val="left"/>
              <w:rPr>
                <w:rFonts w:cs="Calibri"/>
              </w:rPr>
            </w:pPr>
          </w:p>
        </w:tc>
        <w:tc>
          <w:tcPr>
            <w:tcW w:w="4394" w:type="dxa"/>
            <w:shd w:val="clear" w:color="auto" w:fill="auto"/>
          </w:tcPr>
          <w:p w14:paraId="797ADE99" w14:textId="77777777" w:rsidR="00790A0D" w:rsidRPr="00DD47DF" w:rsidRDefault="00865021" w:rsidP="006D2F5F">
            <w:pPr>
              <w:pStyle w:val="Tabulka"/>
              <w:spacing w:before="0" w:after="0"/>
              <w:jc w:val="left"/>
            </w:pPr>
            <w:r w:rsidRPr="00DD47DF">
              <w:t>Monitorování Národní RIS3 strategie je rozpracováno v subkapitole 7.2 textu Národní RIS3, s důrazem na monitorovací zprávy a roli jednotlivých orgánů při jejich zpracování a na získávání vstupů pro monitorování z úrovně operačních programů a orgánů zodpovědných za implementaci národních podpůrných nástrojů. Metodika monitorování bude na základě požadavku EK dopracována popisem role krajských subjektů při monitorování intervencí RIS3, které jsou realizovány z krajské úrovně jako součást intervencí navržených v krajských přílohách Národní RIS3. Dále bude také dopracován a aktualizován návrh monitorovacích indikátorů Národní RIS3 (vše do termínu duben 2015).</w:t>
            </w:r>
          </w:p>
        </w:tc>
      </w:tr>
      <w:tr w:rsidR="00790A0D" w:rsidRPr="00DD47DF" w14:paraId="6C1DDC52" w14:textId="77777777" w:rsidTr="006D2F5F">
        <w:tc>
          <w:tcPr>
            <w:tcW w:w="1752" w:type="dxa"/>
            <w:vMerge/>
            <w:shd w:val="clear" w:color="auto" w:fill="auto"/>
          </w:tcPr>
          <w:p w14:paraId="02DBD931" w14:textId="77777777" w:rsidR="00790A0D" w:rsidRPr="00DD47DF" w:rsidRDefault="00790A0D" w:rsidP="006D2F5F">
            <w:pPr>
              <w:pStyle w:val="Tabulka"/>
              <w:jc w:val="left"/>
              <w:rPr>
                <w:rFonts w:cs="Calibri"/>
                <w:b/>
              </w:rPr>
            </w:pPr>
          </w:p>
        </w:tc>
        <w:tc>
          <w:tcPr>
            <w:tcW w:w="1701" w:type="dxa"/>
            <w:vMerge/>
            <w:shd w:val="clear" w:color="auto" w:fill="auto"/>
          </w:tcPr>
          <w:p w14:paraId="4727D915" w14:textId="77777777" w:rsidR="00790A0D" w:rsidRPr="00DD47DF" w:rsidRDefault="00790A0D" w:rsidP="006D2F5F">
            <w:pPr>
              <w:pStyle w:val="Tabulka"/>
              <w:jc w:val="left"/>
              <w:rPr>
                <w:rFonts w:cs="Calibri"/>
              </w:rPr>
            </w:pPr>
          </w:p>
        </w:tc>
        <w:tc>
          <w:tcPr>
            <w:tcW w:w="1276" w:type="dxa"/>
            <w:vMerge/>
            <w:shd w:val="clear" w:color="auto" w:fill="auto"/>
          </w:tcPr>
          <w:p w14:paraId="5EBFE1E2" w14:textId="77777777" w:rsidR="00790A0D" w:rsidRPr="00DD47DF" w:rsidRDefault="00790A0D" w:rsidP="006D2F5F">
            <w:pPr>
              <w:pStyle w:val="Tabulka"/>
              <w:jc w:val="left"/>
              <w:rPr>
                <w:rFonts w:cs="Calibri"/>
              </w:rPr>
            </w:pPr>
          </w:p>
        </w:tc>
        <w:tc>
          <w:tcPr>
            <w:tcW w:w="1843" w:type="dxa"/>
            <w:shd w:val="clear" w:color="auto" w:fill="auto"/>
          </w:tcPr>
          <w:p w14:paraId="02497120" w14:textId="77777777" w:rsidR="00790A0D" w:rsidRPr="00DD47DF" w:rsidRDefault="00790A0D" w:rsidP="006D2F5F">
            <w:pPr>
              <w:pStyle w:val="Tabulka"/>
              <w:jc w:val="left"/>
              <w:rPr>
                <w:rFonts w:cs="Calibri"/>
              </w:rPr>
            </w:pPr>
            <w:r w:rsidRPr="00DD47DF">
              <w:rPr>
                <w:rFonts w:cs="Calibri"/>
              </w:rPr>
              <w:t>Byl přijat rámec, který vymezuje dostupné rozpočtové prostředky na výzkum a inovace.</w:t>
            </w:r>
          </w:p>
        </w:tc>
        <w:tc>
          <w:tcPr>
            <w:tcW w:w="1134" w:type="dxa"/>
            <w:shd w:val="clear" w:color="auto" w:fill="auto"/>
          </w:tcPr>
          <w:p w14:paraId="568579D1"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599F32AC" w14:textId="77777777" w:rsidR="00790A0D" w:rsidRPr="00DD47DF" w:rsidRDefault="00790A0D" w:rsidP="006D2F5F">
            <w:pPr>
              <w:pStyle w:val="Tabulka"/>
              <w:jc w:val="left"/>
              <w:rPr>
                <w:rFonts w:cs="Calibri"/>
              </w:rPr>
            </w:pPr>
          </w:p>
        </w:tc>
        <w:tc>
          <w:tcPr>
            <w:tcW w:w="4394" w:type="dxa"/>
            <w:shd w:val="clear" w:color="auto" w:fill="auto"/>
          </w:tcPr>
          <w:p w14:paraId="4B67E8F8" w14:textId="77777777" w:rsidR="00790A0D" w:rsidRPr="00DD47DF" w:rsidRDefault="00790A0D" w:rsidP="006D2F5F">
            <w:pPr>
              <w:pStyle w:val="Tabulka"/>
              <w:spacing w:before="0" w:after="0"/>
              <w:jc w:val="left"/>
            </w:pPr>
            <w:r w:rsidRPr="00DD47DF">
              <w:t xml:space="preserve">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w:t>
            </w:r>
          </w:p>
          <w:p w14:paraId="6C614EED" w14:textId="77777777" w:rsidR="00790A0D" w:rsidRPr="00DD47DF" w:rsidRDefault="00865021" w:rsidP="00865021">
            <w:pPr>
              <w:spacing w:line="280" w:lineRule="exact"/>
              <w:jc w:val="both"/>
              <w:rPr>
                <w:sz w:val="22"/>
                <w:szCs w:val="22"/>
              </w:rPr>
            </w:pPr>
            <w:r w:rsidRPr="00DD47DF">
              <w:t xml:space="preserve"> </w:t>
            </w:r>
            <w:r w:rsidRPr="00DD47DF">
              <w:rPr>
                <w:sz w:val="22"/>
                <w:szCs w:val="22"/>
              </w:rPr>
              <w:t xml:space="preserve">V průběhu roku 2015 bude na základě připomínky EK Úřadem vlády provedena revize zdrojů veřejných rozpočtů na podporu VaVaI (národních i krajských) tak, aby bylo možno diferencovat zdroje určené na implementaci RIS3 a zdroje ostatní (s termínem březen 2015 u krajských zdrojů na rok 2015, a termínem září 2015 u zdrojů národních na rok 2015 </w:t>
            </w:r>
            <w:r w:rsidRPr="00DD47DF">
              <w:rPr>
                <w:sz w:val="22"/>
                <w:szCs w:val="22"/>
              </w:rPr>
              <w:lastRenderedPageBreak/>
              <w:t>s výhledem na roky 2016-17).</w:t>
            </w:r>
          </w:p>
        </w:tc>
      </w:tr>
      <w:tr w:rsidR="00790A0D" w:rsidRPr="00DD47DF" w14:paraId="5115C133" w14:textId="77777777" w:rsidTr="006D2F5F">
        <w:tc>
          <w:tcPr>
            <w:tcW w:w="1752" w:type="dxa"/>
            <w:vMerge w:val="restart"/>
            <w:shd w:val="clear" w:color="auto" w:fill="auto"/>
          </w:tcPr>
          <w:p w14:paraId="509A2A4D" w14:textId="77777777" w:rsidR="00790A0D" w:rsidRPr="00DD47DF" w:rsidRDefault="00790A0D" w:rsidP="006D2F5F">
            <w:pPr>
              <w:pStyle w:val="Tabulka"/>
              <w:jc w:val="left"/>
              <w:rPr>
                <w:rFonts w:cs="Calibri"/>
                <w:b/>
              </w:rPr>
            </w:pPr>
            <w:r w:rsidRPr="00DD47DF">
              <w:rPr>
                <w:rFonts w:cs="Calibri"/>
                <w:b/>
              </w:rPr>
              <w:lastRenderedPageBreak/>
              <w:t>2.1: Digitální růst: Strategický rámec politiky pro digitální růst, který má podněcovat cenově dostupné, kvalitní a interoperabilních soukromé a veřejné služby v oblasti IKT a zvýšit míru jejich využívání občany(včetně zranitelných skupin), podniky a orgány veřejné správy včetně přeshraničních iniciativ</w:t>
            </w:r>
          </w:p>
        </w:tc>
        <w:tc>
          <w:tcPr>
            <w:tcW w:w="1701" w:type="dxa"/>
            <w:vMerge w:val="restart"/>
            <w:shd w:val="clear" w:color="auto" w:fill="auto"/>
          </w:tcPr>
          <w:p w14:paraId="4555B732" w14:textId="77777777" w:rsidR="00790A0D" w:rsidRPr="00DD47DF" w:rsidRDefault="00790A0D" w:rsidP="006D2F5F">
            <w:pPr>
              <w:pStyle w:val="Tabulka"/>
              <w:jc w:val="left"/>
              <w:rPr>
                <w:rFonts w:cs="Calibri"/>
              </w:rPr>
            </w:pPr>
            <w:r w:rsidRPr="00DD47DF">
              <w:rPr>
                <w:rFonts w:cs="Calibri"/>
              </w:rPr>
              <w:t>PO 4 - Rozvoj vysokorychlostních přístupových sítí k internetu a informačních a komunikačních technologií</w:t>
            </w:r>
          </w:p>
          <w:p w14:paraId="0461D03C" w14:textId="77777777" w:rsidR="00790A0D" w:rsidRPr="00DD47DF" w:rsidRDefault="00790A0D" w:rsidP="006D2F5F">
            <w:pPr>
              <w:pStyle w:val="Tabulka"/>
              <w:jc w:val="left"/>
              <w:rPr>
                <w:rFonts w:cs="Calibri"/>
              </w:rPr>
            </w:pPr>
          </w:p>
          <w:p w14:paraId="377E43D2" w14:textId="77777777" w:rsidR="00790A0D" w:rsidRPr="00DD47DF" w:rsidRDefault="00790A0D" w:rsidP="006D2F5F">
            <w:pPr>
              <w:pStyle w:val="Tabulka"/>
              <w:jc w:val="left"/>
              <w:rPr>
                <w:rFonts w:cs="Calibri"/>
              </w:rPr>
            </w:pPr>
          </w:p>
          <w:p w14:paraId="01FCA7B5" w14:textId="77777777" w:rsidR="00790A0D" w:rsidRPr="00DD47DF" w:rsidRDefault="00790A0D" w:rsidP="006D2F5F">
            <w:pPr>
              <w:pStyle w:val="Tabulka"/>
              <w:jc w:val="left"/>
              <w:rPr>
                <w:rFonts w:cs="Calibri"/>
              </w:rPr>
            </w:pPr>
          </w:p>
          <w:p w14:paraId="54BA8B1E" w14:textId="77777777" w:rsidR="00790A0D" w:rsidRPr="00DD47DF" w:rsidRDefault="00790A0D" w:rsidP="006D2F5F">
            <w:pPr>
              <w:pStyle w:val="Tabulka"/>
              <w:jc w:val="left"/>
              <w:rPr>
                <w:rFonts w:cs="Calibri"/>
              </w:rPr>
            </w:pPr>
          </w:p>
          <w:p w14:paraId="1377D8DE" w14:textId="77777777" w:rsidR="00790A0D" w:rsidRPr="00DD47DF" w:rsidRDefault="00790A0D" w:rsidP="006D2F5F">
            <w:pPr>
              <w:pStyle w:val="Tabulka"/>
              <w:jc w:val="left"/>
              <w:rPr>
                <w:rFonts w:cs="Calibri"/>
              </w:rPr>
            </w:pPr>
          </w:p>
        </w:tc>
        <w:tc>
          <w:tcPr>
            <w:tcW w:w="1276" w:type="dxa"/>
            <w:vMerge w:val="restart"/>
            <w:shd w:val="clear" w:color="auto" w:fill="auto"/>
          </w:tcPr>
          <w:p w14:paraId="77C77464" w14:textId="77777777" w:rsidR="00790A0D" w:rsidRPr="00DD47DF" w:rsidRDefault="00790A0D" w:rsidP="006D2F5F">
            <w:pPr>
              <w:pStyle w:val="Tabulka"/>
              <w:jc w:val="left"/>
              <w:rPr>
                <w:rFonts w:cs="Calibri"/>
              </w:rPr>
            </w:pPr>
            <w:r w:rsidRPr="00DD47DF">
              <w:rPr>
                <w:rFonts w:cs="Calibri"/>
              </w:rPr>
              <w:t>Částečně</w:t>
            </w:r>
          </w:p>
          <w:p w14:paraId="39C925ED" w14:textId="77777777" w:rsidR="00790A0D" w:rsidRPr="00DD47DF" w:rsidRDefault="00790A0D" w:rsidP="006D2F5F">
            <w:pPr>
              <w:pStyle w:val="Tabulka"/>
              <w:jc w:val="left"/>
              <w:rPr>
                <w:rFonts w:cs="Calibri"/>
              </w:rPr>
            </w:pPr>
          </w:p>
          <w:p w14:paraId="74C0C9D7" w14:textId="77777777" w:rsidR="00790A0D" w:rsidRPr="00DD47DF" w:rsidRDefault="00790A0D" w:rsidP="006D2F5F">
            <w:pPr>
              <w:pStyle w:val="Tabulka"/>
              <w:jc w:val="left"/>
              <w:rPr>
                <w:rFonts w:cs="Calibri"/>
              </w:rPr>
            </w:pPr>
          </w:p>
          <w:p w14:paraId="230C27A8" w14:textId="77777777" w:rsidR="00790A0D" w:rsidRPr="00DD47DF" w:rsidRDefault="00790A0D" w:rsidP="006D2F5F">
            <w:pPr>
              <w:pStyle w:val="Tabulka"/>
              <w:jc w:val="left"/>
              <w:rPr>
                <w:rFonts w:cs="Calibri"/>
              </w:rPr>
            </w:pPr>
          </w:p>
          <w:p w14:paraId="245A16E6" w14:textId="77777777" w:rsidR="00790A0D" w:rsidRPr="00DD47DF" w:rsidRDefault="00790A0D" w:rsidP="006D2F5F">
            <w:pPr>
              <w:pStyle w:val="Tabulka"/>
              <w:jc w:val="left"/>
              <w:rPr>
                <w:rFonts w:cs="Calibri"/>
              </w:rPr>
            </w:pPr>
          </w:p>
          <w:p w14:paraId="2F2D383E" w14:textId="77777777" w:rsidR="00790A0D" w:rsidRPr="00DD47DF" w:rsidRDefault="00790A0D" w:rsidP="006D2F5F">
            <w:pPr>
              <w:pStyle w:val="Tabulka"/>
              <w:jc w:val="left"/>
              <w:rPr>
                <w:rFonts w:cs="Calibri"/>
              </w:rPr>
            </w:pPr>
          </w:p>
          <w:p w14:paraId="74D36F52" w14:textId="77777777" w:rsidR="00790A0D" w:rsidRPr="00DD47DF" w:rsidRDefault="00790A0D" w:rsidP="006D2F5F">
            <w:pPr>
              <w:pStyle w:val="Tabulka"/>
              <w:jc w:val="left"/>
              <w:rPr>
                <w:rFonts w:cs="Calibri"/>
              </w:rPr>
            </w:pPr>
          </w:p>
          <w:p w14:paraId="6E62A3F5" w14:textId="77777777" w:rsidR="00790A0D" w:rsidRPr="00DD47DF" w:rsidRDefault="00790A0D" w:rsidP="006D2F5F">
            <w:pPr>
              <w:pStyle w:val="Tabulka"/>
              <w:jc w:val="left"/>
              <w:rPr>
                <w:rFonts w:cs="Calibri"/>
              </w:rPr>
            </w:pPr>
          </w:p>
          <w:p w14:paraId="5938E1EB" w14:textId="77777777" w:rsidR="00790A0D" w:rsidRPr="00DD47DF" w:rsidRDefault="00790A0D" w:rsidP="006D2F5F">
            <w:pPr>
              <w:pStyle w:val="Tabulka"/>
              <w:jc w:val="left"/>
              <w:rPr>
                <w:rFonts w:cs="Calibri"/>
              </w:rPr>
            </w:pPr>
          </w:p>
          <w:p w14:paraId="763FCE35" w14:textId="77777777" w:rsidR="00790A0D" w:rsidRPr="00DD47DF" w:rsidRDefault="00790A0D" w:rsidP="006D2F5F">
            <w:pPr>
              <w:pStyle w:val="Tabulka"/>
              <w:jc w:val="left"/>
              <w:rPr>
                <w:rFonts w:cs="Calibri"/>
              </w:rPr>
            </w:pPr>
          </w:p>
          <w:p w14:paraId="08D6BF4B" w14:textId="77777777" w:rsidR="00790A0D" w:rsidRPr="00DD47DF" w:rsidRDefault="00790A0D" w:rsidP="006D2F5F">
            <w:pPr>
              <w:pStyle w:val="Tabulka"/>
              <w:jc w:val="left"/>
              <w:rPr>
                <w:rFonts w:cs="Calibri"/>
              </w:rPr>
            </w:pPr>
          </w:p>
          <w:p w14:paraId="3175536C" w14:textId="77777777" w:rsidR="00790A0D" w:rsidRPr="00DD47DF" w:rsidRDefault="00790A0D" w:rsidP="006D2F5F">
            <w:pPr>
              <w:pStyle w:val="Tabulka"/>
              <w:jc w:val="left"/>
              <w:rPr>
                <w:rFonts w:cs="Calibri"/>
              </w:rPr>
            </w:pPr>
          </w:p>
        </w:tc>
        <w:tc>
          <w:tcPr>
            <w:tcW w:w="1843" w:type="dxa"/>
            <w:shd w:val="clear" w:color="auto" w:fill="auto"/>
          </w:tcPr>
          <w:p w14:paraId="7D0E3265" w14:textId="77777777" w:rsidR="00790A0D" w:rsidRPr="00DD47DF" w:rsidRDefault="00790A0D" w:rsidP="006D2F5F">
            <w:pPr>
              <w:pStyle w:val="Tabulka"/>
              <w:jc w:val="left"/>
              <w:rPr>
                <w:rFonts w:cs="Calibri"/>
              </w:rPr>
            </w:pPr>
            <w:r w:rsidRPr="00DD47DF">
              <w:rPr>
                <w:rFonts w:cs="Calibri"/>
              </w:rPr>
              <w:t>V rámci národní nebo regionální strategie pro inteligentní specializaci je vypracován například strategický rámec politiky pro digitální růst, který obsahuje:</w:t>
            </w:r>
          </w:p>
        </w:tc>
        <w:tc>
          <w:tcPr>
            <w:tcW w:w="1134" w:type="dxa"/>
            <w:shd w:val="clear" w:color="auto" w:fill="auto"/>
          </w:tcPr>
          <w:p w14:paraId="24B03691" w14:textId="77777777" w:rsidR="00790A0D" w:rsidRPr="00DD47DF" w:rsidRDefault="00790A0D" w:rsidP="008B1FD2">
            <w:pPr>
              <w:pStyle w:val="Tabulka"/>
              <w:jc w:val="left"/>
              <w:rPr>
                <w:rFonts w:cs="Calibri"/>
              </w:rPr>
            </w:pPr>
            <w:r w:rsidRPr="00DD47DF">
              <w:rPr>
                <w:rFonts w:cs="Calibri"/>
              </w:rPr>
              <w:t xml:space="preserve"> </w:t>
            </w:r>
            <w:r w:rsidR="008B1FD2" w:rsidRPr="00DD47DF">
              <w:rPr>
                <w:rFonts w:cs="Calibri"/>
              </w:rPr>
              <w:t>ne</w:t>
            </w:r>
          </w:p>
        </w:tc>
        <w:tc>
          <w:tcPr>
            <w:tcW w:w="2126" w:type="dxa"/>
            <w:shd w:val="clear" w:color="auto" w:fill="auto"/>
          </w:tcPr>
          <w:p w14:paraId="172A257B" w14:textId="77777777" w:rsidR="00790A0D" w:rsidRPr="00DD47DF" w:rsidRDefault="00013622" w:rsidP="006D2F5F">
            <w:pPr>
              <w:pStyle w:val="Tabulka"/>
              <w:jc w:val="left"/>
              <w:rPr>
                <w:rStyle w:val="Hypertextovodkaz"/>
                <w:rFonts w:cs="Calibri"/>
              </w:rPr>
            </w:pPr>
            <w:hyperlink r:id="rId111" w:history="1">
              <w:r w:rsidR="00790A0D" w:rsidRPr="00DD47DF">
                <w:rPr>
                  <w:rStyle w:val="Hypertextovodkaz"/>
                  <w:rFonts w:cs="Calibri"/>
                </w:rPr>
                <w:t>http://www.mpo.cz/dokument83642.html</w:t>
              </w:r>
            </w:hyperlink>
          </w:p>
          <w:p w14:paraId="46EC9A21" w14:textId="77777777" w:rsidR="00790A0D" w:rsidRPr="00DD47DF" w:rsidRDefault="00790A0D" w:rsidP="006D2F5F">
            <w:pPr>
              <w:pStyle w:val="Tabulka"/>
              <w:jc w:val="left"/>
              <w:rPr>
                <w:rStyle w:val="Hypertextovodkaz"/>
                <w:rFonts w:cs="Calibri"/>
              </w:rPr>
            </w:pPr>
          </w:p>
          <w:p w14:paraId="7DE1B189" w14:textId="77777777" w:rsidR="00790A0D" w:rsidRPr="00DD47DF" w:rsidRDefault="00013622" w:rsidP="006D2F5F">
            <w:pPr>
              <w:pStyle w:val="Tabulka"/>
              <w:jc w:val="left"/>
              <w:rPr>
                <w:rFonts w:cs="Calibri"/>
              </w:rPr>
            </w:pPr>
            <w:hyperlink r:id="rId112" w:history="1">
              <w:r w:rsidR="00790A0D" w:rsidRPr="00DD47DF">
                <w:rPr>
                  <w:rStyle w:val="Hypertextovodkaz"/>
                  <w:rFonts w:cs="Calibri"/>
                </w:rPr>
                <w:t>http://www.mpo.cz/assets/cz/e-komunikace-a-posta/Internet/2013/4/Digi_esko_v.2.0.pdf</w:t>
              </w:r>
            </w:hyperlink>
          </w:p>
          <w:p w14:paraId="5664D4E5" w14:textId="77777777" w:rsidR="00790A0D" w:rsidRPr="00DD47DF" w:rsidRDefault="00790A0D" w:rsidP="006D2F5F">
            <w:pPr>
              <w:pStyle w:val="Tabulka"/>
              <w:jc w:val="left"/>
              <w:rPr>
                <w:rFonts w:cs="Calibri"/>
              </w:rPr>
            </w:pPr>
          </w:p>
          <w:p w14:paraId="75484668" w14:textId="77777777" w:rsidR="00790A0D" w:rsidRPr="00DD47DF" w:rsidRDefault="00013622" w:rsidP="006D2F5F">
            <w:pPr>
              <w:pStyle w:val="Tabulka"/>
              <w:jc w:val="left"/>
              <w:rPr>
                <w:rStyle w:val="Hypertextovodkaz"/>
                <w:rFonts w:cs="Calibri"/>
              </w:rPr>
            </w:pPr>
            <w:hyperlink r:id="rId113" w:history="1">
              <w:r w:rsidR="00790A0D" w:rsidRPr="00DD47DF">
                <w:rPr>
                  <w:rStyle w:val="Hypertextovodkaz"/>
                  <w:rFonts w:cs="Calibri"/>
                </w:rPr>
                <w:t>http://www.mpo.cz/dokument119071.html</w:t>
              </w:r>
            </w:hyperlink>
          </w:p>
          <w:p w14:paraId="70C1EF3A" w14:textId="77777777" w:rsidR="00986263" w:rsidRPr="00DD47DF" w:rsidRDefault="00986263" w:rsidP="006D2F5F">
            <w:pPr>
              <w:pStyle w:val="Tabulka"/>
              <w:jc w:val="left"/>
              <w:rPr>
                <w:rFonts w:cs="Calibri"/>
              </w:rPr>
            </w:pPr>
          </w:p>
          <w:p w14:paraId="5B037031" w14:textId="77777777" w:rsidR="00790A0D" w:rsidRPr="00DD47DF" w:rsidRDefault="00013622" w:rsidP="006D2F5F">
            <w:pPr>
              <w:pStyle w:val="Tabulka"/>
              <w:jc w:val="left"/>
            </w:pPr>
            <w:hyperlink r:id="rId114" w:history="1">
              <w:r w:rsidR="00986263" w:rsidRPr="00DD47DF">
                <w:rPr>
                  <w:rStyle w:val="Hypertextovodkaz"/>
                </w:rPr>
                <w:t>http://www.mvcr.cz/odk2/clanek/odbor-verejne-spravy-dozoru-a-kontroly.aspx?q=Y2hudW09OQ%3d%3d</w:t>
              </w:r>
            </w:hyperlink>
          </w:p>
          <w:p w14:paraId="2DF3E5D6" w14:textId="77777777" w:rsidR="00986263" w:rsidRPr="00DD47DF" w:rsidRDefault="00986263" w:rsidP="006D2F5F">
            <w:pPr>
              <w:pStyle w:val="Tabulka"/>
              <w:jc w:val="left"/>
            </w:pPr>
          </w:p>
          <w:p w14:paraId="00C51B03" w14:textId="77777777" w:rsidR="00986263" w:rsidRPr="00DD47DF" w:rsidRDefault="00013622" w:rsidP="006D2F5F">
            <w:pPr>
              <w:pStyle w:val="Tabulka"/>
              <w:jc w:val="left"/>
              <w:rPr>
                <w:rStyle w:val="Hypertextovodkaz"/>
              </w:rPr>
            </w:pPr>
            <w:hyperlink r:id="rId115" w:history="1">
              <w:r w:rsidR="00986263" w:rsidRPr="00DD47DF">
                <w:rPr>
                  <w:rStyle w:val="Hypertextovodkaz"/>
                </w:rPr>
                <w:t>http://databaze-strategie.cz/cz/mv/strategie/strategicky-ramec-rozvoje-verejne-spravy-ceske-republiky-pro-obdobi-2014-2020</w:t>
              </w:r>
            </w:hyperlink>
          </w:p>
          <w:p w14:paraId="24A9F485" w14:textId="77777777" w:rsidR="00C529B4" w:rsidRPr="00DD47DF" w:rsidRDefault="00013622" w:rsidP="006D2F5F">
            <w:pPr>
              <w:pStyle w:val="Tabulka"/>
              <w:jc w:val="left"/>
            </w:pPr>
            <w:hyperlink r:id="rId116" w:history="1">
              <w:r w:rsidR="00C529B4" w:rsidRPr="00DD47DF">
                <w:rPr>
                  <w:rStyle w:val="Hypertextovodkaz"/>
                </w:rPr>
                <w:t>http://www.msmt.cz/uploads/OP_VVV/Narodni_RIS3_strategie_sc</w:t>
              </w:r>
              <w:r w:rsidR="00C529B4" w:rsidRPr="00DD47DF">
                <w:rPr>
                  <w:rStyle w:val="Hypertextovodkaz"/>
                </w:rPr>
                <w:lastRenderedPageBreak/>
                <w:t>hvalena_vladou_8._12._2014.pdf</w:t>
              </w:r>
            </w:hyperlink>
          </w:p>
        </w:tc>
        <w:tc>
          <w:tcPr>
            <w:tcW w:w="4394" w:type="dxa"/>
            <w:shd w:val="clear" w:color="auto" w:fill="auto"/>
          </w:tcPr>
          <w:p w14:paraId="27164F29" w14:textId="77777777" w:rsidR="00790A0D" w:rsidRPr="00DD47DF" w:rsidRDefault="00790A0D" w:rsidP="006D2F5F">
            <w:pPr>
              <w:pStyle w:val="Tabulka"/>
              <w:spacing w:before="0" w:after="0"/>
              <w:jc w:val="left"/>
              <w:rPr>
                <w:rFonts w:cs="Calibri"/>
              </w:rPr>
            </w:pPr>
            <w:r w:rsidRPr="00DD47DF">
              <w:rPr>
                <w:rFonts w:cs="Calibri"/>
              </w:rPr>
              <w:lastRenderedPageBreak/>
              <w:t xml:space="preserve">Opatření jsou obsažena v dokumentech: </w:t>
            </w:r>
            <w:r w:rsidRPr="00DD47DF">
              <w:rPr>
                <w:rFonts w:cs="Calibri"/>
              </w:rPr>
              <w:br/>
              <w:t>1. Státní politika v elektronických komunikacích - Digitální Česko</w:t>
            </w:r>
          </w:p>
          <w:p w14:paraId="1DE7A9C2" w14:textId="77777777" w:rsidR="00790A0D" w:rsidRPr="00DD47DF" w:rsidRDefault="00790A0D" w:rsidP="006D2F5F">
            <w:pPr>
              <w:pStyle w:val="Tabulka"/>
              <w:spacing w:before="0" w:after="0"/>
              <w:jc w:val="left"/>
              <w:rPr>
                <w:rFonts w:cs="Calibri"/>
              </w:rPr>
            </w:pPr>
            <w:r w:rsidRPr="00DD47DF">
              <w:rPr>
                <w:rFonts w:cs="Calibri"/>
              </w:rPr>
              <w:t>2."Digitální Česko 2.0 - Cesta k digitální ekonomice"</w:t>
            </w:r>
          </w:p>
          <w:p w14:paraId="5B6828BE" w14:textId="77777777" w:rsidR="00790A0D" w:rsidRPr="00DD47DF" w:rsidRDefault="00790A0D" w:rsidP="006D2F5F">
            <w:pPr>
              <w:pStyle w:val="Tabulka"/>
              <w:spacing w:before="0" w:after="0"/>
              <w:jc w:val="left"/>
              <w:rPr>
                <w:rFonts w:cs="Calibri"/>
              </w:rPr>
            </w:pPr>
            <w:r w:rsidRPr="00DD47DF">
              <w:rPr>
                <w:rFonts w:cs="Calibri"/>
              </w:rPr>
              <w:t>3. Koncepce podpory malých a středních podnikatelů na období let 2014 – 2020</w:t>
            </w:r>
          </w:p>
          <w:p w14:paraId="45EFD821" w14:textId="77777777" w:rsidR="00790A0D" w:rsidRPr="00DD47DF" w:rsidRDefault="00790A0D" w:rsidP="006D2F5F">
            <w:pPr>
              <w:pStyle w:val="Tabulka"/>
              <w:spacing w:before="0" w:after="0"/>
              <w:jc w:val="left"/>
            </w:pPr>
            <w:r w:rsidRPr="00DD47DF">
              <w:t>4. Strategický rámec rozvoje veřejné správy České republiky pro období 2014-2020</w:t>
            </w:r>
            <w:r w:rsidR="00C529B4" w:rsidRPr="00DD47DF">
              <w:t xml:space="preserve"> a z něj vycházející Implementační plán č. 3.</w:t>
            </w:r>
          </w:p>
          <w:p w14:paraId="1D4336B8" w14:textId="77777777" w:rsidR="00790A0D" w:rsidRPr="00DD47DF" w:rsidRDefault="00790A0D" w:rsidP="006D2F5F">
            <w:pPr>
              <w:pStyle w:val="Tabulka"/>
              <w:jc w:val="left"/>
              <w:rPr>
                <w:rFonts w:cs="Calibri"/>
              </w:rPr>
            </w:pPr>
            <w:r w:rsidRPr="00DD47DF">
              <w:rPr>
                <w:rFonts w:cs="Calibri"/>
              </w:rPr>
              <w:t>Průběžně se vyhodnocuje implementace programu ICT a strategické služby (program podpory OPPI).</w:t>
            </w:r>
          </w:p>
          <w:p w14:paraId="3696E452" w14:textId="77777777" w:rsidR="00790A0D" w:rsidRPr="00DD47DF" w:rsidRDefault="00790A0D" w:rsidP="006D2F5F">
            <w:pPr>
              <w:pStyle w:val="Tabulka"/>
              <w:jc w:val="left"/>
              <w:rPr>
                <w:rFonts w:cs="Calibri"/>
              </w:rPr>
            </w:pPr>
            <w:r w:rsidRPr="00DD47DF">
              <w:rPr>
                <w:rFonts w:cs="Calibri"/>
              </w:rPr>
              <w:t>Z pohledu intervencí OP PIK je strategický rámec vytvořen.</w:t>
            </w:r>
          </w:p>
          <w:p w14:paraId="55C1EF76" w14:textId="77777777" w:rsidR="00790A0D" w:rsidRPr="00DD47DF" w:rsidRDefault="00790A0D" w:rsidP="006D2F5F">
            <w:pPr>
              <w:pStyle w:val="Tabulka"/>
              <w:jc w:val="left"/>
              <w:rPr>
                <w:rFonts w:cs="Calibri"/>
              </w:rPr>
            </w:pPr>
            <w:r w:rsidRPr="00DD47DF">
              <w:rPr>
                <w:rFonts w:cs="Calibri"/>
              </w:rPr>
              <w:t>Strategický rámec bude dotvořen také Národní strategií inteligentní specializace (RIS3) (blíže viz podmínka 1.1).</w:t>
            </w:r>
          </w:p>
          <w:p w14:paraId="0C0C5B43" w14:textId="77777777" w:rsidR="00790A0D" w:rsidRPr="00DD47DF" w:rsidRDefault="00790A0D" w:rsidP="006D2F5F">
            <w:pPr>
              <w:pStyle w:val="Tabulka"/>
              <w:jc w:val="left"/>
              <w:rPr>
                <w:rFonts w:cs="Calibri"/>
              </w:rPr>
            </w:pPr>
            <w:r w:rsidRPr="00DD47DF">
              <w:rPr>
                <w:rFonts w:cs="Calibri"/>
              </w:rPr>
              <w:t>Byl zpracován akční plán ke splnění podmínky</w:t>
            </w:r>
            <w:r w:rsidR="009617DC" w:rsidRPr="00DD47DF">
              <w:rPr>
                <w:rFonts w:cs="Calibri"/>
              </w:rPr>
              <w:t xml:space="preserve"> (Příloha II)</w:t>
            </w:r>
            <w:r w:rsidRPr="00DD47DF">
              <w:rPr>
                <w:rFonts w:cs="Calibri"/>
              </w:rPr>
              <w:t>.</w:t>
            </w:r>
          </w:p>
        </w:tc>
      </w:tr>
      <w:tr w:rsidR="00790A0D" w:rsidRPr="00DD47DF" w14:paraId="18C95A7F" w14:textId="77777777" w:rsidTr="006D2F5F">
        <w:tc>
          <w:tcPr>
            <w:tcW w:w="1752" w:type="dxa"/>
            <w:vMerge/>
            <w:shd w:val="clear" w:color="auto" w:fill="auto"/>
          </w:tcPr>
          <w:p w14:paraId="4AA1B3A5" w14:textId="77777777" w:rsidR="00790A0D" w:rsidRPr="00DD47DF" w:rsidRDefault="00790A0D" w:rsidP="006D2F5F">
            <w:pPr>
              <w:pStyle w:val="Tabulka"/>
              <w:rPr>
                <w:rFonts w:cs="Calibri"/>
                <w:b/>
              </w:rPr>
            </w:pPr>
          </w:p>
        </w:tc>
        <w:tc>
          <w:tcPr>
            <w:tcW w:w="1701" w:type="dxa"/>
            <w:vMerge/>
            <w:shd w:val="clear" w:color="auto" w:fill="auto"/>
          </w:tcPr>
          <w:p w14:paraId="38758CEB" w14:textId="77777777" w:rsidR="00790A0D" w:rsidRPr="00DD47DF" w:rsidRDefault="00790A0D" w:rsidP="006D2F5F">
            <w:pPr>
              <w:pStyle w:val="Tabulka"/>
              <w:rPr>
                <w:rFonts w:cs="Calibri"/>
              </w:rPr>
            </w:pPr>
          </w:p>
        </w:tc>
        <w:tc>
          <w:tcPr>
            <w:tcW w:w="1276" w:type="dxa"/>
            <w:vMerge/>
            <w:shd w:val="clear" w:color="auto" w:fill="auto"/>
          </w:tcPr>
          <w:p w14:paraId="10ABF442" w14:textId="77777777" w:rsidR="00790A0D" w:rsidRPr="00DD47DF" w:rsidRDefault="00790A0D" w:rsidP="006D2F5F">
            <w:pPr>
              <w:pStyle w:val="Tabulka"/>
              <w:rPr>
                <w:rFonts w:cs="Calibri"/>
              </w:rPr>
            </w:pPr>
          </w:p>
        </w:tc>
        <w:tc>
          <w:tcPr>
            <w:tcW w:w="1843" w:type="dxa"/>
            <w:shd w:val="clear" w:color="auto" w:fill="auto"/>
          </w:tcPr>
          <w:p w14:paraId="2FC63622" w14:textId="77777777" w:rsidR="00790A0D" w:rsidRPr="00DD47DF" w:rsidRDefault="00790A0D" w:rsidP="006D2F5F">
            <w:pPr>
              <w:pStyle w:val="Tabulka"/>
              <w:jc w:val="left"/>
              <w:rPr>
                <w:rFonts w:cs="Calibri"/>
              </w:rPr>
            </w:pPr>
            <w:r w:rsidRPr="00DD47DF">
              <w:rPr>
                <w:rFonts w:cs="Calibri"/>
              </w:rPr>
              <w:t>• sestavování rozpočtu a stanovování pořadí důležitosti opatření prostřednictvím SWOT nebo podobné analýzy provedené v souladu se srovnávacím přehledem Digitální agendy pro Evropu,</w:t>
            </w:r>
          </w:p>
        </w:tc>
        <w:tc>
          <w:tcPr>
            <w:tcW w:w="1134" w:type="dxa"/>
            <w:shd w:val="clear" w:color="auto" w:fill="auto"/>
          </w:tcPr>
          <w:p w14:paraId="62178BFE" w14:textId="77777777" w:rsidR="00790A0D" w:rsidRPr="00DD47DF" w:rsidRDefault="00790A0D" w:rsidP="006D2F5F">
            <w:pPr>
              <w:pStyle w:val="Tabulka"/>
              <w:jc w:val="left"/>
              <w:rPr>
                <w:rFonts w:cs="Calibri"/>
              </w:rPr>
            </w:pPr>
            <w:r w:rsidRPr="00DD47DF">
              <w:rPr>
                <w:rFonts w:cs="Calibri"/>
              </w:rPr>
              <w:t xml:space="preserve"> ano</w:t>
            </w:r>
          </w:p>
        </w:tc>
        <w:tc>
          <w:tcPr>
            <w:tcW w:w="2126" w:type="dxa"/>
            <w:shd w:val="clear" w:color="auto" w:fill="auto"/>
          </w:tcPr>
          <w:p w14:paraId="3C6280B7" w14:textId="77777777" w:rsidR="00790A0D" w:rsidRPr="00DD47DF" w:rsidRDefault="00013622" w:rsidP="006D2F5F">
            <w:pPr>
              <w:pStyle w:val="Tabulka"/>
              <w:jc w:val="left"/>
              <w:rPr>
                <w:rFonts w:cs="Calibri"/>
              </w:rPr>
            </w:pPr>
            <w:hyperlink r:id="rId117" w:history="1">
              <w:r w:rsidR="00790A0D" w:rsidRPr="00DD47DF">
                <w:rPr>
                  <w:rStyle w:val="Hypertextovodkaz"/>
                  <w:rFonts w:cs="Calibri"/>
                </w:rPr>
                <w:t>http://www.mpo.cz/assets/cz/e-komunikace-a-posta/Internet/2013/4/Digi_esko_v.2.0.pdf</w:t>
              </w:r>
            </w:hyperlink>
          </w:p>
          <w:p w14:paraId="29F0C679" w14:textId="77777777" w:rsidR="00790A0D" w:rsidRPr="00DD47DF" w:rsidRDefault="00790A0D" w:rsidP="006D2F5F">
            <w:pPr>
              <w:pStyle w:val="Tabulka"/>
              <w:jc w:val="left"/>
              <w:rPr>
                <w:rFonts w:cs="Calibri"/>
              </w:rPr>
            </w:pPr>
          </w:p>
          <w:p w14:paraId="14FAC935" w14:textId="77777777" w:rsidR="00790A0D" w:rsidRPr="00DD47DF" w:rsidRDefault="00013622" w:rsidP="006D2F5F">
            <w:pPr>
              <w:pStyle w:val="Tabulka"/>
              <w:jc w:val="left"/>
              <w:rPr>
                <w:rFonts w:cs="Calibri"/>
              </w:rPr>
            </w:pPr>
            <w:hyperlink r:id="rId118" w:history="1">
              <w:r w:rsidR="00790A0D" w:rsidRPr="00DD47DF">
                <w:rPr>
                  <w:rStyle w:val="Hypertextovodkaz"/>
                  <w:rFonts w:cs="Calibri"/>
                </w:rPr>
                <w:t>http://www.mpo.cz/dokument119071.html</w:t>
              </w:r>
            </w:hyperlink>
          </w:p>
          <w:p w14:paraId="7405A109" w14:textId="77777777" w:rsidR="00790A0D" w:rsidRPr="00DD47DF" w:rsidRDefault="00790A0D" w:rsidP="006D2F5F">
            <w:pPr>
              <w:pStyle w:val="Tabulka"/>
              <w:jc w:val="left"/>
              <w:rPr>
                <w:rFonts w:cs="Calibri"/>
              </w:rPr>
            </w:pPr>
          </w:p>
        </w:tc>
        <w:tc>
          <w:tcPr>
            <w:tcW w:w="4394" w:type="dxa"/>
            <w:shd w:val="clear" w:color="auto" w:fill="auto"/>
          </w:tcPr>
          <w:p w14:paraId="16FFCB9C" w14:textId="77777777" w:rsidR="00790A0D" w:rsidRPr="00DD47DF" w:rsidRDefault="00790A0D" w:rsidP="006D2F5F">
            <w:pPr>
              <w:pStyle w:val="Tabulka"/>
              <w:jc w:val="left"/>
              <w:rPr>
                <w:rFonts w:cs="Calibri"/>
              </w:rPr>
            </w:pPr>
            <w:r w:rsidRPr="00DD47DF">
              <w:rPr>
                <w:rFonts w:cs="Calibri"/>
              </w:rPr>
              <w:t>Digitální Česko 2.0 obsahuje hlavní cíle vlády do r. 2020, vč. shrnutí analýz provedených před zpracováním strategie na základě údajů od ČTÚ a ČSÚ. Na základě těchto analýz je Digitální Česko 2 postaveno na 3 pilířích: podpoře rozvoje vysokorychlostních přístupových sítí k internetu, zvyšování dostupnosti a rozvoj digitálních služeb a posilování digitální gramotnosti a elektronických dovedností uživatelů sítí a služeb. Tyto 3 pilíře jsou stanoveny nadčasově, plně odpovídají smyslu a účelu Digitální agendy pro Evropu a dále jsou rozpracovávány navrženými opatřeními. Proto jsou dále průběžně sledovány stěžejní hospodářské a ekonomické aspekty prostřednictvím pravidelných zpráv ČSÚ viz např. nejnovější:</w:t>
            </w:r>
          </w:p>
          <w:p w14:paraId="6E32E487" w14:textId="77777777" w:rsidR="00790A0D" w:rsidRPr="00DD47DF" w:rsidRDefault="00790A0D" w:rsidP="006D2F5F">
            <w:pPr>
              <w:pStyle w:val="Tabulka"/>
              <w:jc w:val="left"/>
              <w:rPr>
                <w:rFonts w:cs="Calibri"/>
              </w:rPr>
            </w:pPr>
            <w:r w:rsidRPr="00DD47DF">
              <w:rPr>
                <w:rFonts w:cs="Calibri"/>
              </w:rPr>
              <w:t xml:space="preserve">Informační a komunikační technologie v podnikatelském sektoru za rok 2013, Informační ekonomika v číslech 2013, Informační společnost v číslech 2013. </w:t>
            </w:r>
          </w:p>
          <w:p w14:paraId="31760C79" w14:textId="77777777" w:rsidR="00790A0D" w:rsidRPr="00DD47DF" w:rsidRDefault="00790A0D" w:rsidP="006D2F5F">
            <w:pPr>
              <w:pStyle w:val="Tabulka"/>
              <w:jc w:val="left"/>
              <w:rPr>
                <w:rFonts w:cs="Calibri"/>
              </w:rPr>
            </w:pPr>
            <w:r w:rsidRPr="00DD47DF">
              <w:rPr>
                <w:rFonts w:cs="Calibri"/>
              </w:rPr>
              <w:t>Koncepce podpory malých a středních podnikatelů 2014 – 2020 obsahuje analýzu sektoru MSP v oblasti ICT.</w:t>
            </w:r>
          </w:p>
        </w:tc>
      </w:tr>
      <w:tr w:rsidR="00790A0D" w:rsidRPr="00DD47DF" w14:paraId="05E76FB9" w14:textId="77777777" w:rsidTr="006D2F5F">
        <w:tc>
          <w:tcPr>
            <w:tcW w:w="1752" w:type="dxa"/>
            <w:vMerge/>
            <w:shd w:val="clear" w:color="auto" w:fill="auto"/>
          </w:tcPr>
          <w:p w14:paraId="7FA17A1F" w14:textId="77777777" w:rsidR="00790A0D" w:rsidRPr="00DD47DF" w:rsidRDefault="00790A0D" w:rsidP="006D2F5F">
            <w:pPr>
              <w:pStyle w:val="Tabulka"/>
              <w:jc w:val="left"/>
              <w:rPr>
                <w:rFonts w:cs="Calibri"/>
                <w:b/>
              </w:rPr>
            </w:pPr>
          </w:p>
        </w:tc>
        <w:tc>
          <w:tcPr>
            <w:tcW w:w="1701" w:type="dxa"/>
            <w:vMerge/>
            <w:shd w:val="clear" w:color="auto" w:fill="auto"/>
          </w:tcPr>
          <w:p w14:paraId="70D6FC1B" w14:textId="77777777" w:rsidR="00790A0D" w:rsidRPr="00DD47DF" w:rsidRDefault="00790A0D" w:rsidP="006D2F5F">
            <w:pPr>
              <w:pStyle w:val="Tabulka"/>
              <w:jc w:val="left"/>
              <w:rPr>
                <w:rFonts w:cs="Calibri"/>
              </w:rPr>
            </w:pPr>
          </w:p>
        </w:tc>
        <w:tc>
          <w:tcPr>
            <w:tcW w:w="1276" w:type="dxa"/>
            <w:vMerge/>
            <w:shd w:val="clear" w:color="auto" w:fill="auto"/>
          </w:tcPr>
          <w:p w14:paraId="029299F7" w14:textId="77777777" w:rsidR="00790A0D" w:rsidRPr="00DD47DF" w:rsidRDefault="00790A0D" w:rsidP="006D2F5F">
            <w:pPr>
              <w:pStyle w:val="Tabulka"/>
              <w:jc w:val="left"/>
              <w:rPr>
                <w:rFonts w:cs="Calibri"/>
              </w:rPr>
            </w:pPr>
          </w:p>
        </w:tc>
        <w:tc>
          <w:tcPr>
            <w:tcW w:w="1843" w:type="dxa"/>
            <w:shd w:val="clear" w:color="auto" w:fill="auto"/>
          </w:tcPr>
          <w:p w14:paraId="4D293979" w14:textId="77777777" w:rsidR="00790A0D" w:rsidRPr="00DD47DF" w:rsidRDefault="00790A0D" w:rsidP="006D2F5F">
            <w:pPr>
              <w:pStyle w:val="Tabulka"/>
              <w:jc w:val="left"/>
              <w:rPr>
                <w:rFonts w:cs="Calibri"/>
              </w:rPr>
            </w:pPr>
            <w:r w:rsidRPr="00DD47DF">
              <w:rPr>
                <w:rFonts w:cs="Calibri"/>
              </w:rPr>
              <w:t xml:space="preserve">• měla být provedena analýza vyváženosti podpory poptávky a nabídky </w:t>
            </w:r>
            <w:r w:rsidRPr="00DD47DF">
              <w:rPr>
                <w:rFonts w:cs="Calibri"/>
              </w:rPr>
              <w:lastRenderedPageBreak/>
              <w:t>informačních a komunikačních technologií (IKT),</w:t>
            </w:r>
          </w:p>
        </w:tc>
        <w:tc>
          <w:tcPr>
            <w:tcW w:w="1134" w:type="dxa"/>
            <w:shd w:val="clear" w:color="auto" w:fill="auto"/>
          </w:tcPr>
          <w:p w14:paraId="418EBF43" w14:textId="77777777" w:rsidR="00790A0D" w:rsidRPr="00DD47DF" w:rsidRDefault="00790A0D" w:rsidP="006D2F5F">
            <w:pPr>
              <w:pStyle w:val="Tabulka"/>
              <w:jc w:val="left"/>
              <w:rPr>
                <w:rFonts w:cs="Calibri"/>
              </w:rPr>
            </w:pPr>
            <w:r w:rsidRPr="00DD47DF">
              <w:rPr>
                <w:rFonts w:cs="Calibri"/>
              </w:rPr>
              <w:lastRenderedPageBreak/>
              <w:t xml:space="preserve"> ano</w:t>
            </w:r>
          </w:p>
        </w:tc>
        <w:tc>
          <w:tcPr>
            <w:tcW w:w="2126" w:type="dxa"/>
            <w:shd w:val="clear" w:color="auto" w:fill="auto"/>
          </w:tcPr>
          <w:p w14:paraId="1C4C31D4" w14:textId="77777777" w:rsidR="00790A0D" w:rsidRPr="00DD47DF" w:rsidRDefault="00013622" w:rsidP="006D2F5F">
            <w:pPr>
              <w:pStyle w:val="Tabulka"/>
              <w:jc w:val="left"/>
              <w:rPr>
                <w:rStyle w:val="Hypertextovodkaz"/>
                <w:rFonts w:cs="Calibri"/>
              </w:rPr>
            </w:pPr>
            <w:hyperlink r:id="rId119" w:history="1">
              <w:r w:rsidR="00790A0D" w:rsidRPr="00DD47DF">
                <w:rPr>
                  <w:rStyle w:val="Hypertextovodkaz"/>
                  <w:rFonts w:cs="Calibri"/>
                </w:rPr>
                <w:t>http://www.mpo.cz/dokument83642.html</w:t>
              </w:r>
            </w:hyperlink>
          </w:p>
          <w:p w14:paraId="3220463E" w14:textId="77777777" w:rsidR="00790A0D" w:rsidRPr="00DD47DF" w:rsidRDefault="00790A0D" w:rsidP="006D2F5F">
            <w:pPr>
              <w:pStyle w:val="Tabulka"/>
              <w:jc w:val="left"/>
              <w:rPr>
                <w:rStyle w:val="Hypertextovodkaz"/>
                <w:rFonts w:cs="Calibri"/>
              </w:rPr>
            </w:pPr>
          </w:p>
          <w:p w14:paraId="1B338328" w14:textId="77777777" w:rsidR="00790A0D" w:rsidRPr="00DD47DF" w:rsidRDefault="00013622" w:rsidP="006D2F5F">
            <w:pPr>
              <w:pStyle w:val="Tabulka"/>
              <w:jc w:val="left"/>
              <w:rPr>
                <w:rFonts w:cs="Calibri"/>
              </w:rPr>
            </w:pPr>
            <w:hyperlink r:id="rId120" w:history="1">
              <w:r w:rsidR="00790A0D" w:rsidRPr="00DD47DF">
                <w:rPr>
                  <w:rStyle w:val="Hypertextovodkaz"/>
                  <w:rFonts w:cs="Calibri"/>
                </w:rPr>
                <w:t>http://www.mpo.cz/assets/cz/e-komunikace-</w:t>
              </w:r>
              <w:r w:rsidR="00790A0D" w:rsidRPr="00DD47DF">
                <w:rPr>
                  <w:rStyle w:val="Hypertextovodkaz"/>
                  <w:rFonts w:cs="Calibri"/>
                </w:rPr>
                <w:lastRenderedPageBreak/>
                <w:t>a-posta/Internet/2013/4/Digi_esko_v.2.0.pdf</w:t>
              </w:r>
            </w:hyperlink>
          </w:p>
          <w:p w14:paraId="223B45B6" w14:textId="77777777" w:rsidR="00790A0D" w:rsidRPr="00DD47DF" w:rsidRDefault="00790A0D" w:rsidP="006D2F5F">
            <w:pPr>
              <w:pStyle w:val="Tabulka"/>
              <w:jc w:val="left"/>
              <w:rPr>
                <w:rFonts w:cs="Calibri"/>
              </w:rPr>
            </w:pPr>
          </w:p>
          <w:p w14:paraId="56EE2916" w14:textId="77777777" w:rsidR="00790A0D" w:rsidRPr="00DD47DF" w:rsidRDefault="00013622" w:rsidP="006D2F5F">
            <w:pPr>
              <w:pStyle w:val="Tabulka"/>
              <w:jc w:val="left"/>
              <w:rPr>
                <w:rFonts w:cs="Calibri"/>
              </w:rPr>
            </w:pPr>
            <w:hyperlink r:id="rId121" w:history="1">
              <w:r w:rsidR="00790A0D" w:rsidRPr="00DD47DF">
                <w:rPr>
                  <w:rStyle w:val="Hypertextovodkaz"/>
                  <w:rFonts w:cs="Calibri"/>
                </w:rPr>
                <w:t>http://www.mpo.cz/dokument119071.html</w:t>
              </w:r>
            </w:hyperlink>
          </w:p>
        </w:tc>
        <w:tc>
          <w:tcPr>
            <w:tcW w:w="4394" w:type="dxa"/>
            <w:shd w:val="clear" w:color="auto" w:fill="auto"/>
          </w:tcPr>
          <w:p w14:paraId="09AB2642" w14:textId="77777777" w:rsidR="00790A0D" w:rsidRPr="00DD47DF" w:rsidRDefault="00790A0D" w:rsidP="006D2F5F">
            <w:pPr>
              <w:pStyle w:val="Tabulka"/>
              <w:jc w:val="left"/>
              <w:rPr>
                <w:rFonts w:cs="Calibri"/>
              </w:rPr>
            </w:pPr>
            <w:r w:rsidRPr="00DD47DF">
              <w:rPr>
                <w:rFonts w:cs="Calibri"/>
              </w:rPr>
              <w:lastRenderedPageBreak/>
              <w:t xml:space="preserve">Stěžejním cílem Strategie Digitální Česko je redukovat „digitální propast“ v oblasti přístupu k vysokorychlostnímu internetu mezi venkovskými sídly a městy. Digitální Česko 2 obsahuje vyhodnocení stávající nabídky </w:t>
            </w:r>
            <w:r w:rsidRPr="00DD47DF">
              <w:rPr>
                <w:rFonts w:cs="Calibri"/>
              </w:rPr>
              <w:lastRenderedPageBreak/>
              <w:t>dostupnosti vysokorychlostního přístupu k internetu a nutnosti její podpory. Digitální Česko 2 obsahuje výběr socioekonomických a jiných analýz zejména ze zpráv ČSÚ. Výsledkem těchto analýz bylo stanovení hlavních cílů vlády, které lze jednoduše vyjádřit třemi výše zmíněnými klíčovými pilíři. Koncepce podpory malých a středních podnikatelů na období let 2014 – 2020 obsahuje analýzu nezbytnosti podpory ICT pro růst MSP.</w:t>
            </w:r>
          </w:p>
        </w:tc>
      </w:tr>
      <w:tr w:rsidR="00790A0D" w:rsidRPr="00DD47DF" w14:paraId="1BE4B1D4" w14:textId="77777777" w:rsidTr="006D2F5F">
        <w:tc>
          <w:tcPr>
            <w:tcW w:w="1752" w:type="dxa"/>
            <w:vMerge/>
            <w:shd w:val="clear" w:color="auto" w:fill="auto"/>
          </w:tcPr>
          <w:p w14:paraId="1AB5B319" w14:textId="77777777" w:rsidR="00790A0D" w:rsidRPr="00DD47DF" w:rsidRDefault="00790A0D" w:rsidP="006D2F5F">
            <w:pPr>
              <w:pStyle w:val="Tabulka"/>
              <w:jc w:val="left"/>
              <w:rPr>
                <w:rFonts w:cs="Calibri"/>
                <w:b/>
              </w:rPr>
            </w:pPr>
          </w:p>
        </w:tc>
        <w:tc>
          <w:tcPr>
            <w:tcW w:w="1701" w:type="dxa"/>
            <w:vMerge/>
            <w:shd w:val="clear" w:color="auto" w:fill="auto"/>
          </w:tcPr>
          <w:p w14:paraId="47A483F9" w14:textId="77777777" w:rsidR="00790A0D" w:rsidRPr="00DD47DF" w:rsidRDefault="00790A0D" w:rsidP="006D2F5F">
            <w:pPr>
              <w:pStyle w:val="Tabulka"/>
              <w:jc w:val="left"/>
              <w:rPr>
                <w:rFonts w:cs="Calibri"/>
              </w:rPr>
            </w:pPr>
          </w:p>
        </w:tc>
        <w:tc>
          <w:tcPr>
            <w:tcW w:w="1276" w:type="dxa"/>
            <w:vMerge/>
            <w:shd w:val="clear" w:color="auto" w:fill="auto"/>
          </w:tcPr>
          <w:p w14:paraId="0D67C2A6" w14:textId="77777777" w:rsidR="00790A0D" w:rsidRPr="00DD47DF" w:rsidRDefault="00790A0D" w:rsidP="006D2F5F">
            <w:pPr>
              <w:pStyle w:val="Tabulka"/>
              <w:jc w:val="left"/>
              <w:rPr>
                <w:rFonts w:cs="Calibri"/>
              </w:rPr>
            </w:pPr>
          </w:p>
        </w:tc>
        <w:tc>
          <w:tcPr>
            <w:tcW w:w="1843" w:type="dxa"/>
            <w:shd w:val="clear" w:color="auto" w:fill="auto"/>
          </w:tcPr>
          <w:p w14:paraId="60A30FF4" w14:textId="77777777" w:rsidR="00790A0D" w:rsidRPr="00DD47DF" w:rsidRDefault="00790A0D" w:rsidP="006D2F5F">
            <w:pPr>
              <w:pStyle w:val="Tabulka"/>
              <w:jc w:val="left"/>
              <w:rPr>
                <w:rFonts w:cs="Calibri"/>
              </w:rPr>
            </w:pPr>
            <w:r w:rsidRPr="00DD47DF">
              <w:rPr>
                <w:rFonts w:cs="Calibri"/>
              </w:rPr>
              <w:t>• ukazatele umožňující měření pokroku zásahů v oblastech, jako jsou počítačová gramotnost, digitální začlenění, digitální přístupnost a pokrok v elektronickém zdravotnictví v mezích článku 168 SFEU, jež jsou v souladu se stávajícími příslušnými unijními, vnitrostátními nebo regionálními strategiemi pro jednotlivá odvětví,</w:t>
            </w:r>
          </w:p>
        </w:tc>
        <w:tc>
          <w:tcPr>
            <w:tcW w:w="1134" w:type="dxa"/>
            <w:shd w:val="clear" w:color="auto" w:fill="auto"/>
          </w:tcPr>
          <w:p w14:paraId="6AA7DF93"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53905BC" w14:textId="77777777" w:rsidR="00790A0D" w:rsidRPr="00DD47DF" w:rsidRDefault="00013622" w:rsidP="006D2F5F">
            <w:pPr>
              <w:pStyle w:val="Tabulka"/>
              <w:jc w:val="left"/>
              <w:rPr>
                <w:rStyle w:val="Hypertextovodkaz"/>
                <w:rFonts w:cs="Calibri"/>
              </w:rPr>
            </w:pPr>
            <w:hyperlink r:id="rId122" w:history="1">
              <w:r w:rsidR="00790A0D" w:rsidRPr="00DD47DF">
                <w:rPr>
                  <w:rStyle w:val="Hypertextovodkaz"/>
                  <w:rFonts w:cs="Calibri"/>
                </w:rPr>
                <w:t>http://www.mpo.cz/assets/cz/e-komunikace-a-posta/Internet/2013/4/Digi_esko_v.2.0.pdf</w:t>
              </w:r>
            </w:hyperlink>
          </w:p>
          <w:p w14:paraId="379DD663" w14:textId="77777777" w:rsidR="000F5C52" w:rsidRPr="00DD47DF" w:rsidRDefault="000F5C52" w:rsidP="006D2F5F">
            <w:pPr>
              <w:pStyle w:val="Tabulka"/>
              <w:jc w:val="left"/>
              <w:rPr>
                <w:rStyle w:val="Hypertextovodkaz"/>
                <w:rFonts w:cs="Calibri"/>
              </w:rPr>
            </w:pPr>
          </w:p>
          <w:p w14:paraId="3D366CAE" w14:textId="77777777" w:rsidR="000F5C52" w:rsidRPr="00DD47DF" w:rsidRDefault="00013622" w:rsidP="006D2F5F">
            <w:pPr>
              <w:pStyle w:val="Tabulka"/>
              <w:jc w:val="left"/>
            </w:pPr>
            <w:hyperlink r:id="rId123" w:history="1">
              <w:r w:rsidR="000F5C52" w:rsidRPr="00DD47DF">
                <w:rPr>
                  <w:rStyle w:val="Hypertextovodkaz"/>
                </w:rPr>
                <w:t>http://www.mvcr.cz/odk2/clanek/odbor-verejne-spravy-dozoru-a-kontroly.aspx?q=Y2hudW09OQ%3d%3d</w:t>
              </w:r>
            </w:hyperlink>
          </w:p>
          <w:p w14:paraId="6BF42B72" w14:textId="77777777" w:rsidR="000F5C52" w:rsidRPr="00DD47DF" w:rsidRDefault="000F5C52" w:rsidP="006D2F5F">
            <w:pPr>
              <w:pStyle w:val="Tabulka"/>
              <w:jc w:val="left"/>
            </w:pPr>
          </w:p>
          <w:p w14:paraId="1133A542" w14:textId="77777777" w:rsidR="000F5C52" w:rsidRPr="00DD47DF" w:rsidRDefault="00013622" w:rsidP="006D2F5F">
            <w:pPr>
              <w:pStyle w:val="Tabulka"/>
              <w:jc w:val="left"/>
              <w:rPr>
                <w:rFonts w:cs="Calibri"/>
              </w:rPr>
            </w:pPr>
            <w:hyperlink r:id="rId124" w:history="1">
              <w:r w:rsidR="000F5C52" w:rsidRPr="00DD47DF">
                <w:rPr>
                  <w:rStyle w:val="Hypertextovodkaz"/>
                </w:rPr>
                <w:t>http://databaze-strategie.cz/cz/mv/strategie/strategicky-ramec-rozvoje-verejne-spravy-ceske-republiky-pro-obdobi-2014-2020</w:t>
              </w:r>
            </w:hyperlink>
          </w:p>
          <w:p w14:paraId="05579DBC" w14:textId="77777777" w:rsidR="00790A0D" w:rsidRPr="00DD47DF" w:rsidRDefault="00790A0D" w:rsidP="006D2F5F">
            <w:pPr>
              <w:pStyle w:val="Tabulka"/>
              <w:jc w:val="left"/>
              <w:rPr>
                <w:rFonts w:cs="Calibri"/>
              </w:rPr>
            </w:pPr>
          </w:p>
        </w:tc>
        <w:tc>
          <w:tcPr>
            <w:tcW w:w="4394" w:type="dxa"/>
            <w:shd w:val="clear" w:color="auto" w:fill="auto"/>
          </w:tcPr>
          <w:p w14:paraId="0D4AF716" w14:textId="77777777" w:rsidR="00790A0D" w:rsidRPr="00DD47DF" w:rsidRDefault="00EE4A3B" w:rsidP="006D2F5F">
            <w:pPr>
              <w:pStyle w:val="Tabulka"/>
              <w:spacing w:before="0" w:after="0"/>
              <w:jc w:val="left"/>
              <w:rPr>
                <w:rFonts w:cs="Calibri"/>
              </w:rPr>
            </w:pPr>
            <w:r w:rsidRPr="00DD47DF">
              <w:rPr>
                <w:rFonts w:cs="Calibri"/>
              </w:rPr>
              <w:t>Kritérium je pro OP PIK nerelevantní (není uplatněna IP 2c).</w:t>
            </w:r>
            <w:r w:rsidR="00790A0D" w:rsidRPr="00DD47DF">
              <w:rPr>
                <w:rFonts w:cs="Calibri"/>
              </w:rPr>
              <w:t xml:space="preserve">Oblast je součástí Digitálního Česka 2.0, kapitola 5.6. Digitální gramotnost, elektronické dovednosti (e-skills). </w:t>
            </w:r>
          </w:p>
          <w:p w14:paraId="0FF5CCE7" w14:textId="77777777" w:rsidR="00790A0D" w:rsidRPr="00DD47DF" w:rsidRDefault="00790A0D" w:rsidP="006D2F5F">
            <w:pPr>
              <w:pStyle w:val="Tabulka"/>
              <w:jc w:val="left"/>
            </w:pPr>
            <w:r w:rsidRPr="00DD47DF">
              <w:t xml:space="preserve">Oblast je naplňována vytvořením a realizací </w:t>
            </w:r>
            <w:r w:rsidR="00260EA3" w:rsidRPr="00DD47DF">
              <w:rPr>
                <w:rFonts w:cs="Calibri"/>
              </w:rPr>
              <w:t>„Strategie digitální gramotnosti ČR na období 2015 – 2020“</w:t>
            </w:r>
            <w:r w:rsidRPr="00DD47DF">
              <w:t xml:space="preserve"> v gesci MPSV </w:t>
            </w:r>
            <w:r w:rsidR="00A8674B" w:rsidRPr="00DD47DF">
              <w:t>(spolugestor</w:t>
            </w:r>
            <w:r w:rsidRPr="00DD47DF">
              <w:t xml:space="preserve"> MŠMT</w:t>
            </w:r>
            <w:r w:rsidR="00A8674B" w:rsidRPr="00DD47DF">
              <w:t>) , která bude navazovat na Strategii digitálního vzdělávání (gesce MŠMT).</w:t>
            </w:r>
            <w:r w:rsidRPr="00DD47DF">
              <w:t xml:space="preserve"> </w:t>
            </w:r>
            <w:r w:rsidR="009617DC" w:rsidRPr="00DD47DF">
              <w:t>S</w:t>
            </w:r>
            <w:r w:rsidRPr="00DD47DF">
              <w:t>chválení je plánováno do konce 2 Q. 2015. Součástí této strategie budou ukazatele umožňující měření pokroku v oblasti počítačové gramotnosti a digitálního začlenění.</w:t>
            </w:r>
          </w:p>
          <w:p w14:paraId="63C27F73" w14:textId="77777777" w:rsidR="00790A0D" w:rsidRPr="00DD47DF" w:rsidRDefault="00790A0D" w:rsidP="006D2F5F">
            <w:pPr>
              <w:pStyle w:val="Tabulka"/>
              <w:jc w:val="left"/>
            </w:pPr>
            <w:r w:rsidRPr="00DD47DF">
              <w:t>Rozvoj digitální gramotnosti občanů je také řešen v </w:t>
            </w:r>
            <w:r w:rsidR="00260EA3" w:rsidRPr="00DD47DF">
              <w:t xml:space="preserve">Národní </w:t>
            </w:r>
            <w:r w:rsidR="009D57C1" w:rsidRPr="00DD47DF">
              <w:t>RIS3</w:t>
            </w:r>
            <w:r w:rsidR="00260EA3" w:rsidRPr="00DD47DF">
              <w:t xml:space="preserve"> strategii</w:t>
            </w:r>
            <w:r w:rsidR="00260EA3" w:rsidRPr="00DD47DF">
              <w:rPr>
                <w:rFonts w:ascii="Tahoma" w:hAnsi="Tahoma" w:cs="Tahoma"/>
                <w:color w:val="303030"/>
              </w:rPr>
              <w:t xml:space="preserve"> (</w:t>
            </w:r>
            <w:r w:rsidR="00260EA3" w:rsidRPr="00DD47DF">
              <w:rPr>
                <w:color w:val="303030"/>
              </w:rPr>
              <w:t>usnesení vlády č. 1028/2014) , klíčová oblast změn  E</w:t>
            </w:r>
            <w:r w:rsidRPr="00DD47DF">
              <w:t>.</w:t>
            </w:r>
            <w:r w:rsidR="00260EA3" w:rsidRPr="00DD47DF" w:rsidDel="00260EA3">
              <w:t xml:space="preserve"> </w:t>
            </w:r>
            <w:bookmarkStart w:id="137" w:name="_Toc391886103"/>
            <w:r w:rsidRPr="00DD47DF">
              <w:t>Bude naplňováno prostřednictvím Strategického rámce rozvoje veřejné správy České republiky pro období 2014-2020, konkrétní opatření přijata v Implementačním plánu</w:t>
            </w:r>
            <w:r w:rsidR="00260EA3" w:rsidRPr="00DD47DF">
              <w:t xml:space="preserve"> č. 3</w:t>
            </w:r>
            <w:r w:rsidRPr="00DD47DF">
              <w:t xml:space="preserve"> k tomuto Strategickému rámci.</w:t>
            </w:r>
            <w:bookmarkEnd w:id="137"/>
          </w:p>
          <w:p w14:paraId="37A04E32" w14:textId="77777777" w:rsidR="009617DC" w:rsidRPr="00DD47DF" w:rsidRDefault="009617DC" w:rsidP="00A8674B">
            <w:pPr>
              <w:pStyle w:val="Tabulka"/>
              <w:jc w:val="left"/>
            </w:pPr>
            <w:r w:rsidRPr="00DD47DF">
              <w:lastRenderedPageBreak/>
              <w:t xml:space="preserve">Viz Akční plán </w:t>
            </w:r>
            <w:r w:rsidR="00A8674B" w:rsidRPr="00DD47DF">
              <w:t>(</w:t>
            </w:r>
            <w:r w:rsidRPr="00DD47DF">
              <w:t>Příloha II).</w:t>
            </w:r>
          </w:p>
        </w:tc>
      </w:tr>
      <w:tr w:rsidR="00790A0D" w:rsidRPr="00DD47DF" w14:paraId="7BB46F13" w14:textId="77777777" w:rsidTr="006D2F5F">
        <w:tc>
          <w:tcPr>
            <w:tcW w:w="1752" w:type="dxa"/>
            <w:vMerge/>
            <w:shd w:val="clear" w:color="auto" w:fill="auto"/>
          </w:tcPr>
          <w:p w14:paraId="2F86C771" w14:textId="77777777" w:rsidR="00790A0D" w:rsidRPr="00DD47DF" w:rsidRDefault="00790A0D" w:rsidP="006D2F5F">
            <w:pPr>
              <w:pStyle w:val="Tabulka"/>
              <w:jc w:val="left"/>
              <w:rPr>
                <w:rFonts w:cs="Calibri"/>
                <w:b/>
              </w:rPr>
            </w:pPr>
          </w:p>
        </w:tc>
        <w:tc>
          <w:tcPr>
            <w:tcW w:w="1701" w:type="dxa"/>
            <w:vMerge/>
            <w:shd w:val="clear" w:color="auto" w:fill="auto"/>
          </w:tcPr>
          <w:p w14:paraId="609E0115" w14:textId="77777777" w:rsidR="00790A0D" w:rsidRPr="00DD47DF" w:rsidRDefault="00790A0D" w:rsidP="006D2F5F">
            <w:pPr>
              <w:pStyle w:val="Tabulka"/>
              <w:jc w:val="left"/>
              <w:rPr>
                <w:rFonts w:cs="Calibri"/>
              </w:rPr>
            </w:pPr>
          </w:p>
        </w:tc>
        <w:tc>
          <w:tcPr>
            <w:tcW w:w="1276" w:type="dxa"/>
            <w:vMerge/>
            <w:shd w:val="clear" w:color="auto" w:fill="auto"/>
          </w:tcPr>
          <w:p w14:paraId="289C63F6" w14:textId="77777777" w:rsidR="00790A0D" w:rsidRPr="00DD47DF" w:rsidRDefault="00790A0D" w:rsidP="006D2F5F">
            <w:pPr>
              <w:pStyle w:val="Tabulka"/>
              <w:jc w:val="left"/>
              <w:rPr>
                <w:rFonts w:cs="Calibri"/>
              </w:rPr>
            </w:pPr>
          </w:p>
        </w:tc>
        <w:tc>
          <w:tcPr>
            <w:tcW w:w="1843" w:type="dxa"/>
            <w:shd w:val="clear" w:color="auto" w:fill="auto"/>
          </w:tcPr>
          <w:p w14:paraId="12B3AC56" w14:textId="77777777" w:rsidR="00790A0D" w:rsidRPr="00DD47DF" w:rsidRDefault="00790A0D" w:rsidP="006D2F5F">
            <w:pPr>
              <w:pStyle w:val="Tabulka"/>
              <w:jc w:val="left"/>
              <w:rPr>
                <w:rFonts w:cs="Calibri"/>
              </w:rPr>
            </w:pPr>
            <w:r w:rsidRPr="00DD47DF">
              <w:rPr>
                <w:rFonts w:cs="Calibri"/>
              </w:rPr>
              <w:t>• posouzení potřeb zvýšit budování kapacit v oblasti IKT.</w:t>
            </w:r>
          </w:p>
        </w:tc>
        <w:tc>
          <w:tcPr>
            <w:tcW w:w="1134" w:type="dxa"/>
            <w:shd w:val="clear" w:color="auto" w:fill="auto"/>
          </w:tcPr>
          <w:p w14:paraId="11E71C29" w14:textId="77777777" w:rsidR="00790A0D" w:rsidRPr="00DD47DF" w:rsidRDefault="00790A0D" w:rsidP="006D2F5F">
            <w:pPr>
              <w:pStyle w:val="Tabulka"/>
              <w:jc w:val="left"/>
              <w:rPr>
                <w:rFonts w:cs="Calibri"/>
              </w:rPr>
            </w:pPr>
            <w:r w:rsidRPr="00DD47DF">
              <w:rPr>
                <w:rFonts w:cs="Calibri"/>
              </w:rPr>
              <w:t xml:space="preserve"> ano</w:t>
            </w:r>
          </w:p>
        </w:tc>
        <w:tc>
          <w:tcPr>
            <w:tcW w:w="2126" w:type="dxa"/>
            <w:shd w:val="clear" w:color="auto" w:fill="auto"/>
          </w:tcPr>
          <w:p w14:paraId="6A301E38" w14:textId="77777777" w:rsidR="00790A0D" w:rsidRPr="00DD47DF" w:rsidRDefault="00013622" w:rsidP="006D2F5F">
            <w:pPr>
              <w:pStyle w:val="Tabulka"/>
              <w:jc w:val="left"/>
              <w:rPr>
                <w:rFonts w:cs="Calibri"/>
              </w:rPr>
            </w:pPr>
            <w:hyperlink r:id="rId125" w:history="1">
              <w:r w:rsidR="00790A0D" w:rsidRPr="00DD47DF">
                <w:rPr>
                  <w:rStyle w:val="Hypertextovodkaz"/>
                  <w:rFonts w:cs="Calibri"/>
                </w:rPr>
                <w:t>http://www.mpo.cz/assets/cz/e-komunikace-a-posta/Internet/2013/4/Digi_esko_v.2.0.pdf</w:t>
              </w:r>
            </w:hyperlink>
          </w:p>
          <w:p w14:paraId="53043591" w14:textId="77777777" w:rsidR="00790A0D" w:rsidRPr="00DD47DF" w:rsidRDefault="00790A0D" w:rsidP="006D2F5F">
            <w:pPr>
              <w:pStyle w:val="Tabulka"/>
              <w:jc w:val="left"/>
              <w:rPr>
                <w:rFonts w:cs="Calibri"/>
              </w:rPr>
            </w:pPr>
          </w:p>
          <w:p w14:paraId="6387D2BE" w14:textId="77777777" w:rsidR="00790A0D" w:rsidRPr="00DD47DF" w:rsidRDefault="00013622" w:rsidP="006D2F5F">
            <w:pPr>
              <w:pStyle w:val="Tabulka"/>
              <w:jc w:val="left"/>
              <w:rPr>
                <w:rFonts w:cs="Calibri"/>
              </w:rPr>
            </w:pPr>
            <w:hyperlink r:id="rId126" w:history="1">
              <w:r w:rsidR="00790A0D" w:rsidRPr="00DD47DF">
                <w:rPr>
                  <w:rStyle w:val="Hypertextovodkaz"/>
                  <w:rFonts w:cs="Calibri"/>
                </w:rPr>
                <w:t>http://www.mpo.cz/dokument119071.html</w:t>
              </w:r>
            </w:hyperlink>
          </w:p>
          <w:p w14:paraId="6CAC9F68" w14:textId="77777777" w:rsidR="00790A0D" w:rsidRPr="00DD47DF" w:rsidRDefault="00790A0D" w:rsidP="006D2F5F">
            <w:pPr>
              <w:pStyle w:val="Tabulka"/>
              <w:jc w:val="left"/>
              <w:rPr>
                <w:rFonts w:cs="Calibri"/>
              </w:rPr>
            </w:pPr>
          </w:p>
          <w:p w14:paraId="356C5790" w14:textId="77777777" w:rsidR="00790A0D" w:rsidRPr="00DD47DF" w:rsidRDefault="00013622" w:rsidP="006D2F5F">
            <w:pPr>
              <w:pStyle w:val="Tabulka"/>
              <w:jc w:val="left"/>
              <w:rPr>
                <w:rFonts w:cs="Calibri"/>
              </w:rPr>
            </w:pPr>
            <w:hyperlink r:id="rId127" w:history="1">
              <w:r w:rsidR="00790A0D" w:rsidRPr="00DD47DF">
                <w:rPr>
                  <w:rStyle w:val="Hypertextovodkaz"/>
                  <w:rFonts w:cs="Calibri"/>
                </w:rPr>
                <w:t>http://www.czso.cz/csu/redakce.nsf/i/informacni_ekonomika</w:t>
              </w:r>
            </w:hyperlink>
          </w:p>
        </w:tc>
        <w:tc>
          <w:tcPr>
            <w:tcW w:w="4394" w:type="dxa"/>
            <w:shd w:val="clear" w:color="auto" w:fill="auto"/>
          </w:tcPr>
          <w:p w14:paraId="1867EFAE" w14:textId="77777777" w:rsidR="00790A0D" w:rsidRPr="00DD47DF" w:rsidRDefault="00790A0D" w:rsidP="006D2F5F">
            <w:pPr>
              <w:pStyle w:val="Tabulka"/>
              <w:jc w:val="left"/>
              <w:rPr>
                <w:rFonts w:cs="Calibri"/>
              </w:rPr>
            </w:pPr>
            <w:r w:rsidRPr="00DD47DF">
              <w:rPr>
                <w:rFonts w:cs="Calibri"/>
              </w:rPr>
              <w:t xml:space="preserve">Oblast je součástí Digitálního Česka 2.0, které upozorňuje na problematické oblasti, zejména s ohledem na regulační rámec služeb a sítí elektronických komunikací. </w:t>
            </w:r>
          </w:p>
          <w:p w14:paraId="66629ACF" w14:textId="77777777" w:rsidR="00790A0D" w:rsidRPr="00DD47DF" w:rsidRDefault="00790A0D" w:rsidP="006D2F5F">
            <w:pPr>
              <w:pStyle w:val="Tabulka"/>
              <w:jc w:val="left"/>
              <w:rPr>
                <w:rFonts w:cs="Calibri"/>
              </w:rPr>
            </w:pPr>
            <w:r w:rsidRPr="00DD47DF">
              <w:rPr>
                <w:rFonts w:cs="Calibri"/>
              </w:rPr>
              <w:t>Opatření na podporu budování komunikační infrastruktury a dosažení účinné konkurence je třeba doplnit o iniciativy na straně podpory poptávky, které zvýší motivovanost spotřebitelů a podnikatelů využívat komunikační služby, vytvářet nové obchodní modely a začleňovat je do každodenního života. Aktivní roli musí hrát především významné podnikatelské subjekty a stát.</w:t>
            </w:r>
          </w:p>
          <w:p w14:paraId="6FD9E4AB" w14:textId="77777777" w:rsidR="00790A0D" w:rsidRPr="00DD47DF" w:rsidRDefault="00790A0D" w:rsidP="006D2F5F">
            <w:pPr>
              <w:pStyle w:val="Tabulka"/>
              <w:jc w:val="left"/>
              <w:rPr>
                <w:rFonts w:cs="Calibri"/>
              </w:rPr>
            </w:pPr>
            <w:r w:rsidRPr="00DD47DF">
              <w:rPr>
                <w:rFonts w:cs="Calibri"/>
              </w:rPr>
              <w:t>Koncepce podpory malých a středních podnikatelů na období let 2014 – 2020 (kapitola 4.9).</w:t>
            </w:r>
          </w:p>
          <w:p w14:paraId="15265C6D" w14:textId="77777777" w:rsidR="00790A0D" w:rsidRPr="00DD47DF" w:rsidRDefault="00790A0D" w:rsidP="006D2F5F">
            <w:pPr>
              <w:pStyle w:val="Tabulka"/>
              <w:jc w:val="left"/>
              <w:rPr>
                <w:rFonts w:cs="Calibri"/>
              </w:rPr>
            </w:pPr>
            <w:r w:rsidRPr="00DD47DF">
              <w:rPr>
                <w:rFonts w:cs="Calibri"/>
              </w:rPr>
              <w:t>Stěžejní jsou rovněž každoroční údaje od ČSÚ internetová ekonomika v číslech a Informace o vývoji trhu elektronických komunikací (zpracovává ČTÚ).</w:t>
            </w:r>
          </w:p>
        </w:tc>
      </w:tr>
      <w:tr w:rsidR="00790A0D" w:rsidRPr="00DD47DF" w14:paraId="5EF152A3" w14:textId="77777777" w:rsidTr="006D2F5F">
        <w:tc>
          <w:tcPr>
            <w:tcW w:w="1752" w:type="dxa"/>
            <w:vMerge w:val="restart"/>
            <w:shd w:val="clear" w:color="auto" w:fill="auto"/>
          </w:tcPr>
          <w:p w14:paraId="541635EB" w14:textId="77777777" w:rsidR="00790A0D" w:rsidRPr="00DD47DF" w:rsidRDefault="00790A0D" w:rsidP="006D2F5F">
            <w:pPr>
              <w:pStyle w:val="Tabulka"/>
              <w:jc w:val="left"/>
              <w:rPr>
                <w:rFonts w:cs="Calibri"/>
                <w:b/>
              </w:rPr>
            </w:pPr>
            <w:r w:rsidRPr="00DD47DF">
              <w:rPr>
                <w:rFonts w:cs="Calibri"/>
                <w:b/>
              </w:rPr>
              <w:t xml:space="preserve">2.2. Infrastruktura přístupových sítí nové generace: Existence celostátních nebo regionálních plánů přístupových sítí nové generace, </w:t>
            </w:r>
            <w:r w:rsidRPr="00DD47DF">
              <w:rPr>
                <w:rFonts w:cs="Calibri"/>
                <w:b/>
              </w:rPr>
              <w:lastRenderedPageBreak/>
              <w:t>které zohledňují regionální opatření k dosažení cílů Unie v oblasti vysokorychlostního přístupu k internetu se zaměřením na oblasti, kde trh není schopen poskytovat otevřenou infrastrukturu za dostupnou cenu a v kvalitě v souladu s pravidly Unie pro hospodářskou soutěž a státní podpory, a poskytují dostupné služby zranitelným skupinám.</w:t>
            </w:r>
          </w:p>
        </w:tc>
        <w:tc>
          <w:tcPr>
            <w:tcW w:w="1701" w:type="dxa"/>
            <w:vMerge w:val="restart"/>
            <w:shd w:val="clear" w:color="auto" w:fill="auto"/>
          </w:tcPr>
          <w:p w14:paraId="731F68B0" w14:textId="77777777" w:rsidR="00790A0D" w:rsidRPr="00DD47DF" w:rsidRDefault="00790A0D" w:rsidP="006D2F5F">
            <w:pPr>
              <w:pStyle w:val="Tabulka"/>
              <w:jc w:val="left"/>
              <w:rPr>
                <w:rFonts w:cs="Calibri"/>
              </w:rPr>
            </w:pPr>
            <w:r w:rsidRPr="00DD47DF">
              <w:rPr>
                <w:rFonts w:cs="Calibri"/>
              </w:rPr>
              <w:lastRenderedPageBreak/>
              <w:t>PO 4 - Rozvoj vysokorychlostních přístupových sítí k internetu a informačních a komunikačních technologií</w:t>
            </w:r>
          </w:p>
          <w:p w14:paraId="17000C7E" w14:textId="77777777" w:rsidR="00790A0D" w:rsidRPr="00DD47DF" w:rsidRDefault="00790A0D" w:rsidP="006D2F5F">
            <w:pPr>
              <w:pStyle w:val="Tabulka"/>
              <w:jc w:val="left"/>
              <w:rPr>
                <w:rFonts w:cs="Calibri"/>
              </w:rPr>
            </w:pPr>
          </w:p>
          <w:p w14:paraId="77EC0E9E" w14:textId="77777777" w:rsidR="00790A0D" w:rsidRPr="00DD47DF" w:rsidRDefault="00790A0D" w:rsidP="006D2F5F">
            <w:pPr>
              <w:pStyle w:val="Tabulka"/>
              <w:jc w:val="left"/>
              <w:rPr>
                <w:rFonts w:cs="Calibri"/>
              </w:rPr>
            </w:pPr>
          </w:p>
          <w:p w14:paraId="35F9C33A" w14:textId="77777777" w:rsidR="00790A0D" w:rsidRPr="00DD47DF" w:rsidRDefault="00790A0D" w:rsidP="006D2F5F">
            <w:pPr>
              <w:pStyle w:val="Tabulka"/>
              <w:jc w:val="left"/>
              <w:rPr>
                <w:rFonts w:cs="Calibri"/>
              </w:rPr>
            </w:pPr>
          </w:p>
          <w:p w14:paraId="49C35D6A" w14:textId="77777777" w:rsidR="00790A0D" w:rsidRPr="00DD47DF" w:rsidRDefault="00790A0D" w:rsidP="006D2F5F">
            <w:pPr>
              <w:pStyle w:val="Tabulka"/>
              <w:jc w:val="left"/>
              <w:rPr>
                <w:rFonts w:cs="Calibri"/>
              </w:rPr>
            </w:pPr>
          </w:p>
        </w:tc>
        <w:tc>
          <w:tcPr>
            <w:tcW w:w="1276" w:type="dxa"/>
            <w:vMerge w:val="restart"/>
            <w:shd w:val="clear" w:color="auto" w:fill="auto"/>
          </w:tcPr>
          <w:p w14:paraId="66E38113" w14:textId="77777777" w:rsidR="00790A0D" w:rsidRPr="00DD47DF" w:rsidRDefault="00793FDC" w:rsidP="006D2F5F">
            <w:pPr>
              <w:pStyle w:val="Tabulka"/>
              <w:jc w:val="left"/>
              <w:rPr>
                <w:rFonts w:cs="Calibri"/>
              </w:rPr>
            </w:pPr>
            <w:r w:rsidRPr="00DD47DF">
              <w:rPr>
                <w:rFonts w:cs="Calibri"/>
              </w:rPr>
              <w:lastRenderedPageBreak/>
              <w:t>ne</w:t>
            </w:r>
          </w:p>
          <w:p w14:paraId="40DBA060" w14:textId="77777777" w:rsidR="00790A0D" w:rsidRPr="00DD47DF" w:rsidRDefault="00790A0D" w:rsidP="006D2F5F">
            <w:pPr>
              <w:pStyle w:val="Tabulka"/>
              <w:jc w:val="left"/>
              <w:rPr>
                <w:rFonts w:cs="Calibri"/>
              </w:rPr>
            </w:pPr>
          </w:p>
          <w:p w14:paraId="44A460FC" w14:textId="77777777" w:rsidR="00790A0D" w:rsidRPr="00DD47DF" w:rsidRDefault="00790A0D" w:rsidP="006D2F5F">
            <w:pPr>
              <w:pStyle w:val="Tabulka"/>
              <w:jc w:val="left"/>
              <w:rPr>
                <w:rFonts w:cs="Calibri"/>
              </w:rPr>
            </w:pPr>
          </w:p>
          <w:p w14:paraId="712982C7" w14:textId="77777777" w:rsidR="00790A0D" w:rsidRPr="00DD47DF" w:rsidRDefault="00790A0D" w:rsidP="006D2F5F">
            <w:pPr>
              <w:pStyle w:val="Tabulka"/>
              <w:jc w:val="left"/>
              <w:rPr>
                <w:rFonts w:cs="Calibri"/>
              </w:rPr>
            </w:pPr>
          </w:p>
          <w:p w14:paraId="608B0753" w14:textId="77777777" w:rsidR="00790A0D" w:rsidRPr="00DD47DF" w:rsidRDefault="00790A0D" w:rsidP="006D2F5F">
            <w:pPr>
              <w:pStyle w:val="Tabulka"/>
              <w:jc w:val="left"/>
              <w:rPr>
                <w:rFonts w:cs="Calibri"/>
              </w:rPr>
            </w:pPr>
          </w:p>
          <w:p w14:paraId="50A4DEE2" w14:textId="77777777" w:rsidR="00790A0D" w:rsidRPr="00DD47DF" w:rsidRDefault="00790A0D" w:rsidP="006D2F5F">
            <w:pPr>
              <w:pStyle w:val="Tabulka"/>
              <w:jc w:val="left"/>
              <w:rPr>
                <w:rFonts w:cs="Calibri"/>
              </w:rPr>
            </w:pPr>
          </w:p>
          <w:p w14:paraId="600754DF" w14:textId="77777777" w:rsidR="00790A0D" w:rsidRPr="00DD47DF" w:rsidRDefault="00790A0D" w:rsidP="006D2F5F">
            <w:pPr>
              <w:pStyle w:val="Tabulka"/>
              <w:jc w:val="left"/>
              <w:rPr>
                <w:rFonts w:cs="Calibri"/>
              </w:rPr>
            </w:pPr>
          </w:p>
          <w:p w14:paraId="144FE7E0" w14:textId="77777777" w:rsidR="00790A0D" w:rsidRPr="00DD47DF" w:rsidRDefault="00790A0D" w:rsidP="006D2F5F">
            <w:pPr>
              <w:pStyle w:val="Tabulka"/>
              <w:jc w:val="left"/>
              <w:rPr>
                <w:rFonts w:cs="Calibri"/>
              </w:rPr>
            </w:pPr>
          </w:p>
          <w:p w14:paraId="587F2F53" w14:textId="77777777" w:rsidR="00790A0D" w:rsidRPr="00DD47DF" w:rsidRDefault="00790A0D" w:rsidP="006D2F5F">
            <w:pPr>
              <w:pStyle w:val="Tabulka"/>
              <w:jc w:val="left"/>
              <w:rPr>
                <w:rFonts w:cs="Calibri"/>
              </w:rPr>
            </w:pPr>
          </w:p>
          <w:p w14:paraId="224770C6" w14:textId="77777777" w:rsidR="00790A0D" w:rsidRPr="00DD47DF" w:rsidRDefault="00790A0D" w:rsidP="006D2F5F">
            <w:pPr>
              <w:pStyle w:val="Tabulka"/>
              <w:jc w:val="left"/>
              <w:rPr>
                <w:rFonts w:cs="Calibri"/>
              </w:rPr>
            </w:pPr>
          </w:p>
        </w:tc>
        <w:tc>
          <w:tcPr>
            <w:tcW w:w="1843" w:type="dxa"/>
            <w:shd w:val="clear" w:color="auto" w:fill="auto"/>
          </w:tcPr>
          <w:p w14:paraId="29BE2BCE" w14:textId="77777777" w:rsidR="00790A0D" w:rsidRPr="00DD47DF" w:rsidRDefault="00790A0D" w:rsidP="006D2F5F">
            <w:pPr>
              <w:pStyle w:val="Tabulka"/>
              <w:jc w:val="left"/>
              <w:rPr>
                <w:rFonts w:cs="Calibri"/>
              </w:rPr>
            </w:pPr>
            <w:r w:rsidRPr="00DD47DF">
              <w:rPr>
                <w:rFonts w:cs="Calibri"/>
              </w:rPr>
              <w:lastRenderedPageBreak/>
              <w:t>Je vypracován celostátní nebo regionální plán sítí nové generace (NGN), který obsahuje:</w:t>
            </w:r>
          </w:p>
        </w:tc>
        <w:tc>
          <w:tcPr>
            <w:tcW w:w="1134" w:type="dxa"/>
            <w:shd w:val="clear" w:color="auto" w:fill="auto"/>
          </w:tcPr>
          <w:p w14:paraId="7FA3496F"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36453218" w14:textId="77777777" w:rsidR="00790A0D" w:rsidRPr="00DD47DF" w:rsidRDefault="00013622" w:rsidP="006D2F5F">
            <w:pPr>
              <w:pStyle w:val="Tabulka"/>
              <w:jc w:val="left"/>
              <w:rPr>
                <w:rStyle w:val="Hypertextovodkaz"/>
                <w:rFonts w:cs="Calibri"/>
              </w:rPr>
            </w:pPr>
            <w:hyperlink r:id="rId128" w:history="1">
              <w:r w:rsidR="00790A0D" w:rsidRPr="00DD47DF">
                <w:rPr>
                  <w:rStyle w:val="Hypertextovodkaz"/>
                  <w:rFonts w:cs="Calibri"/>
                </w:rPr>
                <w:t>http://www.mpo.cz/dokument83642.html</w:t>
              </w:r>
            </w:hyperlink>
          </w:p>
          <w:p w14:paraId="179F857C" w14:textId="77777777" w:rsidR="00790A0D" w:rsidRPr="00DD47DF" w:rsidRDefault="00790A0D" w:rsidP="006D2F5F">
            <w:pPr>
              <w:pStyle w:val="Tabulka"/>
              <w:jc w:val="left"/>
              <w:rPr>
                <w:rFonts w:cs="Calibri"/>
              </w:rPr>
            </w:pPr>
          </w:p>
          <w:p w14:paraId="5DD09374" w14:textId="77777777" w:rsidR="00790A0D" w:rsidRPr="00DD47DF" w:rsidRDefault="00013622" w:rsidP="006D2F5F">
            <w:pPr>
              <w:pStyle w:val="Tabulka"/>
              <w:jc w:val="left"/>
              <w:rPr>
                <w:rFonts w:cs="Calibri"/>
              </w:rPr>
            </w:pPr>
            <w:hyperlink r:id="rId129" w:history="1">
              <w:r w:rsidR="00790A0D" w:rsidRPr="00DD47DF">
                <w:rPr>
                  <w:rStyle w:val="Hypertextovodkaz"/>
                  <w:rFonts w:cs="Calibri"/>
                </w:rPr>
                <w:t>http://www.mpo.cz/assets/cz/e-komunikace-a-posta/Internet/2013/4/Digi_esko_v.2.0.pdf</w:t>
              </w:r>
            </w:hyperlink>
          </w:p>
          <w:p w14:paraId="25B5A5D4" w14:textId="77777777" w:rsidR="00790A0D" w:rsidRPr="00DD47DF" w:rsidRDefault="00790A0D" w:rsidP="006D2F5F">
            <w:pPr>
              <w:pStyle w:val="Tabulka"/>
              <w:jc w:val="left"/>
              <w:rPr>
                <w:rFonts w:cs="Calibri"/>
              </w:rPr>
            </w:pPr>
          </w:p>
          <w:p w14:paraId="44A783F1" w14:textId="77777777" w:rsidR="00790A0D" w:rsidRPr="00DD47DF" w:rsidRDefault="00013622" w:rsidP="006D2F5F">
            <w:pPr>
              <w:pStyle w:val="Tabulka"/>
              <w:jc w:val="left"/>
              <w:rPr>
                <w:rFonts w:cs="Calibri"/>
              </w:rPr>
            </w:pPr>
            <w:hyperlink r:id="rId130" w:history="1">
              <w:r w:rsidR="00790A0D" w:rsidRPr="00DD47DF">
                <w:rPr>
                  <w:rStyle w:val="Hypertextovodkaz"/>
                  <w:rFonts w:cs="Calibri"/>
                </w:rPr>
                <w:t>http://www.mpo.cz/dokument119071.html</w:t>
              </w:r>
            </w:hyperlink>
          </w:p>
        </w:tc>
        <w:tc>
          <w:tcPr>
            <w:tcW w:w="4394" w:type="dxa"/>
            <w:shd w:val="clear" w:color="auto" w:fill="auto"/>
          </w:tcPr>
          <w:p w14:paraId="697D8ACB" w14:textId="77777777" w:rsidR="00790A0D" w:rsidRPr="00DD47DF" w:rsidRDefault="00790A0D" w:rsidP="006D2F5F">
            <w:pPr>
              <w:pStyle w:val="Tabulka"/>
              <w:jc w:val="left"/>
              <w:rPr>
                <w:rFonts w:cs="Calibri"/>
              </w:rPr>
            </w:pPr>
            <w:r w:rsidRPr="00DD47DF">
              <w:rPr>
                <w:rFonts w:cs="Calibri"/>
              </w:rPr>
              <w:lastRenderedPageBreak/>
              <w:t xml:space="preserve">Opatření jsou obsažena ve vládou schváleném dokumentu "Státní politika v elektronických komunikacích - Digitální Česko" a dokumentu "Digitální Česko 2.0 - Cesta k digitální ekonomice", který je schválen vládou a dále v Koncepci podpory malých a středních podnikatelů na období let 2014 – 2020. Jak vyplývá z Digitálního Česka 2, pro většinu lokalit ČR se považuje za vhodnou a dlouhodobě perspektivní infrastruktura </w:t>
            </w:r>
            <w:r w:rsidRPr="00DD47DF">
              <w:rPr>
                <w:rFonts w:cs="Calibri"/>
              </w:rPr>
              <w:lastRenderedPageBreak/>
              <w:t>umožňující vysokorychlostní přístup k internetu, která je založena na kabelové technologii s optickými vlákny.</w:t>
            </w:r>
          </w:p>
          <w:p w14:paraId="10426A36"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tc>
      </w:tr>
      <w:tr w:rsidR="00790A0D" w:rsidRPr="00DD47DF" w14:paraId="2E66D179" w14:textId="77777777" w:rsidTr="006D2F5F">
        <w:tc>
          <w:tcPr>
            <w:tcW w:w="1752" w:type="dxa"/>
            <w:vMerge/>
            <w:shd w:val="clear" w:color="auto" w:fill="auto"/>
          </w:tcPr>
          <w:p w14:paraId="6AFC19D1" w14:textId="77777777" w:rsidR="00790A0D" w:rsidRPr="00DD47DF" w:rsidRDefault="00790A0D" w:rsidP="006D2F5F">
            <w:pPr>
              <w:pStyle w:val="Tabulka"/>
              <w:rPr>
                <w:rFonts w:cs="Calibri"/>
                <w:b/>
              </w:rPr>
            </w:pPr>
          </w:p>
        </w:tc>
        <w:tc>
          <w:tcPr>
            <w:tcW w:w="1701" w:type="dxa"/>
            <w:vMerge/>
            <w:shd w:val="clear" w:color="auto" w:fill="auto"/>
          </w:tcPr>
          <w:p w14:paraId="647768A0" w14:textId="77777777" w:rsidR="00790A0D" w:rsidRPr="00DD47DF" w:rsidRDefault="00790A0D" w:rsidP="006D2F5F">
            <w:pPr>
              <w:pStyle w:val="Tabulka"/>
              <w:rPr>
                <w:rFonts w:cs="Calibri"/>
              </w:rPr>
            </w:pPr>
          </w:p>
        </w:tc>
        <w:tc>
          <w:tcPr>
            <w:tcW w:w="1276" w:type="dxa"/>
            <w:vMerge/>
            <w:shd w:val="clear" w:color="auto" w:fill="auto"/>
          </w:tcPr>
          <w:p w14:paraId="53F5AC26" w14:textId="77777777" w:rsidR="00790A0D" w:rsidRPr="00DD47DF" w:rsidRDefault="00790A0D" w:rsidP="006D2F5F">
            <w:pPr>
              <w:pStyle w:val="Tabulka"/>
              <w:rPr>
                <w:rFonts w:cs="Calibri"/>
              </w:rPr>
            </w:pPr>
          </w:p>
        </w:tc>
        <w:tc>
          <w:tcPr>
            <w:tcW w:w="1843" w:type="dxa"/>
            <w:shd w:val="clear" w:color="auto" w:fill="auto"/>
          </w:tcPr>
          <w:p w14:paraId="12DA0879" w14:textId="77777777" w:rsidR="00790A0D" w:rsidRPr="00DD47DF" w:rsidRDefault="00790A0D" w:rsidP="006D2F5F">
            <w:pPr>
              <w:pStyle w:val="Tabulka"/>
              <w:jc w:val="left"/>
              <w:rPr>
                <w:rFonts w:cs="Calibri"/>
              </w:rPr>
            </w:pPr>
            <w:r w:rsidRPr="00DD47DF">
              <w:rPr>
                <w:rFonts w:cs="Calibri"/>
              </w:rPr>
              <w:t>• plán investic do infrastruktury vycházející z ekonomické analýzy a zohledňující stávající soukromou a veřejnou infrastrukturu a plánované investice,</w:t>
            </w:r>
          </w:p>
        </w:tc>
        <w:tc>
          <w:tcPr>
            <w:tcW w:w="1134" w:type="dxa"/>
            <w:shd w:val="clear" w:color="auto" w:fill="auto"/>
          </w:tcPr>
          <w:p w14:paraId="5183B531"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4CAEB39" w14:textId="77777777" w:rsidR="00790A0D" w:rsidRPr="00DD47DF" w:rsidRDefault="00013622" w:rsidP="006D2F5F">
            <w:pPr>
              <w:pStyle w:val="Tabulka"/>
              <w:jc w:val="left"/>
              <w:rPr>
                <w:rFonts w:cs="Calibri"/>
              </w:rPr>
            </w:pPr>
            <w:hyperlink r:id="rId131" w:history="1">
              <w:r w:rsidR="00790A0D" w:rsidRPr="00DD47DF">
                <w:rPr>
                  <w:rStyle w:val="Hypertextovodkaz"/>
                  <w:rFonts w:cs="Calibri"/>
                </w:rPr>
                <w:t>http://www.mpo.cz/assets/cz/e-komunikace-a-posta/Internet/2013/4/Digi_esko_v.2.0.pdf</w:t>
              </w:r>
            </w:hyperlink>
          </w:p>
          <w:p w14:paraId="37AEBC0E" w14:textId="77777777" w:rsidR="00790A0D" w:rsidRPr="00DD47DF" w:rsidRDefault="00790A0D" w:rsidP="006D2F5F">
            <w:pPr>
              <w:pStyle w:val="Tabulka"/>
              <w:jc w:val="left"/>
              <w:rPr>
                <w:rFonts w:cs="Calibri"/>
              </w:rPr>
            </w:pPr>
          </w:p>
          <w:p w14:paraId="45713077" w14:textId="77777777" w:rsidR="00790A0D" w:rsidRPr="00DD47DF" w:rsidRDefault="00790A0D" w:rsidP="006D2F5F">
            <w:pPr>
              <w:pStyle w:val="Tabulka"/>
              <w:jc w:val="left"/>
              <w:rPr>
                <w:rFonts w:cs="Calibri"/>
              </w:rPr>
            </w:pPr>
          </w:p>
        </w:tc>
        <w:tc>
          <w:tcPr>
            <w:tcW w:w="4394" w:type="dxa"/>
            <w:shd w:val="clear" w:color="auto" w:fill="auto"/>
          </w:tcPr>
          <w:p w14:paraId="225D14BB" w14:textId="77777777" w:rsidR="00790A0D" w:rsidRPr="00DD47DF" w:rsidRDefault="00790A0D" w:rsidP="006D2F5F">
            <w:pPr>
              <w:pStyle w:val="Tabulka"/>
              <w:jc w:val="left"/>
              <w:rPr>
                <w:rFonts w:cs="Calibri"/>
              </w:rPr>
            </w:pPr>
            <w:r w:rsidRPr="00DD47DF">
              <w:rPr>
                <w:rFonts w:cs="Calibri"/>
              </w:rPr>
              <w:t>Digitální Česko 2.0 je postaveno na 3 pilířích (prioritách), jednou z nich je podpora rozvoje vysokorychlostních přístupových sítí k internetu.</w:t>
            </w:r>
          </w:p>
          <w:p w14:paraId="67F1190E"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14:paraId="275B2719" w14:textId="77777777" w:rsidR="00790A0D" w:rsidRPr="00DD47DF" w:rsidRDefault="00790A0D" w:rsidP="006D2F5F">
            <w:pPr>
              <w:pStyle w:val="Tabulka"/>
              <w:jc w:val="left"/>
              <w:rPr>
                <w:rFonts w:cs="Calibri"/>
              </w:rPr>
            </w:pPr>
            <w:r w:rsidRPr="00DD47DF">
              <w:rPr>
                <w:rFonts w:cs="Calibri"/>
              </w:rPr>
              <w:t>Dne 1. 7. 2014 zveřejnil ČTÚ výsledky</w:t>
            </w:r>
            <w:r w:rsidR="0055104A" w:rsidRPr="00DD47DF">
              <w:rPr>
                <w:rFonts w:cs="Calibri"/>
              </w:rPr>
              <w:t xml:space="preserve"> </w:t>
            </w:r>
            <w:r w:rsidRPr="00DD47DF">
              <w:rPr>
                <w:rFonts w:cs="Calibri"/>
              </w:rPr>
              <w:t>mapování existence relevantní infrastruktury pro stanovení podmínek programu na podporu projektů zaměřených na budování přístupových sítí nové generace.</w:t>
            </w:r>
          </w:p>
          <w:p w14:paraId="6EF7AAF8" w14:textId="77777777" w:rsidR="00790A0D" w:rsidRPr="00DD47DF" w:rsidRDefault="00790A0D" w:rsidP="006D2F5F">
            <w:pPr>
              <w:pStyle w:val="Tabulka"/>
              <w:jc w:val="left"/>
              <w:rPr>
                <w:rFonts w:cs="Calibri"/>
              </w:rPr>
            </w:pPr>
            <w:r w:rsidRPr="00DD47DF">
              <w:rPr>
                <w:rFonts w:cs="Calibri"/>
              </w:rPr>
              <w:t>http://www.ctu.cz/ctu-online/pruzkum-nga.html</w:t>
            </w:r>
          </w:p>
        </w:tc>
      </w:tr>
      <w:tr w:rsidR="00790A0D" w:rsidRPr="00DD47DF" w14:paraId="076F3011" w14:textId="77777777" w:rsidTr="006D2F5F">
        <w:tc>
          <w:tcPr>
            <w:tcW w:w="1752" w:type="dxa"/>
            <w:vMerge/>
            <w:shd w:val="clear" w:color="auto" w:fill="auto"/>
          </w:tcPr>
          <w:p w14:paraId="397EDFA8" w14:textId="77777777" w:rsidR="00790A0D" w:rsidRPr="00DD47DF" w:rsidRDefault="00790A0D" w:rsidP="006D2F5F">
            <w:pPr>
              <w:pStyle w:val="Tabulka"/>
              <w:rPr>
                <w:rFonts w:cs="Calibri"/>
                <w:b/>
              </w:rPr>
            </w:pPr>
          </w:p>
        </w:tc>
        <w:tc>
          <w:tcPr>
            <w:tcW w:w="1701" w:type="dxa"/>
            <w:vMerge/>
            <w:shd w:val="clear" w:color="auto" w:fill="auto"/>
          </w:tcPr>
          <w:p w14:paraId="5356FB8F" w14:textId="77777777" w:rsidR="00790A0D" w:rsidRPr="00DD47DF" w:rsidRDefault="00790A0D" w:rsidP="006D2F5F">
            <w:pPr>
              <w:pStyle w:val="Tabulka"/>
              <w:rPr>
                <w:rFonts w:cs="Calibri"/>
              </w:rPr>
            </w:pPr>
          </w:p>
        </w:tc>
        <w:tc>
          <w:tcPr>
            <w:tcW w:w="1276" w:type="dxa"/>
            <w:vMerge/>
            <w:shd w:val="clear" w:color="auto" w:fill="auto"/>
          </w:tcPr>
          <w:p w14:paraId="4AFD7A62" w14:textId="77777777" w:rsidR="00790A0D" w:rsidRPr="00DD47DF" w:rsidRDefault="00790A0D" w:rsidP="006D2F5F">
            <w:pPr>
              <w:pStyle w:val="Tabulka"/>
              <w:rPr>
                <w:rFonts w:cs="Calibri"/>
              </w:rPr>
            </w:pPr>
          </w:p>
        </w:tc>
        <w:tc>
          <w:tcPr>
            <w:tcW w:w="1843" w:type="dxa"/>
            <w:shd w:val="clear" w:color="auto" w:fill="auto"/>
          </w:tcPr>
          <w:p w14:paraId="794CEED8" w14:textId="77777777" w:rsidR="00790A0D" w:rsidRPr="00DD47DF" w:rsidRDefault="00790A0D" w:rsidP="006D2F5F">
            <w:pPr>
              <w:pStyle w:val="Tabulka"/>
              <w:jc w:val="left"/>
              <w:rPr>
                <w:rFonts w:cs="Calibri"/>
              </w:rPr>
            </w:pPr>
            <w:r w:rsidRPr="00DD47DF">
              <w:rPr>
                <w:rFonts w:cs="Calibri"/>
              </w:rPr>
              <w:t xml:space="preserve">• modely udržitelných investic, které posilují hospodářskou soutěž a zajišťují </w:t>
            </w:r>
            <w:r w:rsidRPr="00DD47DF">
              <w:rPr>
                <w:rFonts w:cs="Calibri"/>
              </w:rPr>
              <w:lastRenderedPageBreak/>
              <w:t>přístup k otevřeným, cenově dostupným, kvalitním a progresivním infrastrukturám a službám,</w:t>
            </w:r>
          </w:p>
        </w:tc>
        <w:tc>
          <w:tcPr>
            <w:tcW w:w="1134" w:type="dxa"/>
            <w:shd w:val="clear" w:color="auto" w:fill="auto"/>
          </w:tcPr>
          <w:p w14:paraId="1773CE3B"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50BB675A" w14:textId="77777777" w:rsidR="00790A0D" w:rsidRPr="00DD47DF" w:rsidRDefault="00013622" w:rsidP="006D2F5F">
            <w:pPr>
              <w:pStyle w:val="Tabulka"/>
              <w:jc w:val="left"/>
              <w:rPr>
                <w:rFonts w:cs="Calibri"/>
              </w:rPr>
            </w:pPr>
            <w:hyperlink r:id="rId132" w:history="1">
              <w:r w:rsidR="00790A0D" w:rsidRPr="00DD47DF">
                <w:rPr>
                  <w:rStyle w:val="Hypertextovodkaz"/>
                  <w:rFonts w:cs="Calibri"/>
                </w:rPr>
                <w:t>http://www.mpo.cz/assets/cz/e-komunikace-a-posta/Internet/2013/4/Digi_esko_v.2.0.pdf</w:t>
              </w:r>
            </w:hyperlink>
          </w:p>
          <w:p w14:paraId="4078D132" w14:textId="77777777" w:rsidR="00790A0D" w:rsidRPr="00DD47DF" w:rsidRDefault="00790A0D" w:rsidP="006D2F5F">
            <w:pPr>
              <w:pStyle w:val="Tabulka"/>
              <w:jc w:val="left"/>
              <w:rPr>
                <w:rFonts w:cs="Calibri"/>
              </w:rPr>
            </w:pPr>
          </w:p>
          <w:p w14:paraId="75FE3B69" w14:textId="77777777" w:rsidR="00790A0D" w:rsidRPr="00DD47DF" w:rsidRDefault="00790A0D" w:rsidP="006D2F5F">
            <w:pPr>
              <w:pStyle w:val="Tabulka"/>
              <w:jc w:val="left"/>
              <w:rPr>
                <w:rFonts w:cs="Calibri"/>
              </w:rPr>
            </w:pPr>
          </w:p>
        </w:tc>
        <w:tc>
          <w:tcPr>
            <w:tcW w:w="4394" w:type="dxa"/>
            <w:shd w:val="clear" w:color="auto" w:fill="auto"/>
          </w:tcPr>
          <w:p w14:paraId="353A1997" w14:textId="77777777" w:rsidR="00790A0D" w:rsidRPr="00DD47DF" w:rsidRDefault="00790A0D" w:rsidP="006D2F5F">
            <w:pPr>
              <w:pStyle w:val="Tabulka"/>
              <w:jc w:val="left"/>
              <w:rPr>
                <w:rFonts w:cs="Calibri"/>
              </w:rPr>
            </w:pPr>
            <w:r w:rsidRPr="00DD47DF">
              <w:rPr>
                <w:rFonts w:cs="Calibri"/>
              </w:rPr>
              <w:lastRenderedPageBreak/>
              <w:t>Digitální Česko 2.0 vyhodnocuje z hlediska vysokorychlostního přístupu k internetu jako problematické oblasti zejména malé obce a lokality s nízkou koncentrací obyvatel, tj. oblasti, ve kterých selhávají tržní mechanizmy.</w:t>
            </w:r>
          </w:p>
          <w:p w14:paraId="10F485CF" w14:textId="77777777" w:rsidR="00790A0D" w:rsidRPr="00DD47DF" w:rsidRDefault="00790A0D" w:rsidP="006D2F5F">
            <w:pPr>
              <w:pStyle w:val="Tabulka"/>
              <w:jc w:val="left"/>
              <w:rPr>
                <w:rFonts w:cs="Calibri"/>
              </w:rPr>
            </w:pPr>
            <w:r w:rsidRPr="00DD47DF">
              <w:rPr>
                <w:rFonts w:cs="Calibri"/>
              </w:rPr>
              <w:t xml:space="preserve">Bude zpracován Národní plán rozvoje sítí nové </w:t>
            </w:r>
            <w:r w:rsidRPr="00DD47DF">
              <w:rPr>
                <w:rFonts w:cs="Calibri"/>
              </w:rPr>
              <w:lastRenderedPageBreak/>
              <w:t>generace, který bude založen na zmíněném Digitálním Česku v. 2.0 a na vyhodnocení mapování infrastruktury pro poskytování vysokorychlostního přístupu k internetu v ČR. Byl zpracován akční plán ke splnění podmínky.</w:t>
            </w:r>
          </w:p>
          <w:p w14:paraId="0FBE0269" w14:textId="77777777" w:rsidR="00790A0D" w:rsidRPr="00DD47DF" w:rsidRDefault="00790A0D" w:rsidP="006D2F5F">
            <w:pPr>
              <w:pStyle w:val="Tabulka"/>
              <w:jc w:val="left"/>
              <w:rPr>
                <w:rFonts w:cs="Calibri"/>
              </w:rPr>
            </w:pPr>
            <w:r w:rsidRPr="00DD47DF">
              <w:rPr>
                <w:rFonts w:cs="Calibri"/>
              </w:rPr>
              <w:t>Lze se domnívat, že v podmínkách ČR bude stanoven jako výchozí nejvhodnější investiční model „Private design, build and operate“ (viz Guide to Broadband investments).</w:t>
            </w:r>
          </w:p>
        </w:tc>
      </w:tr>
      <w:tr w:rsidR="00790A0D" w:rsidRPr="00DD47DF" w14:paraId="7324DF76" w14:textId="77777777" w:rsidTr="006D2F5F">
        <w:tc>
          <w:tcPr>
            <w:tcW w:w="1752" w:type="dxa"/>
            <w:vMerge/>
            <w:shd w:val="clear" w:color="auto" w:fill="auto"/>
          </w:tcPr>
          <w:p w14:paraId="4F93BF50" w14:textId="77777777" w:rsidR="00790A0D" w:rsidRPr="00DD47DF" w:rsidRDefault="00790A0D" w:rsidP="006D2F5F">
            <w:pPr>
              <w:pStyle w:val="Tabulka"/>
              <w:jc w:val="left"/>
              <w:rPr>
                <w:rFonts w:cs="Calibri"/>
                <w:b/>
              </w:rPr>
            </w:pPr>
          </w:p>
        </w:tc>
        <w:tc>
          <w:tcPr>
            <w:tcW w:w="1701" w:type="dxa"/>
            <w:vMerge/>
            <w:shd w:val="clear" w:color="auto" w:fill="auto"/>
          </w:tcPr>
          <w:p w14:paraId="721F304F" w14:textId="77777777" w:rsidR="00790A0D" w:rsidRPr="00DD47DF" w:rsidRDefault="00790A0D" w:rsidP="006D2F5F">
            <w:pPr>
              <w:pStyle w:val="Tabulka"/>
              <w:jc w:val="left"/>
              <w:rPr>
                <w:rFonts w:cs="Calibri"/>
              </w:rPr>
            </w:pPr>
          </w:p>
        </w:tc>
        <w:tc>
          <w:tcPr>
            <w:tcW w:w="1276" w:type="dxa"/>
            <w:vMerge/>
            <w:shd w:val="clear" w:color="auto" w:fill="auto"/>
          </w:tcPr>
          <w:p w14:paraId="318D3525" w14:textId="77777777" w:rsidR="00790A0D" w:rsidRPr="00DD47DF" w:rsidRDefault="00790A0D" w:rsidP="006D2F5F">
            <w:pPr>
              <w:pStyle w:val="Tabulka"/>
              <w:jc w:val="left"/>
              <w:rPr>
                <w:rFonts w:cs="Calibri"/>
              </w:rPr>
            </w:pPr>
          </w:p>
        </w:tc>
        <w:tc>
          <w:tcPr>
            <w:tcW w:w="1843" w:type="dxa"/>
            <w:shd w:val="clear" w:color="auto" w:fill="auto"/>
          </w:tcPr>
          <w:p w14:paraId="113C9C65" w14:textId="77777777" w:rsidR="00790A0D" w:rsidRPr="00DD47DF" w:rsidRDefault="00790A0D" w:rsidP="006D2F5F">
            <w:pPr>
              <w:pStyle w:val="Tabulka"/>
              <w:jc w:val="left"/>
              <w:rPr>
                <w:rFonts w:cs="Calibri"/>
              </w:rPr>
            </w:pPr>
            <w:r w:rsidRPr="00DD47DF">
              <w:rPr>
                <w:rFonts w:cs="Calibri"/>
              </w:rPr>
              <w:t>• opatření k podnícení soukromých investic.</w:t>
            </w:r>
          </w:p>
        </w:tc>
        <w:tc>
          <w:tcPr>
            <w:tcW w:w="1134" w:type="dxa"/>
            <w:shd w:val="clear" w:color="auto" w:fill="auto"/>
          </w:tcPr>
          <w:p w14:paraId="5D487AE6"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409FA9D6" w14:textId="77777777" w:rsidR="00790A0D" w:rsidRPr="00DD47DF" w:rsidRDefault="00013622" w:rsidP="006D2F5F">
            <w:pPr>
              <w:pStyle w:val="Tabulka"/>
              <w:jc w:val="left"/>
              <w:rPr>
                <w:rFonts w:cs="Calibri"/>
              </w:rPr>
            </w:pPr>
            <w:hyperlink r:id="rId133" w:history="1">
              <w:r w:rsidR="00790A0D" w:rsidRPr="00DD47DF">
                <w:rPr>
                  <w:rStyle w:val="Hypertextovodkaz"/>
                  <w:rFonts w:cs="Calibri"/>
                </w:rPr>
                <w:t>http://www.mpo.cz/dokument83642.html</w:t>
              </w:r>
            </w:hyperlink>
          </w:p>
          <w:p w14:paraId="4843603E" w14:textId="77777777" w:rsidR="00790A0D" w:rsidRPr="00DD47DF" w:rsidRDefault="00013622" w:rsidP="006D2F5F">
            <w:pPr>
              <w:pStyle w:val="Tabulka"/>
              <w:jc w:val="left"/>
              <w:rPr>
                <w:rFonts w:cs="Calibri"/>
              </w:rPr>
            </w:pPr>
            <w:hyperlink r:id="rId134" w:history="1">
              <w:r w:rsidR="00790A0D" w:rsidRPr="00DD47DF">
                <w:rPr>
                  <w:rStyle w:val="Hypertextovodkaz"/>
                  <w:rFonts w:cs="Calibri"/>
                </w:rPr>
                <w:t>http://www.mpo.cz/assets/cz/e-komunikace-a-posta/Internet/2013/4/Digi_esko_v.2.0.pdf</w:t>
              </w:r>
            </w:hyperlink>
          </w:p>
        </w:tc>
        <w:tc>
          <w:tcPr>
            <w:tcW w:w="4394" w:type="dxa"/>
            <w:shd w:val="clear" w:color="auto" w:fill="auto"/>
          </w:tcPr>
          <w:p w14:paraId="5BCFFAC5" w14:textId="77777777" w:rsidR="00790A0D" w:rsidRPr="00DD47DF" w:rsidRDefault="00790A0D" w:rsidP="006D2F5F">
            <w:pPr>
              <w:pStyle w:val="Tabulka"/>
              <w:jc w:val="left"/>
              <w:rPr>
                <w:rFonts w:cs="Calibri"/>
              </w:rPr>
            </w:pPr>
            <w:r w:rsidRPr="00DD47DF">
              <w:rPr>
                <w:rFonts w:cs="Calibri"/>
              </w:rPr>
              <w:t>Opatření jsou obsažena ve vládou schváleném dokumentu "Státní politika v elektronických komunikacích - Digitální Česko".</w:t>
            </w:r>
            <w:r w:rsidRPr="00DD47DF">
              <w:rPr>
                <w:rFonts w:cs="Calibri"/>
              </w:rPr>
              <w:br/>
              <w:t xml:space="preserve">Aktualizovaná Státní politika Digitální Česko 2.0 obsahuje některé nástroje a kroky pro ulehčení soukromých investic do infrastruktury. </w:t>
            </w:r>
          </w:p>
          <w:p w14:paraId="54D44602" w14:textId="77777777" w:rsidR="00790A0D" w:rsidRPr="00DD47DF" w:rsidRDefault="00790A0D" w:rsidP="006D2F5F">
            <w:pPr>
              <w:pStyle w:val="Tabulka"/>
              <w:jc w:val="left"/>
              <w:rPr>
                <w:rFonts w:cs="Calibri"/>
              </w:rPr>
            </w:pPr>
            <w:r w:rsidRPr="00DD47DF">
              <w:rPr>
                <w:rFonts w:cs="Calibri"/>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14:paraId="6E8EB0E3" w14:textId="77777777" w:rsidR="00790A0D" w:rsidRPr="00DD47DF" w:rsidRDefault="00790A0D" w:rsidP="006D2F5F">
            <w:pPr>
              <w:pStyle w:val="Tabulka"/>
              <w:jc w:val="left"/>
              <w:rPr>
                <w:rFonts w:cs="Calibri"/>
              </w:rPr>
            </w:pPr>
            <w:r w:rsidRPr="00DD47DF">
              <w:rPr>
                <w:rFonts w:cs="Calibri"/>
              </w:rPr>
              <w:t>Klíčovým aspektem v této oblasti je dokončení legislativního procesu na evropské úrovni směrnice 2014/61/EU o opatřeních ke snížení nákladů na budování vysokorychlostních sítí elektronických komunikací. V současnosti probíhá příprava transpozice této směrnice do českého právního řádu. Lze se domnívat, že implementace této směrnice překoná některá navržená opatření v Digitálním Česku 1 a 2.</w:t>
            </w:r>
          </w:p>
        </w:tc>
      </w:tr>
      <w:tr w:rsidR="00790A0D" w:rsidRPr="00DD47DF" w14:paraId="5FF2C61F" w14:textId="77777777" w:rsidTr="006D2F5F">
        <w:tc>
          <w:tcPr>
            <w:tcW w:w="1752" w:type="dxa"/>
            <w:vMerge w:val="restart"/>
            <w:shd w:val="clear" w:color="auto" w:fill="auto"/>
          </w:tcPr>
          <w:p w14:paraId="689D9A64" w14:textId="77777777" w:rsidR="00790A0D" w:rsidRPr="00DD47DF" w:rsidRDefault="00790A0D" w:rsidP="006D2F5F">
            <w:pPr>
              <w:pStyle w:val="Tabulka"/>
              <w:jc w:val="left"/>
              <w:rPr>
                <w:rFonts w:cs="Calibri"/>
                <w:b/>
              </w:rPr>
            </w:pPr>
            <w:r w:rsidRPr="00DD47DF">
              <w:rPr>
                <w:rFonts w:cs="Calibri"/>
                <w:b/>
              </w:rPr>
              <w:t xml:space="preserve">3.1. Byla </w:t>
            </w:r>
            <w:r w:rsidRPr="00DD47DF">
              <w:rPr>
                <w:rFonts w:cs="Calibri"/>
                <w:b/>
              </w:rPr>
              <w:lastRenderedPageBreak/>
              <w:t>provedena zvláštní opatření, o něž se opírá podpora podnikání, zohledňující „Small Business Act“ (SBA).</w:t>
            </w:r>
          </w:p>
        </w:tc>
        <w:tc>
          <w:tcPr>
            <w:tcW w:w="1701" w:type="dxa"/>
            <w:vMerge w:val="restart"/>
            <w:shd w:val="clear" w:color="auto" w:fill="auto"/>
          </w:tcPr>
          <w:p w14:paraId="0138D728" w14:textId="77777777" w:rsidR="00790A0D" w:rsidRPr="00DD47DF" w:rsidRDefault="00790A0D" w:rsidP="006D2F5F">
            <w:pPr>
              <w:pStyle w:val="Tabulka"/>
              <w:jc w:val="left"/>
              <w:rPr>
                <w:rFonts w:cs="Calibri"/>
              </w:rPr>
            </w:pPr>
            <w:r w:rsidRPr="00DD47DF">
              <w:rPr>
                <w:rFonts w:cs="Calibri"/>
              </w:rPr>
              <w:lastRenderedPageBreak/>
              <w:t xml:space="preserve">PO 2 - Rozvoj </w:t>
            </w:r>
            <w:r w:rsidRPr="00DD47DF">
              <w:rPr>
                <w:rFonts w:cs="Calibri"/>
              </w:rPr>
              <w:lastRenderedPageBreak/>
              <w:t>podnikání a konkurenceschopnosti malých a středních podniků</w:t>
            </w:r>
          </w:p>
        </w:tc>
        <w:tc>
          <w:tcPr>
            <w:tcW w:w="1276" w:type="dxa"/>
            <w:vMerge w:val="restart"/>
            <w:shd w:val="clear" w:color="auto" w:fill="auto"/>
          </w:tcPr>
          <w:p w14:paraId="7CA2D16D" w14:textId="77777777" w:rsidR="00790A0D" w:rsidRPr="00DD47DF" w:rsidRDefault="00790A0D" w:rsidP="006D2F5F">
            <w:pPr>
              <w:pStyle w:val="Tabulka"/>
              <w:jc w:val="left"/>
              <w:rPr>
                <w:rFonts w:cs="Calibri"/>
              </w:rPr>
            </w:pPr>
            <w:r w:rsidRPr="00DD47DF">
              <w:rPr>
                <w:rFonts w:cs="Calibri"/>
              </w:rPr>
              <w:lastRenderedPageBreak/>
              <w:t>Částečně</w:t>
            </w:r>
          </w:p>
          <w:p w14:paraId="0D492FC6" w14:textId="77777777" w:rsidR="00790A0D" w:rsidRPr="00DD47DF" w:rsidRDefault="00790A0D" w:rsidP="006D2F5F">
            <w:pPr>
              <w:pStyle w:val="Tabulka"/>
              <w:jc w:val="left"/>
              <w:rPr>
                <w:rFonts w:cs="Calibri"/>
              </w:rPr>
            </w:pPr>
          </w:p>
          <w:p w14:paraId="4BBA709B" w14:textId="77777777" w:rsidR="00790A0D" w:rsidRPr="00DD47DF" w:rsidRDefault="00790A0D" w:rsidP="006D2F5F">
            <w:pPr>
              <w:pStyle w:val="Tabulka"/>
              <w:jc w:val="left"/>
              <w:rPr>
                <w:rFonts w:cs="Calibri"/>
              </w:rPr>
            </w:pPr>
          </w:p>
        </w:tc>
        <w:tc>
          <w:tcPr>
            <w:tcW w:w="1843" w:type="dxa"/>
            <w:shd w:val="clear" w:color="auto" w:fill="auto"/>
          </w:tcPr>
          <w:p w14:paraId="4A7ED48E" w14:textId="77777777" w:rsidR="00790A0D" w:rsidRPr="00DD47DF" w:rsidRDefault="00790A0D" w:rsidP="006D2F5F">
            <w:pPr>
              <w:pStyle w:val="Tabulka"/>
              <w:jc w:val="left"/>
              <w:rPr>
                <w:rFonts w:cs="Calibri"/>
              </w:rPr>
            </w:pPr>
            <w:r w:rsidRPr="00DD47DF">
              <w:rPr>
                <w:rFonts w:cs="Calibri"/>
              </w:rPr>
              <w:lastRenderedPageBreak/>
              <w:t xml:space="preserve">Zvláštními </w:t>
            </w:r>
            <w:r w:rsidRPr="00DD47DF">
              <w:rPr>
                <w:rFonts w:cs="Calibri"/>
              </w:rPr>
              <w:lastRenderedPageBreak/>
              <w:t>opatřeními jsou:</w:t>
            </w:r>
          </w:p>
        </w:tc>
        <w:tc>
          <w:tcPr>
            <w:tcW w:w="1134" w:type="dxa"/>
            <w:shd w:val="clear" w:color="auto" w:fill="auto"/>
          </w:tcPr>
          <w:p w14:paraId="7EAD3B27"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56C332C4" w14:textId="77777777" w:rsidR="00790A0D" w:rsidRPr="00DD47DF" w:rsidRDefault="00790A0D" w:rsidP="006D2F5F">
            <w:pPr>
              <w:pStyle w:val="Tabulka"/>
              <w:jc w:val="left"/>
              <w:rPr>
                <w:rFonts w:cs="Calibri"/>
              </w:rPr>
            </w:pPr>
          </w:p>
        </w:tc>
        <w:tc>
          <w:tcPr>
            <w:tcW w:w="4394" w:type="dxa"/>
            <w:shd w:val="clear" w:color="auto" w:fill="auto"/>
          </w:tcPr>
          <w:p w14:paraId="197F5CC0" w14:textId="77777777" w:rsidR="00790A0D" w:rsidRPr="00DD47DF" w:rsidRDefault="00790A0D" w:rsidP="006D2F5F">
            <w:pPr>
              <w:pStyle w:val="Tabulka"/>
              <w:jc w:val="left"/>
              <w:rPr>
                <w:rFonts w:cs="Calibri"/>
              </w:rPr>
            </w:pPr>
            <w:r w:rsidRPr="00DD47DF">
              <w:rPr>
                <w:rFonts w:cs="Calibri"/>
              </w:rPr>
              <w:t xml:space="preserve">Vládou byla schválena Strategie mezinárodní </w:t>
            </w:r>
            <w:r w:rsidRPr="00DD47DF">
              <w:rPr>
                <w:rFonts w:cs="Calibri"/>
              </w:rPr>
              <w:lastRenderedPageBreak/>
              <w:t>konkurenceschopnosti (SMK) v r. 2011.</w:t>
            </w:r>
          </w:p>
          <w:p w14:paraId="4615F988" w14:textId="77777777" w:rsidR="00790A0D" w:rsidRPr="00DD47DF" w:rsidRDefault="00013622" w:rsidP="006D2F5F">
            <w:pPr>
              <w:pStyle w:val="Tabulka"/>
              <w:jc w:val="left"/>
              <w:rPr>
                <w:rFonts w:cs="Calibri"/>
              </w:rPr>
            </w:pPr>
            <w:hyperlink r:id="rId135" w:history="1">
              <w:r w:rsidR="00790A0D" w:rsidRPr="00DD47DF">
                <w:rPr>
                  <w:rStyle w:val="Hypertextovodkaz"/>
                  <w:rFonts w:cs="Calibri"/>
                </w:rPr>
                <w:t>http://www.vlada.cz/assets/media-centrum/aktualne/Strategie-mezinarodni-konkurenceschopnosti-Ceske-republiky.pdf</w:t>
              </w:r>
            </w:hyperlink>
          </w:p>
          <w:p w14:paraId="5412B0B2" w14:textId="77777777" w:rsidR="00790A0D" w:rsidRPr="00DD47DF" w:rsidRDefault="00790A0D" w:rsidP="006D2F5F">
            <w:pPr>
              <w:pStyle w:val="Tabulka"/>
              <w:jc w:val="left"/>
              <w:rPr>
                <w:rFonts w:cs="Calibri"/>
              </w:rPr>
            </w:pPr>
            <w:r w:rsidRPr="00DD47DF">
              <w:rPr>
                <w:rFonts w:cs="Calibri"/>
              </w:rPr>
              <w:t xml:space="preserve">SMK implementaci opatření vedoucích k naplnění Small Business Act uvádí v projektovém záměru 36. </w:t>
            </w:r>
          </w:p>
          <w:p w14:paraId="6C1171C8" w14:textId="77777777" w:rsidR="00790A0D" w:rsidRPr="00DD47DF" w:rsidRDefault="00790A0D" w:rsidP="006D2F5F">
            <w:pPr>
              <w:pStyle w:val="Tabulka"/>
              <w:jc w:val="left"/>
              <w:rPr>
                <w:rFonts w:cs="Calibri"/>
              </w:rPr>
            </w:pPr>
            <w:r w:rsidRPr="00DD47DF">
              <w:rPr>
                <w:rFonts w:cs="Calibri"/>
              </w:rPr>
              <w:t>Opatření jsou též součástí Národního programu reforem (2014), kap. 4.2 (NPR neřeší přímo otázku implementace SBA).</w:t>
            </w:r>
          </w:p>
          <w:p w14:paraId="7446ECAE" w14:textId="77777777" w:rsidR="00790A0D" w:rsidRPr="00DD47DF" w:rsidRDefault="00013622" w:rsidP="006D2F5F">
            <w:pPr>
              <w:pStyle w:val="Tabulka"/>
              <w:jc w:val="left"/>
              <w:rPr>
                <w:rFonts w:cs="Calibri"/>
              </w:rPr>
            </w:pPr>
            <w:hyperlink r:id="rId136" w:history="1">
              <w:r w:rsidR="00790A0D" w:rsidRPr="00DD47DF">
                <w:rPr>
                  <w:rStyle w:val="Hypertextovodkaz"/>
                  <w:rFonts w:cs="Calibri"/>
                </w:rPr>
                <w:t>http://www.vlada.cz/assets/evropske-zalezitosti/aktualne/NPR-2014.pdf</w:t>
              </w:r>
            </w:hyperlink>
          </w:p>
        </w:tc>
      </w:tr>
      <w:tr w:rsidR="00790A0D" w:rsidRPr="00DD47DF" w14:paraId="3BE6B4C2" w14:textId="77777777" w:rsidTr="006D2F5F">
        <w:tc>
          <w:tcPr>
            <w:tcW w:w="1752" w:type="dxa"/>
            <w:vMerge/>
            <w:shd w:val="clear" w:color="auto" w:fill="auto"/>
          </w:tcPr>
          <w:p w14:paraId="7FA7774A" w14:textId="77777777" w:rsidR="00790A0D" w:rsidRPr="00DD47DF" w:rsidRDefault="00790A0D" w:rsidP="006D2F5F">
            <w:pPr>
              <w:pStyle w:val="Tabulka"/>
              <w:jc w:val="left"/>
              <w:rPr>
                <w:rFonts w:cs="Calibri"/>
                <w:b/>
              </w:rPr>
            </w:pPr>
          </w:p>
        </w:tc>
        <w:tc>
          <w:tcPr>
            <w:tcW w:w="1701" w:type="dxa"/>
            <w:vMerge/>
            <w:shd w:val="clear" w:color="auto" w:fill="auto"/>
          </w:tcPr>
          <w:p w14:paraId="56983E87" w14:textId="77777777" w:rsidR="00790A0D" w:rsidRPr="00DD47DF" w:rsidRDefault="00790A0D" w:rsidP="006D2F5F">
            <w:pPr>
              <w:pStyle w:val="Tabulka"/>
              <w:jc w:val="left"/>
              <w:rPr>
                <w:rFonts w:cs="Calibri"/>
              </w:rPr>
            </w:pPr>
          </w:p>
        </w:tc>
        <w:tc>
          <w:tcPr>
            <w:tcW w:w="1276" w:type="dxa"/>
            <w:vMerge/>
            <w:shd w:val="clear" w:color="auto" w:fill="auto"/>
          </w:tcPr>
          <w:p w14:paraId="29A3A992" w14:textId="77777777" w:rsidR="00790A0D" w:rsidRPr="00DD47DF" w:rsidRDefault="00790A0D" w:rsidP="006D2F5F">
            <w:pPr>
              <w:pStyle w:val="Tabulka"/>
              <w:jc w:val="left"/>
              <w:rPr>
                <w:rFonts w:cs="Calibri"/>
              </w:rPr>
            </w:pPr>
          </w:p>
        </w:tc>
        <w:tc>
          <w:tcPr>
            <w:tcW w:w="1843" w:type="dxa"/>
            <w:shd w:val="clear" w:color="auto" w:fill="auto"/>
          </w:tcPr>
          <w:p w14:paraId="06AD086E" w14:textId="77777777" w:rsidR="00790A0D" w:rsidRPr="00DD47DF" w:rsidRDefault="00790A0D" w:rsidP="006D2F5F">
            <w:pPr>
              <w:pStyle w:val="Tabulka"/>
              <w:jc w:val="left"/>
              <w:rPr>
                <w:rFonts w:cs="Calibri"/>
              </w:rPr>
            </w:pPr>
            <w:r w:rsidRPr="00DD47DF">
              <w:rPr>
                <w:rFonts w:cs="Calibri"/>
              </w:rPr>
              <w:t>• opatření zavedená s cílem zkrátit dobu potřebnou k založení firmy a snížit příslušné náklady, která zohledňují cíle SBA;</w:t>
            </w:r>
          </w:p>
        </w:tc>
        <w:tc>
          <w:tcPr>
            <w:tcW w:w="1134" w:type="dxa"/>
            <w:shd w:val="clear" w:color="auto" w:fill="auto"/>
          </w:tcPr>
          <w:p w14:paraId="372914E4" w14:textId="77777777" w:rsidR="00790A0D" w:rsidRPr="00DD47DF" w:rsidRDefault="008B1FD2" w:rsidP="006D2F5F">
            <w:pPr>
              <w:pStyle w:val="Tabulka"/>
              <w:jc w:val="left"/>
              <w:rPr>
                <w:rFonts w:cs="Calibri"/>
              </w:rPr>
            </w:pPr>
            <w:r w:rsidRPr="00DD47DF">
              <w:rPr>
                <w:rFonts w:cs="Calibri"/>
              </w:rPr>
              <w:t>ne</w:t>
            </w:r>
          </w:p>
          <w:p w14:paraId="3E1339C2" w14:textId="77777777" w:rsidR="00790A0D" w:rsidRPr="00DD47DF" w:rsidRDefault="00790A0D" w:rsidP="006D2F5F">
            <w:pPr>
              <w:pStyle w:val="Tabulka"/>
              <w:jc w:val="left"/>
              <w:rPr>
                <w:rFonts w:cs="Calibri"/>
              </w:rPr>
            </w:pPr>
          </w:p>
        </w:tc>
        <w:tc>
          <w:tcPr>
            <w:tcW w:w="2126" w:type="dxa"/>
            <w:shd w:val="clear" w:color="auto" w:fill="auto"/>
          </w:tcPr>
          <w:p w14:paraId="029B9388" w14:textId="77777777" w:rsidR="00790A0D" w:rsidRPr="00DD47DF" w:rsidRDefault="00790A0D" w:rsidP="006D2F5F">
            <w:pPr>
              <w:pStyle w:val="Tabulka"/>
              <w:jc w:val="left"/>
              <w:rPr>
                <w:rFonts w:cs="Calibri"/>
              </w:rPr>
            </w:pPr>
            <w:r w:rsidRPr="00DD47DF">
              <w:rPr>
                <w:rFonts w:cs="Calibri"/>
              </w:rPr>
              <w:t>Živnostenský zákon:</w:t>
            </w:r>
          </w:p>
          <w:p w14:paraId="257789E5" w14:textId="77777777" w:rsidR="00790A0D" w:rsidRPr="00DD47DF" w:rsidRDefault="00013622" w:rsidP="006D2F5F">
            <w:pPr>
              <w:pStyle w:val="Tabulka"/>
              <w:jc w:val="left"/>
              <w:rPr>
                <w:rFonts w:cs="Calibri"/>
              </w:rPr>
            </w:pPr>
            <w:hyperlink r:id="rId137" w:history="1">
              <w:r w:rsidR="00790A0D" w:rsidRPr="00DD47DF">
                <w:rPr>
                  <w:rStyle w:val="Hypertextovodkaz"/>
                  <w:rFonts w:cs="Calibri"/>
                </w:rPr>
                <w:t>http://www.mpo.cz/dokument144140.html</w:t>
              </w:r>
            </w:hyperlink>
          </w:p>
          <w:p w14:paraId="75F1E697" w14:textId="77777777" w:rsidR="00790A0D" w:rsidRPr="00DD47DF" w:rsidRDefault="00790A0D" w:rsidP="006D2F5F">
            <w:pPr>
              <w:pStyle w:val="Tabulka"/>
              <w:jc w:val="left"/>
              <w:rPr>
                <w:rFonts w:cs="Calibri"/>
              </w:rPr>
            </w:pPr>
            <w:r w:rsidRPr="00DD47DF">
              <w:rPr>
                <w:rFonts w:cs="Calibri"/>
              </w:rPr>
              <w:t>Zákon č.304/2013 Sb., o veřejných rejstřících právnických a fyzických osob platný od 30.9.2013, účinný od 1.1.2014.</w:t>
            </w:r>
          </w:p>
          <w:p w14:paraId="5C281BE0" w14:textId="77777777" w:rsidR="00790A0D" w:rsidRPr="00DD47DF" w:rsidRDefault="00013622" w:rsidP="006D2F5F">
            <w:pPr>
              <w:pStyle w:val="Tabulka"/>
              <w:jc w:val="left"/>
              <w:rPr>
                <w:rFonts w:cs="Calibri"/>
              </w:rPr>
            </w:pPr>
            <w:hyperlink r:id="rId138" w:history="1">
              <w:r w:rsidR="00790A0D" w:rsidRPr="00DD47DF">
                <w:rPr>
                  <w:rStyle w:val="Hypertextovodkaz"/>
                  <w:rFonts w:cs="Calibri"/>
                </w:rPr>
                <w:t>http://www.sbirka.cz/POSL4TYD/NOVE/13-304.htm</w:t>
              </w:r>
            </w:hyperlink>
            <w:r w:rsidR="00790A0D" w:rsidRPr="00DD47DF">
              <w:rPr>
                <w:rFonts w:cs="Calibri"/>
              </w:rPr>
              <w:t>)</w:t>
            </w:r>
          </w:p>
        </w:tc>
        <w:tc>
          <w:tcPr>
            <w:tcW w:w="4394" w:type="dxa"/>
            <w:shd w:val="clear" w:color="auto" w:fill="auto"/>
          </w:tcPr>
          <w:p w14:paraId="09C2454F" w14:textId="77777777" w:rsidR="00790A0D" w:rsidRPr="00DD47DF" w:rsidRDefault="00790A0D" w:rsidP="006D2F5F">
            <w:pPr>
              <w:pStyle w:val="Tabulka"/>
              <w:jc w:val="left"/>
              <w:rPr>
                <w:rFonts w:cs="Calibri"/>
              </w:rPr>
            </w:pPr>
            <w:r w:rsidRPr="00DD47DF">
              <w:rPr>
                <w:rFonts w:cs="Calibri"/>
              </w:rPr>
              <w:t xml:space="preserve">Pro oblast živnostenského podnikání (gesce MPO) zákonem č. 130/2008 Sb. došlo ke snížení nákladů na vstup do živnostenského podnikání a zkrátila se doba pro vydání dokladu o vzniku práva podnikat (z 15 na 5 pracovních dní). Oprávnění lze získat při splnění podmínek dle zákona i ve velmi krátké době (několik desítek minut, resp. na počkání). Vstupní náklady činí 1000 Kč. </w:t>
            </w:r>
          </w:p>
          <w:p w14:paraId="7CE98E82" w14:textId="77777777" w:rsidR="00790A0D" w:rsidRPr="00DD47DF" w:rsidRDefault="00790A0D" w:rsidP="006D2F5F">
            <w:pPr>
              <w:pStyle w:val="Tabulka"/>
              <w:jc w:val="left"/>
              <w:rPr>
                <w:rFonts w:cs="Calibri"/>
              </w:rPr>
            </w:pPr>
            <w:r w:rsidRPr="00DD47DF">
              <w:rPr>
                <w:rFonts w:cs="Calibri"/>
              </w:rPr>
              <w:t>Zákon č. 304/2013 Sb., stanovuje povinnost soudu zapsat společnost do 5 pracovních dní. Současně umožňuje, aby zápis provedl notář. Bude-li mít k dispozici všechny dokumenty, zápis provede během 1 dne.</w:t>
            </w:r>
          </w:p>
          <w:p w14:paraId="270D14E1" w14:textId="77777777" w:rsidR="00790A0D" w:rsidRPr="00DD47DF" w:rsidRDefault="00790A0D" w:rsidP="004229B0">
            <w:pPr>
              <w:pStyle w:val="Tabulka"/>
              <w:jc w:val="left"/>
              <w:rPr>
                <w:rFonts w:cs="Calibri"/>
              </w:rPr>
            </w:pPr>
            <w:r w:rsidRPr="00DD47DF">
              <w:rPr>
                <w:rFonts w:cs="Calibri"/>
              </w:rPr>
              <w:t>M</w:t>
            </w:r>
            <w:r w:rsidR="00AA6B7B" w:rsidRPr="00DD47DF">
              <w:rPr>
                <w:rFonts w:cs="Calibri"/>
              </w:rPr>
              <w:t>Sp</w:t>
            </w:r>
            <w:r w:rsidRPr="00DD47DF">
              <w:rPr>
                <w:rFonts w:cs="Calibri"/>
              </w:rPr>
              <w:t xml:space="preserve"> připravuje v souladu se zpracovaným akčním plánem legislativní řešení, které </w:t>
            </w:r>
            <w:r w:rsidR="005D3071" w:rsidRPr="00DD47DF">
              <w:rPr>
                <w:rFonts w:cs="Calibri"/>
              </w:rPr>
              <w:t xml:space="preserve">při splnění podmínek umožní založení s.r.o. za nižší náklady, které budou tvořeny pouze odměnou notáře. </w:t>
            </w:r>
            <w:r w:rsidR="00AA6B7B" w:rsidRPr="00DD47DF">
              <w:rPr>
                <w:rFonts w:cs="Calibri"/>
              </w:rPr>
              <w:t xml:space="preserve">Návrh zákona </w:t>
            </w:r>
            <w:r w:rsidR="004229B0" w:rsidRPr="00DD47DF">
              <w:rPr>
                <w:rFonts w:cs="Calibri"/>
              </w:rPr>
              <w:t xml:space="preserve">byl </w:t>
            </w:r>
            <w:r w:rsidR="00AA6B7B" w:rsidRPr="00DD47DF">
              <w:rPr>
                <w:rFonts w:cs="Calibri"/>
              </w:rPr>
              <w:t xml:space="preserve">vládě </w:t>
            </w:r>
            <w:r w:rsidR="00AA6B7B" w:rsidRPr="00DD47DF">
              <w:rPr>
                <w:rFonts w:cs="Calibri"/>
              </w:rPr>
              <w:lastRenderedPageBreak/>
              <w:t>předložen v prosinci 2014, účinnost se předpokládá v 2. polovině r. 2015.</w:t>
            </w:r>
            <w:r w:rsidRPr="00DD47DF">
              <w:rPr>
                <w:rFonts w:cs="Calibri"/>
              </w:rPr>
              <w:t>Viz Příloha č.II</w:t>
            </w:r>
            <w:r w:rsidR="00FD5951" w:rsidRPr="00DD47DF">
              <w:rPr>
                <w:rFonts w:cs="Calibri"/>
              </w:rPr>
              <w:t xml:space="preserve"> a Akční plán v gesci MSp</w:t>
            </w:r>
            <w:r w:rsidRPr="00DD47DF">
              <w:rPr>
                <w:rFonts w:cs="Calibri"/>
              </w:rPr>
              <w:t>.</w:t>
            </w:r>
          </w:p>
        </w:tc>
      </w:tr>
      <w:tr w:rsidR="00790A0D" w:rsidRPr="00DD47DF" w14:paraId="151217DA" w14:textId="77777777" w:rsidTr="006D2F5F">
        <w:tc>
          <w:tcPr>
            <w:tcW w:w="1752" w:type="dxa"/>
            <w:vMerge/>
            <w:shd w:val="clear" w:color="auto" w:fill="auto"/>
          </w:tcPr>
          <w:p w14:paraId="1CB15916" w14:textId="77777777" w:rsidR="00790A0D" w:rsidRPr="00DD47DF" w:rsidRDefault="00790A0D" w:rsidP="006D2F5F">
            <w:pPr>
              <w:pStyle w:val="Tabulka"/>
              <w:jc w:val="left"/>
              <w:rPr>
                <w:rFonts w:cs="Calibri"/>
                <w:b/>
              </w:rPr>
            </w:pPr>
          </w:p>
        </w:tc>
        <w:tc>
          <w:tcPr>
            <w:tcW w:w="1701" w:type="dxa"/>
            <w:vMerge/>
            <w:shd w:val="clear" w:color="auto" w:fill="auto"/>
          </w:tcPr>
          <w:p w14:paraId="5AB355F7" w14:textId="77777777" w:rsidR="00790A0D" w:rsidRPr="00DD47DF" w:rsidRDefault="00790A0D" w:rsidP="006D2F5F">
            <w:pPr>
              <w:pStyle w:val="Tabulka"/>
              <w:jc w:val="left"/>
              <w:rPr>
                <w:rFonts w:cs="Calibri"/>
              </w:rPr>
            </w:pPr>
          </w:p>
        </w:tc>
        <w:tc>
          <w:tcPr>
            <w:tcW w:w="1276" w:type="dxa"/>
            <w:vMerge/>
            <w:shd w:val="clear" w:color="auto" w:fill="auto"/>
          </w:tcPr>
          <w:p w14:paraId="2CF5CEAE" w14:textId="77777777" w:rsidR="00790A0D" w:rsidRPr="00DD47DF" w:rsidRDefault="00790A0D" w:rsidP="006D2F5F">
            <w:pPr>
              <w:pStyle w:val="Tabulka"/>
              <w:jc w:val="left"/>
              <w:rPr>
                <w:rFonts w:cs="Calibri"/>
              </w:rPr>
            </w:pPr>
          </w:p>
        </w:tc>
        <w:tc>
          <w:tcPr>
            <w:tcW w:w="1843" w:type="dxa"/>
            <w:shd w:val="clear" w:color="auto" w:fill="auto"/>
          </w:tcPr>
          <w:p w14:paraId="6D06BCE7" w14:textId="77777777" w:rsidR="00790A0D" w:rsidRPr="00DD47DF" w:rsidRDefault="00790A0D" w:rsidP="006D2F5F">
            <w:pPr>
              <w:pStyle w:val="Tabulka"/>
              <w:jc w:val="left"/>
              <w:rPr>
                <w:rFonts w:cs="Calibri"/>
              </w:rPr>
            </w:pPr>
            <w:r w:rsidRPr="00DD47DF">
              <w:rPr>
                <w:rFonts w:cs="Calibri"/>
              </w:rPr>
              <w:t>• opatření zavedená s cílem zkrátit dobu potřebnou k získání licencí a povolení k zahájení a provádění konkrétní činnosti podniku, která zohledňují cíle SBA;</w:t>
            </w:r>
          </w:p>
        </w:tc>
        <w:tc>
          <w:tcPr>
            <w:tcW w:w="1134" w:type="dxa"/>
            <w:shd w:val="clear" w:color="auto" w:fill="auto"/>
          </w:tcPr>
          <w:p w14:paraId="3689E600"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349600B" w14:textId="77777777" w:rsidR="00790A0D" w:rsidRPr="00DD47DF" w:rsidRDefault="00790A0D" w:rsidP="006D2F5F">
            <w:pPr>
              <w:pStyle w:val="Tabulka"/>
              <w:jc w:val="left"/>
              <w:rPr>
                <w:rFonts w:cs="Calibri"/>
              </w:rPr>
            </w:pPr>
            <w:r w:rsidRPr="00DD47DF">
              <w:rPr>
                <w:rFonts w:cs="Calibri"/>
              </w:rPr>
              <w:t>Živnostenský zákon:</w:t>
            </w:r>
          </w:p>
          <w:p w14:paraId="10F6823B" w14:textId="77777777" w:rsidR="00790A0D" w:rsidRPr="00DD47DF" w:rsidRDefault="00013622" w:rsidP="006D2F5F">
            <w:pPr>
              <w:pStyle w:val="Tabulka"/>
              <w:jc w:val="left"/>
              <w:rPr>
                <w:rFonts w:cs="Calibri"/>
              </w:rPr>
            </w:pPr>
            <w:hyperlink r:id="rId139" w:history="1">
              <w:r w:rsidR="00790A0D" w:rsidRPr="00DD47DF">
                <w:rPr>
                  <w:rStyle w:val="Hypertextovodkaz"/>
                  <w:rFonts w:cs="Calibri"/>
                </w:rPr>
                <w:t>http://www.mpo.cz/dokument144140.html</w:t>
              </w:r>
            </w:hyperlink>
          </w:p>
        </w:tc>
        <w:tc>
          <w:tcPr>
            <w:tcW w:w="4394" w:type="dxa"/>
            <w:shd w:val="clear" w:color="auto" w:fill="auto"/>
          </w:tcPr>
          <w:p w14:paraId="5BEECB0D" w14:textId="77777777" w:rsidR="00790A0D" w:rsidRPr="00DD47DF" w:rsidRDefault="00790A0D" w:rsidP="006D2F5F">
            <w:pPr>
              <w:pStyle w:val="Tabulka"/>
              <w:jc w:val="left"/>
              <w:rPr>
                <w:rFonts w:cs="Calibri"/>
              </w:rPr>
            </w:pPr>
            <w:r w:rsidRPr="00DD47DF">
              <w:rPr>
                <w:rFonts w:cs="Calibri"/>
              </w:rPr>
              <w:t>V oblasti živnostenského podnikání (gesce MPO) při splnění podmínek zákona může podnikatel od okamžiku ohlášení živnosti již podnikat. Pouze u koncesovaných živností je doba pro vznik oprávnění podnikat delší (cca 1 měsíc od podání žádosti). Zákonem č. 130/2008 Sb. došlo ke snížení nákladů na vstup do živnostenského podnikání a zkrátila se doba pro vydání dokladu o vzniku práva podnikat (z 15 dní na 5 pracovních dní).</w:t>
            </w:r>
          </w:p>
          <w:p w14:paraId="72F0A5B5" w14:textId="77777777" w:rsidR="00790A0D" w:rsidRPr="00DD47DF" w:rsidRDefault="00790A0D" w:rsidP="006D2F5F">
            <w:pPr>
              <w:pStyle w:val="Tabulka"/>
              <w:jc w:val="left"/>
              <w:rPr>
                <w:rFonts w:cs="Calibri"/>
              </w:rPr>
            </w:pPr>
            <w:r w:rsidRPr="00DD47DF">
              <w:rPr>
                <w:rFonts w:cs="Calibri"/>
              </w:rPr>
              <w:t>Podrobněji – viz Příloha č. II.</w:t>
            </w:r>
          </w:p>
        </w:tc>
      </w:tr>
      <w:tr w:rsidR="00790A0D" w:rsidRPr="00DD47DF" w14:paraId="5AA75410" w14:textId="77777777" w:rsidTr="006D2F5F">
        <w:tc>
          <w:tcPr>
            <w:tcW w:w="1752" w:type="dxa"/>
            <w:vMerge/>
            <w:shd w:val="clear" w:color="auto" w:fill="auto"/>
          </w:tcPr>
          <w:p w14:paraId="7229CCDA" w14:textId="77777777" w:rsidR="00790A0D" w:rsidRPr="00DD47DF" w:rsidRDefault="00790A0D" w:rsidP="006D2F5F">
            <w:pPr>
              <w:pStyle w:val="Tabulka"/>
              <w:jc w:val="left"/>
              <w:rPr>
                <w:rFonts w:cs="Calibri"/>
                <w:b/>
              </w:rPr>
            </w:pPr>
          </w:p>
        </w:tc>
        <w:tc>
          <w:tcPr>
            <w:tcW w:w="1701" w:type="dxa"/>
            <w:vMerge/>
            <w:shd w:val="clear" w:color="auto" w:fill="auto"/>
          </w:tcPr>
          <w:p w14:paraId="48A4AC0C" w14:textId="77777777" w:rsidR="00790A0D" w:rsidRPr="00DD47DF" w:rsidRDefault="00790A0D" w:rsidP="006D2F5F">
            <w:pPr>
              <w:pStyle w:val="Tabulka"/>
              <w:jc w:val="left"/>
              <w:rPr>
                <w:rFonts w:cs="Calibri"/>
              </w:rPr>
            </w:pPr>
          </w:p>
        </w:tc>
        <w:tc>
          <w:tcPr>
            <w:tcW w:w="1276" w:type="dxa"/>
            <w:vMerge/>
            <w:shd w:val="clear" w:color="auto" w:fill="auto"/>
          </w:tcPr>
          <w:p w14:paraId="70693514" w14:textId="77777777" w:rsidR="00790A0D" w:rsidRPr="00DD47DF" w:rsidRDefault="00790A0D" w:rsidP="006D2F5F">
            <w:pPr>
              <w:pStyle w:val="Tabulka"/>
              <w:jc w:val="left"/>
              <w:rPr>
                <w:rFonts w:cs="Calibri"/>
              </w:rPr>
            </w:pPr>
          </w:p>
        </w:tc>
        <w:tc>
          <w:tcPr>
            <w:tcW w:w="1843" w:type="dxa"/>
            <w:shd w:val="clear" w:color="auto" w:fill="auto"/>
          </w:tcPr>
          <w:p w14:paraId="0F262F9D" w14:textId="77777777" w:rsidR="00790A0D" w:rsidRPr="00DD47DF" w:rsidRDefault="00790A0D" w:rsidP="006D2F5F">
            <w:pPr>
              <w:pStyle w:val="Tabulka"/>
              <w:jc w:val="left"/>
              <w:rPr>
                <w:rFonts w:cs="Calibri"/>
              </w:rPr>
            </w:pPr>
            <w:r w:rsidRPr="00DD47DF">
              <w:rPr>
                <w:rFonts w:cs="Calibri"/>
              </w:rPr>
              <w:t>• mechanismus zavedený s cílem monitorovat provádění kroků spjatých s SBA, které byly podniknuty a posuzovat dopady právních předpisů na malé a střední podniky</w:t>
            </w:r>
          </w:p>
        </w:tc>
        <w:tc>
          <w:tcPr>
            <w:tcW w:w="1134" w:type="dxa"/>
            <w:shd w:val="clear" w:color="auto" w:fill="auto"/>
          </w:tcPr>
          <w:p w14:paraId="46FD4A8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E20716E" w14:textId="77777777" w:rsidR="00790A0D" w:rsidRPr="00DD47DF" w:rsidRDefault="00790A0D" w:rsidP="006D2F5F">
            <w:pPr>
              <w:pStyle w:val="Tabulka"/>
              <w:jc w:val="left"/>
              <w:rPr>
                <w:rFonts w:cs="Calibri"/>
              </w:rPr>
            </w:pPr>
            <w:r w:rsidRPr="00DD47DF">
              <w:rPr>
                <w:rFonts w:cs="Calibri"/>
              </w:rPr>
              <w:t>Proces RIA:</w:t>
            </w:r>
          </w:p>
          <w:p w14:paraId="3DAC941A" w14:textId="77777777" w:rsidR="00790A0D" w:rsidRPr="00DD47DF" w:rsidRDefault="00013622" w:rsidP="006D2F5F">
            <w:pPr>
              <w:pStyle w:val="Tabulka"/>
              <w:jc w:val="left"/>
              <w:rPr>
                <w:rFonts w:cs="Calibri"/>
              </w:rPr>
            </w:pPr>
            <w:hyperlink r:id="rId140" w:history="1">
              <w:r w:rsidR="00790A0D" w:rsidRPr="00DD47DF">
                <w:rPr>
                  <w:rStyle w:val="Hypertextovodkaz"/>
                  <w:rFonts w:cs="Calibri"/>
                </w:rPr>
                <w:t>http://www.vlada.cz/assets/ppov/lrv/ria/metodiky/Uplne-zneni-Obecnych-zasad-_ucinnost-od-1-2--2014_.pdf</w:t>
              </w:r>
            </w:hyperlink>
          </w:p>
        </w:tc>
        <w:tc>
          <w:tcPr>
            <w:tcW w:w="4394" w:type="dxa"/>
            <w:shd w:val="clear" w:color="auto" w:fill="auto"/>
          </w:tcPr>
          <w:p w14:paraId="20BA8F20" w14:textId="77777777" w:rsidR="00790A0D" w:rsidRPr="00DD47DF" w:rsidRDefault="00790A0D" w:rsidP="006D2F5F">
            <w:pPr>
              <w:pStyle w:val="Tabulka"/>
              <w:jc w:val="left"/>
              <w:rPr>
                <w:rFonts w:cs="Calibri"/>
              </w:rPr>
            </w:pPr>
            <w:r w:rsidRPr="00DD47DF">
              <w:rPr>
                <w:rFonts w:cs="Calibri"/>
              </w:rPr>
              <w:t>Monitoring implementace SBA bude zajištěn ve formě vypracovávání a hodnocení zpráv o implementaci opatření obsažených v SBA v působnosti jednotlivých resortů, v rámci aktivit národního zmocněnce pro MSP.</w:t>
            </w:r>
          </w:p>
          <w:p w14:paraId="301184C2" w14:textId="77777777" w:rsidR="00790A0D" w:rsidRPr="00DD47DF" w:rsidRDefault="00790A0D" w:rsidP="006D2F5F">
            <w:pPr>
              <w:pStyle w:val="Tabulka"/>
              <w:jc w:val="left"/>
              <w:rPr>
                <w:rFonts w:cs="Calibri"/>
              </w:rPr>
            </w:pPr>
            <w:r w:rsidRPr="00DD47DF">
              <w:rPr>
                <w:rFonts w:cs="Calibri"/>
              </w:rPr>
              <w:t xml:space="preserve">Hodnocení dopadů na podnikatelské prostředí ve vazbě na velikost podnikatelů je obsaženou v hodnocení dopadů regulace (RIA) a je součástí legislativního procesu. </w:t>
            </w:r>
          </w:p>
          <w:p w14:paraId="2B1EE0EB" w14:textId="77777777" w:rsidR="00790A0D" w:rsidRPr="00DD47DF" w:rsidRDefault="00790A0D" w:rsidP="006D2F5F">
            <w:pPr>
              <w:pStyle w:val="Tabulka"/>
              <w:jc w:val="left"/>
              <w:rPr>
                <w:rFonts w:cs="Calibri"/>
              </w:rPr>
            </w:pPr>
            <w:r w:rsidRPr="00DD47DF">
              <w:rPr>
                <w:rFonts w:cs="Calibri"/>
              </w:rPr>
              <w:t>Podrobněji – viz Příloha č.II.</w:t>
            </w:r>
          </w:p>
        </w:tc>
      </w:tr>
      <w:tr w:rsidR="00790A0D" w:rsidRPr="00DD47DF" w14:paraId="2B415B03" w14:textId="77777777" w:rsidTr="006D2F5F">
        <w:tc>
          <w:tcPr>
            <w:tcW w:w="1752" w:type="dxa"/>
            <w:vMerge w:val="restart"/>
            <w:shd w:val="clear" w:color="auto" w:fill="auto"/>
          </w:tcPr>
          <w:p w14:paraId="6050C898" w14:textId="77777777" w:rsidR="00790A0D" w:rsidRPr="00DD47DF" w:rsidRDefault="00790A0D" w:rsidP="006D2F5F">
            <w:pPr>
              <w:pStyle w:val="Tabulka"/>
              <w:jc w:val="left"/>
              <w:rPr>
                <w:rFonts w:cs="Calibri"/>
                <w:b/>
              </w:rPr>
            </w:pPr>
            <w:r w:rsidRPr="00DD47DF">
              <w:rPr>
                <w:rFonts w:cs="Calibri"/>
                <w:b/>
              </w:rPr>
              <w:t xml:space="preserve">4.1. Byla provedena opatření na podporu nákladově efektivního </w:t>
            </w:r>
            <w:r w:rsidRPr="00DD47DF">
              <w:rPr>
                <w:rFonts w:cs="Calibri"/>
                <w:b/>
              </w:rPr>
              <w:lastRenderedPageBreak/>
              <w:t>zvyšování energetické účinnosti u koncového uživatele a nákladově efektivních investic do energetické účinnosti při výstavbě a renovaci budov.</w:t>
            </w:r>
          </w:p>
        </w:tc>
        <w:tc>
          <w:tcPr>
            <w:tcW w:w="1701" w:type="dxa"/>
            <w:vMerge w:val="restart"/>
            <w:shd w:val="clear" w:color="auto" w:fill="auto"/>
          </w:tcPr>
          <w:p w14:paraId="162C66CF" w14:textId="77777777" w:rsidR="00790A0D" w:rsidRPr="00DD47DF" w:rsidRDefault="00790A0D" w:rsidP="006D2F5F">
            <w:pPr>
              <w:pStyle w:val="Tabulka"/>
              <w:jc w:val="left"/>
              <w:rPr>
                <w:rFonts w:cs="Calibri"/>
              </w:rPr>
            </w:pPr>
            <w:r w:rsidRPr="00DD47DF">
              <w:rPr>
                <w:rFonts w:cs="Calibri"/>
              </w:rPr>
              <w:lastRenderedPageBreak/>
              <w:t xml:space="preserve">PO 3 - Účinné nakládání energií, rozvoj energetické infrastruktury a obnovitelných </w:t>
            </w:r>
            <w:r w:rsidRPr="00DD47DF">
              <w:rPr>
                <w:rFonts w:cs="Calibri"/>
              </w:rPr>
              <w:lastRenderedPageBreak/>
              <w:t>zdrojů energie, podpora zavádění nových technologií v oblasti nakládání energií a druhotných surovin</w:t>
            </w:r>
          </w:p>
        </w:tc>
        <w:tc>
          <w:tcPr>
            <w:tcW w:w="1276" w:type="dxa"/>
            <w:vMerge w:val="restart"/>
            <w:shd w:val="clear" w:color="auto" w:fill="auto"/>
          </w:tcPr>
          <w:p w14:paraId="4070C2C7" w14:textId="77777777" w:rsidR="00790A0D" w:rsidRPr="00DD47DF" w:rsidRDefault="00793FDC" w:rsidP="006D2F5F">
            <w:pPr>
              <w:pStyle w:val="Tabulka"/>
              <w:jc w:val="left"/>
              <w:rPr>
                <w:rFonts w:cs="Calibri"/>
              </w:rPr>
            </w:pPr>
            <w:r w:rsidRPr="00DD47DF">
              <w:rPr>
                <w:rFonts w:cs="Calibri"/>
              </w:rPr>
              <w:lastRenderedPageBreak/>
              <w:t>ne</w:t>
            </w:r>
          </w:p>
          <w:p w14:paraId="40ED333F" w14:textId="77777777" w:rsidR="00790A0D" w:rsidRPr="00DD47DF" w:rsidRDefault="00790A0D" w:rsidP="006D2F5F">
            <w:pPr>
              <w:pStyle w:val="Tabulka"/>
              <w:jc w:val="left"/>
              <w:rPr>
                <w:rFonts w:cs="Calibri"/>
              </w:rPr>
            </w:pPr>
          </w:p>
          <w:p w14:paraId="66D3C164" w14:textId="77777777" w:rsidR="00790A0D" w:rsidRPr="00DD47DF" w:rsidRDefault="00790A0D" w:rsidP="006D2F5F">
            <w:pPr>
              <w:pStyle w:val="Tabulka"/>
              <w:jc w:val="left"/>
              <w:rPr>
                <w:rFonts w:cs="Calibri"/>
              </w:rPr>
            </w:pPr>
          </w:p>
          <w:p w14:paraId="64AEFA6F" w14:textId="77777777" w:rsidR="00790A0D" w:rsidRPr="00DD47DF" w:rsidRDefault="00790A0D" w:rsidP="006D2F5F">
            <w:pPr>
              <w:pStyle w:val="Tabulka"/>
              <w:jc w:val="left"/>
              <w:rPr>
                <w:rFonts w:cs="Calibri"/>
              </w:rPr>
            </w:pPr>
          </w:p>
          <w:p w14:paraId="27CA5DC0" w14:textId="77777777" w:rsidR="00790A0D" w:rsidRPr="00DD47DF" w:rsidRDefault="00790A0D" w:rsidP="006D2F5F">
            <w:pPr>
              <w:pStyle w:val="Tabulka"/>
              <w:jc w:val="left"/>
              <w:rPr>
                <w:rFonts w:cs="Calibri"/>
              </w:rPr>
            </w:pPr>
          </w:p>
          <w:p w14:paraId="197B5808" w14:textId="77777777" w:rsidR="00790A0D" w:rsidRPr="00DD47DF" w:rsidRDefault="00790A0D" w:rsidP="006D2F5F">
            <w:pPr>
              <w:pStyle w:val="Tabulka"/>
              <w:jc w:val="left"/>
              <w:rPr>
                <w:rFonts w:cs="Calibri"/>
              </w:rPr>
            </w:pPr>
          </w:p>
          <w:p w14:paraId="2BECF71C" w14:textId="77777777" w:rsidR="00790A0D" w:rsidRPr="00DD47DF" w:rsidRDefault="00790A0D" w:rsidP="006D2F5F">
            <w:pPr>
              <w:pStyle w:val="Tabulka"/>
              <w:jc w:val="left"/>
              <w:rPr>
                <w:rFonts w:cs="Calibri"/>
              </w:rPr>
            </w:pPr>
          </w:p>
          <w:p w14:paraId="3CD0BC99" w14:textId="77777777" w:rsidR="00790A0D" w:rsidRPr="00DD47DF" w:rsidRDefault="00790A0D" w:rsidP="006D2F5F">
            <w:pPr>
              <w:pStyle w:val="Tabulka"/>
              <w:jc w:val="left"/>
              <w:rPr>
                <w:rFonts w:cs="Calibri"/>
              </w:rPr>
            </w:pPr>
          </w:p>
          <w:p w14:paraId="2EE001BD" w14:textId="77777777" w:rsidR="00790A0D" w:rsidRPr="00DD47DF" w:rsidRDefault="00790A0D" w:rsidP="006D2F5F">
            <w:pPr>
              <w:pStyle w:val="Tabulka"/>
              <w:jc w:val="left"/>
              <w:rPr>
                <w:rFonts w:cs="Calibri"/>
              </w:rPr>
            </w:pPr>
          </w:p>
          <w:p w14:paraId="62AF866D" w14:textId="77777777" w:rsidR="00790A0D" w:rsidRPr="00DD47DF" w:rsidRDefault="00790A0D" w:rsidP="006D2F5F">
            <w:pPr>
              <w:pStyle w:val="Tabulka"/>
              <w:jc w:val="left"/>
              <w:rPr>
                <w:rFonts w:cs="Calibri"/>
              </w:rPr>
            </w:pPr>
          </w:p>
          <w:p w14:paraId="02C4EA7A" w14:textId="77777777" w:rsidR="00790A0D" w:rsidRPr="00DD47DF" w:rsidRDefault="00790A0D" w:rsidP="006D2F5F">
            <w:pPr>
              <w:pStyle w:val="Tabulka"/>
              <w:jc w:val="left"/>
              <w:rPr>
                <w:rFonts w:cs="Calibri"/>
              </w:rPr>
            </w:pPr>
          </w:p>
          <w:p w14:paraId="57640CDB" w14:textId="77777777" w:rsidR="00790A0D" w:rsidRPr="00DD47DF" w:rsidRDefault="00790A0D" w:rsidP="006D2F5F">
            <w:pPr>
              <w:pStyle w:val="Tabulka"/>
              <w:jc w:val="left"/>
              <w:rPr>
                <w:rFonts w:cs="Calibri"/>
              </w:rPr>
            </w:pPr>
          </w:p>
        </w:tc>
        <w:tc>
          <w:tcPr>
            <w:tcW w:w="1843" w:type="dxa"/>
            <w:shd w:val="clear" w:color="auto" w:fill="auto"/>
          </w:tcPr>
          <w:p w14:paraId="344E12CA" w14:textId="77777777" w:rsidR="00790A0D" w:rsidRPr="00DD47DF" w:rsidRDefault="00790A0D" w:rsidP="006D2F5F">
            <w:pPr>
              <w:pStyle w:val="Tabulka"/>
              <w:jc w:val="left"/>
              <w:rPr>
                <w:rFonts w:cs="Calibri"/>
              </w:rPr>
            </w:pPr>
            <w:r w:rsidRPr="00DD47DF">
              <w:rPr>
                <w:rFonts w:cs="Calibri"/>
              </w:rPr>
              <w:lastRenderedPageBreak/>
              <w:t>Těmito opatřeními jsou:</w:t>
            </w:r>
          </w:p>
          <w:p w14:paraId="3233A913" w14:textId="77777777" w:rsidR="00790A0D" w:rsidRPr="00DD47DF" w:rsidRDefault="00790A0D" w:rsidP="006D2F5F">
            <w:pPr>
              <w:pStyle w:val="Tabulka"/>
              <w:jc w:val="left"/>
              <w:rPr>
                <w:rFonts w:cs="Calibri"/>
              </w:rPr>
            </w:pPr>
            <w:r w:rsidRPr="00DD47DF">
              <w:rPr>
                <w:rFonts w:cs="Calibri"/>
              </w:rPr>
              <w:t xml:space="preserve">Opatření k zajištění minimálních požadavků týkajících se </w:t>
            </w:r>
            <w:r w:rsidRPr="00DD47DF">
              <w:rPr>
                <w:rFonts w:cs="Calibri"/>
              </w:rPr>
              <w:lastRenderedPageBreak/>
              <w:t>energetické náročnosti budov v souladu s články 3, 4 a 5 směrnice Evropského parlamentu a Rady 2010/31/EU</w:t>
            </w:r>
            <w:r w:rsidRPr="00DD47DF">
              <w:rPr>
                <w:rStyle w:val="Znakapoznpodarou"/>
                <w:rFonts w:cs="Calibri"/>
              </w:rPr>
              <w:footnoteReference w:id="95"/>
            </w:r>
            <w:r w:rsidRPr="00DD47DF">
              <w:rPr>
                <w:rFonts w:cs="Calibri"/>
              </w:rPr>
              <w:t>,</w:t>
            </w:r>
          </w:p>
        </w:tc>
        <w:tc>
          <w:tcPr>
            <w:tcW w:w="1134" w:type="dxa"/>
            <w:shd w:val="clear" w:color="auto" w:fill="auto"/>
          </w:tcPr>
          <w:p w14:paraId="02EA01A4" w14:textId="77777777" w:rsidR="00790A0D" w:rsidRPr="00DD47DF" w:rsidRDefault="008B1FD2" w:rsidP="006D2F5F">
            <w:pPr>
              <w:pStyle w:val="Tabulka"/>
              <w:jc w:val="left"/>
              <w:rPr>
                <w:rFonts w:cs="Calibri"/>
              </w:rPr>
            </w:pPr>
            <w:r w:rsidRPr="00DD47DF">
              <w:rPr>
                <w:rFonts w:cs="Calibri"/>
              </w:rPr>
              <w:lastRenderedPageBreak/>
              <w:t>ne</w:t>
            </w:r>
          </w:p>
        </w:tc>
        <w:tc>
          <w:tcPr>
            <w:tcW w:w="2126" w:type="dxa"/>
            <w:shd w:val="clear" w:color="auto" w:fill="auto"/>
          </w:tcPr>
          <w:p w14:paraId="664DABD8" w14:textId="77777777" w:rsidR="00790A0D" w:rsidRPr="00DD47DF" w:rsidRDefault="00013622" w:rsidP="006D2F5F">
            <w:pPr>
              <w:pStyle w:val="Tabulka"/>
              <w:jc w:val="left"/>
              <w:rPr>
                <w:rFonts w:cs="Calibri"/>
              </w:rPr>
            </w:pPr>
            <w:hyperlink r:id="rId141" w:anchor="local-content" w:history="1">
              <w:r w:rsidR="00790A0D" w:rsidRPr="00DD47DF">
                <w:rPr>
                  <w:rStyle w:val="Hypertextovodkaz"/>
                  <w:rFonts w:cs="Calibri"/>
                </w:rPr>
                <w:t>zákon č. 406/2000 Sb. o hospodaření energií</w:t>
              </w:r>
            </w:hyperlink>
            <w:r w:rsidR="00790A0D" w:rsidRPr="00DD47DF">
              <w:rPr>
                <w:rFonts w:cs="Calibri"/>
              </w:rPr>
              <w:t xml:space="preserve">, konkrétně novela </w:t>
            </w:r>
            <w:hyperlink r:id="rId142" w:anchor="local-content" w:history="1">
              <w:r w:rsidR="00790A0D" w:rsidRPr="00DD47DF">
                <w:rPr>
                  <w:rStyle w:val="Hypertextovodkaz"/>
                  <w:rFonts w:cs="Calibri"/>
                </w:rPr>
                <w:t>zákona č. 318/2012 Sb.</w:t>
              </w:r>
            </w:hyperlink>
          </w:p>
        </w:tc>
        <w:tc>
          <w:tcPr>
            <w:tcW w:w="4394" w:type="dxa"/>
            <w:shd w:val="clear" w:color="auto" w:fill="auto"/>
          </w:tcPr>
          <w:p w14:paraId="4CC6714F" w14:textId="77777777" w:rsidR="00790A0D" w:rsidRPr="00DD47DF" w:rsidRDefault="00790A0D" w:rsidP="006D2F5F">
            <w:pPr>
              <w:pStyle w:val="Tabulka"/>
              <w:jc w:val="left"/>
              <w:rPr>
                <w:rFonts w:cs="Calibri"/>
              </w:rPr>
            </w:pPr>
            <w:r w:rsidRPr="00DD47DF">
              <w:rPr>
                <w:rFonts w:cs="Calibri"/>
              </w:rPr>
              <w:t>Transpozice směrnice byla provedena implementaci do zákona č. 406/2000 Sb. o hospodaření energií, konkrétně novelou zákona č. 318/2012 Sb. ze dne 24. října 2012.</w:t>
            </w:r>
          </w:p>
          <w:p w14:paraId="73F5CD7F" w14:textId="77777777" w:rsidR="00790A0D" w:rsidRPr="00DD47DF" w:rsidRDefault="00790A0D" w:rsidP="006D2F5F">
            <w:pPr>
              <w:pStyle w:val="Tabulka"/>
              <w:jc w:val="left"/>
              <w:rPr>
                <w:rFonts w:cs="Calibri"/>
              </w:rPr>
            </w:pPr>
            <w:r w:rsidRPr="00DD47DF">
              <w:rPr>
                <w:rFonts w:cs="Calibri"/>
              </w:rPr>
              <w:t xml:space="preserve">V současné době je s ČR vedeno řízení pro porušení Smlouvy – řízení o nenotifikaci č. </w:t>
            </w:r>
            <w:r w:rsidRPr="00DD47DF">
              <w:rPr>
                <w:rFonts w:cs="Calibri"/>
              </w:rPr>
              <w:lastRenderedPageBreak/>
              <w:t>2012/0335 (zahájeno 25. 9. 2012). ČR na formální upozornění odpověděla dne 31. 10. 2012. Dne 18.10.2013 bylo ČR zasláno odůvodněné stanovisko EK. Odpověď ČR na odůvodněné stanovisko byla odeslána 20.12.2013.</w:t>
            </w:r>
          </w:p>
          <w:p w14:paraId="37D96D42" w14:textId="77777777" w:rsidR="00790A0D" w:rsidRPr="00DD47DF" w:rsidRDefault="00790A0D" w:rsidP="006D2F5F">
            <w:pPr>
              <w:pStyle w:val="Tabulka"/>
              <w:jc w:val="left"/>
              <w:rPr>
                <w:rFonts w:cs="Calibri"/>
              </w:rPr>
            </w:pPr>
            <w:r w:rsidRPr="00DD47DF">
              <w:rPr>
                <w:rFonts w:cs="Calibri"/>
              </w:rPr>
              <w:t xml:space="preserve">MPO zpracovalo akční plán k plnění podmínky. </w:t>
            </w:r>
          </w:p>
        </w:tc>
      </w:tr>
      <w:tr w:rsidR="00790A0D" w:rsidRPr="00DD47DF" w14:paraId="51618B59" w14:textId="77777777" w:rsidTr="006D2F5F">
        <w:tc>
          <w:tcPr>
            <w:tcW w:w="1752" w:type="dxa"/>
            <w:vMerge/>
            <w:shd w:val="clear" w:color="auto" w:fill="auto"/>
          </w:tcPr>
          <w:p w14:paraId="054D5A5C" w14:textId="77777777" w:rsidR="00790A0D" w:rsidRPr="00DD47DF" w:rsidRDefault="00790A0D" w:rsidP="006D2F5F">
            <w:pPr>
              <w:pStyle w:val="Tabulka"/>
              <w:rPr>
                <w:rFonts w:cs="Calibri"/>
                <w:b/>
              </w:rPr>
            </w:pPr>
          </w:p>
        </w:tc>
        <w:tc>
          <w:tcPr>
            <w:tcW w:w="1701" w:type="dxa"/>
            <w:vMerge/>
            <w:shd w:val="clear" w:color="auto" w:fill="auto"/>
          </w:tcPr>
          <w:p w14:paraId="03902DDA" w14:textId="77777777" w:rsidR="00790A0D" w:rsidRPr="00DD47DF" w:rsidRDefault="00790A0D" w:rsidP="006D2F5F">
            <w:pPr>
              <w:pStyle w:val="Tabulka"/>
              <w:rPr>
                <w:rFonts w:cs="Calibri"/>
              </w:rPr>
            </w:pPr>
          </w:p>
        </w:tc>
        <w:tc>
          <w:tcPr>
            <w:tcW w:w="1276" w:type="dxa"/>
            <w:vMerge/>
            <w:shd w:val="clear" w:color="auto" w:fill="auto"/>
          </w:tcPr>
          <w:p w14:paraId="4D3BC109" w14:textId="77777777" w:rsidR="00790A0D" w:rsidRPr="00DD47DF" w:rsidRDefault="00790A0D" w:rsidP="006D2F5F">
            <w:pPr>
              <w:pStyle w:val="Tabulka"/>
              <w:rPr>
                <w:rFonts w:cs="Calibri"/>
              </w:rPr>
            </w:pPr>
          </w:p>
        </w:tc>
        <w:tc>
          <w:tcPr>
            <w:tcW w:w="1843" w:type="dxa"/>
            <w:shd w:val="clear" w:color="auto" w:fill="auto"/>
          </w:tcPr>
          <w:p w14:paraId="086962FF" w14:textId="77777777" w:rsidR="00790A0D" w:rsidRPr="00DD47DF" w:rsidRDefault="00790A0D" w:rsidP="006D2F5F">
            <w:pPr>
              <w:pStyle w:val="Tabulka"/>
              <w:jc w:val="left"/>
              <w:rPr>
                <w:rFonts w:cs="Calibri"/>
              </w:rPr>
            </w:pPr>
            <w:r w:rsidRPr="00DD47DF">
              <w:rPr>
                <w:rFonts w:cs="Calibri"/>
              </w:rPr>
              <w:t>Opatření nezbytná pro zavedení systému certifikace energetické náročnosti budov v souladu s článkem 11 směrnice 2010/31/EU,</w:t>
            </w:r>
          </w:p>
        </w:tc>
        <w:tc>
          <w:tcPr>
            <w:tcW w:w="1134" w:type="dxa"/>
            <w:shd w:val="clear" w:color="auto" w:fill="auto"/>
          </w:tcPr>
          <w:p w14:paraId="4E077341"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0EDD5B4F" w14:textId="77777777" w:rsidR="00790A0D" w:rsidRPr="00DD47DF" w:rsidRDefault="00013622" w:rsidP="006D2F5F">
            <w:pPr>
              <w:pStyle w:val="Tabulka"/>
              <w:jc w:val="left"/>
              <w:rPr>
                <w:rFonts w:cs="Calibri"/>
              </w:rPr>
            </w:pPr>
            <w:hyperlink r:id="rId143" w:anchor="local-content" w:history="1">
              <w:r w:rsidR="00790A0D" w:rsidRPr="00DD47DF">
                <w:rPr>
                  <w:rStyle w:val="Hypertextovodkaz"/>
                  <w:rFonts w:cs="Calibri"/>
                </w:rPr>
                <w:t>zákon č. 406/2000 Sb. o hospodaření energií</w:t>
              </w:r>
            </w:hyperlink>
            <w:r w:rsidR="00790A0D" w:rsidRPr="00DD47DF">
              <w:rPr>
                <w:rFonts w:cs="Calibri"/>
              </w:rPr>
              <w:t xml:space="preserve">, konkrétně novela </w:t>
            </w:r>
            <w:hyperlink r:id="rId144" w:anchor="local-content" w:history="1">
              <w:r w:rsidR="00790A0D" w:rsidRPr="00DD47DF">
                <w:rPr>
                  <w:rStyle w:val="Hypertextovodkaz"/>
                  <w:rFonts w:cs="Calibri"/>
                </w:rPr>
                <w:t>zákona č. 318/2012 Sb.</w:t>
              </w:r>
            </w:hyperlink>
          </w:p>
        </w:tc>
        <w:tc>
          <w:tcPr>
            <w:tcW w:w="4394" w:type="dxa"/>
            <w:shd w:val="clear" w:color="auto" w:fill="auto"/>
          </w:tcPr>
          <w:p w14:paraId="5D049F3E" w14:textId="77777777" w:rsidR="00790A0D" w:rsidRPr="00DD47DF" w:rsidRDefault="00790A0D" w:rsidP="006D2F5F">
            <w:pPr>
              <w:pStyle w:val="Tabulka"/>
              <w:jc w:val="left"/>
              <w:rPr>
                <w:rFonts w:cs="Calibri"/>
              </w:rPr>
            </w:pPr>
            <w:r w:rsidRPr="00DD47DF">
              <w:rPr>
                <w:rFonts w:cs="Calibri"/>
              </w:rPr>
              <w:t>V současné době je s ČR vedeno řízení pro porušení Smlouvy – řízení o nenotifikaci č. 2012/0335 (zahájeno 25. 9. 2012). ČR na formální upozornění odpověděla dne 31. 10. 2012 (viz též výše). Dne 18.10.2013 bylo ČR zasláno odůvodněné stanovisko EK.  Odpověď ČR na odůvodněné stanovisko byla odeslána 20.12.2013.</w:t>
            </w:r>
          </w:p>
          <w:p w14:paraId="155DFA8C" w14:textId="77777777" w:rsidR="00790A0D" w:rsidRPr="00DD47DF" w:rsidRDefault="00790A0D" w:rsidP="006D2F5F">
            <w:pPr>
              <w:pStyle w:val="Tabulka"/>
              <w:jc w:val="left"/>
              <w:rPr>
                <w:rFonts w:cs="Calibri"/>
              </w:rPr>
            </w:pPr>
            <w:r w:rsidRPr="00DD47DF">
              <w:rPr>
                <w:rFonts w:cs="Calibri"/>
              </w:rPr>
              <w:t xml:space="preserve">MPO zpracovalo akční plán k plnění podmínky. </w:t>
            </w:r>
          </w:p>
        </w:tc>
      </w:tr>
      <w:tr w:rsidR="00790A0D" w:rsidRPr="00DD47DF" w14:paraId="0BCD3796" w14:textId="77777777" w:rsidTr="006D2F5F">
        <w:tc>
          <w:tcPr>
            <w:tcW w:w="1752" w:type="dxa"/>
            <w:vMerge/>
            <w:shd w:val="clear" w:color="auto" w:fill="auto"/>
          </w:tcPr>
          <w:p w14:paraId="262BC1E8" w14:textId="77777777" w:rsidR="00790A0D" w:rsidRPr="00DD47DF" w:rsidRDefault="00790A0D" w:rsidP="006D2F5F">
            <w:pPr>
              <w:pStyle w:val="Tabulka"/>
              <w:rPr>
                <w:rFonts w:cs="Calibri"/>
                <w:b/>
              </w:rPr>
            </w:pPr>
          </w:p>
        </w:tc>
        <w:tc>
          <w:tcPr>
            <w:tcW w:w="1701" w:type="dxa"/>
            <w:vMerge/>
            <w:shd w:val="clear" w:color="auto" w:fill="auto"/>
          </w:tcPr>
          <w:p w14:paraId="77BA9C52" w14:textId="77777777" w:rsidR="00790A0D" w:rsidRPr="00DD47DF" w:rsidRDefault="00790A0D" w:rsidP="006D2F5F">
            <w:pPr>
              <w:pStyle w:val="Tabulka"/>
              <w:rPr>
                <w:rFonts w:cs="Calibri"/>
              </w:rPr>
            </w:pPr>
          </w:p>
        </w:tc>
        <w:tc>
          <w:tcPr>
            <w:tcW w:w="1276" w:type="dxa"/>
            <w:vMerge/>
            <w:shd w:val="clear" w:color="auto" w:fill="auto"/>
          </w:tcPr>
          <w:p w14:paraId="4D0BFB16" w14:textId="77777777" w:rsidR="00790A0D" w:rsidRPr="00DD47DF" w:rsidRDefault="00790A0D" w:rsidP="006D2F5F">
            <w:pPr>
              <w:pStyle w:val="Tabulka"/>
              <w:rPr>
                <w:rFonts w:cs="Calibri"/>
              </w:rPr>
            </w:pPr>
          </w:p>
        </w:tc>
        <w:tc>
          <w:tcPr>
            <w:tcW w:w="1843" w:type="dxa"/>
            <w:shd w:val="clear" w:color="auto" w:fill="auto"/>
          </w:tcPr>
          <w:p w14:paraId="5FAC5A39" w14:textId="77777777" w:rsidR="00790A0D" w:rsidRPr="00DD47DF" w:rsidRDefault="00790A0D" w:rsidP="006D2F5F">
            <w:pPr>
              <w:pStyle w:val="Tabulka"/>
              <w:jc w:val="left"/>
              <w:rPr>
                <w:rFonts w:cs="Calibri"/>
              </w:rPr>
            </w:pPr>
            <w:r w:rsidRPr="00DD47DF">
              <w:rPr>
                <w:rFonts w:cs="Calibri"/>
              </w:rPr>
              <w:t>Opatření k zajištění strategického plánování v oblasti energetické účinnosti v souladu s čl. 3 směrnice 2012/27/EU</w:t>
            </w:r>
            <w:r w:rsidRPr="00DD47DF">
              <w:rPr>
                <w:rStyle w:val="Znakapoznpodarou"/>
                <w:rFonts w:cs="Calibri"/>
              </w:rPr>
              <w:footnoteReference w:id="96"/>
            </w:r>
            <w:r w:rsidRPr="00DD47DF">
              <w:rPr>
                <w:rFonts w:cs="Calibri"/>
                <w:vertAlign w:val="superscript"/>
              </w:rPr>
              <w:t xml:space="preserve"> </w:t>
            </w:r>
          </w:p>
        </w:tc>
        <w:tc>
          <w:tcPr>
            <w:tcW w:w="1134" w:type="dxa"/>
            <w:shd w:val="clear" w:color="auto" w:fill="auto"/>
          </w:tcPr>
          <w:p w14:paraId="720E37BD" w14:textId="77777777" w:rsidR="00790A0D" w:rsidRPr="00DD47DF" w:rsidRDefault="00790A0D" w:rsidP="006D2F5F">
            <w:pPr>
              <w:pStyle w:val="Tabulka"/>
              <w:jc w:val="left"/>
              <w:rPr>
                <w:rFonts w:cs="Calibri"/>
              </w:rPr>
            </w:pPr>
            <w:r w:rsidRPr="00DD47DF">
              <w:rPr>
                <w:rFonts w:cs="Calibri"/>
              </w:rPr>
              <w:t>ne</w:t>
            </w:r>
          </w:p>
        </w:tc>
        <w:tc>
          <w:tcPr>
            <w:tcW w:w="2126" w:type="dxa"/>
            <w:shd w:val="clear" w:color="auto" w:fill="auto"/>
          </w:tcPr>
          <w:p w14:paraId="267D313E" w14:textId="77777777" w:rsidR="00790A0D" w:rsidRPr="00DD47DF" w:rsidRDefault="00013622" w:rsidP="006D2F5F">
            <w:pPr>
              <w:pStyle w:val="Tabulka"/>
              <w:jc w:val="left"/>
              <w:rPr>
                <w:rStyle w:val="Hypertextovodkaz"/>
                <w:rFonts w:cs="Calibri"/>
              </w:rPr>
            </w:pPr>
            <w:hyperlink r:id="rId145" w:history="1">
              <w:r w:rsidR="00790A0D" w:rsidRPr="00DD47DF">
                <w:rPr>
                  <w:rStyle w:val="Hypertextovodkaz"/>
                  <w:rFonts w:cs="Calibri"/>
                </w:rPr>
                <w:t>1. Zpráva o pokroku v oblasti plnění vnitrostátních cílů energetické účinnosti v ČR</w:t>
              </w:r>
            </w:hyperlink>
          </w:p>
          <w:p w14:paraId="2BD6DA70" w14:textId="77777777" w:rsidR="00790A0D" w:rsidRPr="00DD47DF" w:rsidRDefault="00790A0D" w:rsidP="006D2F5F">
            <w:pPr>
              <w:pStyle w:val="Tabulka"/>
              <w:jc w:val="left"/>
              <w:rPr>
                <w:rFonts w:cs="Calibri"/>
              </w:rPr>
            </w:pPr>
          </w:p>
        </w:tc>
        <w:tc>
          <w:tcPr>
            <w:tcW w:w="4394" w:type="dxa"/>
            <w:shd w:val="clear" w:color="auto" w:fill="auto"/>
          </w:tcPr>
          <w:p w14:paraId="6C86B607" w14:textId="77777777" w:rsidR="00790A0D" w:rsidRPr="00DD47DF" w:rsidRDefault="00790A0D" w:rsidP="006D2F5F">
            <w:pPr>
              <w:pStyle w:val="Tabulka"/>
              <w:jc w:val="left"/>
              <w:rPr>
                <w:rFonts w:cs="Calibri"/>
              </w:rPr>
            </w:pPr>
            <w:r w:rsidRPr="00DD47DF">
              <w:rPr>
                <w:rFonts w:cs="Calibri"/>
              </w:rPr>
              <w:t>Zpráva byla zaslána Evropské komisi.</w:t>
            </w:r>
          </w:p>
          <w:p w14:paraId="0702255B" w14:textId="77777777" w:rsidR="00790A0D" w:rsidRPr="00DD47DF" w:rsidRDefault="00790A0D" w:rsidP="001D58DB">
            <w:pPr>
              <w:pStyle w:val="Tabulka"/>
              <w:jc w:val="left"/>
              <w:rPr>
                <w:rFonts w:cs="Calibri"/>
              </w:rPr>
            </w:pPr>
            <w:r w:rsidRPr="00DD47DF">
              <w:rPr>
                <w:rFonts w:cs="Calibri"/>
              </w:rPr>
              <w:t xml:space="preserve">V současné době je s ČR vedeno řízení o porušení Smlouvy o FEU č. 2014/0317. EK vytýká ČR nevčasnou transpozici směrnice 2012/27/EU. Transpoziční lhůta uplynula dne 5. 6. 2014. Dne 22. 7. 2014 obdržela ČR formální upozornění. </w:t>
            </w:r>
            <w:r w:rsidR="00EA0A31" w:rsidRPr="00DD47DF">
              <w:rPr>
                <w:rFonts w:cs="Calibri"/>
              </w:rPr>
              <w:t>O</w:t>
            </w:r>
            <w:r w:rsidRPr="00DD47DF">
              <w:rPr>
                <w:rFonts w:cs="Calibri"/>
              </w:rPr>
              <w:t xml:space="preserve">dpověď ČR na formální upozornění EK </w:t>
            </w:r>
            <w:r w:rsidR="00EA0A31" w:rsidRPr="00DD47DF">
              <w:rPr>
                <w:rFonts w:cs="Calibri"/>
              </w:rPr>
              <w:t>byla odeslána</w:t>
            </w:r>
            <w:r w:rsidRPr="00DD47DF">
              <w:rPr>
                <w:rFonts w:cs="Calibri"/>
              </w:rPr>
              <w:t xml:space="preserve"> 22. září 2014).</w:t>
            </w:r>
          </w:p>
          <w:p w14:paraId="785FBC71" w14:textId="77777777" w:rsidR="00790A0D" w:rsidRPr="00DD47DF" w:rsidRDefault="00790A0D" w:rsidP="006D2F5F">
            <w:pPr>
              <w:pStyle w:val="Tabulka"/>
              <w:jc w:val="left"/>
              <w:rPr>
                <w:rFonts w:cs="Calibri"/>
              </w:rPr>
            </w:pPr>
            <w:r w:rsidRPr="00DD47DF">
              <w:rPr>
                <w:rFonts w:cs="Calibri"/>
              </w:rPr>
              <w:t xml:space="preserve">MPO zpracovalo akční plán </w:t>
            </w:r>
            <w:r w:rsidR="00EA0A31" w:rsidRPr="00DD47DF">
              <w:rPr>
                <w:rFonts w:cs="Calibri"/>
              </w:rPr>
              <w:t xml:space="preserve"> </w:t>
            </w:r>
            <w:r w:rsidRPr="00DD47DF">
              <w:rPr>
                <w:rFonts w:cs="Calibri"/>
              </w:rPr>
              <w:t>k plnění podmínky.</w:t>
            </w:r>
          </w:p>
        </w:tc>
      </w:tr>
      <w:tr w:rsidR="00790A0D" w:rsidRPr="00DD47DF" w14:paraId="6DEBEB94" w14:textId="77777777" w:rsidTr="006D2F5F">
        <w:tc>
          <w:tcPr>
            <w:tcW w:w="1752" w:type="dxa"/>
            <w:vMerge/>
            <w:shd w:val="clear" w:color="auto" w:fill="auto"/>
          </w:tcPr>
          <w:p w14:paraId="5ADA24C5" w14:textId="77777777" w:rsidR="00790A0D" w:rsidRPr="00DD47DF" w:rsidRDefault="00790A0D" w:rsidP="006D2F5F">
            <w:pPr>
              <w:pStyle w:val="Tabulka"/>
              <w:rPr>
                <w:rFonts w:cs="Calibri"/>
                <w:b/>
              </w:rPr>
            </w:pPr>
          </w:p>
        </w:tc>
        <w:tc>
          <w:tcPr>
            <w:tcW w:w="1701" w:type="dxa"/>
            <w:vMerge/>
            <w:shd w:val="clear" w:color="auto" w:fill="auto"/>
          </w:tcPr>
          <w:p w14:paraId="7DC18B01" w14:textId="77777777" w:rsidR="00790A0D" w:rsidRPr="00DD47DF" w:rsidRDefault="00790A0D" w:rsidP="006D2F5F">
            <w:pPr>
              <w:pStyle w:val="Tabulka"/>
              <w:rPr>
                <w:rFonts w:cs="Calibri"/>
              </w:rPr>
            </w:pPr>
          </w:p>
        </w:tc>
        <w:tc>
          <w:tcPr>
            <w:tcW w:w="1276" w:type="dxa"/>
            <w:vMerge/>
            <w:shd w:val="clear" w:color="auto" w:fill="auto"/>
          </w:tcPr>
          <w:p w14:paraId="04FEA5B8" w14:textId="77777777" w:rsidR="00790A0D" w:rsidRPr="00DD47DF" w:rsidRDefault="00790A0D" w:rsidP="006D2F5F">
            <w:pPr>
              <w:pStyle w:val="Tabulka"/>
              <w:rPr>
                <w:rFonts w:cs="Calibri"/>
              </w:rPr>
            </w:pPr>
          </w:p>
        </w:tc>
        <w:tc>
          <w:tcPr>
            <w:tcW w:w="1843" w:type="dxa"/>
            <w:shd w:val="clear" w:color="auto" w:fill="auto"/>
          </w:tcPr>
          <w:p w14:paraId="38283D2A" w14:textId="77777777" w:rsidR="00790A0D" w:rsidRPr="00DD47DF" w:rsidRDefault="00790A0D" w:rsidP="006D2F5F">
            <w:pPr>
              <w:pStyle w:val="Tabulka"/>
              <w:jc w:val="left"/>
              <w:rPr>
                <w:rFonts w:cs="Calibri"/>
              </w:rPr>
            </w:pPr>
            <w:r w:rsidRPr="00DD47DF">
              <w:rPr>
                <w:rFonts w:cs="Calibri"/>
              </w:rPr>
              <w:t>Opatření v souladu s článkem 13 směrnice Evropského parlamentu a Rady 2006/32/ES</w:t>
            </w:r>
            <w:r w:rsidRPr="00DD47DF">
              <w:rPr>
                <w:rStyle w:val="Znakapoznpodarou"/>
                <w:rFonts w:cs="Calibri"/>
              </w:rPr>
              <w:footnoteReference w:id="97"/>
            </w:r>
            <w:r w:rsidRPr="00DD47DF">
              <w:rPr>
                <w:rFonts w:cs="Calibri"/>
              </w:rPr>
              <w:t xml:space="preserve"> zajišťující, aby pokud je to technicky možné, finančně únosné a úměrné potenciálním úsporám energie, byli koneční zákazníci vybaveni individuálními měřiči.</w:t>
            </w:r>
          </w:p>
        </w:tc>
        <w:tc>
          <w:tcPr>
            <w:tcW w:w="1134" w:type="dxa"/>
            <w:shd w:val="clear" w:color="auto" w:fill="auto"/>
          </w:tcPr>
          <w:p w14:paraId="7ABF4C5F" w14:textId="77777777" w:rsidR="00790A0D" w:rsidRPr="00DD47DF" w:rsidRDefault="008B1FD2" w:rsidP="006D2F5F">
            <w:pPr>
              <w:pStyle w:val="Tabulka"/>
              <w:jc w:val="left"/>
              <w:rPr>
                <w:rFonts w:cs="Calibri"/>
              </w:rPr>
            </w:pPr>
            <w:r w:rsidRPr="00DD47DF">
              <w:rPr>
                <w:rFonts w:cs="Calibri"/>
              </w:rPr>
              <w:t>ne</w:t>
            </w:r>
          </w:p>
        </w:tc>
        <w:tc>
          <w:tcPr>
            <w:tcW w:w="2126" w:type="dxa"/>
            <w:shd w:val="clear" w:color="auto" w:fill="auto"/>
          </w:tcPr>
          <w:p w14:paraId="17E1C9BB" w14:textId="77777777" w:rsidR="00790A0D" w:rsidRPr="00DD47DF" w:rsidRDefault="00013622" w:rsidP="006D2F5F">
            <w:pPr>
              <w:pStyle w:val="Tabulka"/>
              <w:jc w:val="left"/>
              <w:rPr>
                <w:rFonts w:cs="Calibri"/>
              </w:rPr>
            </w:pPr>
            <w:hyperlink r:id="rId146" w:anchor="local-content" w:history="1">
              <w:r w:rsidR="00790A0D" w:rsidRPr="00DD47DF">
                <w:rPr>
                  <w:rStyle w:val="Hypertextovodkaz"/>
                  <w:rFonts w:cs="Calibri"/>
                </w:rPr>
                <w:t>zákon č. 406/2000 Sb. o hospodaření energií</w:t>
              </w:r>
            </w:hyperlink>
            <w:r w:rsidR="00790A0D" w:rsidRPr="00DD47DF">
              <w:rPr>
                <w:rFonts w:cs="Calibri"/>
              </w:rPr>
              <w:t xml:space="preserve"> a </w:t>
            </w:r>
            <w:hyperlink r:id="rId147" w:anchor="local-content" w:history="1">
              <w:r w:rsidR="00790A0D" w:rsidRPr="00DD47DF">
                <w:rPr>
                  <w:rStyle w:val="Hypertextovodkaz"/>
                  <w:rFonts w:cs="Calibri"/>
                </w:rPr>
                <w:t>zákon č. 458/2000 Sb.</w:t>
              </w:r>
            </w:hyperlink>
            <w:r w:rsidR="00790A0D" w:rsidRPr="00DD47DF">
              <w:rPr>
                <w:rFonts w:cs="Calibri"/>
              </w:rPr>
              <w:t xml:space="preserve"> a jeho </w:t>
            </w:r>
            <w:hyperlink r:id="rId148" w:history="1">
              <w:r w:rsidR="00790A0D" w:rsidRPr="00DD47DF">
                <w:rPr>
                  <w:rStyle w:val="Hypertextovodkaz"/>
                  <w:rFonts w:cs="Calibri"/>
                </w:rPr>
                <w:t>prováděcí vyhlášky</w:t>
              </w:r>
            </w:hyperlink>
          </w:p>
        </w:tc>
        <w:tc>
          <w:tcPr>
            <w:tcW w:w="4394" w:type="dxa"/>
            <w:shd w:val="clear" w:color="auto" w:fill="auto"/>
          </w:tcPr>
          <w:p w14:paraId="4C04D018" w14:textId="77777777" w:rsidR="00790A0D" w:rsidRPr="00DD47DF" w:rsidRDefault="00790A0D" w:rsidP="006D2F5F">
            <w:pPr>
              <w:pStyle w:val="Tabulka"/>
              <w:jc w:val="left"/>
              <w:rPr>
                <w:rFonts w:cs="Calibri"/>
              </w:rPr>
            </w:pPr>
            <w:r w:rsidRPr="00DD47DF">
              <w:rPr>
                <w:rFonts w:cs="Calibri"/>
              </w:rPr>
              <w:t>V současné době je s ČR vedeno řízení pro porušení Smlouvy – věcné řízení z důvodu namítané nesprávné transpozice čl. 13 směrnice 2006/32/ES (směrnice o energetické účinnosti u konečného uživatele a o energetických službách), které bylo zahájeno 22.3.2013 (řízení č. 2013/4007). Řízení je ve fázi odůvodněného stanoviska, odpověď ČR na odůvodněné stanovisko byla zaslána EK dne 27.3.2014.</w:t>
            </w:r>
          </w:p>
          <w:p w14:paraId="6FAFF54B" w14:textId="77777777" w:rsidR="00790A0D" w:rsidRPr="00DD47DF" w:rsidRDefault="00790A0D" w:rsidP="006D2F5F">
            <w:pPr>
              <w:pStyle w:val="Tabulka"/>
              <w:jc w:val="left"/>
              <w:rPr>
                <w:rFonts w:cs="Calibri"/>
              </w:rPr>
            </w:pPr>
            <w:r w:rsidRPr="00DD47DF">
              <w:rPr>
                <w:rFonts w:cs="Calibri"/>
              </w:rPr>
              <w:t xml:space="preserve">MPO zpracovalo akční plán </w:t>
            </w:r>
            <w:r w:rsidR="001E0697" w:rsidRPr="00DD47DF">
              <w:rPr>
                <w:rFonts w:cs="Calibri"/>
              </w:rPr>
              <w:t xml:space="preserve"> </w:t>
            </w:r>
            <w:r w:rsidRPr="00DD47DF">
              <w:rPr>
                <w:rFonts w:cs="Calibri"/>
              </w:rPr>
              <w:t xml:space="preserve">k plnění podmínky. </w:t>
            </w:r>
          </w:p>
          <w:p w14:paraId="4C623083" w14:textId="77777777" w:rsidR="00790A0D" w:rsidRPr="00DD47DF" w:rsidRDefault="00790A0D" w:rsidP="006D2F5F">
            <w:pPr>
              <w:pStyle w:val="Tabulka"/>
              <w:jc w:val="left"/>
              <w:rPr>
                <w:rFonts w:cs="Calibri"/>
              </w:rPr>
            </w:pPr>
          </w:p>
        </w:tc>
      </w:tr>
      <w:tr w:rsidR="00790A0D" w:rsidRPr="00DD47DF" w14:paraId="74D7B826" w14:textId="77777777" w:rsidTr="006D2F5F">
        <w:tc>
          <w:tcPr>
            <w:tcW w:w="1752" w:type="dxa"/>
            <w:shd w:val="clear" w:color="auto" w:fill="auto"/>
          </w:tcPr>
          <w:p w14:paraId="0EB96C61" w14:textId="77777777" w:rsidR="00790A0D" w:rsidRPr="00DD47DF" w:rsidRDefault="00790A0D" w:rsidP="006D2F5F">
            <w:pPr>
              <w:pStyle w:val="Tabulka"/>
              <w:jc w:val="left"/>
              <w:rPr>
                <w:rFonts w:cs="Calibri"/>
                <w:b/>
              </w:rPr>
            </w:pPr>
            <w:r w:rsidRPr="00DD47DF">
              <w:rPr>
                <w:rFonts w:cs="Calibri"/>
                <w:b/>
              </w:rPr>
              <w:t>4.2. Byla provedena opatření na podporu vysoce účinné kombinované výroby tepla a elektřiny.</w:t>
            </w:r>
          </w:p>
        </w:tc>
        <w:tc>
          <w:tcPr>
            <w:tcW w:w="1701" w:type="dxa"/>
            <w:shd w:val="clear" w:color="auto" w:fill="auto"/>
          </w:tcPr>
          <w:p w14:paraId="7A7F7005" w14:textId="77777777" w:rsidR="00790A0D" w:rsidRPr="00DD47DF" w:rsidRDefault="00790A0D" w:rsidP="006D2F5F">
            <w:pPr>
              <w:pStyle w:val="Tabulka"/>
              <w:jc w:val="left"/>
              <w:rPr>
                <w:rFonts w:cs="Calibri"/>
              </w:rPr>
            </w:pPr>
            <w:r w:rsidRPr="00DD47DF">
              <w:rPr>
                <w:rFonts w:cs="Calibri"/>
              </w:rPr>
              <w:t xml:space="preserve">PO 3 - Účinné nakládání energií, rozvoj energetické infrastruktury a obnovitelných zdrojů energie, podpora zavádění nových technologií v oblasti nakládání </w:t>
            </w:r>
            <w:r w:rsidRPr="00DD47DF">
              <w:rPr>
                <w:rFonts w:cs="Calibri"/>
              </w:rPr>
              <w:lastRenderedPageBreak/>
              <w:t>energií a druhotných surovin</w:t>
            </w:r>
          </w:p>
        </w:tc>
        <w:tc>
          <w:tcPr>
            <w:tcW w:w="1276" w:type="dxa"/>
            <w:shd w:val="clear" w:color="auto" w:fill="auto"/>
          </w:tcPr>
          <w:p w14:paraId="05F96528" w14:textId="77777777" w:rsidR="00790A0D" w:rsidRPr="00DD47DF" w:rsidRDefault="00790A0D" w:rsidP="006D2F5F">
            <w:pPr>
              <w:pStyle w:val="Tabulka"/>
              <w:jc w:val="left"/>
              <w:rPr>
                <w:rFonts w:cs="Calibri"/>
              </w:rPr>
            </w:pPr>
            <w:r w:rsidRPr="00DD47DF">
              <w:rPr>
                <w:rFonts w:cs="Calibri"/>
              </w:rPr>
              <w:lastRenderedPageBreak/>
              <w:t>Ano</w:t>
            </w:r>
          </w:p>
        </w:tc>
        <w:tc>
          <w:tcPr>
            <w:tcW w:w="1843" w:type="dxa"/>
            <w:shd w:val="clear" w:color="auto" w:fill="auto"/>
          </w:tcPr>
          <w:p w14:paraId="4BAA7464" w14:textId="77777777" w:rsidR="00790A0D" w:rsidRPr="00DD47DF" w:rsidRDefault="00790A0D" w:rsidP="006D2F5F">
            <w:pPr>
              <w:pStyle w:val="Tabulka"/>
              <w:jc w:val="left"/>
              <w:rPr>
                <w:rFonts w:cs="Calibri"/>
              </w:rPr>
            </w:pPr>
            <w:r w:rsidRPr="00DD47DF">
              <w:rPr>
                <w:rFonts w:cs="Calibri"/>
              </w:rPr>
              <w:t>Těmito opatřeními jsou:</w:t>
            </w:r>
          </w:p>
          <w:p w14:paraId="653FF765" w14:textId="77777777" w:rsidR="00790A0D" w:rsidRPr="00DD47DF" w:rsidRDefault="00790A0D" w:rsidP="006D2F5F">
            <w:pPr>
              <w:pStyle w:val="Tabulka"/>
              <w:jc w:val="left"/>
              <w:rPr>
                <w:rFonts w:cs="Calibri"/>
              </w:rPr>
            </w:pPr>
            <w:r w:rsidRPr="00DD47DF">
              <w:rPr>
                <w:rFonts w:cs="Calibri"/>
              </w:rPr>
              <w:t xml:space="preserve">Podpora kombinované výroby tepla a elektřiny je založena na poptávce po užitečném teple a úsporách primární energie v souladu s </w:t>
            </w:r>
            <w:r w:rsidRPr="00DD47DF">
              <w:rPr>
                <w:rFonts w:cs="Calibri"/>
              </w:rPr>
              <w:lastRenderedPageBreak/>
              <w:t>čl. 7 odst. 1 a čl. 9 odst. 1 písm. a) a b) směrnice 2004/8/ES, členské státy nebo jejich příslušné subjekty posoudily stávající právní a regulační rámec pro postupy schvalování nebo jiné postupy s cílem:</w:t>
            </w:r>
            <w:r w:rsidRPr="00DD47DF">
              <w:rPr>
                <w:rFonts w:cs="Calibri"/>
              </w:rPr>
              <w:br/>
              <w:t>a) podpořit navrhování jednotek pro kombinovanou výrobu tepla a elektřiny s cílem přizpůsobit se z hospodářského hlediska výstupu opodstatněné poptávky po užitečném teple a zabránit výrobě většího množství tepla než je užitečné teplo;</w:t>
            </w:r>
            <w:r w:rsidRPr="00DD47DF">
              <w:rPr>
                <w:rFonts w:cs="Calibri"/>
              </w:rPr>
              <w:br/>
              <w:t xml:space="preserve">b) omezit právní a jiné překážky pro zvýšení kombinované výroby tepla a </w:t>
            </w:r>
            <w:r w:rsidRPr="00DD47DF">
              <w:rPr>
                <w:rFonts w:cs="Calibri"/>
              </w:rPr>
              <w:lastRenderedPageBreak/>
              <w:t>elektřiny.</w:t>
            </w:r>
          </w:p>
        </w:tc>
        <w:tc>
          <w:tcPr>
            <w:tcW w:w="1134" w:type="dxa"/>
            <w:shd w:val="clear" w:color="auto" w:fill="auto"/>
          </w:tcPr>
          <w:p w14:paraId="6202BA14"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1DA969AF" w14:textId="77777777" w:rsidR="00790A0D" w:rsidRPr="00DD47DF" w:rsidRDefault="00013622" w:rsidP="006D2F5F">
            <w:pPr>
              <w:pStyle w:val="Tabulka"/>
              <w:jc w:val="left"/>
              <w:rPr>
                <w:rFonts w:cs="Calibri"/>
              </w:rPr>
            </w:pPr>
            <w:hyperlink r:id="rId149" w:anchor="local-content" w:history="1">
              <w:r w:rsidR="00790A0D" w:rsidRPr="00DD47DF">
                <w:rPr>
                  <w:rStyle w:val="Hypertextovodkaz"/>
                  <w:rFonts w:cs="Calibri"/>
                </w:rPr>
                <w:t>zákon č. 406/2000 Sb. o hospodaření energií</w:t>
              </w:r>
            </w:hyperlink>
            <w:r w:rsidR="00790A0D" w:rsidRPr="00DD47DF">
              <w:rPr>
                <w:rFonts w:cs="Calibri"/>
              </w:rPr>
              <w:t xml:space="preserve"> a </w:t>
            </w:r>
            <w:hyperlink r:id="rId150" w:anchor="local-content" w:history="1">
              <w:r w:rsidR="00790A0D" w:rsidRPr="00DD47DF">
                <w:rPr>
                  <w:rStyle w:val="Hypertextovodkaz"/>
                  <w:rFonts w:cs="Calibri"/>
                </w:rPr>
                <w:t>zákon č. 458/2000 Sb.</w:t>
              </w:r>
            </w:hyperlink>
            <w:r w:rsidR="00790A0D" w:rsidRPr="00DD47DF">
              <w:rPr>
                <w:rFonts w:cs="Calibri"/>
              </w:rPr>
              <w:t xml:space="preserve"> a jeho </w:t>
            </w:r>
            <w:hyperlink r:id="rId151" w:history="1">
              <w:r w:rsidR="00790A0D" w:rsidRPr="00DD47DF">
                <w:rPr>
                  <w:rStyle w:val="Hypertextovodkaz"/>
                  <w:rFonts w:cs="Calibri"/>
                </w:rPr>
                <w:t>prováděcí vyhlášky</w:t>
              </w:r>
            </w:hyperlink>
          </w:p>
        </w:tc>
        <w:tc>
          <w:tcPr>
            <w:tcW w:w="4394" w:type="dxa"/>
            <w:shd w:val="clear" w:color="auto" w:fill="auto"/>
          </w:tcPr>
          <w:p w14:paraId="07481EF1" w14:textId="77777777" w:rsidR="00790A0D" w:rsidRPr="00DD47DF" w:rsidRDefault="00790A0D" w:rsidP="006D2F5F">
            <w:pPr>
              <w:pStyle w:val="Tabulka"/>
              <w:jc w:val="left"/>
              <w:rPr>
                <w:rFonts w:cs="Calibri"/>
              </w:rPr>
            </w:pPr>
          </w:p>
        </w:tc>
      </w:tr>
      <w:tr w:rsidR="00790A0D" w:rsidRPr="00DD47DF" w14:paraId="2F243B55" w14:textId="77777777" w:rsidTr="006D2F5F">
        <w:tc>
          <w:tcPr>
            <w:tcW w:w="1752" w:type="dxa"/>
            <w:vMerge w:val="restart"/>
            <w:shd w:val="clear" w:color="auto" w:fill="auto"/>
          </w:tcPr>
          <w:p w14:paraId="12C07747" w14:textId="77777777" w:rsidR="00790A0D" w:rsidRPr="00DD47DF" w:rsidRDefault="00790A0D" w:rsidP="006D2F5F">
            <w:pPr>
              <w:pStyle w:val="Tabulka"/>
              <w:jc w:val="left"/>
              <w:rPr>
                <w:rFonts w:cs="Calibri"/>
                <w:b/>
              </w:rPr>
            </w:pPr>
            <w:r w:rsidRPr="00DD47DF">
              <w:rPr>
                <w:rFonts w:cs="Calibri"/>
                <w:b/>
              </w:rPr>
              <w:lastRenderedPageBreak/>
              <w:t>4.3. Byla provedena opatření na podporu výroby a distribuce energie z obnovitelných zdrojů</w:t>
            </w:r>
            <w:r w:rsidRPr="00DD47DF">
              <w:rPr>
                <w:rStyle w:val="Znakapoznpodarou"/>
                <w:rFonts w:cs="Calibri"/>
              </w:rPr>
              <w:footnoteReference w:id="98"/>
            </w:r>
            <w:r w:rsidRPr="00DD47DF">
              <w:rPr>
                <w:rFonts w:cs="Calibri"/>
                <w:b/>
              </w:rPr>
              <w:t>.</w:t>
            </w:r>
          </w:p>
          <w:p w14:paraId="7CACA0CD" w14:textId="77777777" w:rsidR="00790A0D" w:rsidRPr="00DD47DF" w:rsidRDefault="00790A0D" w:rsidP="006D2F5F">
            <w:pPr>
              <w:pStyle w:val="Tabulka"/>
              <w:jc w:val="left"/>
              <w:rPr>
                <w:rFonts w:cs="Calibri"/>
                <w:b/>
              </w:rPr>
            </w:pPr>
          </w:p>
        </w:tc>
        <w:tc>
          <w:tcPr>
            <w:tcW w:w="1701" w:type="dxa"/>
            <w:vMerge w:val="restart"/>
            <w:shd w:val="clear" w:color="auto" w:fill="auto"/>
          </w:tcPr>
          <w:p w14:paraId="05A1D9A7" w14:textId="77777777" w:rsidR="00790A0D" w:rsidRPr="00DD47DF" w:rsidRDefault="00790A0D" w:rsidP="006D2F5F">
            <w:pPr>
              <w:pStyle w:val="Tabulka"/>
              <w:jc w:val="left"/>
              <w:rPr>
                <w:rFonts w:cs="Calibri"/>
              </w:rPr>
            </w:pPr>
            <w:r w:rsidRPr="00DD47DF">
              <w:rPr>
                <w:rFonts w:cs="Calibri"/>
              </w:rPr>
              <w:t>PO 3 - Účinné nakládání energií, rozvoj energetické infrastruktury a obnovitelných zdrojů energie, podpora zavádění nových technologií v oblasti nakládání energií a druhotných surovin</w:t>
            </w:r>
          </w:p>
          <w:p w14:paraId="2D2794D7" w14:textId="77777777" w:rsidR="00790A0D" w:rsidRPr="00DD47DF" w:rsidRDefault="00790A0D" w:rsidP="006D2F5F">
            <w:pPr>
              <w:pStyle w:val="Tabulka"/>
              <w:jc w:val="left"/>
              <w:rPr>
                <w:rFonts w:cs="Calibri"/>
              </w:rPr>
            </w:pPr>
            <w:r w:rsidRPr="00DD47DF">
              <w:rPr>
                <w:rFonts w:cs="Calibri"/>
              </w:rPr>
              <w:t> </w:t>
            </w:r>
          </w:p>
        </w:tc>
        <w:tc>
          <w:tcPr>
            <w:tcW w:w="1276" w:type="dxa"/>
            <w:vMerge w:val="restart"/>
            <w:shd w:val="clear" w:color="auto" w:fill="auto"/>
          </w:tcPr>
          <w:p w14:paraId="6285C648" w14:textId="77777777" w:rsidR="00790A0D" w:rsidRPr="00DD47DF" w:rsidRDefault="00790A0D" w:rsidP="006D2F5F">
            <w:pPr>
              <w:pStyle w:val="Tabulka"/>
              <w:jc w:val="left"/>
              <w:rPr>
                <w:rFonts w:cs="Calibri"/>
              </w:rPr>
            </w:pPr>
            <w:r w:rsidRPr="00DD47DF">
              <w:rPr>
                <w:rFonts w:cs="Calibri"/>
              </w:rPr>
              <w:t>Ano</w:t>
            </w:r>
          </w:p>
          <w:p w14:paraId="4114B19E" w14:textId="77777777" w:rsidR="00790A0D" w:rsidRPr="00DD47DF" w:rsidRDefault="00790A0D" w:rsidP="006D2F5F">
            <w:pPr>
              <w:pStyle w:val="Tabulka"/>
              <w:jc w:val="left"/>
              <w:rPr>
                <w:rFonts w:cs="Calibri"/>
              </w:rPr>
            </w:pPr>
          </w:p>
        </w:tc>
        <w:tc>
          <w:tcPr>
            <w:tcW w:w="1843" w:type="dxa"/>
            <w:shd w:val="clear" w:color="auto" w:fill="auto"/>
          </w:tcPr>
          <w:p w14:paraId="51EEBEBB" w14:textId="77777777" w:rsidR="00790A0D" w:rsidRPr="00DD47DF" w:rsidRDefault="00790A0D" w:rsidP="006D2F5F">
            <w:pPr>
              <w:pStyle w:val="Tabulka"/>
              <w:jc w:val="left"/>
              <w:rPr>
                <w:rFonts w:cs="Calibri"/>
              </w:rPr>
            </w:pPr>
            <w:r w:rsidRPr="00DD47DF">
              <w:rPr>
                <w:rFonts w:cs="Calibri"/>
              </w:rPr>
              <w:t>V souladu s čl. 14 odst. 1, čl. 16 odst. 2 a 3 směrnice Evropského parlamentu a a Rady 2009/28/ES jsou k dispozici transparentní režimy podpory, přednostní přístup k distribuční soustavě či zaručený přístup a přednost při spouštění zařízení, jakož i jednotná pravidla pro hrazení a sdílení nákladů na technické úpravy, jež byla zveřejněna.</w:t>
            </w:r>
          </w:p>
        </w:tc>
        <w:tc>
          <w:tcPr>
            <w:tcW w:w="1134" w:type="dxa"/>
            <w:shd w:val="clear" w:color="auto" w:fill="auto"/>
          </w:tcPr>
          <w:p w14:paraId="4F17FEF3"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69C8325" w14:textId="77777777" w:rsidR="00790A0D" w:rsidRPr="00DD47DF" w:rsidRDefault="00013622" w:rsidP="006D2F5F">
            <w:pPr>
              <w:pStyle w:val="Tabulka"/>
              <w:jc w:val="left"/>
              <w:rPr>
                <w:rFonts w:cs="Calibri"/>
              </w:rPr>
            </w:pPr>
            <w:hyperlink r:id="rId152" w:anchor="local-content" w:history="1">
              <w:r w:rsidR="00790A0D" w:rsidRPr="00DD47DF">
                <w:rPr>
                  <w:rStyle w:val="Hypertextovodkaz"/>
                  <w:rFonts w:cs="Calibri"/>
                </w:rPr>
                <w:t>zákon č. 165/2012 Sb., o podporovaných zdrojích energie</w:t>
              </w:r>
            </w:hyperlink>
            <w:r w:rsidR="00790A0D" w:rsidRPr="00DD47DF">
              <w:rPr>
                <w:rFonts w:cs="Calibri"/>
              </w:rPr>
              <w:t xml:space="preserve"> a </w:t>
            </w:r>
            <w:hyperlink r:id="rId153" w:history="1">
              <w:r w:rsidR="00790A0D" w:rsidRPr="00DD47DF">
                <w:rPr>
                  <w:rStyle w:val="Hypertextovodkaz"/>
                  <w:rFonts w:cs="Calibri"/>
                </w:rPr>
                <w:t>prováděcí právní předpisy</w:t>
              </w:r>
            </w:hyperlink>
          </w:p>
          <w:p w14:paraId="1D601E9A" w14:textId="77777777" w:rsidR="00790A0D" w:rsidRPr="00DD47DF" w:rsidRDefault="00790A0D" w:rsidP="006D2F5F">
            <w:pPr>
              <w:pStyle w:val="Tabulka"/>
              <w:jc w:val="left"/>
              <w:rPr>
                <w:rFonts w:cs="Calibri"/>
              </w:rPr>
            </w:pPr>
          </w:p>
        </w:tc>
        <w:tc>
          <w:tcPr>
            <w:tcW w:w="4394" w:type="dxa"/>
            <w:shd w:val="clear" w:color="auto" w:fill="auto"/>
          </w:tcPr>
          <w:p w14:paraId="0B82AC9A" w14:textId="77777777" w:rsidR="00790A0D" w:rsidRPr="00DD47DF" w:rsidRDefault="00790A0D" w:rsidP="006D2F5F">
            <w:pPr>
              <w:pStyle w:val="Tabulka"/>
              <w:jc w:val="left"/>
              <w:rPr>
                <w:rFonts w:cs="Calibri"/>
              </w:rPr>
            </w:pPr>
          </w:p>
        </w:tc>
      </w:tr>
      <w:tr w:rsidR="00790A0D" w:rsidRPr="00DD47DF" w14:paraId="5E9B8781" w14:textId="77777777" w:rsidTr="006D2F5F">
        <w:tc>
          <w:tcPr>
            <w:tcW w:w="1752" w:type="dxa"/>
            <w:vMerge/>
            <w:shd w:val="clear" w:color="auto" w:fill="auto"/>
          </w:tcPr>
          <w:p w14:paraId="1C04E5E0" w14:textId="77777777" w:rsidR="00790A0D" w:rsidRPr="00DD47DF" w:rsidRDefault="00790A0D" w:rsidP="006D2F5F">
            <w:pPr>
              <w:pStyle w:val="Tabulka"/>
              <w:rPr>
                <w:rFonts w:cs="Calibri"/>
                <w:b/>
              </w:rPr>
            </w:pPr>
          </w:p>
        </w:tc>
        <w:tc>
          <w:tcPr>
            <w:tcW w:w="1701" w:type="dxa"/>
            <w:vMerge/>
            <w:shd w:val="clear" w:color="auto" w:fill="auto"/>
          </w:tcPr>
          <w:p w14:paraId="02F38C7C" w14:textId="77777777" w:rsidR="00790A0D" w:rsidRPr="00DD47DF" w:rsidRDefault="00790A0D" w:rsidP="006D2F5F">
            <w:pPr>
              <w:pStyle w:val="Tabulka"/>
              <w:rPr>
                <w:rFonts w:cs="Calibri"/>
              </w:rPr>
            </w:pPr>
          </w:p>
        </w:tc>
        <w:tc>
          <w:tcPr>
            <w:tcW w:w="1276" w:type="dxa"/>
            <w:vMerge/>
            <w:shd w:val="clear" w:color="auto" w:fill="auto"/>
          </w:tcPr>
          <w:p w14:paraId="546116CF" w14:textId="77777777" w:rsidR="00790A0D" w:rsidRPr="00DD47DF" w:rsidRDefault="00790A0D" w:rsidP="006D2F5F">
            <w:pPr>
              <w:pStyle w:val="Tabulka"/>
              <w:rPr>
                <w:rFonts w:cs="Calibri"/>
              </w:rPr>
            </w:pPr>
          </w:p>
        </w:tc>
        <w:tc>
          <w:tcPr>
            <w:tcW w:w="1843" w:type="dxa"/>
            <w:shd w:val="clear" w:color="auto" w:fill="auto"/>
          </w:tcPr>
          <w:p w14:paraId="2BB4F206" w14:textId="77777777" w:rsidR="00790A0D" w:rsidRPr="00DD47DF" w:rsidRDefault="00790A0D" w:rsidP="006D2F5F">
            <w:pPr>
              <w:pStyle w:val="Tabulka"/>
              <w:jc w:val="left"/>
              <w:rPr>
                <w:rFonts w:cs="Calibri"/>
              </w:rPr>
            </w:pPr>
            <w:r w:rsidRPr="00DD47DF">
              <w:rPr>
                <w:rFonts w:cs="Calibri"/>
              </w:rPr>
              <w:t xml:space="preserve">Členský stát přijal národní akční plán pro energii z obnovitelných zdrojů shodně s </w:t>
            </w:r>
            <w:r w:rsidRPr="00DD47DF">
              <w:rPr>
                <w:rFonts w:cs="Calibri"/>
              </w:rPr>
              <w:lastRenderedPageBreak/>
              <w:t>článkem 4 směrnice 2009/28/ES.</w:t>
            </w:r>
          </w:p>
        </w:tc>
        <w:tc>
          <w:tcPr>
            <w:tcW w:w="1134" w:type="dxa"/>
            <w:shd w:val="clear" w:color="auto" w:fill="auto"/>
          </w:tcPr>
          <w:p w14:paraId="57B58D18" w14:textId="77777777" w:rsidR="00790A0D" w:rsidRPr="00DD47DF" w:rsidRDefault="00790A0D" w:rsidP="006D2F5F">
            <w:pPr>
              <w:pStyle w:val="Tabulka"/>
              <w:jc w:val="left"/>
              <w:rPr>
                <w:rFonts w:cs="Calibri"/>
              </w:rPr>
            </w:pPr>
            <w:r w:rsidRPr="00DD47DF">
              <w:rPr>
                <w:rFonts w:cs="Calibri"/>
              </w:rPr>
              <w:lastRenderedPageBreak/>
              <w:t xml:space="preserve"> ano</w:t>
            </w:r>
          </w:p>
        </w:tc>
        <w:tc>
          <w:tcPr>
            <w:tcW w:w="2126" w:type="dxa"/>
            <w:shd w:val="clear" w:color="auto" w:fill="auto"/>
          </w:tcPr>
          <w:p w14:paraId="6AF2C568" w14:textId="77777777" w:rsidR="00790A0D" w:rsidRPr="00DD47DF" w:rsidRDefault="00013622" w:rsidP="006D2F5F">
            <w:pPr>
              <w:pStyle w:val="Tabulka"/>
              <w:jc w:val="left"/>
              <w:rPr>
                <w:rFonts w:cs="Calibri"/>
              </w:rPr>
            </w:pPr>
            <w:hyperlink r:id="rId154" w:history="1">
              <w:r w:rsidR="00790A0D" w:rsidRPr="00DD47DF">
                <w:rPr>
                  <w:rStyle w:val="Hypertextovodkaz"/>
                  <w:rFonts w:cs="Calibri"/>
                </w:rPr>
                <w:t>Národní akční plán ČR pro energii z obnovitelných zdrojů 2010-2020</w:t>
              </w:r>
            </w:hyperlink>
          </w:p>
        </w:tc>
        <w:tc>
          <w:tcPr>
            <w:tcW w:w="4394" w:type="dxa"/>
            <w:shd w:val="clear" w:color="auto" w:fill="auto"/>
          </w:tcPr>
          <w:p w14:paraId="7E8C1200" w14:textId="77777777" w:rsidR="00790A0D" w:rsidRPr="00DD47DF" w:rsidRDefault="00790A0D" w:rsidP="006D2F5F">
            <w:pPr>
              <w:pStyle w:val="Tabulka"/>
              <w:jc w:val="left"/>
              <w:rPr>
                <w:rFonts w:cs="Calibri"/>
              </w:rPr>
            </w:pPr>
          </w:p>
        </w:tc>
      </w:tr>
      <w:tr w:rsidR="00790A0D" w:rsidRPr="00DD47DF" w14:paraId="458DE1D5" w14:textId="77777777" w:rsidTr="006D2F5F">
        <w:tc>
          <w:tcPr>
            <w:tcW w:w="1752" w:type="dxa"/>
            <w:vMerge w:val="restart"/>
            <w:shd w:val="clear" w:color="auto" w:fill="auto"/>
          </w:tcPr>
          <w:p w14:paraId="0FAA434C" w14:textId="77777777" w:rsidR="00790A0D" w:rsidRPr="00DD47DF" w:rsidRDefault="00790A0D" w:rsidP="006D2F5F">
            <w:pPr>
              <w:pStyle w:val="Tabulka"/>
              <w:jc w:val="left"/>
              <w:rPr>
                <w:rFonts w:cs="Calibri"/>
                <w:b/>
              </w:rPr>
            </w:pPr>
            <w:r w:rsidRPr="00DD47DF">
              <w:rPr>
                <w:rFonts w:cs="Calibri"/>
                <w:b/>
              </w:rPr>
              <w:t>7.4 Rozvoj systémů inteligentní pro distribuci, skladování a přenos energie.</w:t>
            </w:r>
          </w:p>
          <w:p w14:paraId="11E46F83" w14:textId="77777777" w:rsidR="00790A0D" w:rsidRPr="00DD47DF" w:rsidRDefault="00790A0D" w:rsidP="006D2F5F">
            <w:pPr>
              <w:pStyle w:val="Tabulka"/>
              <w:jc w:val="left"/>
              <w:rPr>
                <w:rFonts w:cs="Calibri"/>
                <w:b/>
              </w:rPr>
            </w:pPr>
            <w:r w:rsidRPr="00DD47DF">
              <w:rPr>
                <w:rFonts w:cs="Calibri"/>
                <w:b/>
              </w:rPr>
              <w:t>Existence komplexních plánů pro investice do inteligentní energetické infrastruktury a regulačních opatření, která přispívají ke zlepšení energetické účinnosti a zabezpečení dodávek.</w:t>
            </w:r>
          </w:p>
          <w:p w14:paraId="0396B136" w14:textId="77777777" w:rsidR="00790A0D" w:rsidRPr="00DD47DF" w:rsidRDefault="00790A0D" w:rsidP="006D2F5F">
            <w:pPr>
              <w:pStyle w:val="Tabulka"/>
              <w:jc w:val="left"/>
              <w:rPr>
                <w:rFonts w:cs="Calibri"/>
                <w:b/>
              </w:rPr>
            </w:pPr>
          </w:p>
        </w:tc>
        <w:tc>
          <w:tcPr>
            <w:tcW w:w="1701" w:type="dxa"/>
            <w:vMerge w:val="restart"/>
            <w:shd w:val="clear" w:color="auto" w:fill="auto"/>
          </w:tcPr>
          <w:p w14:paraId="47191612" w14:textId="77777777" w:rsidR="00790A0D" w:rsidRPr="00DD47DF" w:rsidRDefault="00790A0D" w:rsidP="006D2F5F">
            <w:pPr>
              <w:pStyle w:val="Tabulka"/>
              <w:jc w:val="left"/>
              <w:rPr>
                <w:rFonts w:cs="Calibri"/>
              </w:rPr>
            </w:pPr>
            <w:r w:rsidRPr="00DD47DF">
              <w:rPr>
                <w:rFonts w:cs="Calibri"/>
              </w:rPr>
              <w:t>PO 3 – Účinné nakládání energií, rozvoj energetické infrastruktury a obnovitelných zdrojů energie, podpora zavádění nových technologií v oblasti nakládání energií a druhotných surovin</w:t>
            </w:r>
          </w:p>
        </w:tc>
        <w:tc>
          <w:tcPr>
            <w:tcW w:w="1276" w:type="dxa"/>
            <w:vMerge w:val="restart"/>
            <w:shd w:val="clear" w:color="auto" w:fill="auto"/>
          </w:tcPr>
          <w:p w14:paraId="287085E2" w14:textId="77777777" w:rsidR="00790A0D" w:rsidRPr="00DD47DF" w:rsidRDefault="00790A0D" w:rsidP="006D2F5F">
            <w:pPr>
              <w:pStyle w:val="Tabulka"/>
              <w:jc w:val="left"/>
              <w:rPr>
                <w:rFonts w:cs="Calibri"/>
              </w:rPr>
            </w:pPr>
            <w:r w:rsidRPr="00DD47DF">
              <w:rPr>
                <w:rFonts w:cs="Calibri"/>
              </w:rPr>
              <w:t>Ano</w:t>
            </w:r>
          </w:p>
          <w:p w14:paraId="7FCD04AB" w14:textId="77777777" w:rsidR="00790A0D" w:rsidRPr="00DD47DF" w:rsidRDefault="00790A0D" w:rsidP="006D2F5F">
            <w:pPr>
              <w:pStyle w:val="Tabulka"/>
              <w:jc w:val="left"/>
              <w:rPr>
                <w:rFonts w:cs="Calibri"/>
              </w:rPr>
            </w:pPr>
          </w:p>
        </w:tc>
        <w:tc>
          <w:tcPr>
            <w:tcW w:w="1843" w:type="dxa"/>
            <w:shd w:val="clear" w:color="auto" w:fill="auto"/>
          </w:tcPr>
          <w:p w14:paraId="7738FE97" w14:textId="77777777" w:rsidR="00790A0D" w:rsidRPr="00DD47DF" w:rsidRDefault="00790A0D" w:rsidP="006D2F5F">
            <w:pPr>
              <w:pStyle w:val="Tabulka"/>
              <w:jc w:val="left"/>
              <w:rPr>
                <w:rFonts w:cs="Calibri"/>
              </w:rPr>
            </w:pPr>
            <w:r w:rsidRPr="00DD47DF">
              <w:rPr>
                <w:rFonts w:cs="Calibri"/>
              </w:rPr>
              <w:t>Jsou zavedeny komplexní plány popisující priority vnitrostátní energetické infrastruktury:</w:t>
            </w:r>
          </w:p>
        </w:tc>
        <w:tc>
          <w:tcPr>
            <w:tcW w:w="1134" w:type="dxa"/>
            <w:shd w:val="clear" w:color="auto" w:fill="auto"/>
          </w:tcPr>
          <w:p w14:paraId="608BEB67" w14:textId="77777777" w:rsidR="00790A0D" w:rsidRPr="00DD47DF" w:rsidRDefault="00790A0D" w:rsidP="006D2F5F">
            <w:pPr>
              <w:pStyle w:val="Tabulka"/>
              <w:jc w:val="left"/>
              <w:rPr>
                <w:rFonts w:cs="Calibri"/>
              </w:rPr>
            </w:pPr>
            <w:r w:rsidRPr="00DD47DF">
              <w:rPr>
                <w:rFonts w:cs="Calibri"/>
              </w:rPr>
              <w:t>ano</w:t>
            </w:r>
          </w:p>
          <w:p w14:paraId="72D2B4B1" w14:textId="77777777" w:rsidR="00790A0D" w:rsidRPr="00DD47DF" w:rsidRDefault="00790A0D" w:rsidP="006D2F5F">
            <w:pPr>
              <w:pStyle w:val="Tabulka"/>
              <w:jc w:val="left"/>
              <w:rPr>
                <w:rFonts w:cs="Calibri"/>
              </w:rPr>
            </w:pPr>
          </w:p>
        </w:tc>
        <w:tc>
          <w:tcPr>
            <w:tcW w:w="2126" w:type="dxa"/>
            <w:shd w:val="clear" w:color="auto" w:fill="auto"/>
          </w:tcPr>
          <w:p w14:paraId="186AE82F" w14:textId="77777777" w:rsidR="00790A0D" w:rsidRPr="00DD47DF" w:rsidRDefault="00790A0D" w:rsidP="006D2F5F">
            <w:pPr>
              <w:pStyle w:val="Tabulka"/>
              <w:jc w:val="left"/>
              <w:rPr>
                <w:rFonts w:cs="Calibri"/>
              </w:rPr>
            </w:pPr>
            <w:r w:rsidRPr="00DD47DF">
              <w:rPr>
                <w:rFonts w:cs="Calibri"/>
              </w:rPr>
              <w:t>Energetický zákon (EZ):</w:t>
            </w:r>
          </w:p>
          <w:p w14:paraId="585A0C8B" w14:textId="77777777" w:rsidR="00790A0D" w:rsidRPr="00DD47DF" w:rsidRDefault="00013622" w:rsidP="006D2F5F">
            <w:pPr>
              <w:pStyle w:val="Tabulka"/>
              <w:jc w:val="left"/>
              <w:rPr>
                <w:rFonts w:cs="Calibri"/>
              </w:rPr>
            </w:pPr>
            <w:hyperlink r:id="rId155" w:anchor="local-content" w:history="1">
              <w:r w:rsidR="00790A0D" w:rsidRPr="00DD47DF">
                <w:rPr>
                  <w:rStyle w:val="Hypertextovodkaz"/>
                  <w:rFonts w:cs="Calibri"/>
                </w:rPr>
                <w:t>http://portal.gov.cz/app/zakony/zakonPar.jsp?idBiblio=49962&amp;fulltext=&amp;nr=458~2F2000&amp;part=&amp;name=&amp;rpp=15#local-content</w:t>
              </w:r>
            </w:hyperlink>
          </w:p>
        </w:tc>
        <w:tc>
          <w:tcPr>
            <w:tcW w:w="4394" w:type="dxa"/>
            <w:shd w:val="clear" w:color="auto" w:fill="auto"/>
          </w:tcPr>
          <w:p w14:paraId="11A0168D" w14:textId="77777777" w:rsidR="00790A0D" w:rsidRPr="00DD47DF" w:rsidRDefault="00790A0D" w:rsidP="006D2F5F">
            <w:pPr>
              <w:pStyle w:val="Tabulka"/>
              <w:jc w:val="left"/>
              <w:rPr>
                <w:rFonts w:cs="Calibri"/>
              </w:rPr>
            </w:pPr>
            <w:r w:rsidRPr="00DD47DF">
              <w:rPr>
                <w:rFonts w:cs="Calibri"/>
              </w:rPr>
              <w:t>Obecná poznámka: ČR má v případě elektroenergetiky majetkové oddělení provozovatele přenosové soustavy</w:t>
            </w:r>
          </w:p>
        </w:tc>
      </w:tr>
      <w:tr w:rsidR="00790A0D" w:rsidRPr="00DD47DF" w14:paraId="6B66404F" w14:textId="77777777" w:rsidTr="006D2F5F">
        <w:tc>
          <w:tcPr>
            <w:tcW w:w="1752" w:type="dxa"/>
            <w:vMerge/>
            <w:shd w:val="clear" w:color="auto" w:fill="auto"/>
          </w:tcPr>
          <w:p w14:paraId="6F1D9493" w14:textId="77777777" w:rsidR="00790A0D" w:rsidRPr="00DD47DF" w:rsidRDefault="00790A0D" w:rsidP="006D2F5F">
            <w:pPr>
              <w:pStyle w:val="Tabulka"/>
              <w:jc w:val="left"/>
              <w:rPr>
                <w:rFonts w:cs="Calibri"/>
                <w:b/>
              </w:rPr>
            </w:pPr>
          </w:p>
        </w:tc>
        <w:tc>
          <w:tcPr>
            <w:tcW w:w="1701" w:type="dxa"/>
            <w:vMerge/>
            <w:shd w:val="clear" w:color="auto" w:fill="auto"/>
          </w:tcPr>
          <w:p w14:paraId="5CD9B054" w14:textId="77777777" w:rsidR="00790A0D" w:rsidRPr="00DD47DF" w:rsidRDefault="00790A0D" w:rsidP="006D2F5F">
            <w:pPr>
              <w:pStyle w:val="Tabulka"/>
              <w:jc w:val="left"/>
              <w:rPr>
                <w:rFonts w:cs="Calibri"/>
              </w:rPr>
            </w:pPr>
          </w:p>
        </w:tc>
        <w:tc>
          <w:tcPr>
            <w:tcW w:w="1276" w:type="dxa"/>
            <w:vMerge/>
            <w:shd w:val="clear" w:color="auto" w:fill="auto"/>
          </w:tcPr>
          <w:p w14:paraId="264E7A22" w14:textId="77777777" w:rsidR="00790A0D" w:rsidRPr="00DD47DF" w:rsidRDefault="00790A0D" w:rsidP="006D2F5F">
            <w:pPr>
              <w:pStyle w:val="Tabulka"/>
              <w:jc w:val="left"/>
              <w:rPr>
                <w:rFonts w:cs="Calibri"/>
              </w:rPr>
            </w:pPr>
          </w:p>
        </w:tc>
        <w:tc>
          <w:tcPr>
            <w:tcW w:w="1843" w:type="dxa"/>
            <w:shd w:val="clear" w:color="auto" w:fill="auto"/>
          </w:tcPr>
          <w:p w14:paraId="2BB0283E" w14:textId="77777777" w:rsidR="00790A0D" w:rsidRPr="00DD47DF" w:rsidRDefault="00790A0D" w:rsidP="006D2F5F">
            <w:pPr>
              <w:pStyle w:val="Tabulka"/>
              <w:jc w:val="left"/>
              <w:rPr>
                <w:rFonts w:cs="Calibri"/>
              </w:rPr>
            </w:pPr>
            <w:r w:rsidRPr="00DD47DF">
              <w:rPr>
                <w:rFonts w:cs="Calibri"/>
              </w:rPr>
              <w:t>v souladu s článkem 22 směrnice 2009/72/EC a směrnice 2009/73/EC, nebo</w:t>
            </w:r>
          </w:p>
        </w:tc>
        <w:tc>
          <w:tcPr>
            <w:tcW w:w="1134" w:type="dxa"/>
            <w:shd w:val="clear" w:color="auto" w:fill="auto"/>
          </w:tcPr>
          <w:p w14:paraId="2004ADB7"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6E88FB20" w14:textId="77777777" w:rsidR="00790A0D" w:rsidRPr="00DD47DF" w:rsidRDefault="002756E7" w:rsidP="006D2F5F">
            <w:pPr>
              <w:pStyle w:val="Tabulka"/>
              <w:jc w:val="left"/>
              <w:rPr>
                <w:rStyle w:val="Hypertextovodkaz"/>
                <w:rFonts w:cs="Calibri"/>
              </w:rPr>
            </w:pPr>
            <w:r w:rsidRPr="00DD47DF">
              <w:rPr>
                <w:rFonts w:eastAsia="Calibri" w:cs="Calibri"/>
              </w:rPr>
              <w:fldChar w:fldCharType="begin"/>
            </w:r>
            <w:r w:rsidR="00790A0D" w:rsidRPr="00DD47DF">
              <w:rPr>
                <w:rFonts w:cs="Calibri"/>
              </w:rPr>
              <w:instrText xml:space="preserve"> HYPERLINK "http://portal.gov.cz/app/zakony/zakonPar.jsp?idBiblio=49962&amp;fulltext=&amp;nr=458~2F2000&amp;part=&amp;name=&amp;rpp=15" \l "local-content" </w:instrText>
            </w:r>
            <w:r w:rsidRPr="00DD47DF">
              <w:rPr>
                <w:rFonts w:eastAsia="Calibri" w:cs="Calibri"/>
              </w:rPr>
              <w:fldChar w:fldCharType="separate"/>
            </w:r>
            <w:r w:rsidR="00790A0D" w:rsidRPr="00DD47DF">
              <w:rPr>
                <w:rStyle w:val="Hypertextovodkaz"/>
                <w:rFonts w:cs="Calibri"/>
              </w:rPr>
              <w:t>§ 24 odst. 10 písm. j),</w:t>
            </w:r>
          </w:p>
          <w:p w14:paraId="1816FCEE" w14:textId="77777777" w:rsidR="00790A0D" w:rsidRPr="00DD47DF" w:rsidRDefault="00790A0D" w:rsidP="006D2F5F">
            <w:pPr>
              <w:pStyle w:val="Tabulka"/>
              <w:jc w:val="left"/>
              <w:rPr>
                <w:rFonts w:cs="Calibri"/>
              </w:rPr>
            </w:pPr>
            <w:r w:rsidRPr="00DD47DF">
              <w:rPr>
                <w:rStyle w:val="Hypertextovodkaz"/>
                <w:rFonts w:cs="Calibri"/>
              </w:rPr>
              <w:t>A § 58k odst.(3), (5), § 58l zákona č. 458/2000 Sb.</w:t>
            </w:r>
            <w:r w:rsidR="002756E7" w:rsidRPr="00DD47DF">
              <w:rPr>
                <w:rFonts w:cs="Calibri"/>
              </w:rPr>
              <w:fldChar w:fldCharType="end"/>
            </w:r>
          </w:p>
          <w:p w14:paraId="44F1E524" w14:textId="77777777" w:rsidR="00790A0D" w:rsidRPr="00DD47DF" w:rsidRDefault="00790A0D" w:rsidP="006D2F5F">
            <w:pPr>
              <w:pStyle w:val="Tabulka"/>
              <w:jc w:val="left"/>
              <w:rPr>
                <w:rFonts w:cs="Calibri"/>
              </w:rPr>
            </w:pPr>
            <w:r w:rsidRPr="00DD47DF">
              <w:rPr>
                <w:rFonts w:cs="Calibri"/>
              </w:rPr>
              <w:t>ve znění zákona č. 211/2011 Sb. (dále jen EZ)</w:t>
            </w:r>
          </w:p>
        </w:tc>
        <w:tc>
          <w:tcPr>
            <w:tcW w:w="4394" w:type="dxa"/>
            <w:shd w:val="clear" w:color="auto" w:fill="auto"/>
          </w:tcPr>
          <w:p w14:paraId="0EF07624" w14:textId="77777777" w:rsidR="00790A0D" w:rsidRPr="00DD47DF" w:rsidRDefault="00790A0D" w:rsidP="006D2F5F">
            <w:pPr>
              <w:pStyle w:val="Tabulka"/>
              <w:jc w:val="left"/>
              <w:rPr>
                <w:rFonts w:cs="Calibri"/>
              </w:rPr>
            </w:pPr>
            <w:r w:rsidRPr="00DD47DF">
              <w:rPr>
                <w:rFonts w:cs="Calibri"/>
              </w:rPr>
              <w:t>(10) Provozovatel přenosové soustavy je dále povinen</w:t>
            </w:r>
          </w:p>
          <w:p w14:paraId="39F0F14F" w14:textId="77777777" w:rsidR="00790A0D" w:rsidRPr="00DD47DF" w:rsidRDefault="00790A0D" w:rsidP="006D2F5F">
            <w:pPr>
              <w:pStyle w:val="Tabulka"/>
              <w:jc w:val="left"/>
              <w:rPr>
                <w:rFonts w:cs="Calibri"/>
              </w:rPr>
            </w:pPr>
            <w:r w:rsidRPr="00DD47DF">
              <w:rPr>
                <w:rFonts w:cs="Calibri"/>
              </w:rPr>
              <w:t>j) každoročně zpracovávat plán rozvoje přenosové soustavy včetně plánu investičního v rozsahu podle § 58k odst. (3) a po jeho schválení jej zveřejňovat; ustanovení § 58l odst. (5) se použije obdobně,</w:t>
            </w:r>
          </w:p>
        </w:tc>
      </w:tr>
      <w:tr w:rsidR="00790A0D" w:rsidRPr="00DD47DF" w14:paraId="5C0C2F2A" w14:textId="77777777" w:rsidTr="006D2F5F">
        <w:tc>
          <w:tcPr>
            <w:tcW w:w="1752" w:type="dxa"/>
            <w:vMerge/>
            <w:shd w:val="clear" w:color="auto" w:fill="auto"/>
          </w:tcPr>
          <w:p w14:paraId="4CBE0405" w14:textId="77777777" w:rsidR="00790A0D" w:rsidRPr="00DD47DF" w:rsidRDefault="00790A0D" w:rsidP="006D2F5F">
            <w:pPr>
              <w:pStyle w:val="Tabulka"/>
              <w:jc w:val="left"/>
              <w:rPr>
                <w:rFonts w:cs="Calibri"/>
                <w:b/>
              </w:rPr>
            </w:pPr>
          </w:p>
        </w:tc>
        <w:tc>
          <w:tcPr>
            <w:tcW w:w="1701" w:type="dxa"/>
            <w:vMerge/>
            <w:shd w:val="clear" w:color="auto" w:fill="auto"/>
          </w:tcPr>
          <w:p w14:paraId="30AD0E42" w14:textId="77777777" w:rsidR="00790A0D" w:rsidRPr="00DD47DF" w:rsidRDefault="00790A0D" w:rsidP="006D2F5F">
            <w:pPr>
              <w:pStyle w:val="Tabulka"/>
              <w:jc w:val="left"/>
              <w:rPr>
                <w:rFonts w:cs="Calibri"/>
              </w:rPr>
            </w:pPr>
          </w:p>
        </w:tc>
        <w:tc>
          <w:tcPr>
            <w:tcW w:w="1276" w:type="dxa"/>
            <w:vMerge/>
            <w:shd w:val="clear" w:color="auto" w:fill="auto"/>
          </w:tcPr>
          <w:p w14:paraId="7A08B6AA" w14:textId="77777777" w:rsidR="00790A0D" w:rsidRPr="00DD47DF" w:rsidRDefault="00790A0D" w:rsidP="006D2F5F">
            <w:pPr>
              <w:pStyle w:val="Tabulka"/>
              <w:jc w:val="left"/>
              <w:rPr>
                <w:rFonts w:cs="Calibri"/>
              </w:rPr>
            </w:pPr>
          </w:p>
        </w:tc>
        <w:tc>
          <w:tcPr>
            <w:tcW w:w="1843" w:type="dxa"/>
            <w:shd w:val="clear" w:color="auto" w:fill="auto"/>
          </w:tcPr>
          <w:p w14:paraId="3B549CE8" w14:textId="77777777" w:rsidR="00790A0D" w:rsidRPr="00DD47DF" w:rsidRDefault="00790A0D" w:rsidP="006D2F5F">
            <w:pPr>
              <w:pStyle w:val="Tabulka"/>
              <w:jc w:val="left"/>
              <w:rPr>
                <w:rFonts w:cs="Calibri"/>
              </w:rPr>
            </w:pPr>
            <w:r w:rsidRPr="00DD47DF">
              <w:rPr>
                <w:rFonts w:cs="Calibri"/>
              </w:rPr>
              <w:t xml:space="preserve">v souladu s příslušnými regionálními plány investic podle článku 12 a s celounijním desetiletým plánem rozvoje sítí v souladu s písm. čl. 8 odst. 3 písm. b) (3) nařízení Evropského parlamentu a Rady </w:t>
            </w:r>
            <w:r w:rsidRPr="00DD47DF">
              <w:rPr>
                <w:rFonts w:cs="Calibri"/>
              </w:rPr>
              <w:lastRenderedPageBreak/>
              <w:t>(ES) č. 714/2009</w:t>
            </w:r>
            <w:r w:rsidRPr="00DD47DF">
              <w:rPr>
                <w:rStyle w:val="Znakapoznpodarou"/>
                <w:rFonts w:cs="Calibri"/>
              </w:rPr>
              <w:footnoteReference w:id="99"/>
            </w:r>
            <w:r w:rsidRPr="00DD47DF">
              <w:rPr>
                <w:rFonts w:cs="Calibri"/>
              </w:rPr>
              <w:t xml:space="preserve"> a s nařízením Evropského parlamentu a Rady (ES) č. 715/2009</w:t>
            </w:r>
            <w:r w:rsidRPr="00DD47DF">
              <w:rPr>
                <w:rStyle w:val="Znakapoznpodarou"/>
                <w:rFonts w:cs="Calibri"/>
              </w:rPr>
              <w:footnoteReference w:id="100"/>
            </w:r>
            <w:r w:rsidRPr="00DD47DF">
              <w:rPr>
                <w:rFonts w:cs="Calibri"/>
              </w:rPr>
              <w:t xml:space="preserve">, nebo  </w:t>
            </w:r>
          </w:p>
        </w:tc>
        <w:tc>
          <w:tcPr>
            <w:tcW w:w="1134" w:type="dxa"/>
            <w:shd w:val="clear" w:color="auto" w:fill="auto"/>
          </w:tcPr>
          <w:p w14:paraId="38144194"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7C24A7AC" w14:textId="77777777" w:rsidR="00790A0D" w:rsidRPr="00DD47DF" w:rsidRDefault="00013622" w:rsidP="006D2F5F">
            <w:pPr>
              <w:pStyle w:val="Tabulka"/>
              <w:jc w:val="left"/>
              <w:rPr>
                <w:rFonts w:cs="Calibri"/>
              </w:rPr>
            </w:pPr>
            <w:hyperlink r:id="rId156" w:anchor="local-content" w:history="1">
              <w:r w:rsidR="00790A0D" w:rsidRPr="00DD47DF">
                <w:rPr>
                  <w:rStyle w:val="Hypertextovodkaz"/>
                  <w:rFonts w:cs="Calibri"/>
                </w:rPr>
                <w:t>§ 58k, zejména odst. (3); § 58l odst. (5) EZ</w:t>
              </w:r>
            </w:hyperlink>
          </w:p>
        </w:tc>
        <w:tc>
          <w:tcPr>
            <w:tcW w:w="4394" w:type="dxa"/>
            <w:shd w:val="clear" w:color="auto" w:fill="auto"/>
          </w:tcPr>
          <w:p w14:paraId="25417AAE" w14:textId="77777777" w:rsidR="00790A0D" w:rsidRPr="00DD47DF" w:rsidRDefault="00790A0D" w:rsidP="006D2F5F">
            <w:pPr>
              <w:pStyle w:val="Tabulka"/>
              <w:jc w:val="left"/>
              <w:rPr>
                <w:rFonts w:cs="Calibri"/>
              </w:rPr>
            </w:pPr>
            <w:r w:rsidRPr="00DD47DF">
              <w:rPr>
                <w:rFonts w:cs="Calibri"/>
              </w:rPr>
              <w:t>ERU posuzuje soulad (konzistentnost) s plánem rozvoje soustavy pro celou EU podle nařízení o podmínkách přístupu</w:t>
            </w:r>
          </w:p>
        </w:tc>
      </w:tr>
      <w:tr w:rsidR="00790A0D" w:rsidRPr="00DD47DF" w14:paraId="78881675" w14:textId="77777777" w:rsidTr="006D2F5F">
        <w:tc>
          <w:tcPr>
            <w:tcW w:w="1752" w:type="dxa"/>
            <w:vMerge/>
            <w:shd w:val="clear" w:color="auto" w:fill="auto"/>
          </w:tcPr>
          <w:p w14:paraId="5A7A42CF" w14:textId="77777777" w:rsidR="00790A0D" w:rsidRPr="00DD47DF" w:rsidRDefault="00790A0D" w:rsidP="006D2F5F">
            <w:pPr>
              <w:pStyle w:val="Tabulka"/>
              <w:jc w:val="left"/>
              <w:rPr>
                <w:rFonts w:cs="Calibri"/>
                <w:b/>
              </w:rPr>
            </w:pPr>
          </w:p>
        </w:tc>
        <w:tc>
          <w:tcPr>
            <w:tcW w:w="1701" w:type="dxa"/>
            <w:vMerge/>
            <w:shd w:val="clear" w:color="auto" w:fill="auto"/>
          </w:tcPr>
          <w:p w14:paraId="1F61F643" w14:textId="77777777" w:rsidR="00790A0D" w:rsidRPr="00DD47DF" w:rsidRDefault="00790A0D" w:rsidP="006D2F5F">
            <w:pPr>
              <w:pStyle w:val="Tabulka"/>
              <w:jc w:val="left"/>
              <w:rPr>
                <w:rFonts w:cs="Calibri"/>
              </w:rPr>
            </w:pPr>
          </w:p>
        </w:tc>
        <w:tc>
          <w:tcPr>
            <w:tcW w:w="1276" w:type="dxa"/>
            <w:vMerge/>
            <w:shd w:val="clear" w:color="auto" w:fill="auto"/>
          </w:tcPr>
          <w:p w14:paraId="0C3133DF" w14:textId="77777777" w:rsidR="00790A0D" w:rsidRPr="00DD47DF" w:rsidRDefault="00790A0D" w:rsidP="006D2F5F">
            <w:pPr>
              <w:pStyle w:val="Tabulka"/>
              <w:jc w:val="left"/>
              <w:rPr>
                <w:rFonts w:cs="Calibri"/>
              </w:rPr>
            </w:pPr>
          </w:p>
        </w:tc>
        <w:tc>
          <w:tcPr>
            <w:tcW w:w="1843" w:type="dxa"/>
            <w:shd w:val="clear" w:color="auto" w:fill="auto"/>
          </w:tcPr>
          <w:p w14:paraId="569FA915" w14:textId="77777777" w:rsidR="00790A0D" w:rsidRPr="00DD47DF" w:rsidRDefault="00790A0D" w:rsidP="006D2F5F">
            <w:pPr>
              <w:pStyle w:val="Tabulka"/>
              <w:jc w:val="left"/>
              <w:rPr>
                <w:rFonts w:cs="Calibri"/>
              </w:rPr>
            </w:pPr>
            <w:r w:rsidRPr="00DD47DF">
              <w:rPr>
                <w:rFonts w:cs="Calibri"/>
              </w:rPr>
              <w:t>v souladu s čl. 3 odst. 4 nařízení Evropského parlamentu a Rady č. 347/2013</w:t>
            </w:r>
            <w:r w:rsidRPr="00DD47DF">
              <w:rPr>
                <w:rStyle w:val="Znakapoznpodarou"/>
                <w:rFonts w:cs="Calibri"/>
              </w:rPr>
              <w:footnoteReference w:id="101"/>
            </w:r>
            <w:r w:rsidRPr="00DD47DF">
              <w:rPr>
                <w:rFonts w:cs="Calibri"/>
              </w:rPr>
              <w:t>;</w:t>
            </w:r>
          </w:p>
        </w:tc>
        <w:tc>
          <w:tcPr>
            <w:tcW w:w="1134" w:type="dxa"/>
            <w:shd w:val="clear" w:color="auto" w:fill="auto"/>
          </w:tcPr>
          <w:p w14:paraId="462677E0"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4CD19FC5" w14:textId="77777777" w:rsidR="00790A0D" w:rsidRPr="00DD47DF" w:rsidRDefault="00013622" w:rsidP="006D2F5F">
            <w:pPr>
              <w:pStyle w:val="Tabulka"/>
              <w:jc w:val="left"/>
              <w:rPr>
                <w:rFonts w:cs="Calibri"/>
              </w:rPr>
            </w:pPr>
            <w:hyperlink r:id="rId157" w:anchor="local-content" w:history="1">
              <w:r w:rsidR="00790A0D" w:rsidRPr="00DD47DF">
                <w:rPr>
                  <w:rStyle w:val="Hypertextovodkaz"/>
                  <w:rFonts w:cs="Calibri"/>
                </w:rPr>
                <w:t>§ 58k, zejména odst. (3) a (8) EZ</w:t>
              </w:r>
            </w:hyperlink>
          </w:p>
        </w:tc>
        <w:tc>
          <w:tcPr>
            <w:tcW w:w="4394" w:type="dxa"/>
            <w:shd w:val="clear" w:color="auto" w:fill="auto"/>
          </w:tcPr>
          <w:p w14:paraId="20EB28C7" w14:textId="77777777" w:rsidR="00790A0D" w:rsidRPr="00DD47DF" w:rsidRDefault="00790A0D" w:rsidP="006D2F5F">
            <w:pPr>
              <w:pStyle w:val="Tabulka"/>
              <w:jc w:val="left"/>
              <w:rPr>
                <w:rFonts w:cs="Calibri"/>
              </w:rPr>
            </w:pPr>
            <w:r w:rsidRPr="00DD47DF">
              <w:rPr>
                <w:rFonts w:cs="Calibri"/>
              </w:rPr>
              <w:t>Požadavky dle čl. 3.4 Nařízení č. 347/2013 zajišťují TSO a kontroluje ERÚ</w:t>
            </w:r>
          </w:p>
        </w:tc>
      </w:tr>
      <w:tr w:rsidR="00790A0D" w:rsidRPr="00DD47DF" w14:paraId="618E2D16" w14:textId="77777777" w:rsidTr="006D2F5F">
        <w:tc>
          <w:tcPr>
            <w:tcW w:w="1752" w:type="dxa"/>
            <w:vMerge/>
            <w:shd w:val="clear" w:color="auto" w:fill="auto"/>
          </w:tcPr>
          <w:p w14:paraId="17D2813D" w14:textId="77777777" w:rsidR="00790A0D" w:rsidRPr="00DD47DF" w:rsidRDefault="00790A0D" w:rsidP="006D2F5F">
            <w:pPr>
              <w:pStyle w:val="Tabulka"/>
              <w:jc w:val="left"/>
              <w:rPr>
                <w:rFonts w:cs="Calibri"/>
                <w:b/>
              </w:rPr>
            </w:pPr>
          </w:p>
        </w:tc>
        <w:tc>
          <w:tcPr>
            <w:tcW w:w="1701" w:type="dxa"/>
            <w:vMerge/>
            <w:shd w:val="clear" w:color="auto" w:fill="auto"/>
          </w:tcPr>
          <w:p w14:paraId="01B4C905" w14:textId="77777777" w:rsidR="00790A0D" w:rsidRPr="00DD47DF" w:rsidRDefault="00790A0D" w:rsidP="006D2F5F">
            <w:pPr>
              <w:pStyle w:val="Tabulka"/>
              <w:jc w:val="left"/>
              <w:rPr>
                <w:rFonts w:cs="Calibri"/>
              </w:rPr>
            </w:pPr>
          </w:p>
        </w:tc>
        <w:tc>
          <w:tcPr>
            <w:tcW w:w="1276" w:type="dxa"/>
            <w:vMerge/>
            <w:shd w:val="clear" w:color="auto" w:fill="auto"/>
          </w:tcPr>
          <w:p w14:paraId="0F907FB7" w14:textId="77777777" w:rsidR="00790A0D" w:rsidRPr="00DD47DF" w:rsidRDefault="00790A0D" w:rsidP="006D2F5F">
            <w:pPr>
              <w:pStyle w:val="Tabulka"/>
              <w:jc w:val="left"/>
              <w:rPr>
                <w:rFonts w:cs="Calibri"/>
              </w:rPr>
            </w:pPr>
          </w:p>
        </w:tc>
        <w:tc>
          <w:tcPr>
            <w:tcW w:w="1843" w:type="dxa"/>
            <w:shd w:val="clear" w:color="auto" w:fill="auto"/>
          </w:tcPr>
          <w:p w14:paraId="35803A1E" w14:textId="77777777" w:rsidR="00790A0D" w:rsidRPr="00DD47DF" w:rsidRDefault="00790A0D" w:rsidP="006D2F5F">
            <w:pPr>
              <w:pStyle w:val="Tabulka"/>
              <w:jc w:val="left"/>
              <w:rPr>
                <w:rFonts w:cs="Calibri"/>
              </w:rPr>
            </w:pPr>
            <w:r w:rsidRPr="00DD47DF">
              <w:rPr>
                <w:rFonts w:cs="Calibri"/>
              </w:rPr>
              <w:t>Tyto plány obsahují:</w:t>
            </w:r>
          </w:p>
          <w:p w14:paraId="134268F1" w14:textId="77777777" w:rsidR="00790A0D" w:rsidRPr="00DD47DF" w:rsidRDefault="00790A0D" w:rsidP="006D2F5F">
            <w:pPr>
              <w:pStyle w:val="Tabulka"/>
              <w:jc w:val="left"/>
              <w:rPr>
                <w:rFonts w:cs="Calibri"/>
              </w:rPr>
            </w:pPr>
            <w:r w:rsidRPr="00DD47DF">
              <w:rPr>
                <w:rFonts w:cs="Calibri"/>
              </w:rPr>
              <w:t>realistický a vyspělý plán provádění projektů, u nichž se předpokládá podpora z ERDF;</w:t>
            </w:r>
          </w:p>
        </w:tc>
        <w:tc>
          <w:tcPr>
            <w:tcW w:w="1134" w:type="dxa"/>
            <w:shd w:val="clear" w:color="auto" w:fill="auto"/>
          </w:tcPr>
          <w:p w14:paraId="75C0A96F"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7B30F6E4" w14:textId="77777777" w:rsidR="00790A0D" w:rsidRPr="00DD47DF" w:rsidRDefault="00013622" w:rsidP="006D2F5F">
            <w:pPr>
              <w:pStyle w:val="Tabulka"/>
              <w:jc w:val="left"/>
              <w:rPr>
                <w:rFonts w:cs="Calibri"/>
              </w:rPr>
            </w:pPr>
            <w:hyperlink r:id="rId158" w:anchor="local-content" w:history="1">
              <w:r w:rsidR="00790A0D" w:rsidRPr="00DD47DF">
                <w:rPr>
                  <w:rStyle w:val="Hypertextovodkaz"/>
                  <w:rFonts w:cs="Calibri"/>
                </w:rPr>
                <w:t>§ 58k, zejm. odst. (3) a (9) EZ</w:t>
              </w:r>
            </w:hyperlink>
          </w:p>
        </w:tc>
        <w:tc>
          <w:tcPr>
            <w:tcW w:w="4394" w:type="dxa"/>
            <w:shd w:val="clear" w:color="auto" w:fill="auto"/>
          </w:tcPr>
          <w:p w14:paraId="207C7481" w14:textId="77777777" w:rsidR="00790A0D" w:rsidRPr="00DD47DF" w:rsidRDefault="00790A0D" w:rsidP="006D2F5F">
            <w:pPr>
              <w:pStyle w:val="Tabulka"/>
              <w:jc w:val="left"/>
              <w:rPr>
                <w:rFonts w:cs="Calibri"/>
              </w:rPr>
            </w:pPr>
            <w:r w:rsidRPr="00DD47DF">
              <w:rPr>
                <w:rFonts w:cs="Calibri"/>
              </w:rPr>
              <w:t>Kontrola opodstatněnosti a „zralosti“ plánovaných investic je zajišťována ERÚ</w:t>
            </w:r>
          </w:p>
        </w:tc>
      </w:tr>
      <w:tr w:rsidR="00790A0D" w:rsidRPr="00DD47DF" w14:paraId="31FFB7DB" w14:textId="77777777" w:rsidTr="006D2F5F">
        <w:tc>
          <w:tcPr>
            <w:tcW w:w="1752" w:type="dxa"/>
            <w:vMerge/>
            <w:shd w:val="clear" w:color="auto" w:fill="auto"/>
          </w:tcPr>
          <w:p w14:paraId="266495FC" w14:textId="77777777" w:rsidR="00790A0D" w:rsidRPr="00DD47DF" w:rsidRDefault="00790A0D" w:rsidP="006D2F5F">
            <w:pPr>
              <w:pStyle w:val="Tabulka"/>
              <w:jc w:val="left"/>
              <w:rPr>
                <w:rFonts w:cs="Calibri"/>
                <w:b/>
              </w:rPr>
            </w:pPr>
          </w:p>
        </w:tc>
        <w:tc>
          <w:tcPr>
            <w:tcW w:w="1701" w:type="dxa"/>
            <w:vMerge/>
            <w:shd w:val="clear" w:color="auto" w:fill="auto"/>
          </w:tcPr>
          <w:p w14:paraId="7BDABB16" w14:textId="77777777" w:rsidR="00790A0D" w:rsidRPr="00DD47DF" w:rsidRDefault="00790A0D" w:rsidP="006D2F5F">
            <w:pPr>
              <w:pStyle w:val="Tabulka"/>
              <w:jc w:val="left"/>
              <w:rPr>
                <w:rFonts w:cs="Calibri"/>
              </w:rPr>
            </w:pPr>
          </w:p>
        </w:tc>
        <w:tc>
          <w:tcPr>
            <w:tcW w:w="1276" w:type="dxa"/>
            <w:vMerge/>
            <w:shd w:val="clear" w:color="auto" w:fill="auto"/>
          </w:tcPr>
          <w:p w14:paraId="11483355" w14:textId="77777777" w:rsidR="00790A0D" w:rsidRPr="00DD47DF" w:rsidRDefault="00790A0D" w:rsidP="006D2F5F">
            <w:pPr>
              <w:pStyle w:val="Tabulka"/>
              <w:jc w:val="left"/>
              <w:rPr>
                <w:rFonts w:cs="Calibri"/>
              </w:rPr>
            </w:pPr>
          </w:p>
        </w:tc>
        <w:tc>
          <w:tcPr>
            <w:tcW w:w="1843" w:type="dxa"/>
            <w:shd w:val="clear" w:color="auto" w:fill="auto"/>
          </w:tcPr>
          <w:p w14:paraId="19E5EC91" w14:textId="77777777" w:rsidR="00790A0D" w:rsidRPr="00DD47DF" w:rsidRDefault="00790A0D" w:rsidP="006D2F5F">
            <w:pPr>
              <w:pStyle w:val="Tabulka"/>
              <w:jc w:val="left"/>
              <w:rPr>
                <w:rFonts w:cs="Calibri"/>
              </w:rPr>
            </w:pPr>
            <w:r w:rsidRPr="00DD47DF">
              <w:rPr>
                <w:rFonts w:cs="Calibri"/>
              </w:rPr>
              <w:t xml:space="preserve">opatření pro dosažení cílů v oblasti sociální a hospodářské </w:t>
            </w:r>
            <w:r w:rsidRPr="00DD47DF">
              <w:rPr>
                <w:rFonts w:cs="Calibri"/>
              </w:rPr>
              <w:lastRenderedPageBreak/>
              <w:t>soudržnosti a ochrany životního prostředí v souladu s čl. 3 odst. 10 směrnice 2009/72/ES a čl. 3 odst. 7 směrnice 2009/73/ES;</w:t>
            </w:r>
          </w:p>
        </w:tc>
        <w:tc>
          <w:tcPr>
            <w:tcW w:w="1134" w:type="dxa"/>
            <w:shd w:val="clear" w:color="auto" w:fill="auto"/>
          </w:tcPr>
          <w:p w14:paraId="24B1425B"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shd w:val="clear" w:color="auto" w:fill="auto"/>
          </w:tcPr>
          <w:p w14:paraId="3F4B6211" w14:textId="77777777" w:rsidR="00790A0D" w:rsidRPr="00DD47DF" w:rsidRDefault="00013622" w:rsidP="006D2F5F">
            <w:pPr>
              <w:pStyle w:val="Tabulka"/>
              <w:jc w:val="left"/>
              <w:rPr>
                <w:rFonts w:cs="Calibri"/>
              </w:rPr>
            </w:pPr>
            <w:hyperlink r:id="rId159" w:anchor="local-content" w:history="1">
              <w:r w:rsidR="00790A0D" w:rsidRPr="00DD47DF">
                <w:rPr>
                  <w:rStyle w:val="Hypertextovodkaz"/>
                  <w:rFonts w:cs="Calibri"/>
                </w:rPr>
                <w:t>§12a EZ</w:t>
              </w:r>
            </w:hyperlink>
          </w:p>
        </w:tc>
        <w:tc>
          <w:tcPr>
            <w:tcW w:w="4394" w:type="dxa"/>
            <w:shd w:val="clear" w:color="auto" w:fill="auto"/>
          </w:tcPr>
          <w:p w14:paraId="49FE0B2E" w14:textId="77777777" w:rsidR="00790A0D" w:rsidRPr="00DD47DF" w:rsidRDefault="00790A0D" w:rsidP="006D2F5F">
            <w:pPr>
              <w:pStyle w:val="Tabulka"/>
              <w:jc w:val="left"/>
              <w:rPr>
                <w:rFonts w:cs="Calibri"/>
              </w:rPr>
            </w:pPr>
          </w:p>
        </w:tc>
      </w:tr>
      <w:tr w:rsidR="00790A0D" w:rsidRPr="00DD47DF" w14:paraId="05B8BDC4" w14:textId="77777777" w:rsidTr="006D2F5F">
        <w:tc>
          <w:tcPr>
            <w:tcW w:w="1752" w:type="dxa"/>
            <w:vMerge/>
            <w:shd w:val="clear" w:color="auto" w:fill="auto"/>
          </w:tcPr>
          <w:p w14:paraId="3A3D25B9" w14:textId="77777777" w:rsidR="00790A0D" w:rsidRPr="00DD47DF" w:rsidRDefault="00790A0D" w:rsidP="006D2F5F">
            <w:pPr>
              <w:pStyle w:val="Tabulka"/>
              <w:jc w:val="left"/>
              <w:rPr>
                <w:rFonts w:cs="Calibri"/>
                <w:b/>
              </w:rPr>
            </w:pPr>
          </w:p>
        </w:tc>
        <w:tc>
          <w:tcPr>
            <w:tcW w:w="1701" w:type="dxa"/>
            <w:vMerge/>
            <w:shd w:val="clear" w:color="auto" w:fill="auto"/>
          </w:tcPr>
          <w:p w14:paraId="56DD09E4" w14:textId="77777777" w:rsidR="00790A0D" w:rsidRPr="00DD47DF" w:rsidRDefault="00790A0D" w:rsidP="006D2F5F">
            <w:pPr>
              <w:pStyle w:val="Tabulka"/>
              <w:jc w:val="left"/>
              <w:rPr>
                <w:rFonts w:cs="Calibri"/>
              </w:rPr>
            </w:pPr>
          </w:p>
        </w:tc>
        <w:tc>
          <w:tcPr>
            <w:tcW w:w="1276" w:type="dxa"/>
            <w:vMerge/>
            <w:shd w:val="clear" w:color="auto" w:fill="auto"/>
          </w:tcPr>
          <w:p w14:paraId="78D147F1" w14:textId="77777777" w:rsidR="00790A0D" w:rsidRPr="00DD47DF" w:rsidRDefault="00790A0D" w:rsidP="006D2F5F">
            <w:pPr>
              <w:pStyle w:val="Tabulka"/>
              <w:jc w:val="left"/>
              <w:rPr>
                <w:rFonts w:cs="Calibri"/>
              </w:rPr>
            </w:pPr>
          </w:p>
        </w:tc>
        <w:tc>
          <w:tcPr>
            <w:tcW w:w="1843" w:type="dxa"/>
            <w:shd w:val="clear" w:color="auto" w:fill="auto"/>
          </w:tcPr>
          <w:p w14:paraId="0FC1D9C5" w14:textId="77777777" w:rsidR="00790A0D" w:rsidRPr="00DD47DF" w:rsidRDefault="00790A0D" w:rsidP="006D2F5F">
            <w:pPr>
              <w:pStyle w:val="Tabulka"/>
              <w:jc w:val="left"/>
              <w:rPr>
                <w:rFonts w:cs="Calibri"/>
              </w:rPr>
            </w:pPr>
            <w:r w:rsidRPr="00DD47DF">
              <w:rPr>
                <w:rFonts w:cs="Calibri"/>
              </w:rPr>
              <w:t>opatření pro optimalizaci využití energie a podporu energetické účinnosti v souladu s čl. 3 odst.11 směrnice 2009/72/ES a čl. 3 odst. 8 směrnice 2009/73/ES.</w:t>
            </w:r>
          </w:p>
        </w:tc>
        <w:tc>
          <w:tcPr>
            <w:tcW w:w="1134" w:type="dxa"/>
            <w:shd w:val="clear" w:color="auto" w:fill="auto"/>
          </w:tcPr>
          <w:p w14:paraId="1ACC1FBA" w14:textId="77777777" w:rsidR="00790A0D" w:rsidRPr="00DD47DF" w:rsidRDefault="00790A0D" w:rsidP="006D2F5F">
            <w:pPr>
              <w:pStyle w:val="Tabulka"/>
              <w:jc w:val="left"/>
              <w:rPr>
                <w:rFonts w:cs="Calibri"/>
              </w:rPr>
            </w:pPr>
            <w:r w:rsidRPr="00DD47DF">
              <w:rPr>
                <w:rFonts w:cs="Calibri"/>
              </w:rPr>
              <w:t>ano</w:t>
            </w:r>
          </w:p>
        </w:tc>
        <w:tc>
          <w:tcPr>
            <w:tcW w:w="2126" w:type="dxa"/>
            <w:shd w:val="clear" w:color="auto" w:fill="auto"/>
          </w:tcPr>
          <w:p w14:paraId="23E9EF26" w14:textId="77777777" w:rsidR="00790A0D" w:rsidRPr="00DD47DF" w:rsidRDefault="002756E7" w:rsidP="006D2F5F">
            <w:pPr>
              <w:pStyle w:val="Tabulka"/>
              <w:jc w:val="left"/>
              <w:rPr>
                <w:rStyle w:val="Hypertextovodkaz"/>
                <w:rFonts w:cs="Calibri"/>
              </w:rPr>
            </w:pPr>
            <w:r w:rsidRPr="00DD47DF">
              <w:rPr>
                <w:rFonts w:cs="Calibri"/>
              </w:rPr>
              <w:fldChar w:fldCharType="begin"/>
            </w:r>
            <w:r w:rsidR="00790A0D" w:rsidRPr="00DD47DF">
              <w:rPr>
                <w:rFonts w:cs="Calibri"/>
              </w:rPr>
              <w:instrText xml:space="preserve"> HYPERLINK "http://portal.gov.cz/app/zakony/zakonPar.jsp?idBiblio=49962&amp;fulltext=&amp;nr=458~2F2000&amp;part=&amp;name=&amp;rpp=15" \l "local-content" </w:instrText>
            </w:r>
            <w:r w:rsidRPr="00DD47DF">
              <w:rPr>
                <w:rFonts w:cs="Calibri"/>
              </w:rPr>
              <w:fldChar w:fldCharType="separate"/>
            </w:r>
            <w:r w:rsidR="00790A0D" w:rsidRPr="00DD47DF">
              <w:rPr>
                <w:rStyle w:val="Hypertextovodkaz"/>
                <w:rFonts w:cs="Calibri"/>
              </w:rPr>
              <w:t>§16k EZ - AMM,</w:t>
            </w:r>
          </w:p>
          <w:p w14:paraId="608850B5" w14:textId="77777777" w:rsidR="00790A0D" w:rsidRPr="00DD47DF" w:rsidRDefault="00790A0D" w:rsidP="006D2F5F">
            <w:pPr>
              <w:pStyle w:val="Tabulka"/>
              <w:jc w:val="left"/>
              <w:rPr>
                <w:rFonts w:cs="Calibri"/>
              </w:rPr>
            </w:pPr>
            <w:r w:rsidRPr="00DD47DF">
              <w:rPr>
                <w:rStyle w:val="Hypertextovodkaz"/>
                <w:rFonts w:cs="Calibri"/>
              </w:rPr>
              <w:t>§49 EZ – měření jako takové</w:t>
            </w:r>
            <w:r w:rsidR="002756E7" w:rsidRPr="00DD47DF">
              <w:rPr>
                <w:rFonts w:cs="Calibri"/>
              </w:rPr>
              <w:fldChar w:fldCharType="end"/>
            </w:r>
          </w:p>
        </w:tc>
        <w:tc>
          <w:tcPr>
            <w:tcW w:w="4394" w:type="dxa"/>
            <w:shd w:val="clear" w:color="auto" w:fill="auto"/>
          </w:tcPr>
          <w:p w14:paraId="688D09AA" w14:textId="77777777" w:rsidR="00790A0D" w:rsidRPr="00DD47DF" w:rsidRDefault="00790A0D" w:rsidP="006D2F5F">
            <w:pPr>
              <w:pStyle w:val="Tabulka"/>
              <w:jc w:val="left"/>
              <w:rPr>
                <w:rFonts w:cs="Calibri"/>
              </w:rPr>
            </w:pPr>
            <w:r w:rsidRPr="00DD47DF">
              <w:rPr>
                <w:rFonts w:cs="Calibri"/>
              </w:rPr>
              <w:t>Opatření k optimalizaci využití energie, inteligentní systémy měření - Advanced Metering Management – dále AMM - analýzy zavádění AMM zajištěné MPO</w:t>
            </w:r>
          </w:p>
        </w:tc>
      </w:tr>
      <w:tr w:rsidR="00790A0D" w:rsidRPr="00DD47DF" w14:paraId="2C1AA0FC"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B54B71C" w14:textId="77777777" w:rsidR="00790A0D" w:rsidRPr="00DD47DF" w:rsidRDefault="00790A0D" w:rsidP="006D2F5F">
            <w:pPr>
              <w:pStyle w:val="Tabulka"/>
              <w:jc w:val="left"/>
              <w:rPr>
                <w:rFonts w:cs="Calibri"/>
                <w:b/>
              </w:rPr>
            </w:pPr>
            <w:r w:rsidRPr="00DD47DF">
              <w:rPr>
                <w:rFonts w:cs="Calibri"/>
                <w:b/>
              </w:rPr>
              <w:t xml:space="preserve">8.2. </w:t>
            </w:r>
          </w:p>
          <w:p w14:paraId="1C017BC6" w14:textId="77777777" w:rsidR="00790A0D" w:rsidRPr="00DD47DF" w:rsidRDefault="00790A0D" w:rsidP="006D2F5F">
            <w:pPr>
              <w:pStyle w:val="Tabulka"/>
              <w:jc w:val="left"/>
              <w:rPr>
                <w:rFonts w:cs="Calibri"/>
                <w:b/>
              </w:rPr>
            </w:pPr>
            <w:r w:rsidRPr="00DD47DF">
              <w:rPr>
                <w:rFonts w:cs="Calibri"/>
                <w:b/>
              </w:rPr>
              <w:t xml:space="preserve">Samostatná výdělečná činnost, podnikání a zakládání firem: existence strategického rámce politiky podpory začínajících podniků přispívající k </w:t>
            </w:r>
            <w:r w:rsidRPr="00DD47DF">
              <w:rPr>
                <w:rFonts w:cs="Calibri"/>
                <w:b/>
              </w:rPr>
              <w:lastRenderedPageBreak/>
              <w:t xml:space="preserve">začlenění. </w:t>
            </w:r>
          </w:p>
          <w:p w14:paraId="7FF62328"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AFB9A2" w14:textId="77777777" w:rsidR="00790A0D" w:rsidRPr="00DD47DF" w:rsidRDefault="00790A0D" w:rsidP="006D2F5F">
            <w:pPr>
              <w:pStyle w:val="Tabulka"/>
              <w:jc w:val="left"/>
              <w:rPr>
                <w:rFonts w:cs="Calibri"/>
              </w:rPr>
            </w:pPr>
            <w:r w:rsidRPr="00DD47DF">
              <w:rPr>
                <w:rFonts w:cs="Calibri"/>
              </w:rPr>
              <w:lastRenderedPageBreak/>
              <w:t>PO 2 - Rozvoj podnikání a konkurenceschopnosti malých a středních podniků</w:t>
            </w:r>
          </w:p>
          <w:p w14:paraId="10713852"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8A6BAB" w14:textId="77777777" w:rsidR="00790A0D" w:rsidRPr="00DD47DF" w:rsidRDefault="00790A0D" w:rsidP="006D2F5F">
            <w:pPr>
              <w:pStyle w:val="Tabulka"/>
              <w:jc w:val="left"/>
              <w:rPr>
                <w:rFonts w:cs="Calibri"/>
              </w:rPr>
            </w:pPr>
            <w:r w:rsidRPr="00DD47DF">
              <w:rPr>
                <w:rFonts w:cs="Calibri"/>
              </w:rPr>
              <w:t>Částečně</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515CB4" w14:textId="77777777" w:rsidR="00790A0D" w:rsidRPr="00DD47DF" w:rsidRDefault="00790A0D" w:rsidP="006D2F5F">
            <w:pPr>
              <w:pStyle w:val="Tabulka"/>
              <w:jc w:val="left"/>
              <w:rPr>
                <w:rFonts w:cs="Calibri"/>
              </w:rPr>
            </w:pPr>
            <w:r w:rsidRPr="00DD47DF">
              <w:rPr>
                <w:rFonts w:cs="Calibri"/>
              </w:rPr>
              <w:t>Je zaveden strategický rámec politiky podpory začínajících podniků přispívající k začlenění, obsahující tyto prvky: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5E6093" w14:textId="77777777" w:rsidR="00790A0D" w:rsidRPr="00DD47DF" w:rsidRDefault="00790A0D" w:rsidP="006D2F5F">
            <w:pPr>
              <w:pStyle w:val="Tabulka"/>
              <w:jc w:val="left"/>
              <w:rPr>
                <w:rFonts w:cs="Calibri"/>
              </w:rPr>
            </w:pPr>
            <w:r w:rsidRPr="00DD47DF">
              <w:rPr>
                <w:rFonts w:cs="Calibri"/>
              </w:rPr>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ABB28F" w14:textId="77777777" w:rsidR="00790A0D" w:rsidRPr="00DD47DF" w:rsidRDefault="00790A0D" w:rsidP="006D2F5F">
            <w:pPr>
              <w:pStyle w:val="Tabulka"/>
              <w:jc w:val="left"/>
            </w:pPr>
            <w:r w:rsidRPr="00DD47DF">
              <w:t>Strategie mezinárodní konkurenceschopnosti:</w:t>
            </w:r>
          </w:p>
          <w:p w14:paraId="23EDD28C" w14:textId="77777777" w:rsidR="00790A0D" w:rsidRPr="00DD47DF" w:rsidRDefault="00013622" w:rsidP="006D2F5F">
            <w:pPr>
              <w:pStyle w:val="Tabulka"/>
              <w:jc w:val="left"/>
              <w:rPr>
                <w:rStyle w:val="Hypertextovodkaz"/>
                <w:color w:val="auto"/>
              </w:rPr>
            </w:pPr>
            <w:hyperlink r:id="rId160" w:history="1">
              <w:r w:rsidR="00790A0D" w:rsidRPr="00DD47DF">
                <w:rPr>
                  <w:rStyle w:val="Hypertextovodkaz"/>
                </w:rPr>
                <w:t>http://www.vlada.cz/assets/media-centrum/aktualne/Strategie-mezinarodni-konkurenceschopnosti-Ceske-republiky.pdf</w:t>
              </w:r>
            </w:hyperlink>
          </w:p>
          <w:p w14:paraId="75B2F9FB" w14:textId="77777777" w:rsidR="00790A0D" w:rsidRPr="00DD47DF" w:rsidRDefault="00790A0D" w:rsidP="006D2F5F">
            <w:pPr>
              <w:pStyle w:val="Tabulka"/>
              <w:jc w:val="left"/>
            </w:pPr>
          </w:p>
          <w:p w14:paraId="6E2D0A11" w14:textId="77777777" w:rsidR="00790A0D" w:rsidRPr="00DD47DF" w:rsidRDefault="00790A0D" w:rsidP="006D2F5F">
            <w:pPr>
              <w:pStyle w:val="Tabulka"/>
              <w:jc w:val="left"/>
            </w:pPr>
            <w:r w:rsidRPr="00DD47DF">
              <w:t xml:space="preserve">Koncepce podpory malých a středních </w:t>
            </w:r>
            <w:r w:rsidRPr="00DD47DF">
              <w:lastRenderedPageBreak/>
              <w:t>podnikatelů na období let 2014–2020:</w:t>
            </w:r>
          </w:p>
          <w:p w14:paraId="50E81FFE" w14:textId="77777777" w:rsidR="00790A0D" w:rsidRPr="00DD47DF" w:rsidRDefault="00013622" w:rsidP="006D2F5F">
            <w:pPr>
              <w:pStyle w:val="Tabulka"/>
              <w:jc w:val="left"/>
              <w:rPr>
                <w:rStyle w:val="Hypertextovodkaz"/>
                <w:color w:val="auto"/>
              </w:rPr>
            </w:pPr>
            <w:hyperlink r:id="rId161" w:history="1">
              <w:r w:rsidR="00790A0D" w:rsidRPr="00DD47DF">
                <w:rPr>
                  <w:rStyle w:val="Hypertextovodkaz"/>
                </w:rPr>
                <w:t>http://www.mpo.cz/dokument119071.html</w:t>
              </w:r>
            </w:hyperlink>
          </w:p>
          <w:p w14:paraId="742029D0" w14:textId="77777777" w:rsidR="00790A0D" w:rsidRPr="00DD47DF" w:rsidRDefault="00790A0D" w:rsidP="006D2F5F">
            <w:pPr>
              <w:pStyle w:val="Tabulka"/>
              <w:jc w:val="left"/>
            </w:pPr>
          </w:p>
          <w:p w14:paraId="10F108E7" w14:textId="77777777" w:rsidR="00790A0D" w:rsidRPr="00DD47DF" w:rsidRDefault="00790A0D" w:rsidP="006D2F5F">
            <w:pPr>
              <w:pStyle w:val="Tabulka"/>
              <w:jc w:val="left"/>
            </w:pPr>
            <w:r w:rsidRPr="00DD47DF">
              <w:t>Národní program reforem (2014):</w:t>
            </w:r>
          </w:p>
          <w:p w14:paraId="09EF2E9C" w14:textId="77777777" w:rsidR="00790A0D" w:rsidRPr="00DD47DF" w:rsidRDefault="00013622" w:rsidP="006D2F5F">
            <w:pPr>
              <w:pStyle w:val="Tabulka"/>
              <w:jc w:val="left"/>
            </w:pPr>
            <w:hyperlink r:id="rId162" w:history="1">
              <w:r w:rsidR="00790A0D" w:rsidRPr="00DD47DF">
                <w:rPr>
                  <w:rStyle w:val="Hypertextovodkaz"/>
                </w:rPr>
                <w:t>http://www.vlada.cz/assets/evropske-zalezitosti/aktualne/NPR-2014.pdf</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7DBBBFD" w14:textId="77777777" w:rsidR="00790A0D" w:rsidRPr="00DD47DF" w:rsidRDefault="00790A0D" w:rsidP="006D2F5F">
            <w:pPr>
              <w:pStyle w:val="Tabulka"/>
              <w:jc w:val="left"/>
              <w:rPr>
                <w:rFonts w:cs="Calibri"/>
              </w:rPr>
            </w:pPr>
            <w:r w:rsidRPr="00DD47DF">
              <w:rPr>
                <w:rFonts w:cs="Calibri"/>
              </w:rPr>
              <w:lastRenderedPageBreak/>
              <w:t>Vládou byla schválena Strategie mezinárodní konkurenceschopnosti (SMK) v r. 2011.</w:t>
            </w:r>
          </w:p>
          <w:p w14:paraId="03C79DEC" w14:textId="77777777" w:rsidR="00790A0D" w:rsidRPr="00DD47DF" w:rsidRDefault="00790A0D" w:rsidP="006D2F5F">
            <w:pPr>
              <w:pStyle w:val="Tabulka"/>
              <w:jc w:val="left"/>
              <w:rPr>
                <w:rFonts w:cs="Calibri"/>
              </w:rPr>
            </w:pPr>
            <w:r w:rsidRPr="00DD47DF">
              <w:rPr>
                <w:rFonts w:cs="Calibri"/>
              </w:rPr>
              <w:t>Vládou byla schválena rovněž Koncepce podpory malých a středních podnikatelů na období let 2014–2020 (Koncepce MSP).</w:t>
            </w:r>
          </w:p>
          <w:p w14:paraId="1C022560" w14:textId="77777777" w:rsidR="00790A0D" w:rsidRPr="00DD47DF" w:rsidRDefault="00790A0D" w:rsidP="006D2F5F">
            <w:pPr>
              <w:pStyle w:val="Tabulka"/>
              <w:jc w:val="left"/>
              <w:rPr>
                <w:rFonts w:cs="Calibri"/>
              </w:rPr>
            </w:pPr>
            <w:r w:rsidRPr="00DD47DF">
              <w:rPr>
                <w:rFonts w:cs="Calibri"/>
              </w:rPr>
              <w:t>Opatření související se zesílením podpory podnikatelského prostředí jsou též součástí Národního programu reforem (2014), kap. 4.2.</w:t>
            </w:r>
          </w:p>
          <w:p w14:paraId="1960A806" w14:textId="77777777" w:rsidR="00790A0D" w:rsidRPr="00DD47DF" w:rsidRDefault="00790A0D" w:rsidP="006D2F5F">
            <w:pPr>
              <w:pStyle w:val="Tabulka"/>
              <w:jc w:val="left"/>
              <w:rPr>
                <w:rFonts w:cs="Calibri"/>
              </w:rPr>
            </w:pPr>
          </w:p>
        </w:tc>
      </w:tr>
      <w:tr w:rsidR="00790A0D" w:rsidRPr="00DD47DF" w14:paraId="075D0977"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49E9CDF"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F4C8C4"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C6D210"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754E88" w14:textId="77777777" w:rsidR="00790A0D" w:rsidRPr="00DD47DF" w:rsidRDefault="00790A0D" w:rsidP="006D2F5F">
            <w:pPr>
              <w:pStyle w:val="Tabulka"/>
              <w:jc w:val="left"/>
              <w:rPr>
                <w:rFonts w:cs="Calibri"/>
              </w:rPr>
            </w:pPr>
            <w:r w:rsidRPr="00DD47DF">
              <w:rPr>
                <w:rFonts w:cs="Calibri"/>
              </w:rPr>
              <w:t>• Opatření zavedená s cílem zkrátit dobu potřebou k založení firmy a snížit příslušné náklady, která zohledňují cíle SBA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52A361" w14:textId="77777777" w:rsidR="00790A0D" w:rsidRPr="00DD47DF" w:rsidRDefault="008B1FD2" w:rsidP="006D2F5F">
            <w:pPr>
              <w:pStyle w:val="Tabulka"/>
              <w:jc w:val="left"/>
              <w:rPr>
                <w:rFonts w:cs="Calibri"/>
              </w:rPr>
            </w:pPr>
            <w:r w:rsidRPr="00DD47DF">
              <w:rPr>
                <w:rFonts w:cs="Calibri"/>
              </w:rPr>
              <w:t>ne</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6529BBA" w14:textId="77777777" w:rsidR="00790A0D" w:rsidRPr="00DD47DF" w:rsidRDefault="00790A0D" w:rsidP="006D2F5F">
            <w:pPr>
              <w:pStyle w:val="Tabulka"/>
              <w:jc w:val="left"/>
            </w:pPr>
            <w:r w:rsidRPr="00DD47DF">
              <w:t>Živnostenský zákon:</w:t>
            </w:r>
          </w:p>
          <w:p w14:paraId="4A2D0018" w14:textId="77777777" w:rsidR="00790A0D" w:rsidRPr="00DD47DF" w:rsidRDefault="00013622" w:rsidP="006D2F5F">
            <w:pPr>
              <w:pStyle w:val="Tabulka"/>
              <w:jc w:val="left"/>
            </w:pPr>
            <w:hyperlink r:id="rId163" w:history="1">
              <w:r w:rsidR="00790A0D" w:rsidRPr="00DD47DF">
                <w:rPr>
                  <w:rStyle w:val="Hypertextovodkaz"/>
                </w:rPr>
                <w:t>http://www.mpo.cz/dokument144140.html</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B69642C" w14:textId="77777777" w:rsidR="00790A0D" w:rsidRPr="00DD47DF" w:rsidRDefault="00790A0D" w:rsidP="006D2F5F">
            <w:pPr>
              <w:pStyle w:val="Tabulka"/>
              <w:jc w:val="left"/>
              <w:rPr>
                <w:rFonts w:cs="Calibri"/>
              </w:rPr>
            </w:pPr>
            <w:r w:rsidRPr="00DD47DF">
              <w:rPr>
                <w:rFonts w:cs="Calibri"/>
              </w:rPr>
              <w:t>Pro oblast živnostenského podnikání (gesce MPO) zákonem č. 130/2008 Sb. došlo ke snížení nákladů na vstup do podnikání a zkrátila se doba pro vydání dokladu o vzniku práva podnikat (z 15 na 5 pracovních dní). Oprávnění lze získat při splnění podmínek zákona i ve velmi krátké době (několik desítek minut, resp. na počkání). Vstupní náklady činí 1000 Kč.</w:t>
            </w:r>
          </w:p>
          <w:p w14:paraId="5534C273" w14:textId="77777777" w:rsidR="00790A0D" w:rsidRPr="00DD47DF" w:rsidRDefault="00790A0D" w:rsidP="006D2F5F">
            <w:pPr>
              <w:pStyle w:val="Tabulka"/>
              <w:jc w:val="left"/>
              <w:rPr>
                <w:rFonts w:cs="Calibri"/>
              </w:rPr>
            </w:pPr>
            <w:r w:rsidRPr="00DD47DF">
              <w:rPr>
                <w:rFonts w:cs="Calibri"/>
              </w:rPr>
              <w:t xml:space="preserve">Ke splnění podmínky jsou nutné kroky ke snížení nákladů na založení podniku v gesci MSp. Je připravováno legislativní řešení v souladu se zpracovaným akčním plánem. </w:t>
            </w:r>
          </w:p>
          <w:p w14:paraId="6414A724" w14:textId="77777777" w:rsidR="00790A0D" w:rsidRPr="00DD47DF" w:rsidRDefault="00790A0D" w:rsidP="006D2F5F">
            <w:pPr>
              <w:pStyle w:val="Tabulka"/>
              <w:jc w:val="left"/>
              <w:rPr>
                <w:rFonts w:cs="Calibri"/>
              </w:rPr>
            </w:pPr>
            <w:r w:rsidRPr="00DD47DF">
              <w:rPr>
                <w:rFonts w:cs="Calibri"/>
              </w:rPr>
              <w:t>Podrobněji - viz podmínka č. 3.1 a příloha č. II.</w:t>
            </w:r>
          </w:p>
        </w:tc>
      </w:tr>
      <w:tr w:rsidR="00790A0D" w:rsidRPr="00DD47DF" w14:paraId="7D0B0170"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1740D799"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9BD95B"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EE4A8E"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AF02E7" w14:textId="77777777" w:rsidR="00790A0D" w:rsidRPr="00DD47DF" w:rsidRDefault="00790A0D" w:rsidP="006D2F5F">
            <w:pPr>
              <w:pStyle w:val="Tabulka"/>
              <w:jc w:val="left"/>
              <w:rPr>
                <w:rFonts w:cs="Calibri"/>
              </w:rPr>
            </w:pPr>
            <w:r w:rsidRPr="00DD47DF">
              <w:rPr>
                <w:rFonts w:cs="Calibri"/>
              </w:rPr>
              <w:t xml:space="preserve">• Opatření zavedená s cílem zkrátit dobu potřebnou k získání licencí a povolení k zahájení </w:t>
            </w:r>
            <w:r w:rsidRPr="00DD47DF">
              <w:rPr>
                <w:rFonts w:cs="Calibri"/>
              </w:rPr>
              <w:lastRenderedPageBreak/>
              <w:t>a provádění konkrétní činnosti podniku, která zohledňují cíle SBA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0F1F2D" w14:textId="77777777" w:rsidR="00790A0D" w:rsidRPr="00DD47DF" w:rsidRDefault="00790A0D" w:rsidP="006D2F5F">
            <w:pPr>
              <w:pStyle w:val="Tabulka"/>
              <w:jc w:val="left"/>
              <w:rPr>
                <w:rFonts w:cs="Calibri"/>
              </w:rPr>
            </w:pPr>
            <w:r w:rsidRPr="00DD47DF">
              <w:rPr>
                <w:rFonts w:cs="Calibri"/>
              </w:rPr>
              <w:lastRenderedPageBreak/>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62BD139" w14:textId="77777777" w:rsidR="00790A0D" w:rsidRPr="00DD47DF" w:rsidRDefault="00790A0D" w:rsidP="006D2F5F">
            <w:pPr>
              <w:pStyle w:val="Tabulka"/>
              <w:jc w:val="left"/>
            </w:pPr>
            <w:r w:rsidRPr="00DD47DF">
              <w:t>Živnostenský zákon:</w:t>
            </w:r>
          </w:p>
          <w:p w14:paraId="2A064350" w14:textId="77777777" w:rsidR="00790A0D" w:rsidRPr="00DD47DF" w:rsidRDefault="00013622" w:rsidP="006D2F5F">
            <w:pPr>
              <w:pStyle w:val="Tabulka"/>
              <w:jc w:val="left"/>
            </w:pPr>
            <w:hyperlink r:id="rId164" w:history="1">
              <w:r w:rsidR="00790A0D" w:rsidRPr="00DD47DF">
                <w:rPr>
                  <w:rStyle w:val="Hypertextovodkaz"/>
                </w:rPr>
                <w:t>http://www.mpo.cz/dokument144140.html</w:t>
              </w:r>
            </w:hyperlink>
          </w:p>
          <w:p w14:paraId="4D51121A" w14:textId="77777777" w:rsidR="00790A0D" w:rsidRPr="00DD47DF" w:rsidRDefault="00790A0D" w:rsidP="006D2F5F">
            <w:pPr>
              <w:pStyle w:val="Tabulka"/>
              <w:jc w:val="left"/>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A305892" w14:textId="77777777" w:rsidR="00790A0D" w:rsidRPr="00DD47DF" w:rsidRDefault="00790A0D" w:rsidP="006D2F5F">
            <w:pPr>
              <w:pStyle w:val="Tabulka"/>
              <w:jc w:val="left"/>
              <w:rPr>
                <w:rFonts w:cs="Calibri"/>
              </w:rPr>
            </w:pPr>
            <w:r w:rsidRPr="00DD47DF">
              <w:rPr>
                <w:rFonts w:cs="Calibri"/>
              </w:rPr>
              <w:t xml:space="preserve">V oblasti živnostenského podnikání (gesce MPO) při splnění podmínek zákona může podnikatel od okamžiku ohlášení živnosti podnikat. Pouze u koncesovaných živností je doba pro vznik oprávnění delší (cca 1 měsíc. Zákonem č. 130/2008 Sb. došlo ke snížení </w:t>
            </w:r>
            <w:r w:rsidRPr="00DD47DF">
              <w:rPr>
                <w:rFonts w:cs="Calibri"/>
              </w:rPr>
              <w:lastRenderedPageBreak/>
              <w:t>nákladů na vstup do živnostenského podnikání a zkrátila se doba pro vydání dokladu o vzniku práva podnikat (z 15 na 5 pracovních dní).</w:t>
            </w:r>
          </w:p>
          <w:p w14:paraId="6BC2ACCE" w14:textId="77777777" w:rsidR="00790A0D" w:rsidRPr="00DD47DF" w:rsidRDefault="00790A0D" w:rsidP="006D2F5F">
            <w:pPr>
              <w:pStyle w:val="Tabulka"/>
              <w:jc w:val="left"/>
              <w:rPr>
                <w:rFonts w:cs="Calibri"/>
              </w:rPr>
            </w:pPr>
            <w:r w:rsidRPr="00DD47DF">
              <w:rPr>
                <w:rFonts w:cs="Calibri"/>
              </w:rPr>
              <w:t>Zákon č. 304/2013 Sb., stanovuje povinnost soudu zapsat společnost do 5 pracovních dní. Současně umožňuje, aby zápis provedl notář. Bude-li mít k dispozici všechny dokumenty, zápis provede během 1 dne.</w:t>
            </w:r>
          </w:p>
          <w:p w14:paraId="266C5DE3" w14:textId="77777777" w:rsidR="00790A0D" w:rsidRPr="00DD47DF" w:rsidRDefault="00790A0D" w:rsidP="006D2F5F">
            <w:pPr>
              <w:pStyle w:val="Tabulka"/>
              <w:jc w:val="left"/>
              <w:rPr>
                <w:rFonts w:cs="Calibri"/>
              </w:rPr>
            </w:pPr>
          </w:p>
          <w:p w14:paraId="265A9B78" w14:textId="77777777" w:rsidR="00790A0D" w:rsidRPr="00DD47DF" w:rsidRDefault="00790A0D" w:rsidP="006D2F5F">
            <w:pPr>
              <w:pStyle w:val="Tabulka"/>
              <w:jc w:val="left"/>
              <w:rPr>
                <w:rFonts w:cs="Calibri"/>
              </w:rPr>
            </w:pPr>
            <w:r w:rsidRPr="00DD47DF">
              <w:rPr>
                <w:rFonts w:cs="Calibri"/>
              </w:rPr>
              <w:t>Viz vyjádření u podmínky 3.1 a Příloha č. II.</w:t>
            </w:r>
          </w:p>
        </w:tc>
      </w:tr>
      <w:tr w:rsidR="00790A0D" w:rsidRPr="00DD47DF" w14:paraId="72A69561" w14:textId="77777777" w:rsidTr="006D2F5F">
        <w:tc>
          <w:tcPr>
            <w:tcW w:w="1752" w:type="dxa"/>
            <w:tcBorders>
              <w:top w:val="single" w:sz="4" w:space="0" w:color="auto"/>
              <w:left w:val="single" w:sz="4" w:space="0" w:color="auto"/>
              <w:bottom w:val="single" w:sz="4" w:space="0" w:color="auto"/>
              <w:right w:val="single" w:sz="4" w:space="0" w:color="auto"/>
            </w:tcBorders>
            <w:shd w:val="clear" w:color="auto" w:fill="auto"/>
          </w:tcPr>
          <w:p w14:paraId="2A432465" w14:textId="77777777" w:rsidR="00790A0D" w:rsidRPr="00DD47DF" w:rsidRDefault="00790A0D" w:rsidP="006D2F5F">
            <w:pPr>
              <w:pStyle w:val="Tabulka"/>
              <w:jc w:val="left"/>
              <w:rPr>
                <w:rFonts w:cs="Calibri"/>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CD7F029" w14:textId="77777777" w:rsidR="00790A0D" w:rsidRPr="00DD47DF" w:rsidRDefault="00790A0D" w:rsidP="006D2F5F">
            <w:pPr>
              <w:pStyle w:val="Tabulka"/>
              <w:jc w:val="left"/>
              <w:rPr>
                <w:rFonts w:cs="Calibr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253AF3" w14:textId="77777777" w:rsidR="00790A0D" w:rsidRPr="00DD47DF" w:rsidRDefault="00790A0D" w:rsidP="006D2F5F">
            <w:pPr>
              <w:pStyle w:val="Tabulka"/>
              <w:jc w:val="left"/>
              <w:rPr>
                <w:rFonts w:cs="Calibri"/>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533F0A" w14:textId="77777777" w:rsidR="00790A0D" w:rsidRPr="00DD47DF" w:rsidRDefault="00790A0D" w:rsidP="006D2F5F">
            <w:pPr>
              <w:pStyle w:val="Tabulka"/>
              <w:jc w:val="left"/>
              <w:rPr>
                <w:rFonts w:cs="Calibri"/>
              </w:rPr>
            </w:pPr>
            <w:r w:rsidRPr="00DD47DF">
              <w:rPr>
                <w:rFonts w:cs="Calibri"/>
              </w:rPr>
              <w:t>• činnosti propojující vhodné služby pro rozvoj podnikání a finanční služby (přístup ke kapitálu), včetně aktivní pomoci pro znevýhodněné skupiny, popř. oblasti či obojí.</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A63667" w14:textId="77777777" w:rsidR="00790A0D" w:rsidRPr="00DD47DF" w:rsidRDefault="00790A0D" w:rsidP="006D2F5F">
            <w:pPr>
              <w:pStyle w:val="Tabulka"/>
              <w:jc w:val="left"/>
              <w:rPr>
                <w:rFonts w:cs="Calibri"/>
              </w:rPr>
            </w:pPr>
            <w:r w:rsidRPr="00DD47DF">
              <w:rPr>
                <w:rFonts w:cs="Calibri"/>
              </w:rPr>
              <w:t>ano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81EA1B" w14:textId="77777777" w:rsidR="00790A0D" w:rsidRPr="00DD47DF" w:rsidRDefault="00790A0D" w:rsidP="006D2F5F">
            <w:pPr>
              <w:pStyle w:val="Tabulka"/>
              <w:jc w:val="left"/>
            </w:pPr>
            <w:r w:rsidRPr="00DD47DF">
              <w:t>Strategie mezinárodní konkurenceschopnosti:</w:t>
            </w:r>
          </w:p>
          <w:p w14:paraId="6BFEDBBB" w14:textId="77777777" w:rsidR="00790A0D" w:rsidRPr="00DD47DF" w:rsidRDefault="00013622" w:rsidP="006D2F5F">
            <w:pPr>
              <w:pStyle w:val="Tabulka"/>
              <w:jc w:val="left"/>
            </w:pPr>
            <w:hyperlink r:id="rId165" w:history="1">
              <w:r w:rsidR="00790A0D" w:rsidRPr="00DD47DF">
                <w:rPr>
                  <w:rStyle w:val="Hypertextovodkaz"/>
                </w:rPr>
                <w:t>http://www.vlada.cz/assets/media-centrum/aktualne/Strategie-mezinarodni-konkurenceschopnosti-Ceske-republiky.pdf</w:t>
              </w:r>
            </w:hyperlink>
            <w:r w:rsidR="00790A0D" w:rsidRPr="00DD47DF">
              <w:t xml:space="preserve"> </w:t>
            </w:r>
          </w:p>
          <w:p w14:paraId="2B40918A" w14:textId="77777777" w:rsidR="00790A0D" w:rsidRPr="00DD47DF" w:rsidRDefault="00790A0D" w:rsidP="006D2F5F">
            <w:pPr>
              <w:pStyle w:val="Tabulka"/>
              <w:jc w:val="left"/>
            </w:pPr>
          </w:p>
          <w:p w14:paraId="671C37AB" w14:textId="77777777" w:rsidR="00790A0D" w:rsidRPr="00DD47DF" w:rsidRDefault="00790A0D" w:rsidP="006D2F5F">
            <w:pPr>
              <w:pStyle w:val="Tabulka"/>
              <w:jc w:val="left"/>
            </w:pPr>
            <w:r w:rsidRPr="00DD47DF">
              <w:t>Koncepce podpory malých a středních podnikatelů 2014–2020:</w:t>
            </w:r>
          </w:p>
          <w:p w14:paraId="40908179" w14:textId="77777777" w:rsidR="00790A0D" w:rsidRPr="00DD47DF" w:rsidRDefault="00013622" w:rsidP="006D2F5F">
            <w:pPr>
              <w:pStyle w:val="Tabulka"/>
              <w:jc w:val="left"/>
            </w:pPr>
            <w:hyperlink r:id="rId166" w:history="1">
              <w:r w:rsidR="00790A0D" w:rsidRPr="00DD47DF">
                <w:rPr>
                  <w:rStyle w:val="Hypertextovodkaz"/>
                </w:rPr>
                <w:t>http://www.mpo.cz/dokument119071.html</w:t>
              </w:r>
            </w:hyperlink>
          </w:p>
          <w:p w14:paraId="02C3DD72" w14:textId="77777777" w:rsidR="00790A0D" w:rsidRPr="00DD47DF" w:rsidRDefault="00790A0D" w:rsidP="006D2F5F">
            <w:pPr>
              <w:pStyle w:val="Tabulka"/>
              <w:jc w:val="left"/>
            </w:pPr>
          </w:p>
          <w:p w14:paraId="2F1313C4" w14:textId="77777777" w:rsidR="00790A0D" w:rsidRPr="00DD47DF" w:rsidRDefault="00790A0D" w:rsidP="006D2F5F">
            <w:pPr>
              <w:pStyle w:val="Tabulka"/>
              <w:jc w:val="left"/>
            </w:pPr>
            <w:r w:rsidRPr="00DD47DF">
              <w:t>Národní programu reforem (2014):</w:t>
            </w:r>
          </w:p>
          <w:p w14:paraId="09EA0646" w14:textId="77777777" w:rsidR="00790A0D" w:rsidRPr="00DD47DF" w:rsidRDefault="00013622" w:rsidP="006D2F5F">
            <w:pPr>
              <w:pStyle w:val="Tabulka"/>
              <w:jc w:val="left"/>
              <w:rPr>
                <w:rStyle w:val="Hypertextovodkaz"/>
              </w:rPr>
            </w:pPr>
            <w:hyperlink r:id="rId167" w:history="1">
              <w:r w:rsidR="00790A0D" w:rsidRPr="00DD47DF">
                <w:rPr>
                  <w:rStyle w:val="Hypertextovodkaz"/>
                </w:rPr>
                <w:t>http://www.vlada.cz/a</w:t>
              </w:r>
              <w:r w:rsidR="00790A0D" w:rsidRPr="00DD47DF">
                <w:rPr>
                  <w:rStyle w:val="Hypertextovodkaz"/>
                </w:rPr>
                <w:lastRenderedPageBreak/>
                <w:t>ssets/evropske-zalezitosti/aktualne/NPR-2014.pdf</w:t>
              </w:r>
            </w:hyperlink>
          </w:p>
          <w:p w14:paraId="71FF5B28" w14:textId="77777777" w:rsidR="00D25B32" w:rsidRPr="00DD47DF" w:rsidRDefault="00D25B32" w:rsidP="006D2F5F">
            <w:pPr>
              <w:pStyle w:val="Tabulka"/>
              <w:jc w:val="left"/>
              <w:rPr>
                <w:rStyle w:val="Hypertextovodkaz"/>
              </w:rPr>
            </w:pPr>
          </w:p>
          <w:p w14:paraId="6C59026B" w14:textId="77777777" w:rsidR="00D25B32" w:rsidRPr="00DD47DF" w:rsidRDefault="00D25B32" w:rsidP="00D25B32">
            <w:pPr>
              <w:spacing w:before="80" w:after="80"/>
              <w:rPr>
                <w:bCs/>
                <w:sz w:val="22"/>
                <w:szCs w:val="22"/>
              </w:rPr>
            </w:pPr>
            <w:r w:rsidRPr="00DD47DF">
              <w:rPr>
                <w:bCs/>
                <w:sz w:val="22"/>
                <w:szCs w:val="22"/>
              </w:rPr>
              <w:t xml:space="preserve">Závěrečná zpráva Evaluace podpory sociálního a inkluzivního podnikání v OP LZZ: </w:t>
            </w:r>
          </w:p>
          <w:p w14:paraId="2DBEAA80" w14:textId="77777777" w:rsidR="00D25B32" w:rsidRPr="00DD47DF" w:rsidRDefault="00013622" w:rsidP="00554C27">
            <w:pPr>
              <w:spacing w:before="80" w:after="80"/>
              <w:rPr>
                <w:bCs/>
                <w:sz w:val="22"/>
                <w:szCs w:val="22"/>
              </w:rPr>
            </w:pPr>
            <w:hyperlink r:id="rId168" w:history="1">
              <w:r w:rsidR="00D25B32" w:rsidRPr="00DD47DF">
                <w:rPr>
                  <w:rStyle w:val="Hypertextovodkaz"/>
                  <w:bCs/>
                  <w:sz w:val="22"/>
                  <w:szCs w:val="22"/>
                </w:rPr>
                <w:t>http://www.esfcr.cz/file/8938/</w:t>
              </w:r>
            </w:hyperlink>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69FAC12" w14:textId="77777777" w:rsidR="00790A0D" w:rsidRPr="00DD47DF" w:rsidRDefault="00790A0D" w:rsidP="006D2F5F">
            <w:pPr>
              <w:pStyle w:val="Tabulka"/>
              <w:jc w:val="left"/>
              <w:rPr>
                <w:rFonts w:cs="Calibri"/>
              </w:rPr>
            </w:pPr>
            <w:r w:rsidRPr="00DD47DF">
              <w:rPr>
                <w:rFonts w:cs="Calibri"/>
              </w:rPr>
              <w:lastRenderedPageBreak/>
              <w:t xml:space="preserve">Jedním z cílů Koncepce MSP je zvyšování kvality poradenských služeb pro MSP. Důraz bude kladen na zvyšování finanční gramotnosti a sestavení a realizaci kvalitního business plánu (důležité pro začínající MSP a znevýhodněné skupiny, zejm. sociální podniky). Klíčová je podpora prostřednictvím zvýhodněných úvěrů, záruk a kapitálových vstupů. Je plánováno zvýhodnění sociálních podniků v jednotlivých programech OP PIK. </w:t>
            </w:r>
          </w:p>
          <w:p w14:paraId="3698F187" w14:textId="77777777" w:rsidR="00554C27" w:rsidRPr="00DD47DF" w:rsidRDefault="00790A0D" w:rsidP="00554C27">
            <w:pPr>
              <w:spacing w:before="80" w:after="80"/>
              <w:rPr>
                <w:bCs/>
                <w:sz w:val="22"/>
                <w:szCs w:val="22"/>
              </w:rPr>
            </w:pPr>
            <w:r w:rsidRPr="00DD47DF">
              <w:rPr>
                <w:rFonts w:cs="Calibri"/>
                <w:sz w:val="22"/>
                <w:szCs w:val="22"/>
              </w:rPr>
              <w:t xml:space="preserve">Na základě zákona č. 435/2004 Sb., zákona o zaměstnanosti je poskytována ÚP ČR podpora uchazečům o zaměstnání, kteří se rozhodnou zahájit samostatně výdělečnou činnost (zajištění rekvalifikačních kurzů, následně poskytnutí finančních prostředků na nákup vybavení, resp. na úhradu části provozních nákladů po zahájení podnikání). </w:t>
            </w:r>
            <w:r w:rsidR="00D25B32" w:rsidRPr="00DD47DF">
              <w:rPr>
                <w:bCs/>
                <w:sz w:val="22"/>
                <w:szCs w:val="22"/>
              </w:rPr>
              <w:t xml:space="preserve"> K vyšší efektivitě opatření přispěje poskytování poradenství i v době raných fází zahájení SVČ, s čímž počítá Strategie politiky zaměstnanosti do roku 2020. </w:t>
            </w:r>
            <w:r w:rsidR="00554C27" w:rsidRPr="00DD47DF">
              <w:rPr>
                <w:bCs/>
                <w:sz w:val="22"/>
                <w:szCs w:val="22"/>
              </w:rPr>
              <w:t xml:space="preserve">Podrobněji viz </w:t>
            </w:r>
            <w:r w:rsidR="00554C27" w:rsidRPr="00DD47DF">
              <w:rPr>
                <w:bCs/>
                <w:sz w:val="22"/>
                <w:szCs w:val="22"/>
              </w:rPr>
              <w:lastRenderedPageBreak/>
              <w:t>Příloha II a evaluační studie.</w:t>
            </w:r>
          </w:p>
          <w:p w14:paraId="24768A5B" w14:textId="77777777" w:rsidR="00790A0D" w:rsidRPr="00DD47DF" w:rsidRDefault="00790A0D" w:rsidP="006D2F5F">
            <w:pPr>
              <w:pStyle w:val="Tabulka"/>
              <w:jc w:val="left"/>
              <w:rPr>
                <w:rFonts w:cs="Calibri"/>
              </w:rPr>
            </w:pPr>
          </w:p>
        </w:tc>
      </w:tr>
    </w:tbl>
    <w:p w14:paraId="7BBD9FA6" w14:textId="77777777" w:rsidR="00790A0D" w:rsidRPr="00DD47DF" w:rsidRDefault="00790A0D" w:rsidP="00790A0D"/>
    <w:p w14:paraId="34A2956C" w14:textId="77777777" w:rsidR="004B5A6C" w:rsidRPr="00DD47DF" w:rsidRDefault="00F64D76" w:rsidP="004A282B">
      <w:pPr>
        <w:pStyle w:val="Nadpis2"/>
        <w:keepLines/>
        <w:rPr>
          <w:rFonts w:cs="Calibri"/>
        </w:rPr>
      </w:pPr>
      <w:bookmarkStart w:id="138" w:name="_Toc129005464"/>
      <w:r w:rsidRPr="00DD47DF">
        <w:rPr>
          <w:rFonts w:cs="Calibri"/>
        </w:rPr>
        <w:t>Popis opatření ke splnění předběžných podmínek, odpovědných subjektů a harmonogramu</w:t>
      </w:r>
      <w:bookmarkEnd w:id="138"/>
    </w:p>
    <w:p w14:paraId="5C4B1C49" w14:textId="77777777" w:rsidR="007E3732" w:rsidRPr="00DD47DF" w:rsidRDefault="007E3732" w:rsidP="004A282B">
      <w:pPr>
        <w:pStyle w:val="Titulek"/>
        <w:keepNext/>
        <w:keepLines/>
      </w:pPr>
      <w:r w:rsidRPr="00DD47DF">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25</w:t>
      </w:r>
      <w:r w:rsidR="002756E7" w:rsidRPr="00DD47DF">
        <w:rPr>
          <w:noProof/>
        </w:rPr>
        <w:fldChar w:fldCharType="end"/>
      </w:r>
      <w:r w:rsidRPr="00DD47DF">
        <w:t xml:space="preserve">: </w:t>
      </w:r>
      <w:r w:rsidR="00436FDF" w:rsidRPr="00DD47DF">
        <w:t>O</w:t>
      </w:r>
      <w:r w:rsidR="00FF200C" w:rsidRPr="00DD47DF">
        <w:t xml:space="preserve">patření, která </w:t>
      </w:r>
      <w:r w:rsidR="00436FDF" w:rsidRPr="00DD47DF">
        <w:t>je třeba přijmout, aby byly splněny platné obecné předběžné podmínky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851"/>
        <w:gridCol w:w="2502"/>
        <w:gridCol w:w="4338"/>
        <w:gridCol w:w="1984"/>
        <w:gridCol w:w="2617"/>
      </w:tblGrid>
      <w:tr w:rsidR="005237DD" w:rsidRPr="00DD47DF" w14:paraId="4A4E77AE" w14:textId="77777777" w:rsidTr="008A20D2">
        <w:trPr>
          <w:trHeight w:val="647"/>
        </w:trPr>
        <w:tc>
          <w:tcPr>
            <w:tcW w:w="0" w:type="auto"/>
            <w:tcBorders>
              <w:bottom w:val="single" w:sz="4" w:space="0" w:color="auto"/>
            </w:tcBorders>
            <w:shd w:val="clear" w:color="auto" w:fill="B8CCE4"/>
            <w:vAlign w:val="center"/>
          </w:tcPr>
          <w:p w14:paraId="4889045F" w14:textId="77777777" w:rsidR="00790A0D" w:rsidRPr="00DD47DF" w:rsidRDefault="00790A0D" w:rsidP="006D2F5F">
            <w:pPr>
              <w:pStyle w:val="Tabulka"/>
              <w:keepNext/>
              <w:keepLines/>
              <w:rPr>
                <w:rFonts w:eastAsia="Calibri" w:cs="Calibri"/>
                <w:b/>
              </w:rPr>
            </w:pPr>
            <w:r w:rsidRPr="00DD47DF">
              <w:rPr>
                <w:rFonts w:eastAsia="Calibri" w:cs="Calibri"/>
                <w:b/>
              </w:rPr>
              <w:t>Obecné předběžné podmínky</w:t>
            </w:r>
          </w:p>
        </w:tc>
        <w:tc>
          <w:tcPr>
            <w:tcW w:w="0" w:type="auto"/>
            <w:tcBorders>
              <w:bottom w:val="single" w:sz="4" w:space="0" w:color="auto"/>
            </w:tcBorders>
            <w:shd w:val="clear" w:color="auto" w:fill="B8CCE4"/>
            <w:vAlign w:val="center"/>
          </w:tcPr>
          <w:p w14:paraId="4B7980E9" w14:textId="77777777" w:rsidR="00790A0D" w:rsidRPr="00DD47DF" w:rsidRDefault="00790A0D" w:rsidP="006D2F5F">
            <w:pPr>
              <w:pStyle w:val="Tabulka"/>
              <w:keepNext/>
              <w:keepLines/>
              <w:rPr>
                <w:rFonts w:eastAsia="Calibri" w:cs="Calibri"/>
                <w:b/>
              </w:rPr>
            </w:pPr>
            <w:r w:rsidRPr="00DD47DF">
              <w:rPr>
                <w:rFonts w:eastAsia="Calibri" w:cs="Calibri"/>
                <w:b/>
              </w:rPr>
              <w:t>Nesplněná kritéria</w:t>
            </w:r>
          </w:p>
        </w:tc>
        <w:tc>
          <w:tcPr>
            <w:tcW w:w="0" w:type="auto"/>
            <w:tcBorders>
              <w:bottom w:val="single" w:sz="4" w:space="0" w:color="auto"/>
            </w:tcBorders>
            <w:shd w:val="clear" w:color="auto" w:fill="B8CCE4"/>
            <w:vAlign w:val="center"/>
          </w:tcPr>
          <w:p w14:paraId="0F5340AA" w14:textId="77777777" w:rsidR="00790A0D" w:rsidRPr="00DD47DF" w:rsidRDefault="00790A0D" w:rsidP="006D2F5F">
            <w:pPr>
              <w:pStyle w:val="Tabulka"/>
              <w:keepNext/>
              <w:keepLines/>
              <w:rPr>
                <w:rFonts w:eastAsia="Calibri" w:cs="Calibri"/>
                <w:b/>
              </w:rPr>
            </w:pPr>
            <w:r w:rsidRPr="00DD47DF">
              <w:rPr>
                <w:rFonts w:eastAsia="Calibri" w:cs="Calibri"/>
                <w:b/>
              </w:rPr>
              <w:t>Opatření, která je třeba přijmout</w:t>
            </w:r>
            <w:r w:rsidRPr="00DD47DF">
              <w:rPr>
                <w:rStyle w:val="Znakapoznpodarou"/>
                <w:rFonts w:eastAsia="Calibri" w:cs="Calibri"/>
              </w:rPr>
              <w:footnoteReference w:id="102"/>
            </w:r>
          </w:p>
        </w:tc>
        <w:tc>
          <w:tcPr>
            <w:tcW w:w="1984" w:type="dxa"/>
            <w:tcBorders>
              <w:bottom w:val="single" w:sz="4" w:space="0" w:color="auto"/>
            </w:tcBorders>
            <w:shd w:val="clear" w:color="auto" w:fill="B8CCE4"/>
            <w:vAlign w:val="center"/>
          </w:tcPr>
          <w:p w14:paraId="07E48151" w14:textId="77777777" w:rsidR="00790A0D" w:rsidRPr="00DD47DF" w:rsidRDefault="00790A0D" w:rsidP="006D2F5F">
            <w:pPr>
              <w:pStyle w:val="Tabulka"/>
              <w:keepNext/>
              <w:keepLines/>
              <w:rPr>
                <w:rFonts w:eastAsia="Calibri" w:cs="Calibri"/>
                <w:b/>
              </w:rPr>
            </w:pPr>
            <w:r w:rsidRPr="00DD47DF">
              <w:rPr>
                <w:rFonts w:eastAsia="Calibri" w:cs="Calibri"/>
                <w:b/>
              </w:rPr>
              <w:t>Lhůta (datum)</w:t>
            </w:r>
          </w:p>
        </w:tc>
        <w:tc>
          <w:tcPr>
            <w:tcW w:w="2617" w:type="dxa"/>
            <w:tcBorders>
              <w:bottom w:val="single" w:sz="4" w:space="0" w:color="auto"/>
            </w:tcBorders>
            <w:shd w:val="clear" w:color="auto" w:fill="B8CCE4"/>
            <w:vAlign w:val="center"/>
          </w:tcPr>
          <w:p w14:paraId="6441C5CF" w14:textId="77777777" w:rsidR="00790A0D" w:rsidRPr="00DD47DF" w:rsidRDefault="00790A0D" w:rsidP="006D2F5F">
            <w:pPr>
              <w:pStyle w:val="Tabulka"/>
              <w:keepNext/>
              <w:keepLines/>
              <w:rPr>
                <w:rFonts w:eastAsia="Calibri" w:cs="Calibri"/>
                <w:b/>
              </w:rPr>
            </w:pPr>
            <w:r w:rsidRPr="00DD47DF">
              <w:rPr>
                <w:rFonts w:eastAsia="Calibri" w:cs="Calibri"/>
                <w:b/>
              </w:rPr>
              <w:t>Subjekty odpovědné za plnění</w:t>
            </w:r>
          </w:p>
        </w:tc>
      </w:tr>
      <w:tr w:rsidR="005D3E2A" w:rsidRPr="00DD47DF" w14:paraId="17832560" w14:textId="77777777" w:rsidTr="00CE492D">
        <w:trPr>
          <w:trHeight w:val="414"/>
        </w:trPr>
        <w:tc>
          <w:tcPr>
            <w:tcW w:w="0" w:type="auto"/>
            <w:vMerge w:val="restart"/>
            <w:tcBorders>
              <w:top w:val="single" w:sz="4" w:space="0" w:color="auto"/>
              <w:left w:val="single" w:sz="4" w:space="0" w:color="auto"/>
              <w:right w:val="single" w:sz="4" w:space="0" w:color="auto"/>
            </w:tcBorders>
            <w:shd w:val="clear" w:color="auto" w:fill="auto"/>
          </w:tcPr>
          <w:p w14:paraId="3F52341D" w14:textId="77777777" w:rsidR="005D3E2A" w:rsidRPr="00DD47DF" w:rsidRDefault="005D3E2A" w:rsidP="006D2F5F">
            <w:pPr>
              <w:pStyle w:val="Tabulka"/>
              <w:jc w:val="left"/>
              <w:rPr>
                <w:rFonts w:cs="Calibri"/>
                <w:b/>
              </w:rPr>
            </w:pPr>
            <w:r w:rsidRPr="00DD47DF">
              <w:rPr>
                <w:rFonts w:cs="Calibri"/>
                <w:b/>
              </w:rPr>
              <w:t>Existence opatření pro účinné uplatňování právních předpisů Unie o veřejných zakázkách v oblasti fondů ESI.</w:t>
            </w:r>
          </w:p>
          <w:p w14:paraId="4FA61793" w14:textId="77777777" w:rsidR="005D3E2A" w:rsidRPr="00DD47DF" w:rsidRDefault="005D3E2A" w:rsidP="006D2F5F">
            <w:pPr>
              <w:pStyle w:val="Tabulka"/>
              <w:widowControl w:val="0"/>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31E3307B" w14:textId="77777777" w:rsidR="005D3E2A" w:rsidRPr="00DD47DF" w:rsidRDefault="005D3E2A" w:rsidP="006D2F5F">
            <w:pPr>
              <w:pStyle w:val="Tabulka"/>
              <w:widowControl w:val="0"/>
              <w:jc w:val="left"/>
              <w:rPr>
                <w:rFonts w:cs="Calibri"/>
              </w:rPr>
            </w:pPr>
            <w:r w:rsidRPr="00DD47DF">
              <w:rPr>
                <w:rFonts w:cs="Calibri"/>
              </w:rPr>
              <w:t>Opatření pro účinné uplatňování předpisů Unie o veřejných zakázkách prostřednictvím odpovídajících mechanismů</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3C79C7F"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Bude připraven zcela nový zákon o vz, který bude představovat transpozici nových zadávacích směrnic EU. </w:t>
            </w:r>
          </w:p>
          <w:p w14:paraId="4BCBAEB8"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18.4.2016</w:t>
            </w:r>
          </w:p>
          <w:p w14:paraId="5FFAA8FA"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Základní principy nového zákona:</w:t>
            </w:r>
          </w:p>
          <w:p w14:paraId="2E315A62"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 xml:space="preserve">transpozice všech relevantních (povinných) ustanovení, </w:t>
            </w:r>
          </w:p>
          <w:p w14:paraId="36653A18"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lastRenderedPageBreak/>
              <w:t>obdobný režim pro podlimitní vz</w:t>
            </w:r>
          </w:p>
          <w:p w14:paraId="6472720C"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snížení administrativní náročnosti zadávání,</w:t>
            </w:r>
          </w:p>
          <w:p w14:paraId="158E3391" w14:textId="77777777" w:rsidR="005D3E2A" w:rsidRPr="00DD47DF" w:rsidRDefault="005D3E2A" w:rsidP="00DD47DF">
            <w:pPr>
              <w:pStyle w:val="DAVA"/>
              <w:numPr>
                <w:ilvl w:val="0"/>
                <w:numId w:val="101"/>
              </w:numPr>
              <w:spacing w:before="80" w:after="80"/>
              <w:ind w:left="339"/>
              <w:rPr>
                <w:rFonts w:ascii="Times New Roman" w:hAnsi="Times New Roman"/>
                <w:sz w:val="22"/>
                <w:szCs w:val="22"/>
                <w:lang w:eastAsia="cs-CZ"/>
              </w:rPr>
            </w:pPr>
            <w:r w:rsidRPr="00DD47DF">
              <w:rPr>
                <w:rFonts w:ascii="Times New Roman" w:hAnsi="Times New Roman"/>
                <w:sz w:val="22"/>
                <w:szCs w:val="22"/>
                <w:lang w:eastAsia="cs-CZ"/>
              </w:rPr>
              <w:t>zvýšení elektronizace (použití elektronických nástrojů) při zadávání bude odpovídat povinnostem uvedeným v nových směrnicích,</w:t>
            </w:r>
          </w:p>
          <w:p w14:paraId="0B5D0929" w14:textId="77777777" w:rsidR="005D3E2A" w:rsidRPr="00DD47DF" w:rsidRDefault="005D3E2A" w:rsidP="00DD47DF">
            <w:pPr>
              <w:overflowPunct/>
              <w:autoSpaceDE/>
              <w:autoSpaceDN/>
              <w:adjustRightInd/>
              <w:spacing w:line="276" w:lineRule="auto"/>
              <w:ind w:left="709" w:hanging="283"/>
              <w:textAlignment w:val="auto"/>
              <w:rPr>
                <w:sz w:val="22"/>
                <w:szCs w:val="22"/>
              </w:rPr>
            </w:pPr>
            <w:r w:rsidRPr="00DD47DF">
              <w:rPr>
                <w:sz w:val="22"/>
                <w:szCs w:val="22"/>
              </w:rPr>
              <w:t>a)  ČR  k 18. 4. 2016 přijme zákonnou úpravu o povinném elektronickém zadávání vz v souladu se směrnicemi 2014/23</w:t>
            </w:r>
            <w:r w:rsidR="001F7B00">
              <w:rPr>
                <w:sz w:val="22"/>
                <w:szCs w:val="22"/>
              </w:rPr>
              <w:t>/ES, 2014/24/ES a 2014/25/ES.</w:t>
            </w:r>
            <w:r w:rsidRPr="00DD47DF">
              <w:rPr>
                <w:sz w:val="22"/>
                <w:szCs w:val="22"/>
              </w:rPr>
              <w:t xml:space="preserve"> Zavedení elektronizace v termínech požadovaných SM EU 2014/24.</w:t>
            </w:r>
          </w:p>
          <w:p w14:paraId="0B352850" w14:textId="77777777" w:rsidR="005D3E2A" w:rsidRPr="00DD47DF" w:rsidRDefault="005D3E2A" w:rsidP="00DD47DF">
            <w:pPr>
              <w:pStyle w:val="Odstavecseseznamem"/>
              <w:numPr>
                <w:ilvl w:val="0"/>
                <w:numId w:val="134"/>
              </w:numPr>
              <w:overflowPunct/>
              <w:autoSpaceDE/>
              <w:autoSpaceDN/>
              <w:adjustRightInd/>
              <w:spacing w:line="276" w:lineRule="auto"/>
              <w:ind w:left="709" w:hanging="283"/>
              <w:textAlignment w:val="auto"/>
              <w:rPr>
                <w:sz w:val="22"/>
                <w:szCs w:val="22"/>
              </w:rPr>
            </w:pPr>
            <w:r w:rsidRPr="00DD47DF">
              <w:rPr>
                <w:sz w:val="22"/>
                <w:szCs w:val="22"/>
              </w:rPr>
              <w:t>spuštění ostrého provozu Národního elektronického nástroje (NEN), 1. 10. 2015</w:t>
            </w:r>
          </w:p>
          <w:p w14:paraId="1158444E" w14:textId="77777777" w:rsidR="005D3E2A" w:rsidRPr="00DD47DF" w:rsidRDefault="005D3E2A" w:rsidP="00DD47DF">
            <w:pPr>
              <w:pStyle w:val="Odstavecseseznamem"/>
              <w:numPr>
                <w:ilvl w:val="0"/>
                <w:numId w:val="134"/>
              </w:numPr>
              <w:overflowPunct/>
              <w:autoSpaceDE/>
              <w:autoSpaceDN/>
              <w:adjustRightInd/>
              <w:spacing w:line="276" w:lineRule="auto"/>
              <w:ind w:left="709" w:hanging="283"/>
              <w:textAlignment w:val="auto"/>
              <w:rPr>
                <w:sz w:val="22"/>
                <w:szCs w:val="22"/>
              </w:rPr>
            </w:pPr>
            <w:r w:rsidRPr="00DD47DF">
              <w:rPr>
                <w:sz w:val="22"/>
                <w:szCs w:val="22"/>
              </w:rPr>
              <w:t>Vláda ČR rozhodne o povinnosti používat NEN pro jednotlivé druhy zadavatelů</w:t>
            </w:r>
            <w:r w:rsidR="00DD47DF" w:rsidRPr="00DD47DF">
              <w:rPr>
                <w:sz w:val="22"/>
                <w:szCs w:val="22"/>
              </w:rPr>
              <w:t xml:space="preserve">, </w:t>
            </w:r>
            <w:r w:rsidRPr="00DD47DF">
              <w:rPr>
                <w:sz w:val="22"/>
                <w:szCs w:val="22"/>
              </w:rPr>
              <w:t>31. 12. 2016</w:t>
            </w:r>
          </w:p>
          <w:p w14:paraId="02412381" w14:textId="77777777" w:rsidR="005D3E2A" w:rsidRPr="00DD47DF" w:rsidRDefault="005D3E2A" w:rsidP="00DD47DF">
            <w:pPr>
              <w:ind w:left="480" w:hanging="425"/>
              <w:rPr>
                <w:sz w:val="22"/>
                <w:szCs w:val="22"/>
              </w:rPr>
            </w:pPr>
            <w:r w:rsidRPr="00DD47DF">
              <w:rPr>
                <w:sz w:val="22"/>
                <w:szCs w:val="22"/>
              </w:rPr>
              <w:t>5) zohlednění zásady proporcionality v zadávacím řízení,</w:t>
            </w:r>
          </w:p>
          <w:p w14:paraId="17FBC410" w14:textId="77777777" w:rsidR="005D3E2A" w:rsidRPr="00DD47DF" w:rsidRDefault="005D3E2A" w:rsidP="00DD47DF">
            <w:pPr>
              <w:pStyle w:val="Tabulka"/>
              <w:widowControl w:val="0"/>
              <w:ind w:left="480" w:hanging="425"/>
              <w:jc w:val="left"/>
            </w:pPr>
            <w:r w:rsidRPr="00DD47DF">
              <w:t>6)    na základě analýz rozhodovací praxe UOHS a kontrolních a auditních zjištění budou zpracovány návrhy na úpravu legislativy. 31.12.2015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9D5622" w14:textId="77777777" w:rsidR="005D3E2A" w:rsidRPr="00DD47DF" w:rsidRDefault="005D3E2A" w:rsidP="00307C8A">
            <w:pPr>
              <w:pStyle w:val="DAVA"/>
              <w:spacing w:before="80" w:after="80"/>
              <w:rPr>
                <w:rFonts w:ascii="Times New Roman" w:hAnsi="Times New Roman"/>
                <w:sz w:val="22"/>
                <w:szCs w:val="22"/>
              </w:rPr>
            </w:pPr>
            <w:r w:rsidRPr="00DD47DF">
              <w:rPr>
                <w:rFonts w:ascii="Times New Roman" w:hAnsi="Times New Roman"/>
                <w:sz w:val="22"/>
                <w:szCs w:val="22"/>
              </w:rPr>
              <w:lastRenderedPageBreak/>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EFE294D" w14:textId="77777777" w:rsidR="005D3E2A" w:rsidRPr="00DD47DF" w:rsidRDefault="005D3E2A" w:rsidP="006D2F5F">
            <w:pPr>
              <w:pStyle w:val="Tabulka"/>
              <w:widowControl w:val="0"/>
              <w:jc w:val="left"/>
              <w:rPr>
                <w:rFonts w:cs="Calibri"/>
              </w:rPr>
            </w:pPr>
            <w:r w:rsidRPr="00DD47DF">
              <w:rPr>
                <w:rFonts w:cs="Calibri"/>
              </w:rPr>
              <w:t xml:space="preserve"> MMR</w:t>
            </w:r>
          </w:p>
        </w:tc>
      </w:tr>
      <w:tr w:rsidR="005D3E2A" w:rsidRPr="00DD47DF" w14:paraId="509CE92A" w14:textId="77777777" w:rsidTr="00D43AF5">
        <w:trPr>
          <w:trHeight w:val="414"/>
        </w:trPr>
        <w:tc>
          <w:tcPr>
            <w:tcW w:w="0" w:type="auto"/>
            <w:vMerge/>
            <w:tcBorders>
              <w:left w:val="single" w:sz="4" w:space="0" w:color="auto"/>
              <w:right w:val="single" w:sz="4" w:space="0" w:color="auto"/>
            </w:tcBorders>
            <w:shd w:val="clear" w:color="auto" w:fill="auto"/>
          </w:tcPr>
          <w:p w14:paraId="1D3D8268"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5BC0A1E7"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0FF7C2"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t xml:space="preserve">Provedení série opatření, jejichž cílem bude zefektivnění dohledové činnosti ÚOHS  - zejména s ohledem na zkrácení lhůt k rozhodování. </w:t>
            </w:r>
          </w:p>
          <w:p w14:paraId="67A082F9"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t>Nelegislativní opatření:</w:t>
            </w:r>
          </w:p>
          <w:p w14:paraId="13CD7ED3" w14:textId="77777777" w:rsidR="005D3E2A" w:rsidRPr="00DD47DF" w:rsidRDefault="005D3E2A" w:rsidP="00DD47DF">
            <w:pPr>
              <w:pStyle w:val="DAVA"/>
              <w:numPr>
                <w:ilvl w:val="0"/>
                <w:numId w:val="123"/>
              </w:numPr>
              <w:spacing w:before="80" w:after="80"/>
              <w:ind w:left="355"/>
              <w:rPr>
                <w:rFonts w:ascii="Times New Roman" w:hAnsi="Times New Roman"/>
                <w:sz w:val="22"/>
                <w:szCs w:val="22"/>
                <w:lang w:eastAsia="cs-CZ"/>
              </w:rPr>
            </w:pPr>
            <w:r w:rsidRPr="00DD47DF">
              <w:rPr>
                <w:rFonts w:ascii="Times New Roman" w:hAnsi="Times New Roman"/>
                <w:sz w:val="22"/>
                <w:szCs w:val="22"/>
              </w:rPr>
              <w:lastRenderedPageBreak/>
              <w:t>Standardizace podnětů k zahájení řízení o přezkoumání úkonů zadavatele zasílaných ŘO.</w:t>
            </w:r>
          </w:p>
          <w:p w14:paraId="4D871B80" w14:textId="77777777" w:rsidR="005D3E2A" w:rsidRPr="00DD47DF" w:rsidRDefault="005D3E2A" w:rsidP="00DD47DF">
            <w:pPr>
              <w:pStyle w:val="DAVA"/>
              <w:spacing w:before="80" w:after="80"/>
              <w:ind w:left="355"/>
              <w:rPr>
                <w:rFonts w:ascii="Times New Roman" w:hAnsi="Times New Roman"/>
                <w:sz w:val="22"/>
                <w:szCs w:val="22"/>
                <w:lang w:eastAsia="cs-CZ"/>
              </w:rPr>
            </w:pPr>
            <w:r w:rsidRPr="00DD47DF">
              <w:rPr>
                <w:rFonts w:ascii="Times New Roman" w:hAnsi="Times New Roman"/>
                <w:sz w:val="22"/>
                <w:szCs w:val="22"/>
              </w:rPr>
              <w:t>30.6.2015</w:t>
            </w:r>
          </w:p>
          <w:p w14:paraId="5336D5D7" w14:textId="77777777" w:rsidR="005D3E2A" w:rsidRPr="00DD47DF" w:rsidRDefault="005D3E2A" w:rsidP="00B67B43">
            <w:pPr>
              <w:pStyle w:val="DAVA"/>
              <w:spacing w:before="80" w:after="80"/>
              <w:rPr>
                <w:rFonts w:ascii="Times New Roman" w:hAnsi="Times New Roman"/>
                <w:sz w:val="22"/>
                <w:szCs w:val="22"/>
                <w:lang w:eastAsia="cs-CZ"/>
              </w:rPr>
            </w:pPr>
            <w:r w:rsidRPr="00DD47DF">
              <w:rPr>
                <w:rFonts w:ascii="Times New Roman" w:hAnsi="Times New Roman"/>
                <w:sz w:val="22"/>
                <w:szCs w:val="22"/>
              </w:rPr>
              <w:t xml:space="preserve">Legislativní: </w:t>
            </w:r>
          </w:p>
          <w:p w14:paraId="79B678DC" w14:textId="77777777" w:rsidR="005D3E2A" w:rsidRPr="00DD47DF" w:rsidRDefault="005D3E2A" w:rsidP="00DD47DF">
            <w:pPr>
              <w:pStyle w:val="DAVA"/>
              <w:numPr>
                <w:ilvl w:val="0"/>
                <w:numId w:val="123"/>
              </w:numPr>
              <w:spacing w:before="80" w:after="80"/>
              <w:ind w:left="355"/>
              <w:rPr>
                <w:rFonts w:ascii="Times New Roman" w:hAnsi="Times New Roman"/>
                <w:sz w:val="22"/>
                <w:szCs w:val="22"/>
              </w:rPr>
            </w:pPr>
            <w:r w:rsidRPr="00DD47DF">
              <w:rPr>
                <w:rFonts w:ascii="Times New Roman" w:hAnsi="Times New Roman"/>
                <w:sz w:val="22"/>
                <w:szCs w:val="22"/>
                <w:lang w:eastAsia="cs-CZ"/>
              </w:rPr>
              <w:t xml:space="preserve">Dne 6.3.2015 vstoupila v účinnost Technická novela ZVZ, která upravuje řízení před UOHS. Předmětem úpravy je povinnost účastníků řízení předkládat veškeré návrhy a důkazní prostředky co nejdříve, nejpozději do 15 dnů od zahájení řízení. </w:t>
            </w:r>
          </w:p>
          <w:p w14:paraId="6847955E" w14:textId="77777777" w:rsidR="005D3E2A" w:rsidRPr="00DD47DF" w:rsidRDefault="005D3E2A" w:rsidP="00DD47DF">
            <w:pPr>
              <w:pStyle w:val="DAVA"/>
              <w:numPr>
                <w:ilvl w:val="0"/>
                <w:numId w:val="123"/>
              </w:numPr>
              <w:spacing w:before="80" w:after="80"/>
              <w:ind w:left="355"/>
              <w:rPr>
                <w:rFonts w:ascii="Times New Roman" w:hAnsi="Times New Roman"/>
                <w:sz w:val="22"/>
                <w:szCs w:val="22"/>
              </w:rPr>
            </w:pPr>
            <w:r w:rsidRPr="00DD47DF">
              <w:rPr>
                <w:rFonts w:ascii="Times New Roman" w:hAnsi="Times New Roman"/>
                <w:sz w:val="22"/>
                <w:szCs w:val="22"/>
                <w:lang w:eastAsia="cs-CZ"/>
              </w:rPr>
              <w:t>Při přípravě nového zákona dojde k dalšímu zvýšení elektronizace řízení před UOHS (povinnost zasílat dokumentaci v elektronické podobě) a zefektivnění činnosti UOHS.</w:t>
            </w:r>
          </w:p>
          <w:p w14:paraId="1D3A2452" w14:textId="77777777" w:rsidR="005D3E2A" w:rsidRPr="00DD47DF" w:rsidRDefault="00035BDD" w:rsidP="00DD47DF">
            <w:pPr>
              <w:pStyle w:val="DAVA"/>
              <w:spacing w:before="80" w:after="80"/>
              <w:ind w:left="355"/>
              <w:rPr>
                <w:rFonts w:ascii="Times New Roman" w:hAnsi="Times New Roman"/>
                <w:sz w:val="22"/>
                <w:szCs w:val="22"/>
              </w:rPr>
            </w:pPr>
            <w:r>
              <w:rPr>
                <w:rFonts w:ascii="Times New Roman" w:hAnsi="Times New Roman"/>
                <w:sz w:val="22"/>
                <w:szCs w:val="22"/>
                <w:lang w:eastAsia="cs-CZ"/>
              </w:rPr>
              <w:t>18.4.2016</w:t>
            </w:r>
          </w:p>
          <w:p w14:paraId="5A902A37" w14:textId="77777777" w:rsidR="005D3E2A" w:rsidRPr="00DD47DF" w:rsidRDefault="005D3E2A" w:rsidP="00B67B43">
            <w:pPr>
              <w:pStyle w:val="DAVA"/>
              <w:spacing w:before="80" w:after="80"/>
              <w:rPr>
                <w:rFonts w:ascii="Times New Roman" w:hAnsi="Times New Roman"/>
                <w:sz w:val="22"/>
                <w:szCs w:val="22"/>
              </w:rPr>
            </w:pPr>
            <w:r w:rsidRPr="00DD47DF">
              <w:rPr>
                <w:rFonts w:ascii="Times New Roman" w:hAnsi="Times New Roman"/>
                <w:sz w:val="22"/>
                <w:szCs w:val="22"/>
              </w:rPr>
              <w:t>MMR předloží Evropské komisi informaci o pokroku ve věci zpoždění s rozhodovací činností ÚOHS.</w:t>
            </w:r>
          </w:p>
          <w:p w14:paraId="67B0644F" w14:textId="77777777" w:rsidR="005D3E2A" w:rsidRPr="00DD47DF" w:rsidRDefault="005D3E2A" w:rsidP="00CE43D2">
            <w:pPr>
              <w:pStyle w:val="DAVA"/>
              <w:spacing w:before="80" w:after="80"/>
              <w:rPr>
                <w:rFonts w:ascii="Times New Roman" w:hAnsi="Times New Roman"/>
                <w:sz w:val="22"/>
                <w:szCs w:val="22"/>
              </w:rPr>
            </w:pPr>
            <w:r w:rsidRPr="00DD47DF">
              <w:rPr>
                <w:rFonts w:ascii="Times New Roman" w:hAnsi="Times New Roman"/>
                <w:sz w:val="22"/>
                <w:szCs w:val="22"/>
              </w:rPr>
              <w:t xml:space="preserve">30. 6. 2016 Zpráva o pokroku v rámci činnosti UOHS zahrnující body 1), 2) a 3)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5050CDA" w14:textId="77777777" w:rsidR="005D3E2A" w:rsidRPr="00DD47DF" w:rsidRDefault="005D3E2A" w:rsidP="00CE43D2">
            <w:pPr>
              <w:pStyle w:val="Tabulka"/>
              <w:widowControl w:val="0"/>
              <w:jc w:val="left"/>
              <w:rPr>
                <w:rFonts w:cs="Calibri"/>
              </w:rPr>
            </w:pPr>
            <w:r w:rsidRPr="00DD47DF">
              <w:lastRenderedPageBreak/>
              <w:t>18.4.2016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DCB0573" w14:textId="77777777" w:rsidR="005D3E2A" w:rsidRPr="00DD47DF" w:rsidRDefault="005D3E2A" w:rsidP="00CE43D2">
            <w:pPr>
              <w:pStyle w:val="DAVA"/>
              <w:spacing w:before="80" w:after="80"/>
              <w:rPr>
                <w:rFonts w:cs="Arial"/>
                <w:sz w:val="22"/>
                <w:szCs w:val="22"/>
              </w:rPr>
            </w:pPr>
            <w:r w:rsidRPr="00DD47DF">
              <w:rPr>
                <w:rFonts w:ascii="Times New Roman" w:hAnsi="Times New Roman"/>
                <w:sz w:val="22"/>
                <w:szCs w:val="22"/>
              </w:rPr>
              <w:t>MMR, UOHS</w:t>
            </w:r>
          </w:p>
        </w:tc>
      </w:tr>
      <w:tr w:rsidR="005D3E2A" w:rsidRPr="00DD47DF" w14:paraId="5E4C3AAC" w14:textId="77777777" w:rsidTr="00D43AF5">
        <w:trPr>
          <w:trHeight w:val="414"/>
        </w:trPr>
        <w:tc>
          <w:tcPr>
            <w:tcW w:w="0" w:type="auto"/>
            <w:vMerge/>
            <w:tcBorders>
              <w:left w:val="single" w:sz="4" w:space="0" w:color="auto"/>
              <w:right w:val="single" w:sz="4" w:space="0" w:color="auto"/>
            </w:tcBorders>
            <w:shd w:val="clear" w:color="auto" w:fill="auto"/>
          </w:tcPr>
          <w:p w14:paraId="2EA9C8AD"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42845536"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C5D394" w14:textId="77777777" w:rsidR="005D3E2A" w:rsidRPr="00DD47DF" w:rsidRDefault="005D3E2A" w:rsidP="005D2C44">
            <w:pPr>
              <w:pStyle w:val="DAVA"/>
              <w:spacing w:before="80" w:after="80"/>
              <w:rPr>
                <w:rFonts w:ascii="Times New Roman" w:hAnsi="Times New Roman"/>
                <w:sz w:val="22"/>
                <w:szCs w:val="22"/>
              </w:rPr>
            </w:pPr>
            <w:r w:rsidRPr="00DD47DF">
              <w:rPr>
                <w:rFonts w:ascii="Times New Roman" w:hAnsi="Times New Roman"/>
                <w:sz w:val="22"/>
                <w:szCs w:val="22"/>
              </w:rPr>
              <w:t>MMR zpracuje každý rok zprávu o činnosti a pokroku tzv. Progress report, který bude sloužit jako hlavní nástroj identifikace nejčastějších pochybení a problémů v rámci zadávání. Po provedení identifikace problémů  budou vydefinována i opatření.</w:t>
            </w:r>
          </w:p>
          <w:p w14:paraId="6552C23C" w14:textId="77777777" w:rsidR="005D3E2A" w:rsidRPr="00DD47DF" w:rsidRDefault="005D3E2A" w:rsidP="005D2C44">
            <w:pPr>
              <w:pStyle w:val="DAVA"/>
              <w:spacing w:before="80" w:after="80"/>
              <w:rPr>
                <w:rFonts w:ascii="Times New Roman" w:hAnsi="Times New Roman"/>
                <w:sz w:val="22"/>
                <w:szCs w:val="22"/>
              </w:rPr>
            </w:pPr>
            <w:r w:rsidRPr="00DD47DF">
              <w:rPr>
                <w:rFonts w:ascii="Times New Roman" w:hAnsi="Times New Roman"/>
                <w:sz w:val="22"/>
                <w:szCs w:val="22"/>
              </w:rPr>
              <w:lastRenderedPageBreak/>
              <w:t>Zpráva bude obsahovat:</w:t>
            </w:r>
          </w:p>
          <w:p w14:paraId="32F26019"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 xml:space="preserve">seznam analyzovaných podkladů - rozhodnutí UOHS, soudů, </w:t>
            </w:r>
            <w:r w:rsidRPr="00DD47DF">
              <w:rPr>
                <w:rFonts w:ascii="Times New Roman" w:hAnsi="Times New Roman"/>
                <w:sz w:val="22"/>
                <w:szCs w:val="22"/>
                <w:lang w:eastAsia="cs-CZ"/>
              </w:rPr>
              <w:t xml:space="preserve">Soudního dvora EU </w:t>
            </w:r>
            <w:r w:rsidRPr="00DD47DF">
              <w:rPr>
                <w:rFonts w:ascii="Times New Roman" w:hAnsi="Times New Roman"/>
                <w:sz w:val="22"/>
                <w:szCs w:val="22"/>
              </w:rPr>
              <w:t xml:space="preserve">auditních zpráv, </w:t>
            </w:r>
            <w:r w:rsidRPr="00DD47DF">
              <w:rPr>
                <w:rFonts w:ascii="Times New Roman" w:hAnsi="Times New Roman"/>
                <w:sz w:val="22"/>
                <w:szCs w:val="22"/>
                <w:lang w:eastAsia="cs-CZ"/>
              </w:rPr>
              <w:t xml:space="preserve">které v ČR budou provádět auditoři z EÚD a EK, se zaměřením na analýzu negativních a pozitivních zjištění </w:t>
            </w:r>
          </w:p>
          <w:p w14:paraId="175D72EE" w14:textId="77777777" w:rsidR="005D3E2A" w:rsidRPr="00DD47DF" w:rsidRDefault="005D3E2A" w:rsidP="00DD47DF">
            <w:pPr>
              <w:pStyle w:val="DAVA"/>
              <w:numPr>
                <w:ilvl w:val="0"/>
                <w:numId w:val="124"/>
              </w:numPr>
              <w:spacing w:before="80" w:after="80"/>
              <w:ind w:left="568"/>
              <w:rPr>
                <w:rFonts w:ascii="Times New Roman" w:hAnsi="Times New Roman"/>
                <w:sz w:val="22"/>
                <w:szCs w:val="22"/>
              </w:rPr>
            </w:pPr>
            <w:r w:rsidRPr="00DD47DF">
              <w:rPr>
                <w:rFonts w:ascii="Times New Roman" w:hAnsi="Times New Roman"/>
                <w:sz w:val="22"/>
                <w:szCs w:val="22"/>
              </w:rPr>
              <w:t>Vyhodnocení souladu nastavení metodického prostředí s aplikační praxí a relevantní legislativou</w:t>
            </w:r>
          </w:p>
          <w:p w14:paraId="770ED1C0"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lang w:eastAsia="cs-CZ"/>
              </w:rPr>
              <w:t>Vyhodnocení aplikační praxe v oblasti kontrol</w:t>
            </w:r>
          </w:p>
          <w:p w14:paraId="0E91A2EC"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lang w:eastAsia="cs-CZ"/>
              </w:rPr>
              <w:t xml:space="preserve">Vyhodnocení funkčnosti systému prevence </w:t>
            </w:r>
          </w:p>
          <w:p w14:paraId="0423E811"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Seznam přijatých opatření (zpracovaná metodická doporučení, případné úpravy legislativních předpisů či metodik)</w:t>
            </w:r>
          </w:p>
          <w:p w14:paraId="708A8DB8" w14:textId="77777777" w:rsidR="005D3E2A" w:rsidRPr="00DD47DF" w:rsidRDefault="005D3E2A" w:rsidP="00DD47DF">
            <w:pPr>
              <w:pStyle w:val="DAVA"/>
              <w:numPr>
                <w:ilvl w:val="0"/>
                <w:numId w:val="124"/>
              </w:numPr>
              <w:spacing w:before="80" w:after="80"/>
              <w:ind w:left="568"/>
              <w:rPr>
                <w:rFonts w:ascii="Times New Roman" w:hAnsi="Times New Roman"/>
                <w:sz w:val="22"/>
                <w:szCs w:val="22"/>
                <w:lang w:eastAsia="cs-CZ"/>
              </w:rPr>
            </w:pPr>
            <w:r w:rsidRPr="00DD47DF">
              <w:rPr>
                <w:rFonts w:ascii="Times New Roman" w:hAnsi="Times New Roman"/>
                <w:sz w:val="22"/>
                <w:szCs w:val="22"/>
              </w:rPr>
              <w:t xml:space="preserve">analýzu dopadů přijatých opatření a analýzu příčin chybovosti.  </w:t>
            </w:r>
          </w:p>
          <w:p w14:paraId="0E6BB8DE" w14:textId="77777777" w:rsidR="005D3E2A" w:rsidRPr="00DD47DF" w:rsidRDefault="005D3E2A" w:rsidP="00DD47DF">
            <w:pPr>
              <w:pStyle w:val="Tabulka"/>
              <w:widowControl w:val="0"/>
              <w:numPr>
                <w:ilvl w:val="0"/>
                <w:numId w:val="124"/>
              </w:numPr>
              <w:ind w:left="568"/>
              <w:jc w:val="left"/>
            </w:pPr>
            <w:r w:rsidRPr="00DD47DF">
              <w:t>Návrhy opatření legislativního i nelegislativního charakteru vydefinovaného na základě výše uvedených bodů, včetně harmonogramu.</w:t>
            </w:r>
          </w:p>
          <w:p w14:paraId="559FDB36" w14:textId="77777777" w:rsidR="005D3E2A" w:rsidRPr="00DD47DF" w:rsidRDefault="005D3E2A" w:rsidP="00DD47DF">
            <w:pPr>
              <w:pStyle w:val="DAVA"/>
              <w:spacing w:before="80" w:after="80"/>
              <w:ind w:left="568"/>
              <w:rPr>
                <w:rFonts w:ascii="Times New Roman" w:hAnsi="Times New Roman"/>
                <w:sz w:val="22"/>
                <w:szCs w:val="22"/>
              </w:rPr>
            </w:pPr>
            <w:r w:rsidRPr="00DD47DF">
              <w:rPr>
                <w:rFonts w:ascii="Times New Roman" w:hAnsi="Times New Roman"/>
                <w:sz w:val="22"/>
                <w:szCs w:val="22"/>
              </w:rPr>
              <w:t>31. 12. 2015</w:t>
            </w:r>
          </w:p>
          <w:p w14:paraId="70A99A27" w14:textId="77777777" w:rsidR="005D3E2A" w:rsidRPr="00DD47DF" w:rsidRDefault="005D3E2A" w:rsidP="00DD47DF">
            <w:pPr>
              <w:pStyle w:val="Tabulka"/>
              <w:widowControl w:val="0"/>
              <w:ind w:left="568"/>
              <w:jc w:val="left"/>
              <w:rPr>
                <w:rFonts w:cs="Calibri"/>
              </w:rPr>
            </w:pPr>
            <w:r w:rsidRPr="00DD47DF">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8BCDD1" w14:textId="77777777" w:rsidR="005D3E2A" w:rsidRPr="00DD47DF" w:rsidRDefault="005D3E2A" w:rsidP="005D2C44">
            <w:pPr>
              <w:pStyle w:val="DAVA"/>
              <w:spacing w:before="80" w:after="80"/>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4F63AA4F" w14:textId="77777777" w:rsidR="005D3E2A" w:rsidRPr="00DD47DF" w:rsidRDefault="005D3E2A" w:rsidP="006D2F5F">
            <w:pPr>
              <w:pStyle w:val="Tabulka"/>
              <w:widowControl w:val="0"/>
              <w:jc w:val="left"/>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3D897B4E" w14:textId="77777777" w:rsidR="005D3E2A" w:rsidRPr="00DD47DF" w:rsidRDefault="005D3E2A" w:rsidP="006D2F5F">
            <w:pPr>
              <w:pStyle w:val="Tabulka"/>
              <w:widowControl w:val="0"/>
              <w:jc w:val="left"/>
            </w:pPr>
            <w:r w:rsidRPr="00DD47DF">
              <w:t xml:space="preserve"> MMR, ŘO</w:t>
            </w:r>
          </w:p>
        </w:tc>
      </w:tr>
      <w:tr w:rsidR="005D3E2A" w:rsidRPr="00DD47DF" w14:paraId="01579822" w14:textId="77777777" w:rsidTr="00D43AF5">
        <w:trPr>
          <w:trHeight w:val="414"/>
        </w:trPr>
        <w:tc>
          <w:tcPr>
            <w:tcW w:w="0" w:type="auto"/>
            <w:vMerge/>
            <w:tcBorders>
              <w:left w:val="single" w:sz="4" w:space="0" w:color="auto"/>
              <w:right w:val="single" w:sz="4" w:space="0" w:color="auto"/>
            </w:tcBorders>
            <w:shd w:val="clear" w:color="auto" w:fill="auto"/>
          </w:tcPr>
          <w:p w14:paraId="2D73C26F"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4CF6F005"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62C589"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Zajištění souladu nastavení metodického prostředí napříč ŘO s aplikační praxí a relevantní legislativou:</w:t>
            </w:r>
          </w:p>
          <w:p w14:paraId="4040EAD1" w14:textId="77777777" w:rsidR="005D3E2A" w:rsidRPr="00DD47DF" w:rsidRDefault="005D3E2A" w:rsidP="00DD47DF">
            <w:pPr>
              <w:pStyle w:val="DAVA"/>
              <w:numPr>
                <w:ilvl w:val="0"/>
                <w:numId w:val="125"/>
              </w:numPr>
              <w:spacing w:before="80" w:after="80"/>
              <w:ind w:left="426"/>
              <w:rPr>
                <w:rFonts w:ascii="Times New Roman" w:hAnsi="Times New Roman"/>
                <w:sz w:val="22"/>
                <w:szCs w:val="22"/>
              </w:rPr>
            </w:pPr>
            <w:r w:rsidRPr="00DD47DF">
              <w:rPr>
                <w:rFonts w:ascii="Times New Roman" w:hAnsi="Times New Roman"/>
                <w:sz w:val="22"/>
                <w:szCs w:val="22"/>
                <w:lang w:eastAsia="cs-CZ"/>
              </w:rPr>
              <w:t xml:space="preserve">Gestor ZVZ ověří pomocí připravených </w:t>
            </w:r>
            <w:r w:rsidRPr="00DD47DF">
              <w:rPr>
                <w:rFonts w:ascii="Times New Roman" w:hAnsi="Times New Roman"/>
                <w:sz w:val="22"/>
                <w:szCs w:val="22"/>
                <w:lang w:eastAsia="cs-CZ"/>
              </w:rPr>
              <w:lastRenderedPageBreak/>
              <w:t>kontrolních listů, zda každý jeden řídící orgán převzal Metodický pokyn pro oblast zadávání zakázek pro programové období 2014-2020 do své řízené dokumentace programu.</w:t>
            </w:r>
          </w:p>
          <w:p w14:paraId="157D29CC" w14:textId="77777777" w:rsidR="005D3E2A" w:rsidRPr="00DD47DF" w:rsidRDefault="005D3E2A" w:rsidP="00DD47DF">
            <w:pPr>
              <w:pStyle w:val="DAVA"/>
              <w:numPr>
                <w:ilvl w:val="0"/>
                <w:numId w:val="125"/>
              </w:numPr>
              <w:spacing w:before="80" w:after="80"/>
              <w:ind w:left="426"/>
              <w:rPr>
                <w:rFonts w:ascii="Times New Roman" w:hAnsi="Times New Roman"/>
                <w:sz w:val="22"/>
                <w:szCs w:val="22"/>
              </w:rPr>
            </w:pPr>
            <w:r w:rsidRPr="00DD47DF">
              <w:rPr>
                <w:rFonts w:ascii="Times New Roman" w:hAnsi="Times New Roman"/>
                <w:sz w:val="22"/>
                <w:szCs w:val="22"/>
              </w:rPr>
              <w:t>Každoročně v rámci výše uvedené Progress report bude vyhodnocena potřebnost provedení aktualizace Metodického pokynu pro oblast zadávání veřejných zakázek pro programové období 2014-2020.</w:t>
            </w:r>
            <w:r w:rsidRPr="00DD47DF">
              <w:rPr>
                <w:rFonts w:cs="Arial"/>
                <w:sz w:val="18"/>
                <w:szCs w:val="18"/>
              </w:rPr>
              <w:t xml:space="preserve"> </w:t>
            </w:r>
            <w:r w:rsidRPr="00DD47DF">
              <w:rPr>
                <w:rFonts w:ascii="Times New Roman" w:hAnsi="Times New Roman"/>
                <w:sz w:val="22"/>
                <w:szCs w:val="22"/>
              </w:rPr>
              <w:t>V případě, že bude shledána nutnost této aktualizace, bude provedena nejpozději do pěti měsíců od vydání progress report.</w:t>
            </w:r>
          </w:p>
          <w:p w14:paraId="7DB930BA" w14:textId="77777777" w:rsidR="005D3E2A" w:rsidRPr="00DD47DF" w:rsidRDefault="005D3E2A" w:rsidP="002F70BB">
            <w:pPr>
              <w:pStyle w:val="DAVA"/>
              <w:rPr>
                <w:rFonts w:ascii="Times New Roman" w:hAnsi="Times New Roman"/>
                <w:sz w:val="22"/>
                <w:szCs w:val="22"/>
              </w:rPr>
            </w:pPr>
            <w:r w:rsidRPr="00DD47DF">
              <w:rPr>
                <w:rFonts w:ascii="Times New Roman" w:hAnsi="Times New Roman"/>
                <w:sz w:val="22"/>
                <w:szCs w:val="22"/>
              </w:rPr>
              <w:t xml:space="preserve">30. 6. 2015 </w:t>
            </w:r>
          </w:p>
          <w:p w14:paraId="448F438F" w14:textId="77777777" w:rsidR="005D3E2A" w:rsidRPr="00DD47DF" w:rsidRDefault="005D3E2A" w:rsidP="002F70BB">
            <w:pPr>
              <w:pStyle w:val="DAVA"/>
              <w:rPr>
                <w:rFonts w:ascii="Times New Roman" w:hAnsi="Times New Roman"/>
                <w:sz w:val="22"/>
                <w:szCs w:val="22"/>
              </w:rPr>
            </w:pPr>
            <w:r w:rsidRPr="00DD47DF">
              <w:rPr>
                <w:rFonts w:ascii="Times New Roman" w:hAnsi="Times New Roman"/>
                <w:sz w:val="22"/>
                <w:szCs w:val="22"/>
              </w:rPr>
              <w:t>(v návaznosti na schvalování programů nejpozději do 31.12. 2015)</w:t>
            </w:r>
          </w:p>
          <w:p w14:paraId="471FA5AE" w14:textId="77777777" w:rsidR="005D3E2A" w:rsidRPr="00DD47DF" w:rsidRDefault="005D3E2A" w:rsidP="002F70BB">
            <w:pPr>
              <w:pStyle w:val="DAVA"/>
              <w:rPr>
                <w:rFonts w:ascii="Times New Roman" w:hAnsi="Times New Roman"/>
                <w:sz w:val="22"/>
                <w:szCs w:val="22"/>
                <w:lang w:val="en-GB"/>
              </w:rPr>
            </w:pPr>
            <w:r w:rsidRPr="00DD47DF">
              <w:rPr>
                <w:rFonts w:ascii="Times New Roman" w:hAnsi="Times New Roman"/>
                <w:sz w:val="22"/>
                <w:szCs w:val="22"/>
                <w:lang w:val="en-GB"/>
              </w:rPr>
              <w:t xml:space="preserve">31. 12. 2015 </w:t>
            </w:r>
          </w:p>
          <w:p w14:paraId="2423F129" w14:textId="77777777" w:rsidR="005D3E2A" w:rsidRPr="00DD47DF" w:rsidRDefault="005D3E2A" w:rsidP="00CE43D2">
            <w:pPr>
              <w:pStyle w:val="DAVA"/>
              <w:rPr>
                <w:rFonts w:ascii="Times New Roman" w:hAnsi="Times New Roman"/>
                <w:sz w:val="22"/>
                <w:szCs w:val="22"/>
                <w:lang w:val="en-GB"/>
              </w:rPr>
            </w:pPr>
            <w:r w:rsidRPr="00DD47DF">
              <w:rPr>
                <w:rFonts w:ascii="Times New Roman" w:hAnsi="Times New Roman"/>
                <w:sz w:val="22"/>
                <w:szCs w:val="22"/>
                <w:lang w:val="en-GB"/>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1E7696B" w14:textId="77777777" w:rsidR="005D3E2A" w:rsidRPr="00DD47DF" w:rsidRDefault="005D3E2A" w:rsidP="00F91E8F">
            <w:pPr>
              <w:pStyle w:val="DAVA"/>
              <w:spacing w:before="80" w:after="80"/>
              <w:rPr>
                <w:rFonts w:cs="Arial"/>
                <w:sz w:val="18"/>
                <w:szCs w:val="18"/>
                <w:lang w:eastAsia="cs-CZ"/>
              </w:rPr>
            </w:pPr>
            <w:r w:rsidRPr="00DD47DF">
              <w:rPr>
                <w:rFonts w:cs="Arial"/>
                <w:sz w:val="18"/>
                <w:szCs w:val="18"/>
                <w:lang w:eastAsia="cs-CZ"/>
              </w:rPr>
              <w:lastRenderedPageBreak/>
              <w:t xml:space="preserve"> </w:t>
            </w:r>
            <w:r w:rsidRPr="00DD47DF">
              <w:rPr>
                <w:rFonts w:ascii="Times New Roman" w:hAnsi="Times New Roman"/>
                <w:sz w:val="22"/>
                <w:szCs w:val="22"/>
                <w:lang w:val="en-GB"/>
              </w:rPr>
              <w:t>31. 12. 2016</w:t>
            </w:r>
          </w:p>
          <w:p w14:paraId="75C3F832" w14:textId="77777777" w:rsidR="005D3E2A" w:rsidRPr="00DD47DF" w:rsidRDefault="005D3E2A" w:rsidP="006D2F5F">
            <w:pPr>
              <w:pStyle w:val="Tabulka"/>
              <w:widowControl w:val="0"/>
              <w:jc w:val="left"/>
              <w:rPr>
                <w:rFonts w:cs="Calibri"/>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A159D8E" w14:textId="77777777" w:rsidR="005D3E2A" w:rsidRPr="00DD47DF" w:rsidRDefault="005D3E2A" w:rsidP="00A07474">
            <w:pPr>
              <w:pStyle w:val="DAVA"/>
              <w:spacing w:before="80" w:after="80"/>
              <w:rPr>
                <w:rFonts w:ascii="Times New Roman" w:hAnsi="Times New Roman"/>
                <w:sz w:val="22"/>
                <w:szCs w:val="22"/>
              </w:rPr>
            </w:pPr>
            <w:r w:rsidRPr="00DD47DF">
              <w:rPr>
                <w:rFonts w:cs="Arial"/>
                <w:sz w:val="22"/>
                <w:szCs w:val="22"/>
              </w:rPr>
              <w:t xml:space="preserve"> </w:t>
            </w:r>
            <w:r w:rsidRPr="00DD47DF">
              <w:rPr>
                <w:rFonts w:ascii="Times New Roman" w:hAnsi="Times New Roman"/>
                <w:sz w:val="22"/>
                <w:szCs w:val="22"/>
              </w:rPr>
              <w:t xml:space="preserve">MMR, ŘO </w:t>
            </w:r>
          </w:p>
          <w:p w14:paraId="2A4A597B" w14:textId="77777777" w:rsidR="005D3E2A" w:rsidRPr="00DD47DF" w:rsidRDefault="005D3E2A" w:rsidP="006D2F5F">
            <w:pPr>
              <w:pStyle w:val="Tabulka"/>
              <w:widowControl w:val="0"/>
              <w:jc w:val="left"/>
              <w:rPr>
                <w:rFonts w:cs="Calibri"/>
              </w:rPr>
            </w:pPr>
          </w:p>
        </w:tc>
      </w:tr>
      <w:tr w:rsidR="005D3E2A" w:rsidRPr="00DD47DF" w14:paraId="699FE714" w14:textId="77777777" w:rsidTr="00D43AF5">
        <w:trPr>
          <w:trHeight w:val="414"/>
        </w:trPr>
        <w:tc>
          <w:tcPr>
            <w:tcW w:w="0" w:type="auto"/>
            <w:vMerge/>
            <w:tcBorders>
              <w:left w:val="single" w:sz="4" w:space="0" w:color="auto"/>
              <w:right w:val="single" w:sz="4" w:space="0" w:color="auto"/>
            </w:tcBorders>
            <w:shd w:val="clear" w:color="auto" w:fill="auto"/>
          </w:tcPr>
          <w:p w14:paraId="1873F8AA"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341760F6"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FEF7C1E"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Sjednocení a zlepšení aplikační praxe v oblasti kontrol.</w:t>
            </w:r>
          </w:p>
          <w:p w14:paraId="21797CAE"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Na základě analýz jednotlivých zjištění budou vydávána doporučení pro ŘO ve věci kontroly veřejných zakázek.</w:t>
            </w:r>
          </w:p>
          <w:p w14:paraId="4CB0DF20"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Metodická doporučení budou projednávána na PS Veřejné zakázky.</w:t>
            </w:r>
          </w:p>
          <w:p w14:paraId="386CA624"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Posuny v rámci této oblasti budou součástí Progress report.</w:t>
            </w:r>
          </w:p>
          <w:p w14:paraId="3B2E92E9" w14:textId="77777777" w:rsidR="005D3E2A" w:rsidRPr="00DD47DF" w:rsidRDefault="005D3E2A" w:rsidP="002F70BB">
            <w:pPr>
              <w:pStyle w:val="DAVA"/>
              <w:rPr>
                <w:rFonts w:ascii="Times New Roman" w:hAnsi="Times New Roman"/>
                <w:sz w:val="22"/>
                <w:szCs w:val="22"/>
                <w:lang w:val="en-GB"/>
              </w:rPr>
            </w:pPr>
            <w:r w:rsidRPr="00DD47DF">
              <w:rPr>
                <w:rFonts w:ascii="Times New Roman" w:hAnsi="Times New Roman"/>
                <w:sz w:val="22"/>
                <w:szCs w:val="22"/>
                <w:lang w:val="en-GB"/>
              </w:rPr>
              <w:t>31. 12. 2015</w:t>
            </w:r>
          </w:p>
          <w:p w14:paraId="04C6DAB3"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lastRenderedPageBreak/>
              <w:t>31.12. 2016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C0C7A3" w14:textId="77777777" w:rsidR="005D3E2A" w:rsidRPr="00DD47DF" w:rsidRDefault="005D3E2A" w:rsidP="00A07474">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0DB7A46A" w14:textId="77777777" w:rsidR="005D3E2A" w:rsidRPr="00DD47DF" w:rsidRDefault="005D3E2A" w:rsidP="00A14707">
            <w:pPr>
              <w:pStyle w:val="DAVA"/>
              <w:spacing w:before="80" w:after="80"/>
              <w:rPr>
                <w:rFonts w:ascii="Times New Roman" w:hAnsi="Times New Roman"/>
                <w:sz w:val="22"/>
                <w:szCs w:val="22"/>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92B3512" w14:textId="77777777" w:rsidR="005D3E2A" w:rsidRPr="00DD47DF" w:rsidRDefault="005D3E2A" w:rsidP="00D43AF5">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5D3E2A" w:rsidRPr="00DD47DF" w14:paraId="171033EB" w14:textId="77777777" w:rsidTr="00D43AF5">
        <w:trPr>
          <w:trHeight w:val="414"/>
        </w:trPr>
        <w:tc>
          <w:tcPr>
            <w:tcW w:w="0" w:type="auto"/>
            <w:vMerge/>
            <w:tcBorders>
              <w:left w:val="single" w:sz="4" w:space="0" w:color="auto"/>
              <w:right w:val="single" w:sz="4" w:space="0" w:color="auto"/>
            </w:tcBorders>
            <w:shd w:val="clear" w:color="auto" w:fill="auto"/>
          </w:tcPr>
          <w:p w14:paraId="3670C78D" w14:textId="77777777" w:rsidR="005D3E2A" w:rsidRPr="00DD47DF" w:rsidRDefault="005D3E2A"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1FA44B89" w14:textId="77777777" w:rsidR="005D3E2A" w:rsidRPr="00DD47DF" w:rsidRDefault="005D3E2A"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F27C0A" w14:textId="77777777" w:rsidR="005D3E2A" w:rsidRPr="00DD47DF" w:rsidRDefault="005D3E2A"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Vytvoření efektivního systému prevence za účelem ex ante realizace preventivních opatření.</w:t>
            </w:r>
          </w:p>
          <w:p w14:paraId="7D8D9174"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PS Veřejné zakázky ze sítě expertů napříč  ŘO, členy jsou mimo ŘO a MMR i experti MF, ÚOHS a krajů. Činnost skupiny je především preventivní a slouží jako komunikační kanál.</w:t>
            </w:r>
          </w:p>
          <w:p w14:paraId="3B11F8DD"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 xml:space="preserve">V relevantních případech budou vydávána </w:t>
            </w:r>
            <w:r w:rsidR="001F7B00">
              <w:rPr>
                <w:rFonts w:ascii="Times New Roman" w:hAnsi="Times New Roman"/>
                <w:sz w:val="22"/>
                <w:szCs w:val="22"/>
                <w:lang w:eastAsia="cs-CZ"/>
              </w:rPr>
              <w:t>doporučení</w:t>
            </w:r>
            <w:r w:rsidRPr="00DD47DF">
              <w:rPr>
                <w:rFonts w:ascii="Times New Roman" w:hAnsi="Times New Roman"/>
                <w:sz w:val="22"/>
                <w:szCs w:val="22"/>
                <w:lang w:eastAsia="cs-CZ"/>
              </w:rPr>
              <w:t>.</w:t>
            </w:r>
            <w:r w:rsidR="001F7B00">
              <w:rPr>
                <w:rFonts w:ascii="Times New Roman" w:hAnsi="Times New Roman"/>
                <w:sz w:val="22"/>
                <w:szCs w:val="22"/>
                <w:lang w:eastAsia="cs-CZ"/>
              </w:rPr>
              <w:t xml:space="preserve"> </w:t>
            </w:r>
            <w:r w:rsidRPr="00DD47DF">
              <w:rPr>
                <w:rFonts w:ascii="Times New Roman" w:hAnsi="Times New Roman"/>
                <w:sz w:val="22"/>
                <w:szCs w:val="22"/>
                <w:lang w:eastAsia="cs-CZ"/>
              </w:rPr>
              <w:t>Doporučení budou projednávána na PS Veřejné zakázky a formalizována aktualizací Metodického pokynu pro oblast zadávání zakázek pro programové období 2014-2020, který je pro ŘO závazný.</w:t>
            </w:r>
          </w:p>
          <w:p w14:paraId="3B851B84"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 xml:space="preserve">Zprostředkovaně přes ŘO budou vydávána doporučení pro příjemce (zadavatele)  jak správně postupovat při zadávání vz a jakých postupů se naopak vyvarovat. </w:t>
            </w:r>
          </w:p>
          <w:p w14:paraId="7C7D59A3" w14:textId="77777777" w:rsidR="005D3E2A" w:rsidRPr="00DD47DF" w:rsidRDefault="005D3E2A" w:rsidP="00DD47DF">
            <w:pPr>
              <w:pStyle w:val="DAVA"/>
              <w:numPr>
                <w:ilvl w:val="0"/>
                <w:numId w:val="126"/>
              </w:numPr>
              <w:spacing w:before="80" w:after="80"/>
              <w:ind w:left="351" w:hanging="215"/>
              <w:rPr>
                <w:rFonts w:ascii="Times New Roman" w:hAnsi="Times New Roman"/>
                <w:sz w:val="22"/>
                <w:szCs w:val="22"/>
                <w:lang w:eastAsia="cs-CZ"/>
              </w:rPr>
            </w:pPr>
            <w:r w:rsidRPr="00DD47DF">
              <w:rPr>
                <w:rFonts w:ascii="Times New Roman" w:hAnsi="Times New Roman"/>
                <w:sz w:val="22"/>
                <w:szCs w:val="22"/>
                <w:lang w:eastAsia="cs-CZ"/>
              </w:rPr>
              <w:t>V mezidobí provádění aktualizací budou (mohou být) v urgentních případech vydávána metodická stanoviska ministra pro místní rozvoj, která budou pro ŘO závazná. Každý rok zpracuje MMR zprávu o činnosti skupiny a zejména o obsahu a způsobu realizace jednotlivých doporučení. Zpráva bude součásti Progress report</w:t>
            </w:r>
          </w:p>
          <w:p w14:paraId="6FE4B561" w14:textId="77777777" w:rsidR="005D3E2A" w:rsidRPr="00DD47DF" w:rsidRDefault="005D3E2A" w:rsidP="002F70BB">
            <w:pPr>
              <w:pStyle w:val="DAVA"/>
              <w:spacing w:before="80" w:after="80"/>
              <w:rPr>
                <w:rFonts w:ascii="Times New Roman" w:hAnsi="Times New Roman"/>
                <w:sz w:val="22"/>
                <w:szCs w:val="22"/>
                <w:lang w:val="en-GB"/>
              </w:rPr>
            </w:pPr>
            <w:r w:rsidRPr="00DD47DF">
              <w:rPr>
                <w:rFonts w:ascii="Times New Roman" w:hAnsi="Times New Roman"/>
                <w:sz w:val="22"/>
                <w:szCs w:val="22"/>
                <w:lang w:val="en-GB"/>
              </w:rPr>
              <w:t>31. 12. 2015</w:t>
            </w:r>
          </w:p>
          <w:p w14:paraId="340F2B1F" w14:textId="77777777" w:rsidR="005D3E2A" w:rsidRPr="00DD47DF" w:rsidRDefault="005D3E2A" w:rsidP="002F70BB">
            <w:pPr>
              <w:pStyle w:val="DAVA"/>
              <w:spacing w:before="80" w:after="80"/>
              <w:rPr>
                <w:rFonts w:cs="Arial"/>
                <w:sz w:val="18"/>
                <w:szCs w:val="18"/>
                <w:lang w:val="en-GB"/>
              </w:rPr>
            </w:pPr>
            <w:r w:rsidRPr="00DD47DF">
              <w:rPr>
                <w:rFonts w:ascii="Times New Roman" w:hAnsi="Times New Roman"/>
                <w:sz w:val="22"/>
                <w:szCs w:val="22"/>
                <w:lang w:val="en-GB"/>
              </w:rPr>
              <w:lastRenderedPageBreak/>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F618DB" w14:textId="77777777" w:rsidR="005D3E2A" w:rsidRPr="00DD47DF" w:rsidRDefault="005D3E2A" w:rsidP="00A07474">
            <w:pPr>
              <w:pStyle w:val="DAVA"/>
              <w:rPr>
                <w:rFonts w:ascii="Times New Roman" w:hAnsi="Times New Roman"/>
                <w:sz w:val="22"/>
                <w:szCs w:val="22"/>
                <w:lang w:val="en-GB"/>
              </w:rPr>
            </w:pPr>
            <w:r w:rsidRPr="00DD47DF">
              <w:rPr>
                <w:rFonts w:ascii="Times New Roman" w:hAnsi="Times New Roman"/>
                <w:sz w:val="22"/>
                <w:szCs w:val="22"/>
                <w:lang w:val="en-GB"/>
              </w:rPr>
              <w:lastRenderedPageBreak/>
              <w:t>31. 12. 2016</w:t>
            </w:r>
          </w:p>
          <w:p w14:paraId="3024662C" w14:textId="77777777" w:rsidR="005D3E2A" w:rsidRPr="00DD47DF" w:rsidRDefault="005D3E2A" w:rsidP="00A07474">
            <w:pPr>
              <w:pStyle w:val="DAVA"/>
              <w:rPr>
                <w:rFonts w:ascii="Times New Roman" w:hAnsi="Times New Roman"/>
                <w:sz w:val="22"/>
                <w:szCs w:val="22"/>
              </w:rPr>
            </w:pP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F706CF0" w14:textId="77777777" w:rsidR="005D3E2A" w:rsidRPr="00DD47DF" w:rsidRDefault="005D3E2A" w:rsidP="00A07474">
            <w:pPr>
              <w:pStyle w:val="DAVA"/>
              <w:spacing w:before="80" w:after="80"/>
              <w:rPr>
                <w:rFonts w:ascii="Times New Roman" w:hAnsi="Times New Roman"/>
                <w:sz w:val="22"/>
                <w:szCs w:val="22"/>
              </w:rPr>
            </w:pPr>
            <w:r w:rsidRPr="00DD47DF">
              <w:rPr>
                <w:rFonts w:ascii="Times New Roman" w:hAnsi="Times New Roman"/>
                <w:sz w:val="22"/>
                <w:szCs w:val="22"/>
              </w:rPr>
              <w:t>MMR, ŘO</w:t>
            </w:r>
          </w:p>
        </w:tc>
      </w:tr>
      <w:tr w:rsidR="00DD47DF" w:rsidRPr="00DD47DF" w14:paraId="132DB2FF" w14:textId="77777777" w:rsidTr="00DD47DF">
        <w:trPr>
          <w:trHeight w:val="414"/>
        </w:trPr>
        <w:tc>
          <w:tcPr>
            <w:tcW w:w="0" w:type="auto"/>
            <w:vMerge/>
            <w:tcBorders>
              <w:left w:val="single" w:sz="4" w:space="0" w:color="auto"/>
              <w:right w:val="single" w:sz="4" w:space="0" w:color="auto"/>
            </w:tcBorders>
            <w:shd w:val="clear" w:color="auto" w:fill="auto"/>
          </w:tcPr>
          <w:p w14:paraId="63A4743E" w14:textId="77777777" w:rsidR="00DD47DF" w:rsidRPr="00DD47DF" w:rsidRDefault="00DD47DF" w:rsidP="006D2F5F">
            <w:pPr>
              <w:pStyle w:val="Tabulka"/>
              <w:jc w:val="left"/>
              <w:rPr>
                <w:rFonts w:cs="Calibri"/>
                <w:b/>
              </w:rPr>
            </w:pPr>
          </w:p>
        </w:tc>
        <w:tc>
          <w:tcPr>
            <w:tcW w:w="0" w:type="auto"/>
            <w:vMerge/>
            <w:tcBorders>
              <w:left w:val="single" w:sz="4" w:space="0" w:color="auto"/>
              <w:right w:val="single" w:sz="4" w:space="0" w:color="auto"/>
            </w:tcBorders>
            <w:shd w:val="clear" w:color="auto" w:fill="auto"/>
          </w:tcPr>
          <w:p w14:paraId="370C5F5E" w14:textId="77777777" w:rsidR="00DD47DF" w:rsidRPr="00DD47DF" w:rsidRDefault="00DD47DF" w:rsidP="006D2F5F">
            <w:pPr>
              <w:pStyle w:val="Tabulka"/>
              <w:widowControl w:val="0"/>
              <w:jc w:val="left"/>
              <w:rPr>
                <w:rFonts w:cs="Calibri"/>
              </w:rPr>
            </w:pPr>
          </w:p>
        </w:tc>
        <w:tc>
          <w:tcPr>
            <w:tcW w:w="0" w:type="auto"/>
            <w:vMerge w:val="restart"/>
            <w:tcBorders>
              <w:top w:val="single" w:sz="4" w:space="0" w:color="auto"/>
              <w:left w:val="single" w:sz="4" w:space="0" w:color="auto"/>
              <w:right w:val="single" w:sz="4" w:space="0" w:color="auto"/>
            </w:tcBorders>
            <w:shd w:val="clear" w:color="auto" w:fill="auto"/>
          </w:tcPr>
          <w:p w14:paraId="70B361C0"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Opatření ke zlepšení systému šíření informací: </w:t>
            </w:r>
          </w:p>
          <w:p w14:paraId="2CBA0354"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Ke zlepšení systému šíření informací a zvýšení informovanosti všech subjektů v oblasti zadávání budou přijata následující opatření:</w:t>
            </w:r>
          </w:p>
          <w:p w14:paraId="771E7BAA"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1)Technická úprava Info-fóra na Portálu o veřejných zakázkách a koncesích za účelem zlepšení uživatelské přívětivosti a snadného vyhledávání týkající dobré a špatné praxe při přípravě a vedení zadávacího řízení na základě klíčových slov.</w:t>
            </w:r>
          </w:p>
          <w:p w14:paraId="677B13E7"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 Portál je veřejně přístupný pro subjekty implementační struktury i příjemce (zadavatele). </w:t>
            </w:r>
          </w:p>
          <w:p w14:paraId="77B77B87" w14:textId="77777777" w:rsidR="00DD47DF" w:rsidRPr="00DD47DF" w:rsidRDefault="00DD47DF" w:rsidP="00A07474">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2) Rozšíření databáze gestora ZVZ (uvedené v bodě 7 nelegislativních opatření v předchozí tabulce) o další stěžejní Rozhodnutí Úřadu pro ochranu hospodářské soutěže, českých soudů a Soudního dvora EU a vybraných anonymizovaných  nejčastějších auditních zjištění v této oblasti tak, aby databáze tvořila ucelený rámec pro celou oblast zadávání.</w:t>
            </w:r>
          </w:p>
        </w:tc>
        <w:tc>
          <w:tcPr>
            <w:tcW w:w="1984" w:type="dxa"/>
            <w:vMerge w:val="restart"/>
            <w:tcBorders>
              <w:top w:val="single" w:sz="4" w:space="0" w:color="auto"/>
              <w:left w:val="single" w:sz="4" w:space="0" w:color="auto"/>
              <w:right w:val="single" w:sz="4" w:space="0" w:color="auto"/>
            </w:tcBorders>
            <w:shd w:val="clear" w:color="auto" w:fill="auto"/>
          </w:tcPr>
          <w:p w14:paraId="550AD87C" w14:textId="77777777" w:rsidR="00DD47DF" w:rsidRPr="00DD47DF" w:rsidRDefault="00DD47DF" w:rsidP="00D43AF5">
            <w:pPr>
              <w:pStyle w:val="DAVA"/>
              <w:spacing w:before="80" w:after="80"/>
              <w:rPr>
                <w:rFonts w:ascii="Times New Roman" w:hAnsi="Times New Roman"/>
                <w:sz w:val="22"/>
                <w:szCs w:val="22"/>
              </w:rPr>
            </w:pPr>
            <w:r w:rsidRPr="00DD47DF">
              <w:rPr>
                <w:rFonts w:ascii="Times New Roman" w:hAnsi="Times New Roman"/>
                <w:sz w:val="22"/>
                <w:szCs w:val="22"/>
                <w:lang w:eastAsia="cs-CZ"/>
              </w:rPr>
              <w:t>31. 12. 2015</w:t>
            </w:r>
          </w:p>
        </w:tc>
        <w:tc>
          <w:tcPr>
            <w:tcW w:w="2617" w:type="dxa"/>
            <w:tcBorders>
              <w:top w:val="single" w:sz="4" w:space="0" w:color="auto"/>
              <w:left w:val="single" w:sz="4" w:space="0" w:color="auto"/>
              <w:bottom w:val="nil"/>
              <w:right w:val="single" w:sz="4" w:space="0" w:color="auto"/>
            </w:tcBorders>
            <w:shd w:val="clear" w:color="auto" w:fill="auto"/>
          </w:tcPr>
          <w:p w14:paraId="1C20035C" w14:textId="77777777" w:rsidR="00DD47DF" w:rsidRPr="00DD47DF" w:rsidRDefault="00DD47DF" w:rsidP="00D43AF5">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DD47DF" w:rsidRPr="00DD47DF" w14:paraId="3892D9CF" w14:textId="77777777" w:rsidTr="00DD47DF">
        <w:trPr>
          <w:trHeight w:val="414"/>
        </w:trPr>
        <w:tc>
          <w:tcPr>
            <w:tcW w:w="0" w:type="auto"/>
            <w:vMerge/>
            <w:tcBorders>
              <w:left w:val="single" w:sz="4" w:space="0" w:color="auto"/>
              <w:right w:val="single" w:sz="4" w:space="0" w:color="auto"/>
            </w:tcBorders>
            <w:shd w:val="clear" w:color="auto" w:fill="auto"/>
          </w:tcPr>
          <w:p w14:paraId="5B389A8E" w14:textId="77777777" w:rsidR="00DD47DF" w:rsidRPr="00DD47DF" w:rsidRDefault="00DD47DF" w:rsidP="006D2F5F">
            <w:pPr>
              <w:pStyle w:val="Tabulka"/>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258E2316" w14:textId="77777777" w:rsidR="00DD47DF" w:rsidRPr="00DD47DF" w:rsidRDefault="00DD47DF" w:rsidP="006D2F5F">
            <w:pPr>
              <w:pStyle w:val="Tabulka"/>
              <w:widowControl w:val="0"/>
              <w:jc w:val="left"/>
              <w:rPr>
                <w:rFonts w:cs="Calibri"/>
              </w:rPr>
            </w:pPr>
          </w:p>
        </w:tc>
        <w:tc>
          <w:tcPr>
            <w:tcW w:w="0" w:type="auto"/>
            <w:vMerge/>
            <w:tcBorders>
              <w:left w:val="single" w:sz="4" w:space="0" w:color="auto"/>
              <w:bottom w:val="single" w:sz="4" w:space="0" w:color="auto"/>
              <w:right w:val="single" w:sz="4" w:space="0" w:color="auto"/>
            </w:tcBorders>
            <w:shd w:val="clear" w:color="auto" w:fill="auto"/>
          </w:tcPr>
          <w:p w14:paraId="58E4D33D" w14:textId="77777777" w:rsidR="00DD47DF" w:rsidRPr="00DD47DF" w:rsidRDefault="00DD47DF" w:rsidP="00A147B1">
            <w:pPr>
              <w:pStyle w:val="Tabulka"/>
              <w:widowControl w:val="0"/>
              <w:jc w:val="left"/>
              <w:rPr>
                <w:rFonts w:cs="Calibri"/>
              </w:rPr>
            </w:pPr>
          </w:p>
        </w:tc>
        <w:tc>
          <w:tcPr>
            <w:tcW w:w="1984" w:type="dxa"/>
            <w:vMerge/>
            <w:tcBorders>
              <w:left w:val="single" w:sz="4" w:space="0" w:color="auto"/>
              <w:bottom w:val="single" w:sz="4" w:space="0" w:color="auto"/>
              <w:right w:val="single" w:sz="4" w:space="0" w:color="auto"/>
            </w:tcBorders>
            <w:shd w:val="clear" w:color="auto" w:fill="auto"/>
          </w:tcPr>
          <w:p w14:paraId="5D88B99A" w14:textId="77777777" w:rsidR="00DD47DF" w:rsidRPr="00DD47DF" w:rsidRDefault="00DD47DF" w:rsidP="00A147B1">
            <w:pPr>
              <w:pStyle w:val="Tabulka"/>
              <w:widowControl w:val="0"/>
              <w:jc w:val="left"/>
              <w:rPr>
                <w:rFonts w:cs="Calibri"/>
              </w:rPr>
            </w:pPr>
          </w:p>
        </w:tc>
        <w:tc>
          <w:tcPr>
            <w:tcW w:w="2617" w:type="dxa"/>
            <w:tcBorders>
              <w:top w:val="nil"/>
              <w:left w:val="single" w:sz="4" w:space="0" w:color="auto"/>
              <w:bottom w:val="single" w:sz="4" w:space="0" w:color="auto"/>
              <w:right w:val="single" w:sz="4" w:space="0" w:color="auto"/>
            </w:tcBorders>
            <w:shd w:val="clear" w:color="auto" w:fill="auto"/>
          </w:tcPr>
          <w:p w14:paraId="61453F1B" w14:textId="77777777" w:rsidR="00DD47DF" w:rsidRPr="00DD47DF" w:rsidRDefault="00DD47DF" w:rsidP="00A147B1">
            <w:pPr>
              <w:pStyle w:val="Tabulka"/>
              <w:widowControl w:val="0"/>
              <w:jc w:val="left"/>
              <w:rPr>
                <w:rFonts w:cs="Calibri"/>
              </w:rPr>
            </w:pPr>
          </w:p>
        </w:tc>
      </w:tr>
      <w:tr w:rsidR="00CD6752" w:rsidRPr="00DD47DF" w14:paraId="652D3B26" w14:textId="77777777" w:rsidTr="00CD6752">
        <w:trPr>
          <w:trHeight w:val="739"/>
        </w:trPr>
        <w:tc>
          <w:tcPr>
            <w:tcW w:w="0" w:type="auto"/>
            <w:vMerge/>
            <w:tcBorders>
              <w:left w:val="single" w:sz="4" w:space="0" w:color="auto"/>
              <w:right w:val="single" w:sz="4" w:space="0" w:color="auto"/>
            </w:tcBorders>
            <w:shd w:val="clear" w:color="auto" w:fill="auto"/>
          </w:tcPr>
          <w:p w14:paraId="74BA9C5C" w14:textId="77777777" w:rsidR="00CD6752" w:rsidRPr="00DD47DF" w:rsidRDefault="00CD6752" w:rsidP="006D2F5F">
            <w:pPr>
              <w:pStyle w:val="Tabulka"/>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360D5E2C" w14:textId="77777777" w:rsidR="00CD6752" w:rsidRPr="00DD47DF" w:rsidRDefault="00CD6752" w:rsidP="00C27B91">
            <w:pPr>
              <w:pStyle w:val="Tabulka"/>
              <w:widowControl w:val="0"/>
              <w:jc w:val="left"/>
              <w:rPr>
                <w:rFonts w:cs="Calibri"/>
              </w:rPr>
            </w:pPr>
            <w:r w:rsidRPr="00DD47DF">
              <w:t>Opatření pro odbornou přípravu a šíření informací pro zaměstnance podílející se na provádění fondů ESI</w:t>
            </w:r>
          </w:p>
          <w:p w14:paraId="39E2956D" w14:textId="77777777" w:rsidR="00CD6752" w:rsidRPr="00CD6752" w:rsidRDefault="00CD6752" w:rsidP="00C27B91">
            <w:pPr>
              <w:pStyle w:val="Tabulka"/>
              <w:widowControl w:val="0"/>
              <w:jc w:val="left"/>
              <w:rPr>
                <w:rFonts w:cs="Calibri"/>
                <w:highlight w:val="yellow"/>
              </w:rPr>
            </w:pPr>
          </w:p>
        </w:tc>
        <w:tc>
          <w:tcPr>
            <w:tcW w:w="0" w:type="auto"/>
            <w:tcBorders>
              <w:top w:val="single" w:sz="4" w:space="0" w:color="auto"/>
              <w:left w:val="single" w:sz="4" w:space="0" w:color="auto"/>
              <w:right w:val="single" w:sz="4" w:space="0" w:color="auto"/>
            </w:tcBorders>
            <w:shd w:val="clear" w:color="auto" w:fill="auto"/>
          </w:tcPr>
          <w:p w14:paraId="448B4F76" w14:textId="77777777" w:rsidR="00CD6752" w:rsidRPr="00CD6752" w:rsidRDefault="00CD6752" w:rsidP="006D2F5F">
            <w:pPr>
              <w:pStyle w:val="Tabulka"/>
              <w:widowControl w:val="0"/>
              <w:jc w:val="left"/>
              <w:rPr>
                <w:rFonts w:cs="Calibri"/>
                <w:highlight w:val="yellow"/>
              </w:rPr>
            </w:pPr>
            <w:r w:rsidRPr="00DD47DF">
              <w:t xml:space="preserve">Zpracování závěrečné evaluace Systému vzdělávání 2007-2013 </w:t>
            </w:r>
          </w:p>
        </w:tc>
        <w:tc>
          <w:tcPr>
            <w:tcW w:w="1984" w:type="dxa"/>
            <w:tcBorders>
              <w:top w:val="single" w:sz="4" w:space="0" w:color="auto"/>
              <w:left w:val="single" w:sz="4" w:space="0" w:color="auto"/>
              <w:right w:val="single" w:sz="4" w:space="0" w:color="auto"/>
            </w:tcBorders>
            <w:shd w:val="clear" w:color="auto" w:fill="auto"/>
          </w:tcPr>
          <w:p w14:paraId="2F744C0B" w14:textId="77777777" w:rsidR="00CD6752" w:rsidRPr="00CD6752" w:rsidRDefault="00CD6752" w:rsidP="006D2F5F">
            <w:pPr>
              <w:pStyle w:val="Tabulka"/>
              <w:widowControl w:val="0"/>
              <w:jc w:val="left"/>
              <w:rPr>
                <w:rFonts w:cs="Calibri"/>
                <w:highlight w:val="yellow"/>
              </w:rPr>
            </w:pPr>
            <w:r w:rsidRPr="00DD47DF">
              <w:t>31.12. 2015</w:t>
            </w:r>
          </w:p>
        </w:tc>
        <w:tc>
          <w:tcPr>
            <w:tcW w:w="2617" w:type="dxa"/>
            <w:tcBorders>
              <w:top w:val="single" w:sz="4" w:space="0" w:color="auto"/>
              <w:left w:val="single" w:sz="4" w:space="0" w:color="auto"/>
              <w:right w:val="single" w:sz="4" w:space="0" w:color="auto"/>
            </w:tcBorders>
            <w:shd w:val="clear" w:color="auto" w:fill="auto"/>
          </w:tcPr>
          <w:p w14:paraId="1B96043C" w14:textId="77777777" w:rsidR="00CD6752" w:rsidRPr="00CD6752" w:rsidRDefault="00CD6752" w:rsidP="00A031A3">
            <w:pPr>
              <w:pStyle w:val="Tabulka"/>
              <w:widowControl w:val="0"/>
              <w:jc w:val="left"/>
              <w:rPr>
                <w:rFonts w:cs="Calibri"/>
                <w:highlight w:val="yellow"/>
              </w:rPr>
            </w:pPr>
            <w:r w:rsidRPr="00DD47DF">
              <w:t>MMR</w:t>
            </w:r>
          </w:p>
        </w:tc>
      </w:tr>
      <w:tr w:rsidR="00CD6752" w:rsidRPr="00DD47DF" w14:paraId="07F0F947" w14:textId="77777777" w:rsidTr="00335A15">
        <w:trPr>
          <w:trHeight w:val="414"/>
        </w:trPr>
        <w:tc>
          <w:tcPr>
            <w:tcW w:w="0" w:type="auto"/>
            <w:vMerge/>
            <w:tcBorders>
              <w:left w:val="single" w:sz="4" w:space="0" w:color="auto"/>
              <w:right w:val="single" w:sz="4" w:space="0" w:color="auto"/>
            </w:tcBorders>
            <w:shd w:val="clear" w:color="auto" w:fill="auto"/>
          </w:tcPr>
          <w:p w14:paraId="13431A57"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105646E9"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EB212D"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Vytvoření Systému vzdělávání 2014-2020, který bude vycházet z již osvědčeného Systému vzdělávání 2007-2013 a bude dále inovován. Moduly vzdělávání v oblasti veřejných zakázek budou: </w:t>
            </w:r>
          </w:p>
          <w:p w14:paraId="4F648E98"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lastRenderedPageBreak/>
              <w:t>Základní pojmy ZVZ</w:t>
            </w:r>
          </w:p>
          <w:p w14:paraId="5FBF2F7D"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Příprava zadávacích podmínek, definování předmětu veřejné zakázky</w:t>
            </w:r>
          </w:p>
          <w:p w14:paraId="448DB92F"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Hodnotící kritéria</w:t>
            </w:r>
          </w:p>
          <w:p w14:paraId="0C0613B3"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Kvalifikační předpoklady</w:t>
            </w:r>
          </w:p>
          <w:p w14:paraId="602E6269"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Nejčastější chyby zadavatelů v zadávacím řízení</w:t>
            </w:r>
          </w:p>
          <w:p w14:paraId="6E8252AC" w14:textId="77777777" w:rsidR="00CD6752" w:rsidRPr="00DD47DF" w:rsidRDefault="00CD6752" w:rsidP="008616CF">
            <w:pPr>
              <w:pStyle w:val="DAVA"/>
              <w:numPr>
                <w:ilvl w:val="0"/>
                <w:numId w:val="102"/>
              </w:numPr>
              <w:spacing w:before="80" w:after="80"/>
              <w:ind w:left="351"/>
              <w:rPr>
                <w:rFonts w:ascii="Times New Roman" w:hAnsi="Times New Roman"/>
                <w:sz w:val="22"/>
                <w:szCs w:val="22"/>
                <w:lang w:eastAsia="cs-CZ"/>
              </w:rPr>
            </w:pPr>
            <w:r w:rsidRPr="00DD47DF">
              <w:rPr>
                <w:rFonts w:ascii="Times New Roman" w:hAnsi="Times New Roman"/>
                <w:sz w:val="22"/>
                <w:szCs w:val="22"/>
                <w:lang w:eastAsia="cs-CZ"/>
              </w:rPr>
              <w:t>Výjimky ze ZVZ</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8AA8C58" w14:textId="77777777" w:rsidR="00CD6752" w:rsidRPr="00DD47DF" w:rsidRDefault="00CD6752" w:rsidP="00A031A3">
            <w:pPr>
              <w:pStyle w:val="Tabulka"/>
              <w:widowControl w:val="0"/>
              <w:jc w:val="left"/>
              <w:rPr>
                <w:rFonts w:cs="Calibri"/>
              </w:rPr>
            </w:pPr>
            <w:r w:rsidRPr="00DD47DF">
              <w:lastRenderedPageBreak/>
              <w:t>31. 12. 2015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1D6C92F" w14:textId="77777777" w:rsidR="00CD6752" w:rsidRPr="00DD47DF" w:rsidRDefault="00CD6752" w:rsidP="00A031A3">
            <w:pPr>
              <w:pStyle w:val="Tabulka"/>
              <w:widowControl w:val="0"/>
              <w:jc w:val="left"/>
              <w:rPr>
                <w:rFonts w:cs="Calibri"/>
              </w:rPr>
            </w:pPr>
            <w:r w:rsidRPr="00DD47DF">
              <w:t>MMR</w:t>
            </w:r>
          </w:p>
        </w:tc>
      </w:tr>
      <w:tr w:rsidR="00CD6752" w:rsidRPr="00DD47DF" w14:paraId="4AEFBF09" w14:textId="77777777" w:rsidTr="00335A15">
        <w:trPr>
          <w:trHeight w:val="414"/>
        </w:trPr>
        <w:tc>
          <w:tcPr>
            <w:tcW w:w="0" w:type="auto"/>
            <w:vMerge/>
            <w:tcBorders>
              <w:left w:val="single" w:sz="4" w:space="0" w:color="auto"/>
              <w:right w:val="single" w:sz="4" w:space="0" w:color="auto"/>
            </w:tcBorders>
            <w:shd w:val="clear" w:color="auto" w:fill="auto"/>
          </w:tcPr>
          <w:p w14:paraId="4297CD2B"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54A6C32F"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9AD6BD" w14:textId="77777777" w:rsidR="00CD6752" w:rsidRPr="00DD47DF" w:rsidRDefault="00CD6752" w:rsidP="00335A1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Zajištění proškolení všech relevantních zaměstnanců ŘO a ZS zabývajících se zadáváním veřejných zakázek v souvislosti s přijetím nového Metodického pokynu k zadávání Veřejných zakázek:</w:t>
            </w:r>
          </w:p>
          <w:p w14:paraId="7B2CE361" w14:textId="77777777" w:rsidR="00CD6752" w:rsidRPr="00DD47DF" w:rsidRDefault="00CD6752" w:rsidP="00335A15">
            <w:pPr>
              <w:pStyle w:val="DAVA"/>
              <w:spacing w:before="80" w:after="80"/>
              <w:rPr>
                <w:rFonts w:ascii="Times New Roman" w:hAnsi="Times New Roman"/>
                <w:sz w:val="22"/>
                <w:szCs w:val="22"/>
              </w:rPr>
            </w:pPr>
            <w:r w:rsidRPr="00DD47DF">
              <w:rPr>
                <w:rFonts w:ascii="Times New Roman" w:hAnsi="Times New Roman"/>
                <w:sz w:val="22"/>
                <w:szCs w:val="22"/>
                <w:lang w:eastAsia="cs-CZ"/>
              </w:rPr>
              <w:t>1) Gestor ZVZ proškolí řídící orgány a zprostředkující subjekty v zadávání veřejných zakázek podle postupů stanovených v ZVZ a podle postupů stanovených v Metodickém pokynu pro oblast zadávání zakázek pro programové období 2014-2020 (prezenční vzdělávací akce).</w:t>
            </w:r>
            <w:r w:rsidRPr="00DD47DF">
              <w:rPr>
                <w:rFonts w:ascii="Times New Roman" w:hAnsi="Times New Roman"/>
                <w:sz w:val="22"/>
                <w:szCs w:val="22"/>
              </w:rPr>
              <w:t xml:space="preserve"> </w:t>
            </w:r>
          </w:p>
          <w:p w14:paraId="041BEE76"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2) Ve spolupráci s NOK a  ŘO a na jeho žádost bude gestor ZVZ stejným způsobem vzdělávat také příjemce (zadavatele).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E97DFD6" w14:textId="77777777" w:rsidR="00CD6752" w:rsidRPr="00DD47DF" w:rsidRDefault="00CD6752" w:rsidP="00A031A3">
            <w:pPr>
              <w:pStyle w:val="Tabulka"/>
              <w:widowControl w:val="0"/>
              <w:jc w:val="left"/>
            </w:pPr>
            <w:r>
              <w:t xml:space="preserve"> 30. 6. 2015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6372ECB5" w14:textId="77777777" w:rsidR="00CD6752" w:rsidRPr="00DD47DF" w:rsidRDefault="00CD6752" w:rsidP="00A031A3">
            <w:pPr>
              <w:pStyle w:val="Tabulka"/>
              <w:widowControl w:val="0"/>
              <w:jc w:val="left"/>
            </w:pPr>
            <w:r w:rsidRPr="00DD47DF">
              <w:t>MMR, ŘO</w:t>
            </w:r>
          </w:p>
        </w:tc>
      </w:tr>
      <w:tr w:rsidR="00CD6752" w:rsidRPr="00DD47DF" w14:paraId="5AE1A3BF" w14:textId="77777777" w:rsidTr="004E1D61">
        <w:trPr>
          <w:trHeight w:val="414"/>
        </w:trPr>
        <w:tc>
          <w:tcPr>
            <w:tcW w:w="0" w:type="auto"/>
            <w:vMerge/>
            <w:tcBorders>
              <w:left w:val="single" w:sz="4" w:space="0" w:color="auto"/>
              <w:right w:val="single" w:sz="4" w:space="0" w:color="auto"/>
            </w:tcBorders>
            <w:shd w:val="clear" w:color="auto" w:fill="auto"/>
          </w:tcPr>
          <w:p w14:paraId="6A80899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602B7771"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92011D" w14:textId="77777777" w:rsidR="00CD6752" w:rsidRPr="00DD47DF" w:rsidRDefault="00CD6752" w:rsidP="00335A1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 xml:space="preserve">Gestor ZVZ vytipuje v nových zadávacích směrnicích EU novou právní úpravu, kterou považuje za problematickou/rizikovou (např. s ohledem na to, že dříve nebyla používána, nebo je významněji pozměněna oproti předchozímu období), a uskuteční vzdělávací </w:t>
            </w:r>
            <w:r w:rsidRPr="00DD47DF">
              <w:rPr>
                <w:rFonts w:ascii="Times New Roman" w:hAnsi="Times New Roman"/>
                <w:sz w:val="22"/>
                <w:szCs w:val="22"/>
                <w:lang w:eastAsia="cs-CZ"/>
              </w:rPr>
              <w:lastRenderedPageBreak/>
              <w:t>akce na toto téma pro subjekty implementační struktury.</w:t>
            </w:r>
          </w:p>
          <w:p w14:paraId="4241B849" w14:textId="77777777" w:rsidR="00CD6752" w:rsidRPr="00DD47DF" w:rsidRDefault="00CD6752" w:rsidP="00335A15">
            <w:pPr>
              <w:pStyle w:val="DAVA"/>
              <w:rPr>
                <w:rFonts w:ascii="Times New Roman" w:hAnsi="Times New Roman"/>
                <w:sz w:val="22"/>
                <w:szCs w:val="22"/>
              </w:rPr>
            </w:pPr>
            <w:r w:rsidRPr="00DD47DF">
              <w:rPr>
                <w:rFonts w:ascii="Times New Roman" w:hAnsi="Times New Roman"/>
                <w:sz w:val="22"/>
                <w:szCs w:val="22"/>
              </w:rPr>
              <w:t>31. 12. 2015</w:t>
            </w:r>
          </w:p>
          <w:p w14:paraId="6E47A102" w14:textId="77777777" w:rsidR="00CD6752" w:rsidRPr="00DD47DF" w:rsidRDefault="00CD6752" w:rsidP="00D43AF5">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31. 12. 2016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CF8B76C" w14:textId="77777777" w:rsidR="00CD6752" w:rsidRPr="00DD47DF" w:rsidRDefault="00CD6752" w:rsidP="00A031A3">
            <w:pPr>
              <w:pStyle w:val="Tabulka"/>
              <w:widowControl w:val="0"/>
              <w:jc w:val="left"/>
            </w:pPr>
            <w:r w:rsidRPr="00DD47DF">
              <w:rPr>
                <w:rFonts w:cs="Arial"/>
              </w:rPr>
              <w:lastRenderedPageBreak/>
              <w:t>31. 12. 2016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7CA18113" w14:textId="77777777" w:rsidR="00CD6752" w:rsidRPr="00DD47DF" w:rsidRDefault="00CD6752" w:rsidP="00A031A3">
            <w:pPr>
              <w:pStyle w:val="Tabulka"/>
              <w:widowControl w:val="0"/>
              <w:jc w:val="left"/>
            </w:pPr>
            <w:r w:rsidRPr="00DD47DF">
              <w:rPr>
                <w:rFonts w:cs="Arial"/>
              </w:rPr>
              <w:t>MMR</w:t>
            </w:r>
          </w:p>
        </w:tc>
      </w:tr>
      <w:tr w:rsidR="00CD6752" w:rsidRPr="00DD47DF" w14:paraId="764F74C4" w14:textId="77777777" w:rsidTr="00CE492D">
        <w:trPr>
          <w:trHeight w:val="414"/>
        </w:trPr>
        <w:tc>
          <w:tcPr>
            <w:tcW w:w="0" w:type="auto"/>
            <w:vMerge/>
            <w:tcBorders>
              <w:left w:val="single" w:sz="4" w:space="0" w:color="auto"/>
              <w:bottom w:val="single" w:sz="4" w:space="0" w:color="auto"/>
              <w:right w:val="single" w:sz="4" w:space="0" w:color="auto"/>
            </w:tcBorders>
            <w:shd w:val="clear" w:color="auto" w:fill="auto"/>
          </w:tcPr>
          <w:p w14:paraId="1D53BB51"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3045DF9A" w14:textId="77777777" w:rsidR="00CD6752" w:rsidRPr="00DD47DF" w:rsidRDefault="00CD6752" w:rsidP="00C27B91">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9FF43C"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Podání žádosti k projektu Akademie veřejného investování:</w:t>
            </w:r>
          </w:p>
          <w:p w14:paraId="2A695ABE"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(náplní projektu bude zejména následující: spolupráce s ŘO, žadateli a příjemci při přípravě a realizaci projektů z ESIF, sdílení best practice, školení realizačního týmu a týmu odborníků, školení žadatelů a příjemců, odborné konference a pracovní setkání)</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CB06AA" w14:textId="77777777" w:rsidR="00CD6752" w:rsidRPr="00DD47DF" w:rsidRDefault="00CD6752" w:rsidP="004E1D61">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31. 7. 2016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5CB60DA" w14:textId="77777777" w:rsidR="00CD6752" w:rsidRPr="00DD47DF" w:rsidRDefault="00CD6752" w:rsidP="004E1D61">
            <w:pPr>
              <w:pStyle w:val="DAVA"/>
              <w:spacing w:before="80" w:after="80"/>
              <w:rPr>
                <w:rFonts w:ascii="Times New Roman" w:hAnsi="Times New Roman"/>
                <w:sz w:val="22"/>
                <w:szCs w:val="22"/>
              </w:rPr>
            </w:pPr>
            <w:r w:rsidRPr="00DD47DF">
              <w:rPr>
                <w:rFonts w:ascii="Times New Roman" w:hAnsi="Times New Roman"/>
                <w:sz w:val="22"/>
                <w:szCs w:val="22"/>
              </w:rPr>
              <w:t>MMR</w:t>
            </w:r>
          </w:p>
        </w:tc>
      </w:tr>
      <w:tr w:rsidR="00CD6752" w:rsidRPr="00DD47DF" w14:paraId="5C5DD68F" w14:textId="77777777" w:rsidTr="00110890">
        <w:trPr>
          <w:trHeight w:val="414"/>
        </w:trPr>
        <w:tc>
          <w:tcPr>
            <w:tcW w:w="0" w:type="auto"/>
            <w:vMerge w:val="restart"/>
            <w:tcBorders>
              <w:left w:val="single" w:sz="4" w:space="0" w:color="auto"/>
              <w:right w:val="single" w:sz="4" w:space="0" w:color="auto"/>
            </w:tcBorders>
            <w:shd w:val="clear" w:color="auto" w:fill="auto"/>
          </w:tcPr>
          <w:p w14:paraId="613F80C8" w14:textId="77777777" w:rsidR="00CD6752" w:rsidRPr="00DD47DF" w:rsidRDefault="00CD6752" w:rsidP="006D2F5F">
            <w:pPr>
              <w:pStyle w:val="Tabulka"/>
              <w:widowControl w:val="0"/>
              <w:jc w:val="left"/>
              <w:rPr>
                <w:rFonts w:cs="Calibri"/>
                <w:b/>
              </w:rPr>
            </w:pPr>
          </w:p>
        </w:tc>
        <w:tc>
          <w:tcPr>
            <w:tcW w:w="0" w:type="auto"/>
            <w:vMerge w:val="restart"/>
            <w:tcBorders>
              <w:left w:val="single" w:sz="4" w:space="0" w:color="auto"/>
              <w:right w:val="single" w:sz="4" w:space="0" w:color="auto"/>
            </w:tcBorders>
            <w:shd w:val="clear" w:color="auto" w:fill="auto"/>
          </w:tcPr>
          <w:p w14:paraId="5C3C62FA" w14:textId="77777777" w:rsidR="00CD6752" w:rsidRPr="00DD47DF" w:rsidRDefault="00CD6752" w:rsidP="00110890">
            <w:pPr>
              <w:pStyle w:val="Tabulka"/>
              <w:widowControl w:val="0"/>
              <w:jc w:val="left"/>
              <w:rPr>
                <w:rFonts w:cs="Calibri"/>
              </w:rPr>
            </w:pPr>
            <w:r w:rsidRPr="00DD47DF">
              <w:rPr>
                <w:rFonts w:cs="Calibri"/>
              </w:rPr>
              <w:t>Opatření k posílení správní kapacity pro provádění a uplatňování právních předpisů Unie o veřejných zakázkách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AE075C" w14:textId="77777777" w:rsidR="00CD6752" w:rsidRPr="00DD47DF" w:rsidRDefault="00CD6752" w:rsidP="00110890">
            <w:pPr>
              <w:pStyle w:val="DAVA"/>
              <w:spacing w:before="80" w:after="80"/>
              <w:rPr>
                <w:rFonts w:cs="Calibri"/>
              </w:rPr>
            </w:pPr>
            <w:r w:rsidRPr="00DD47DF">
              <w:rPr>
                <w:rFonts w:ascii="Times New Roman" w:hAnsi="Times New Roman"/>
                <w:sz w:val="22"/>
                <w:szCs w:val="22"/>
                <w:lang w:eastAsia="cs-CZ"/>
              </w:rPr>
              <w:t>Přijetí d</w:t>
            </w:r>
            <w:r>
              <w:rPr>
                <w:rFonts w:ascii="Times New Roman" w:hAnsi="Times New Roman"/>
                <w:sz w:val="22"/>
                <w:szCs w:val="22"/>
                <w:lang w:eastAsia="cs-CZ"/>
              </w:rPr>
              <w:t>alších 4 pracovníků gestorem PP</w:t>
            </w:r>
            <w:r w:rsidRPr="00DD47DF">
              <w:rPr>
                <w:rFonts w:ascii="Times New Roman" w:hAnsi="Times New Roman"/>
                <w:sz w:val="22"/>
                <w:szCs w:val="22"/>
                <w:lang w:eastAsia="cs-CZ"/>
              </w:rPr>
              <w:t xml:space="preserve"> (některé výše uvedené činnosti metodického charakteru budou zajišťovat i další pracovníci gestora ZVZ, kteří nejsou přímo vyčlenění na agendu ESI fondů, protože jde o obecnou metodickou činnost, kterou gestor ZVZ provádí v rámci své působnosti)</w:t>
            </w:r>
            <w:r>
              <w:rPr>
                <w:rFonts w:ascii="Times New Roman" w:hAnsi="Times New Roman"/>
                <w:sz w:val="22"/>
                <w:szCs w:val="22"/>
                <w:lang w:eastAsia="cs-CZ"/>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5D158A" w14:textId="77777777" w:rsidR="00CD6752" w:rsidRPr="00DD47DF" w:rsidRDefault="00CD6752" w:rsidP="00110890">
            <w:pPr>
              <w:pStyle w:val="DAVA"/>
              <w:spacing w:before="80" w:after="80"/>
              <w:rPr>
                <w:rFonts w:cs="Calibri"/>
              </w:rPr>
            </w:pPr>
            <w:r w:rsidRPr="00DD47DF">
              <w:rPr>
                <w:rFonts w:ascii="Times New Roman" w:hAnsi="Times New Roman"/>
                <w:sz w:val="22"/>
                <w:szCs w:val="22"/>
                <w:lang w:eastAsia="cs-CZ"/>
              </w:rPr>
              <w:t>30. 6. 2015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C0FFCB1" w14:textId="77777777" w:rsidR="00CD6752" w:rsidRPr="00DD47DF" w:rsidRDefault="00CD6752" w:rsidP="00110890">
            <w:pPr>
              <w:pStyle w:val="DAVA"/>
              <w:spacing w:before="80" w:after="80"/>
              <w:rPr>
                <w:rFonts w:cs="Calibri"/>
              </w:rPr>
            </w:pPr>
            <w:r w:rsidRPr="00DD47DF">
              <w:rPr>
                <w:rFonts w:ascii="Times New Roman" w:hAnsi="Times New Roman"/>
                <w:sz w:val="22"/>
                <w:szCs w:val="22"/>
              </w:rPr>
              <w:t>MMR</w:t>
            </w:r>
          </w:p>
        </w:tc>
      </w:tr>
      <w:tr w:rsidR="00CD6752" w:rsidRPr="00DD47DF" w14:paraId="68382B47" w14:textId="77777777" w:rsidTr="00CE492D">
        <w:trPr>
          <w:trHeight w:val="414"/>
        </w:trPr>
        <w:tc>
          <w:tcPr>
            <w:tcW w:w="0" w:type="auto"/>
            <w:vMerge/>
            <w:tcBorders>
              <w:left w:val="single" w:sz="4" w:space="0" w:color="auto"/>
              <w:bottom w:val="single" w:sz="4" w:space="0" w:color="auto"/>
              <w:right w:val="single" w:sz="4" w:space="0" w:color="auto"/>
            </w:tcBorders>
            <w:shd w:val="clear" w:color="auto" w:fill="auto"/>
          </w:tcPr>
          <w:p w14:paraId="16FD1800"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068E68A2" w14:textId="77777777" w:rsidR="00CD6752" w:rsidRPr="00DD47DF" w:rsidRDefault="00CD6752" w:rsidP="00110890">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50BDE9" w14:textId="77777777" w:rsidR="00CD6752" w:rsidRPr="00DD47DF" w:rsidRDefault="00CD6752" w:rsidP="00110890">
            <w:pPr>
              <w:pStyle w:val="Tabulka"/>
              <w:widowControl w:val="0"/>
              <w:jc w:val="left"/>
              <w:rPr>
                <w:rFonts w:cs="Calibri"/>
              </w:rPr>
            </w:pPr>
            <w:r w:rsidRPr="00DD47DF">
              <w:rPr>
                <w:rFonts w:cs="Calibri"/>
              </w:rPr>
              <w:t xml:space="preserve">Provedení interního vyhodnocení zajištění administrativní kapacity v oblasti veřejných </w:t>
            </w:r>
            <w:r>
              <w:rPr>
                <w:rFonts w:cs="Calibri"/>
              </w:rPr>
              <w:t>zakázek a event. doplnění stavu</w:t>
            </w:r>
            <w:r w:rsidRPr="00DD47DF">
              <w:rPr>
                <w:rFonts w:cs="Calibri"/>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9249D1" w14:textId="77777777" w:rsidR="00CD6752" w:rsidRPr="00DD47DF" w:rsidRDefault="00CD6752" w:rsidP="00110890">
            <w:pPr>
              <w:pStyle w:val="Tabulka"/>
              <w:widowControl w:val="0"/>
              <w:jc w:val="left"/>
              <w:rPr>
                <w:rFonts w:cs="Calibri"/>
              </w:rPr>
            </w:pPr>
            <w:r w:rsidRPr="00DD47DF">
              <w:rPr>
                <w:rFonts w:cs="Calibri"/>
              </w:rPr>
              <w:t>31.12.2015</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0B26BD48" w14:textId="77777777" w:rsidR="00CD6752" w:rsidRPr="00DD47DF" w:rsidRDefault="00CD6752" w:rsidP="00110890">
            <w:pPr>
              <w:pStyle w:val="Tabulka"/>
              <w:widowControl w:val="0"/>
              <w:jc w:val="left"/>
              <w:rPr>
                <w:rFonts w:cs="Calibri"/>
              </w:rPr>
            </w:pPr>
            <w:r w:rsidRPr="00DD47DF">
              <w:rPr>
                <w:rFonts w:cs="Calibri"/>
              </w:rPr>
              <w:t>ŘO</w:t>
            </w:r>
          </w:p>
        </w:tc>
      </w:tr>
      <w:tr w:rsidR="00CD6752" w:rsidRPr="00DD47DF" w14:paraId="1989A1D3" w14:textId="77777777" w:rsidTr="00DD47DF">
        <w:trPr>
          <w:trHeight w:val="986"/>
        </w:trPr>
        <w:tc>
          <w:tcPr>
            <w:tcW w:w="0" w:type="auto"/>
            <w:vMerge w:val="restart"/>
            <w:tcBorders>
              <w:top w:val="single" w:sz="4" w:space="0" w:color="auto"/>
              <w:left w:val="single" w:sz="4" w:space="0" w:color="auto"/>
              <w:right w:val="single" w:sz="4" w:space="0" w:color="auto"/>
            </w:tcBorders>
            <w:shd w:val="clear" w:color="auto" w:fill="auto"/>
          </w:tcPr>
          <w:p w14:paraId="4DE11E81" w14:textId="77777777" w:rsidR="00CD6752" w:rsidRPr="00DD47DF" w:rsidRDefault="00CD6752" w:rsidP="006D2F5F">
            <w:pPr>
              <w:pStyle w:val="Tabulka"/>
              <w:widowControl w:val="0"/>
              <w:jc w:val="left"/>
              <w:rPr>
                <w:rFonts w:cs="Calibri"/>
                <w:b/>
              </w:rPr>
            </w:pPr>
            <w:r w:rsidRPr="00DD47DF">
              <w:rPr>
                <w:rFonts w:cs="Calibri"/>
                <w:b/>
              </w:rPr>
              <w:t xml:space="preserve">Existence opatření pro účinné uplatňování právních předpisů Unie o veřejné </w:t>
            </w:r>
            <w:r w:rsidRPr="00DD47DF">
              <w:rPr>
                <w:rFonts w:cs="Calibri"/>
                <w:b/>
              </w:rPr>
              <w:lastRenderedPageBreak/>
              <w:t xml:space="preserve">podpoře v oblasti fondů ESI </w:t>
            </w:r>
          </w:p>
        </w:tc>
        <w:tc>
          <w:tcPr>
            <w:tcW w:w="0" w:type="auto"/>
            <w:vMerge w:val="restart"/>
            <w:tcBorders>
              <w:top w:val="single" w:sz="4" w:space="0" w:color="auto"/>
              <w:left w:val="single" w:sz="4" w:space="0" w:color="auto"/>
              <w:right w:val="single" w:sz="4" w:space="0" w:color="auto"/>
            </w:tcBorders>
            <w:shd w:val="clear" w:color="auto" w:fill="auto"/>
          </w:tcPr>
          <w:p w14:paraId="505C214A" w14:textId="77777777" w:rsidR="00CD6752" w:rsidRPr="00DD47DF" w:rsidRDefault="00CD6752" w:rsidP="006D2F5F">
            <w:pPr>
              <w:pStyle w:val="Tabulka"/>
              <w:widowControl w:val="0"/>
              <w:jc w:val="left"/>
              <w:rPr>
                <w:rFonts w:cs="Calibri"/>
              </w:rPr>
            </w:pPr>
            <w:r w:rsidRPr="00DD47DF">
              <w:rPr>
                <w:rFonts w:cs="Calibri"/>
              </w:rPr>
              <w:lastRenderedPageBreak/>
              <w:t>Opatření pro účinné uplatňování pravidel Unie o státních podporách</w:t>
            </w:r>
          </w:p>
        </w:tc>
        <w:tc>
          <w:tcPr>
            <w:tcW w:w="0" w:type="auto"/>
            <w:tcBorders>
              <w:top w:val="single" w:sz="4" w:space="0" w:color="auto"/>
              <w:left w:val="single" w:sz="4" w:space="0" w:color="auto"/>
              <w:right w:val="single" w:sz="4" w:space="0" w:color="auto"/>
            </w:tcBorders>
            <w:shd w:val="clear" w:color="auto" w:fill="auto"/>
          </w:tcPr>
          <w:p w14:paraId="7975F955" w14:textId="77777777" w:rsidR="00CD6752" w:rsidRPr="00DD47DF" w:rsidRDefault="00CD6752" w:rsidP="00C13923">
            <w:pPr>
              <w:spacing w:before="80" w:after="80"/>
              <w:rPr>
                <w:sz w:val="22"/>
                <w:szCs w:val="22"/>
              </w:rPr>
            </w:pPr>
            <w:r w:rsidRPr="00DD47DF">
              <w:rPr>
                <w:sz w:val="22"/>
                <w:szCs w:val="22"/>
              </w:rPr>
              <w:t>Zpracování metodického doporučení pro oblast veřejné podpory.</w:t>
            </w:r>
          </w:p>
          <w:p w14:paraId="3DEB2FD5" w14:textId="77777777" w:rsidR="00CD6752" w:rsidRPr="00DD47DF" w:rsidRDefault="00CD6752" w:rsidP="00C13923">
            <w:pPr>
              <w:spacing w:before="80" w:after="80"/>
              <w:rPr>
                <w:rFonts w:cs="Calibri"/>
              </w:rPr>
            </w:pPr>
            <w:r w:rsidRPr="00DD47DF">
              <w:rPr>
                <w:sz w:val="22"/>
                <w:szCs w:val="22"/>
              </w:rPr>
              <w:t>Finální verze do 15. 4. 2015</w:t>
            </w:r>
          </w:p>
        </w:tc>
        <w:tc>
          <w:tcPr>
            <w:tcW w:w="1984" w:type="dxa"/>
            <w:tcBorders>
              <w:top w:val="single" w:sz="4" w:space="0" w:color="auto"/>
              <w:left w:val="single" w:sz="4" w:space="0" w:color="auto"/>
              <w:right w:val="single" w:sz="4" w:space="0" w:color="auto"/>
            </w:tcBorders>
            <w:shd w:val="clear" w:color="auto" w:fill="auto"/>
          </w:tcPr>
          <w:p w14:paraId="0296E542" w14:textId="77777777" w:rsidR="00CD6752" w:rsidRPr="00DD47DF" w:rsidRDefault="00CD6752" w:rsidP="009F44B2">
            <w:pPr>
              <w:pStyle w:val="Tabulka"/>
              <w:widowControl w:val="0"/>
              <w:jc w:val="left"/>
              <w:rPr>
                <w:rFonts w:cs="Calibri"/>
              </w:rPr>
            </w:pPr>
            <w:r w:rsidRPr="00DD47DF">
              <w:rPr>
                <w:rFonts w:cs="Calibri"/>
              </w:rPr>
              <w:t>15.4.2015</w:t>
            </w:r>
          </w:p>
        </w:tc>
        <w:tc>
          <w:tcPr>
            <w:tcW w:w="2617" w:type="dxa"/>
            <w:tcBorders>
              <w:top w:val="single" w:sz="4" w:space="0" w:color="auto"/>
              <w:left w:val="single" w:sz="4" w:space="0" w:color="auto"/>
              <w:right w:val="single" w:sz="4" w:space="0" w:color="auto"/>
            </w:tcBorders>
            <w:shd w:val="clear" w:color="auto" w:fill="auto"/>
          </w:tcPr>
          <w:p w14:paraId="71E5D783" w14:textId="77777777" w:rsidR="00CD6752" w:rsidRPr="00DD47DF" w:rsidRDefault="00CD6752" w:rsidP="006D2F5F">
            <w:pPr>
              <w:pStyle w:val="Tabulka"/>
              <w:widowControl w:val="0"/>
              <w:jc w:val="left"/>
              <w:rPr>
                <w:rFonts w:cs="Calibri"/>
              </w:rPr>
            </w:pPr>
            <w:r w:rsidRPr="00DD47DF">
              <w:rPr>
                <w:rFonts w:cs="Calibri"/>
              </w:rPr>
              <w:t>MMR</w:t>
            </w:r>
          </w:p>
        </w:tc>
      </w:tr>
      <w:tr w:rsidR="00CD6752" w:rsidRPr="00DD47DF" w14:paraId="2A966CBF" w14:textId="77777777" w:rsidTr="00A147B1">
        <w:trPr>
          <w:trHeight w:val="2397"/>
        </w:trPr>
        <w:tc>
          <w:tcPr>
            <w:tcW w:w="0" w:type="auto"/>
            <w:vMerge/>
            <w:tcBorders>
              <w:left w:val="single" w:sz="4" w:space="0" w:color="auto"/>
              <w:right w:val="single" w:sz="4" w:space="0" w:color="auto"/>
            </w:tcBorders>
            <w:shd w:val="clear" w:color="auto" w:fill="auto"/>
          </w:tcPr>
          <w:p w14:paraId="5011CEFA" w14:textId="77777777" w:rsidR="00CD6752" w:rsidRPr="00DD47DF" w:rsidRDefault="00CD6752" w:rsidP="006D2F5F">
            <w:pPr>
              <w:pStyle w:val="Tabulka"/>
              <w:widowControl w:val="0"/>
              <w:jc w:val="left"/>
              <w:rPr>
                <w:rFonts w:cs="Calibri"/>
                <w:b/>
              </w:rPr>
            </w:pPr>
          </w:p>
        </w:tc>
        <w:tc>
          <w:tcPr>
            <w:tcW w:w="0" w:type="auto"/>
            <w:vMerge/>
            <w:tcBorders>
              <w:top w:val="single" w:sz="4" w:space="0" w:color="auto"/>
              <w:left w:val="single" w:sz="4" w:space="0" w:color="auto"/>
              <w:right w:val="single" w:sz="4" w:space="0" w:color="auto"/>
            </w:tcBorders>
            <w:shd w:val="clear" w:color="auto" w:fill="auto"/>
          </w:tcPr>
          <w:p w14:paraId="563E36EB"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right w:val="single" w:sz="4" w:space="0" w:color="auto"/>
            </w:tcBorders>
            <w:shd w:val="clear" w:color="auto" w:fill="auto"/>
          </w:tcPr>
          <w:p w14:paraId="2BCDB701" w14:textId="77777777" w:rsidR="00CD6752" w:rsidRPr="00DD47DF" w:rsidRDefault="00CD6752" w:rsidP="002E1FCF">
            <w:pPr>
              <w:pStyle w:val="Tabulka"/>
              <w:widowControl w:val="0"/>
              <w:jc w:val="left"/>
              <w:rPr>
                <w:rFonts w:cs="Calibri"/>
              </w:rPr>
            </w:pPr>
            <w:r w:rsidRPr="00DD47DF">
              <w:t>Zajistit zapracování oblasti VP (v souladu s připravovanou metodikou) do dokumentace k programům, tj. podrobný popis činností, kterými bude zajištěno dodržování pravidel kumulace, principu Deggendorf, kontrola a případné vymáhání neoprávněné podpory, spolupráce s centrálními koordinačními orgány při hlášení a oznamování podpor apod. Manuál interních postupů bude vydán k 30.6.2015.</w:t>
            </w:r>
          </w:p>
        </w:tc>
        <w:tc>
          <w:tcPr>
            <w:tcW w:w="1984" w:type="dxa"/>
            <w:tcBorders>
              <w:top w:val="single" w:sz="4" w:space="0" w:color="auto"/>
              <w:left w:val="single" w:sz="4" w:space="0" w:color="auto"/>
              <w:right w:val="single" w:sz="4" w:space="0" w:color="auto"/>
            </w:tcBorders>
            <w:shd w:val="clear" w:color="auto" w:fill="auto"/>
          </w:tcPr>
          <w:p w14:paraId="0DF26ED8" w14:textId="77777777" w:rsidR="00CD6752" w:rsidRPr="00DD47DF" w:rsidRDefault="00CD6752" w:rsidP="00A147B1">
            <w:pPr>
              <w:pStyle w:val="Tabulka"/>
              <w:widowControl w:val="0"/>
              <w:jc w:val="left"/>
              <w:rPr>
                <w:rFonts w:cs="Calibri"/>
              </w:rPr>
            </w:pPr>
            <w:r w:rsidRPr="00DD47DF">
              <w:rPr>
                <w:rFonts w:cs="Calibri"/>
              </w:rPr>
              <w:t>30.6.2015</w:t>
            </w:r>
          </w:p>
        </w:tc>
        <w:tc>
          <w:tcPr>
            <w:tcW w:w="2617" w:type="dxa"/>
            <w:tcBorders>
              <w:top w:val="single" w:sz="4" w:space="0" w:color="auto"/>
              <w:left w:val="single" w:sz="4" w:space="0" w:color="auto"/>
              <w:right w:val="single" w:sz="4" w:space="0" w:color="auto"/>
            </w:tcBorders>
            <w:shd w:val="clear" w:color="auto" w:fill="auto"/>
          </w:tcPr>
          <w:p w14:paraId="289300E7" w14:textId="77777777" w:rsidR="00CD6752" w:rsidRPr="00DD47DF" w:rsidRDefault="00CD6752" w:rsidP="00A147B1">
            <w:pPr>
              <w:pStyle w:val="Tabulka"/>
              <w:widowControl w:val="0"/>
              <w:jc w:val="left"/>
              <w:rPr>
                <w:rFonts w:cs="Calibri"/>
              </w:rPr>
            </w:pPr>
            <w:r w:rsidRPr="00DD47DF">
              <w:rPr>
                <w:rFonts w:cs="Calibri"/>
              </w:rPr>
              <w:t>ŘO</w:t>
            </w:r>
          </w:p>
        </w:tc>
      </w:tr>
      <w:tr w:rsidR="00CD6752" w:rsidRPr="00DD47DF" w14:paraId="38B2037D" w14:textId="77777777" w:rsidTr="001C2A07">
        <w:trPr>
          <w:trHeight w:val="2397"/>
        </w:trPr>
        <w:tc>
          <w:tcPr>
            <w:tcW w:w="0" w:type="auto"/>
            <w:vMerge/>
            <w:tcBorders>
              <w:left w:val="single" w:sz="4" w:space="0" w:color="auto"/>
              <w:right w:val="single" w:sz="4" w:space="0" w:color="auto"/>
            </w:tcBorders>
            <w:shd w:val="clear" w:color="auto" w:fill="auto"/>
          </w:tcPr>
          <w:p w14:paraId="67D6922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2DB20045"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right w:val="single" w:sz="4" w:space="0" w:color="auto"/>
            </w:tcBorders>
            <w:shd w:val="clear" w:color="auto" w:fill="auto"/>
          </w:tcPr>
          <w:p w14:paraId="20C11496" w14:textId="77777777" w:rsidR="00CD6752" w:rsidRPr="00DD47DF" w:rsidRDefault="00CD6752" w:rsidP="006D2F5F">
            <w:pPr>
              <w:pStyle w:val="Tabulka"/>
              <w:widowControl w:val="0"/>
              <w:jc w:val="left"/>
              <w:rPr>
                <w:rFonts w:cs="Calibri"/>
              </w:rPr>
            </w:pPr>
            <w:r w:rsidRPr="00DD47DF">
              <w:rPr>
                <w:rFonts w:cs="Calibri"/>
              </w:rPr>
              <w:t>Zajistit soulad programu s pravidly VP. Do každé výzvy zapracovat pravidla VP. Průběžně analyzovat soulad s pravidly VP při tvorbě programů. Pravidla postupně zapracovat do dokumentace k výzvám vždy před jejich vyhlášením v souladu s postupy a lhůtami dle interního manuálu. Plnit průběžně dle harmonogramu výzev, první výzvy do 30. 6. 2015, další průběžně</w:t>
            </w:r>
          </w:p>
        </w:tc>
        <w:tc>
          <w:tcPr>
            <w:tcW w:w="1984" w:type="dxa"/>
            <w:tcBorders>
              <w:top w:val="single" w:sz="4" w:space="0" w:color="auto"/>
              <w:left w:val="single" w:sz="4" w:space="0" w:color="auto"/>
              <w:right w:val="single" w:sz="4" w:space="0" w:color="auto"/>
            </w:tcBorders>
            <w:shd w:val="clear" w:color="auto" w:fill="auto"/>
          </w:tcPr>
          <w:p w14:paraId="2A3F76D7" w14:textId="77777777" w:rsidR="00CD6752" w:rsidRPr="00DD47DF" w:rsidRDefault="00CD6752" w:rsidP="002E1FCF">
            <w:pPr>
              <w:pStyle w:val="Tabulka"/>
              <w:widowControl w:val="0"/>
              <w:jc w:val="left"/>
              <w:rPr>
                <w:rFonts w:cs="Calibri"/>
              </w:rPr>
            </w:pPr>
            <w:r w:rsidRPr="00DD47DF">
              <w:rPr>
                <w:rFonts w:cs="Calibri"/>
              </w:rPr>
              <w:t>30.6.2016</w:t>
            </w:r>
          </w:p>
        </w:tc>
        <w:tc>
          <w:tcPr>
            <w:tcW w:w="2617" w:type="dxa"/>
            <w:tcBorders>
              <w:top w:val="single" w:sz="4" w:space="0" w:color="auto"/>
              <w:left w:val="single" w:sz="4" w:space="0" w:color="auto"/>
              <w:right w:val="single" w:sz="4" w:space="0" w:color="auto"/>
            </w:tcBorders>
            <w:shd w:val="clear" w:color="auto" w:fill="auto"/>
          </w:tcPr>
          <w:p w14:paraId="5FBEE05C"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5EE90A53" w14:textId="77777777" w:rsidTr="008A20D2">
        <w:trPr>
          <w:trHeight w:val="414"/>
        </w:trPr>
        <w:tc>
          <w:tcPr>
            <w:tcW w:w="0" w:type="auto"/>
            <w:vMerge/>
            <w:tcBorders>
              <w:left w:val="single" w:sz="4" w:space="0" w:color="auto"/>
              <w:right w:val="single" w:sz="4" w:space="0" w:color="auto"/>
            </w:tcBorders>
            <w:shd w:val="clear" w:color="auto" w:fill="auto"/>
          </w:tcPr>
          <w:p w14:paraId="203C92A0"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right w:val="single" w:sz="4" w:space="0" w:color="auto"/>
            </w:tcBorders>
            <w:shd w:val="clear" w:color="auto" w:fill="auto"/>
          </w:tcPr>
          <w:p w14:paraId="4ED1D127"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2519484" w14:textId="77777777" w:rsidR="00CD6752" w:rsidRPr="00DD47DF" w:rsidRDefault="00CD6752" w:rsidP="009F44B2">
            <w:pPr>
              <w:pStyle w:val="Tabulka"/>
              <w:widowControl w:val="0"/>
              <w:jc w:val="left"/>
              <w:rPr>
                <w:rFonts w:cs="Calibri"/>
              </w:rPr>
            </w:pPr>
            <w:r w:rsidRPr="00DD47DF">
              <w:rPr>
                <w:rFonts w:cs="Calibri"/>
              </w:rPr>
              <w:t>Zajistit soulad jednotlivých výzev s pravidly pro VP. První výzvy do 30. 6. 2015, další průběžně dle harmonogramu</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EBB7380" w14:textId="77777777" w:rsidR="00CD6752" w:rsidRPr="00DD47DF" w:rsidRDefault="00CD6752" w:rsidP="002E1FCF">
            <w:pPr>
              <w:pStyle w:val="Tabulka"/>
              <w:widowControl w:val="0"/>
              <w:jc w:val="left"/>
              <w:rPr>
                <w:rFonts w:cs="Calibri"/>
              </w:rPr>
            </w:pPr>
            <w:r w:rsidRPr="00DD47DF">
              <w:rPr>
                <w:rFonts w:cs="Calibri"/>
              </w:rPr>
              <w:t>30.6.2016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284AF6C1"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0DDBF620" w14:textId="77777777" w:rsidTr="008A20D2">
        <w:trPr>
          <w:trHeight w:val="414"/>
        </w:trPr>
        <w:tc>
          <w:tcPr>
            <w:tcW w:w="0" w:type="auto"/>
            <w:vMerge/>
            <w:tcBorders>
              <w:left w:val="single" w:sz="4" w:space="0" w:color="auto"/>
              <w:right w:val="single" w:sz="4" w:space="0" w:color="auto"/>
            </w:tcBorders>
            <w:shd w:val="clear" w:color="auto" w:fill="auto"/>
          </w:tcPr>
          <w:p w14:paraId="2D3E058B"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3F6774D8"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FA6A04" w14:textId="77777777" w:rsidR="00CD6752" w:rsidRPr="00DD47DF" w:rsidRDefault="00CD6752" w:rsidP="006D2F5F">
            <w:pPr>
              <w:pStyle w:val="Tabulka"/>
              <w:widowControl w:val="0"/>
              <w:jc w:val="left"/>
              <w:rPr>
                <w:rFonts w:cs="Calibri"/>
              </w:rPr>
            </w:pPr>
            <w:r w:rsidRPr="00DD47DF">
              <w:rPr>
                <w:rFonts w:cs="Calibri"/>
              </w:rPr>
              <w:t>Zajistit průběžně následnou kontrolu souladu projektů s pravidly pro VP</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C21CB4" w14:textId="77777777" w:rsidR="00CD6752" w:rsidRPr="00DD47DF" w:rsidRDefault="00CD6752" w:rsidP="00EC2EF9">
            <w:pPr>
              <w:pStyle w:val="Tabulka"/>
              <w:widowControl w:val="0"/>
              <w:jc w:val="left"/>
              <w:rPr>
                <w:rFonts w:cs="Calibri"/>
              </w:rPr>
            </w:pPr>
            <w:r w:rsidRPr="00DD47DF">
              <w:rPr>
                <w:rFonts w:cs="Calibri"/>
              </w:rPr>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1CD40BF8" w14:textId="77777777" w:rsidR="00CD6752" w:rsidRPr="00DD47DF" w:rsidRDefault="00CD6752" w:rsidP="006D2F5F">
            <w:pPr>
              <w:pStyle w:val="Tabulka"/>
              <w:widowControl w:val="0"/>
              <w:jc w:val="left"/>
              <w:rPr>
                <w:rFonts w:cs="Calibri"/>
              </w:rPr>
            </w:pPr>
            <w:r w:rsidRPr="00DD47DF">
              <w:rPr>
                <w:rFonts w:cs="Calibri"/>
              </w:rPr>
              <w:t>ŘO</w:t>
            </w:r>
          </w:p>
        </w:tc>
      </w:tr>
      <w:tr w:rsidR="00CD6752" w:rsidRPr="00DD47DF" w14:paraId="0C00272D" w14:textId="77777777" w:rsidTr="001C2A07">
        <w:trPr>
          <w:trHeight w:val="1840"/>
        </w:trPr>
        <w:tc>
          <w:tcPr>
            <w:tcW w:w="0" w:type="auto"/>
            <w:vMerge/>
            <w:tcBorders>
              <w:left w:val="single" w:sz="4" w:space="0" w:color="auto"/>
              <w:right w:val="single" w:sz="4" w:space="0" w:color="auto"/>
            </w:tcBorders>
            <w:shd w:val="clear" w:color="auto" w:fill="auto"/>
          </w:tcPr>
          <w:p w14:paraId="4A7DD29C" w14:textId="77777777" w:rsidR="00CD6752" w:rsidRPr="00DD47DF" w:rsidRDefault="00CD6752" w:rsidP="006D2F5F">
            <w:pPr>
              <w:pStyle w:val="Tabulka"/>
              <w:widowControl w:val="0"/>
              <w:jc w:val="left"/>
              <w:rPr>
                <w:rFonts w:cs="Calibri"/>
                <w:b/>
              </w:rPr>
            </w:pPr>
          </w:p>
        </w:tc>
        <w:tc>
          <w:tcPr>
            <w:tcW w:w="0" w:type="auto"/>
            <w:vMerge w:val="restart"/>
            <w:tcBorders>
              <w:top w:val="single" w:sz="4" w:space="0" w:color="auto"/>
              <w:left w:val="single" w:sz="4" w:space="0" w:color="auto"/>
              <w:right w:val="single" w:sz="4" w:space="0" w:color="auto"/>
            </w:tcBorders>
            <w:shd w:val="clear" w:color="auto" w:fill="auto"/>
          </w:tcPr>
          <w:p w14:paraId="58059239" w14:textId="77777777" w:rsidR="00CD6752" w:rsidRPr="00DD47DF" w:rsidRDefault="00CD6752" w:rsidP="006D2F5F">
            <w:pPr>
              <w:pStyle w:val="Tabulka"/>
              <w:widowControl w:val="0"/>
              <w:jc w:val="left"/>
              <w:rPr>
                <w:rFonts w:cs="Calibri"/>
              </w:rPr>
            </w:pPr>
            <w:r w:rsidRPr="00DD47DF">
              <w:rPr>
                <w:rFonts w:cs="Calibri"/>
              </w:rPr>
              <w:t xml:space="preserve">Opatření k zajištění správní kapacity pro provádění a uplatňování právních předpisů Unie o státních podporách </w:t>
            </w:r>
          </w:p>
        </w:tc>
        <w:tc>
          <w:tcPr>
            <w:tcW w:w="0" w:type="auto"/>
            <w:tcBorders>
              <w:top w:val="single" w:sz="4" w:space="0" w:color="auto"/>
              <w:left w:val="single" w:sz="4" w:space="0" w:color="auto"/>
              <w:right w:val="single" w:sz="4" w:space="0" w:color="auto"/>
            </w:tcBorders>
            <w:shd w:val="clear" w:color="auto" w:fill="auto"/>
          </w:tcPr>
          <w:p w14:paraId="68C76F98" w14:textId="77777777" w:rsidR="00CD6752" w:rsidRPr="00DD47DF" w:rsidRDefault="00CD6752" w:rsidP="001C2A07">
            <w:pPr>
              <w:pStyle w:val="Tabulka"/>
              <w:widowControl w:val="0"/>
              <w:jc w:val="left"/>
              <w:rPr>
                <w:rFonts w:cs="Calibri"/>
                <w:sz w:val="24"/>
              </w:rPr>
            </w:pPr>
            <w:r w:rsidRPr="00DD47DF">
              <w:rPr>
                <w:rFonts w:cs="Arial"/>
              </w:rPr>
              <w:t xml:space="preserve">Zhodnocení naplňování správní kapacity pro oblast veřejné podpory </w:t>
            </w:r>
            <w:r w:rsidRPr="00260D88">
              <w:rPr>
                <w:rFonts w:cs="Arial"/>
              </w:rPr>
              <w:t xml:space="preserve">a </w:t>
            </w:r>
            <w:r w:rsidRPr="00DD47DF">
              <w:rPr>
                <w:rFonts w:cs="Arial"/>
              </w:rPr>
              <w:t>případné doplnění této kapacity</w:t>
            </w:r>
          </w:p>
        </w:tc>
        <w:tc>
          <w:tcPr>
            <w:tcW w:w="1984" w:type="dxa"/>
            <w:tcBorders>
              <w:top w:val="single" w:sz="4" w:space="0" w:color="auto"/>
              <w:left w:val="single" w:sz="4" w:space="0" w:color="auto"/>
              <w:right w:val="single" w:sz="4" w:space="0" w:color="auto"/>
            </w:tcBorders>
            <w:shd w:val="clear" w:color="auto" w:fill="auto"/>
          </w:tcPr>
          <w:p w14:paraId="461100B8" w14:textId="77777777" w:rsidR="00CD6752" w:rsidRPr="00DD47DF" w:rsidRDefault="00CD6752" w:rsidP="006D2F5F">
            <w:pPr>
              <w:pStyle w:val="Tabulka"/>
              <w:widowControl w:val="0"/>
              <w:jc w:val="left"/>
            </w:pPr>
            <w:r w:rsidRPr="00DD47DF">
              <w:rPr>
                <w:rFonts w:cs="Calibri"/>
              </w:rPr>
              <w:t>30.6.2016</w:t>
            </w:r>
          </w:p>
        </w:tc>
        <w:tc>
          <w:tcPr>
            <w:tcW w:w="2617" w:type="dxa"/>
            <w:tcBorders>
              <w:top w:val="single" w:sz="4" w:space="0" w:color="auto"/>
              <w:left w:val="single" w:sz="4" w:space="0" w:color="auto"/>
              <w:right w:val="single" w:sz="4" w:space="0" w:color="auto"/>
            </w:tcBorders>
            <w:shd w:val="clear" w:color="auto" w:fill="auto"/>
          </w:tcPr>
          <w:p w14:paraId="15557F45" w14:textId="77777777" w:rsidR="00CD6752" w:rsidRPr="00DD47DF" w:rsidRDefault="00CD6752" w:rsidP="002D4CC1">
            <w:pPr>
              <w:pStyle w:val="Tabulka"/>
              <w:widowControl w:val="0"/>
              <w:jc w:val="left"/>
            </w:pPr>
            <w:r w:rsidRPr="00DD47DF">
              <w:t>MMR</w:t>
            </w:r>
            <w:r w:rsidR="002D4CC1">
              <w:t>, ŘO</w:t>
            </w:r>
          </w:p>
        </w:tc>
      </w:tr>
      <w:tr w:rsidR="00CD6752" w:rsidRPr="00DD47DF" w14:paraId="7A720794" w14:textId="77777777" w:rsidTr="00CE43D2">
        <w:trPr>
          <w:trHeight w:val="675"/>
        </w:trPr>
        <w:tc>
          <w:tcPr>
            <w:tcW w:w="0" w:type="auto"/>
            <w:vMerge/>
            <w:tcBorders>
              <w:left w:val="single" w:sz="4" w:space="0" w:color="auto"/>
              <w:bottom w:val="single" w:sz="4" w:space="0" w:color="auto"/>
              <w:right w:val="single" w:sz="4" w:space="0" w:color="auto"/>
            </w:tcBorders>
            <w:shd w:val="clear" w:color="auto" w:fill="auto"/>
          </w:tcPr>
          <w:p w14:paraId="7CEBAA28" w14:textId="77777777" w:rsidR="00CD6752" w:rsidRPr="00DD47DF" w:rsidRDefault="00CD6752" w:rsidP="006D2F5F">
            <w:pPr>
              <w:pStyle w:val="Tabulka"/>
              <w:widowControl w:val="0"/>
              <w:jc w:val="left"/>
              <w:rPr>
                <w:rFonts w:cs="Calibri"/>
                <w:b/>
              </w:rPr>
            </w:pPr>
          </w:p>
        </w:tc>
        <w:tc>
          <w:tcPr>
            <w:tcW w:w="0" w:type="auto"/>
            <w:vMerge/>
            <w:tcBorders>
              <w:left w:val="single" w:sz="4" w:space="0" w:color="auto"/>
              <w:bottom w:val="single" w:sz="4" w:space="0" w:color="auto"/>
              <w:right w:val="single" w:sz="4" w:space="0" w:color="auto"/>
            </w:tcBorders>
            <w:shd w:val="clear" w:color="auto" w:fill="auto"/>
          </w:tcPr>
          <w:p w14:paraId="77EBC54D" w14:textId="77777777" w:rsidR="00CD6752" w:rsidRPr="00DD47DF" w:rsidRDefault="00CD6752" w:rsidP="006D2F5F">
            <w:pPr>
              <w:pStyle w:val="Tabulka"/>
              <w:widowControl w:val="0"/>
              <w:jc w:val="left"/>
              <w:rPr>
                <w:rFonts w:cs="Calibri"/>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AFD1615" w14:textId="77777777" w:rsidR="00CD6752" w:rsidRPr="00DD47DF" w:rsidRDefault="00CD6752" w:rsidP="00A147B1">
            <w:pPr>
              <w:pStyle w:val="Tabulka"/>
              <w:widowControl w:val="0"/>
              <w:jc w:val="left"/>
              <w:rPr>
                <w:rFonts w:cs="Calibri"/>
                <w:sz w:val="24"/>
              </w:rPr>
            </w:pPr>
            <w:r w:rsidRPr="00DD47DF">
              <w:rPr>
                <w:rFonts w:cs="Calibri"/>
              </w:rPr>
              <w:t>Průběžně vyhodnocovat správní kapacitu a její případné posílení dle potřeby</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44E7E3" w14:textId="77777777" w:rsidR="00CD6752" w:rsidRPr="00DD47DF" w:rsidRDefault="00CD6752" w:rsidP="00A147B1">
            <w:pPr>
              <w:pStyle w:val="Tabulka"/>
              <w:widowControl w:val="0"/>
              <w:jc w:val="left"/>
            </w:pPr>
            <w:r w:rsidRPr="00DD47DF">
              <w:rPr>
                <w:rFonts w:cs="Calibri"/>
              </w:rPr>
              <w:t>31.12.2016</w:t>
            </w:r>
          </w:p>
        </w:tc>
        <w:tc>
          <w:tcPr>
            <w:tcW w:w="2617" w:type="dxa"/>
            <w:tcBorders>
              <w:top w:val="single" w:sz="4" w:space="0" w:color="auto"/>
              <w:left w:val="single" w:sz="4" w:space="0" w:color="auto"/>
              <w:bottom w:val="single" w:sz="4" w:space="0" w:color="auto"/>
              <w:right w:val="single" w:sz="4" w:space="0" w:color="auto"/>
            </w:tcBorders>
            <w:shd w:val="clear" w:color="auto" w:fill="auto"/>
          </w:tcPr>
          <w:p w14:paraId="5080DB83" w14:textId="77777777" w:rsidR="00CD6752" w:rsidRPr="00DD47DF" w:rsidRDefault="00CD6752" w:rsidP="00A147B1">
            <w:pPr>
              <w:pStyle w:val="Tabulka"/>
              <w:widowControl w:val="0"/>
              <w:jc w:val="left"/>
            </w:pPr>
            <w:r w:rsidRPr="00DD47DF">
              <w:rPr>
                <w:rFonts w:cs="Calibri"/>
              </w:rPr>
              <w:t>ŘO</w:t>
            </w:r>
          </w:p>
        </w:tc>
      </w:tr>
      <w:tr w:rsidR="00CD6752" w:rsidRPr="00DD47DF" w14:paraId="1E986253" w14:textId="77777777" w:rsidTr="008A20D2">
        <w:trPr>
          <w:trHeight w:val="424"/>
        </w:trPr>
        <w:tc>
          <w:tcPr>
            <w:tcW w:w="0" w:type="auto"/>
            <w:vMerge w:val="restart"/>
            <w:tcBorders>
              <w:top w:val="single" w:sz="4" w:space="0" w:color="auto"/>
            </w:tcBorders>
            <w:shd w:val="clear" w:color="auto" w:fill="auto"/>
          </w:tcPr>
          <w:p w14:paraId="0399B48D" w14:textId="77777777" w:rsidR="00CD6752" w:rsidRPr="00DD47DF" w:rsidRDefault="00CD6752" w:rsidP="006D2F5F">
            <w:pPr>
              <w:pStyle w:val="Tabulka"/>
              <w:widowControl w:val="0"/>
              <w:jc w:val="left"/>
              <w:rPr>
                <w:rFonts w:cs="Calibri"/>
                <w:b/>
              </w:rPr>
            </w:pPr>
            <w:r w:rsidRPr="00DD47DF">
              <w:rPr>
                <w:rFonts w:cs="Calibri"/>
                <w:b/>
              </w:rPr>
              <w:t>Existence statistického základu nezbytného k provádění hodnocení za účelem posouzení účinnosti a dopadu programů.</w:t>
            </w:r>
          </w:p>
          <w:p w14:paraId="3AB03B65" w14:textId="77777777" w:rsidR="00CD6752" w:rsidRPr="00DD47DF" w:rsidRDefault="00CD6752" w:rsidP="006D2F5F">
            <w:pPr>
              <w:pStyle w:val="Tabulka"/>
              <w:widowControl w:val="0"/>
              <w:jc w:val="left"/>
              <w:rPr>
                <w:rFonts w:cs="Calibri"/>
                <w:b/>
              </w:rPr>
            </w:pPr>
            <w:r w:rsidRPr="00DD47DF">
              <w:rPr>
                <w:b/>
              </w:rPr>
              <w:t>Existence systému ukazatelů výsledků nezbytného k výběru opatření, jež budou nejúčinněji přispívat k dosahování požadovaných výsledků, k monitorování pokroku při dosahování výsledků a k provedení posouzení dopadů</w:t>
            </w:r>
          </w:p>
        </w:tc>
        <w:tc>
          <w:tcPr>
            <w:tcW w:w="0" w:type="auto"/>
            <w:vMerge w:val="restart"/>
            <w:tcBorders>
              <w:top w:val="single" w:sz="4" w:space="0" w:color="auto"/>
            </w:tcBorders>
            <w:shd w:val="clear" w:color="auto" w:fill="auto"/>
          </w:tcPr>
          <w:p w14:paraId="15E3780C"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color w:val="000000"/>
                <w:sz w:val="22"/>
                <w:szCs w:val="22"/>
              </w:rPr>
              <w:t>Jsou vypracována opatření pro včasný sběr a agregaci statistických údajů, která obsahují tyto prvky:</w:t>
            </w:r>
          </w:p>
          <w:p w14:paraId="52811C7B" w14:textId="77777777" w:rsidR="00CD6752" w:rsidRPr="00DD47DF" w:rsidRDefault="00CD6752" w:rsidP="00F91E8F">
            <w:pPr>
              <w:pStyle w:val="Tabulka"/>
              <w:widowControl w:val="0"/>
              <w:numPr>
                <w:ilvl w:val="0"/>
                <w:numId w:val="92"/>
              </w:numPr>
              <w:jc w:val="left"/>
              <w:rPr>
                <w:rFonts w:cs="Calibri"/>
              </w:rPr>
            </w:pPr>
            <w:r w:rsidRPr="00DD47DF">
              <w:t>určení zdrojů a mechanismů pro zajištění statistického ověřování</w:t>
            </w:r>
          </w:p>
        </w:tc>
        <w:tc>
          <w:tcPr>
            <w:tcW w:w="0" w:type="auto"/>
            <w:tcBorders>
              <w:top w:val="single" w:sz="4" w:space="0" w:color="auto"/>
            </w:tcBorders>
            <w:shd w:val="clear" w:color="auto" w:fill="auto"/>
          </w:tcPr>
          <w:p w14:paraId="3E2E7665"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Národního číselníku indikátorů pro programové období 2014-2020, který zajistí jednotnou metodickou konstrukci všech indikátorů používaných napříč programy ESI fondů.</w:t>
            </w:r>
          </w:p>
          <w:p w14:paraId="1780E71F"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Nastavení spolupráce s ČSÚ pro pravidelné dodávání potřebných statistických dat.</w:t>
            </w:r>
          </w:p>
        </w:tc>
        <w:tc>
          <w:tcPr>
            <w:tcW w:w="1984" w:type="dxa"/>
            <w:tcBorders>
              <w:top w:val="single" w:sz="4" w:space="0" w:color="auto"/>
            </w:tcBorders>
            <w:shd w:val="clear" w:color="auto" w:fill="auto"/>
          </w:tcPr>
          <w:p w14:paraId="472F4F5A" w14:textId="77777777" w:rsidR="00CD6752" w:rsidRPr="00DD47DF" w:rsidRDefault="00CD6752" w:rsidP="008A5AA0">
            <w:pPr>
              <w:pStyle w:val="Tabulka"/>
              <w:widowControl w:val="0"/>
              <w:jc w:val="left"/>
              <w:rPr>
                <w:rFonts w:cs="Calibri"/>
              </w:rPr>
            </w:pPr>
            <w:r w:rsidRPr="00DD47DF">
              <w:t>31.12.2015</w:t>
            </w:r>
          </w:p>
        </w:tc>
        <w:tc>
          <w:tcPr>
            <w:tcW w:w="2617" w:type="dxa"/>
            <w:tcBorders>
              <w:top w:val="single" w:sz="4" w:space="0" w:color="auto"/>
            </w:tcBorders>
            <w:shd w:val="clear" w:color="auto" w:fill="auto"/>
          </w:tcPr>
          <w:p w14:paraId="7D040748" w14:textId="77777777" w:rsidR="00CD6752" w:rsidRPr="00DD47DF" w:rsidRDefault="00CD6752" w:rsidP="006D2F5F">
            <w:pPr>
              <w:pStyle w:val="Tabulka"/>
              <w:widowControl w:val="0"/>
              <w:jc w:val="left"/>
              <w:rPr>
                <w:rFonts w:cs="Calibri"/>
              </w:rPr>
            </w:pPr>
            <w:r w:rsidRPr="00DD47DF">
              <w:t>MMR, ŘO, ČSÚ</w:t>
            </w:r>
          </w:p>
        </w:tc>
      </w:tr>
      <w:tr w:rsidR="00CD6752" w:rsidRPr="00DD47DF" w14:paraId="43DFF8F3" w14:textId="77777777" w:rsidTr="008A20D2">
        <w:trPr>
          <w:trHeight w:val="424"/>
        </w:trPr>
        <w:tc>
          <w:tcPr>
            <w:tcW w:w="0" w:type="auto"/>
            <w:vMerge/>
            <w:shd w:val="clear" w:color="auto" w:fill="auto"/>
            <w:vAlign w:val="center"/>
          </w:tcPr>
          <w:p w14:paraId="5700C5B8" w14:textId="77777777" w:rsidR="00CD6752" w:rsidRPr="00DD47DF" w:rsidRDefault="00CD6752" w:rsidP="006D2F5F">
            <w:pPr>
              <w:pStyle w:val="Tabulka"/>
              <w:rPr>
                <w:rFonts w:cs="Calibri"/>
                <w:b/>
                <w:szCs w:val="24"/>
              </w:rPr>
            </w:pPr>
          </w:p>
        </w:tc>
        <w:tc>
          <w:tcPr>
            <w:tcW w:w="0" w:type="auto"/>
            <w:vMerge/>
            <w:shd w:val="clear" w:color="auto" w:fill="auto"/>
            <w:vAlign w:val="center"/>
          </w:tcPr>
          <w:p w14:paraId="53AE0D31" w14:textId="77777777" w:rsidR="00CD6752" w:rsidRPr="00DD47DF" w:rsidRDefault="00CD6752" w:rsidP="006D2F5F">
            <w:pPr>
              <w:pStyle w:val="Tabulka"/>
              <w:jc w:val="left"/>
              <w:rPr>
                <w:rFonts w:cs="Calibri"/>
                <w:szCs w:val="24"/>
              </w:rPr>
            </w:pPr>
          </w:p>
        </w:tc>
        <w:tc>
          <w:tcPr>
            <w:tcW w:w="0" w:type="auto"/>
            <w:shd w:val="clear" w:color="auto" w:fill="auto"/>
          </w:tcPr>
          <w:p w14:paraId="573CF979" w14:textId="77777777" w:rsidR="00CD6752" w:rsidRPr="00DD47DF" w:rsidRDefault="00CD6752" w:rsidP="00CE43D2">
            <w:pPr>
              <w:pStyle w:val="DAVA"/>
              <w:spacing w:before="0"/>
              <w:rPr>
                <w:szCs w:val="22"/>
              </w:rPr>
            </w:pPr>
            <w:r w:rsidRPr="00DD47DF">
              <w:rPr>
                <w:rFonts w:ascii="Times New Roman" w:hAnsi="Times New Roman"/>
                <w:sz w:val="22"/>
                <w:szCs w:val="22"/>
                <w:lang w:eastAsia="cs-CZ"/>
              </w:rPr>
              <w:t>Ve spolupráci s dotčenými resorty a Úřadem na ochranu osobních údajů (ÚOOÚ) připravit a následně ÚOOU schválit a vydat výkladové stanovisko ke zpracování osobních údajů účastníků při poskytování finanční podpory z evropského sociálního fondu.</w:t>
            </w:r>
          </w:p>
        </w:tc>
        <w:tc>
          <w:tcPr>
            <w:tcW w:w="1984" w:type="dxa"/>
            <w:shd w:val="clear" w:color="auto" w:fill="auto"/>
          </w:tcPr>
          <w:p w14:paraId="593B8DA4" w14:textId="77777777" w:rsidR="00CD6752" w:rsidRPr="00DD47DF" w:rsidRDefault="00CD6752" w:rsidP="001B5F7D">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31.12.2015</w:t>
            </w:r>
          </w:p>
        </w:tc>
        <w:tc>
          <w:tcPr>
            <w:tcW w:w="2617" w:type="dxa"/>
            <w:shd w:val="clear" w:color="auto" w:fill="auto"/>
          </w:tcPr>
          <w:p w14:paraId="5CB5C1FD"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Úřad vlády (Úřad pro ochranu osobních údajů) + ŘO ESF programů, které mají povinnost monitorovat účastníky projektů v rámci povinných společných indikátorů (MPSV, HMP, MŠMT)</w:t>
            </w:r>
          </w:p>
        </w:tc>
      </w:tr>
      <w:tr w:rsidR="00CD6752" w:rsidRPr="00DD47DF" w14:paraId="4149E930" w14:textId="77777777" w:rsidTr="008A20D2">
        <w:trPr>
          <w:trHeight w:val="424"/>
        </w:trPr>
        <w:tc>
          <w:tcPr>
            <w:tcW w:w="0" w:type="auto"/>
            <w:vMerge/>
            <w:shd w:val="clear" w:color="auto" w:fill="auto"/>
            <w:vAlign w:val="center"/>
          </w:tcPr>
          <w:p w14:paraId="025E6DA7" w14:textId="77777777" w:rsidR="00CD6752" w:rsidRPr="00DD47DF" w:rsidRDefault="00CD6752" w:rsidP="006D2F5F">
            <w:pPr>
              <w:pStyle w:val="Tabulka"/>
              <w:rPr>
                <w:rFonts w:cs="Calibri"/>
                <w:b/>
                <w:szCs w:val="24"/>
              </w:rPr>
            </w:pPr>
          </w:p>
        </w:tc>
        <w:tc>
          <w:tcPr>
            <w:tcW w:w="0" w:type="auto"/>
            <w:shd w:val="clear" w:color="auto" w:fill="auto"/>
          </w:tcPr>
          <w:p w14:paraId="7BA15E4E"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Účinný systém ukazatelů výsledků, včetně:</w:t>
            </w:r>
          </w:p>
          <w:p w14:paraId="78ABD0D8" w14:textId="77777777" w:rsidR="00CD6752" w:rsidRPr="00DD47DF" w:rsidRDefault="00CD6752" w:rsidP="00F91E8F">
            <w:pPr>
              <w:pStyle w:val="Odstavecseseznamem"/>
              <w:numPr>
                <w:ilvl w:val="0"/>
                <w:numId w:val="92"/>
              </w:numPr>
              <w:overflowPunct/>
              <w:autoSpaceDE/>
              <w:autoSpaceDN/>
              <w:adjustRightInd/>
              <w:spacing w:before="80" w:after="80"/>
              <w:ind w:left="355"/>
              <w:textAlignment w:val="auto"/>
              <w:rPr>
                <w:sz w:val="22"/>
                <w:szCs w:val="22"/>
              </w:rPr>
            </w:pPr>
            <w:r w:rsidRPr="00DD47DF">
              <w:rPr>
                <w:color w:val="000000"/>
                <w:sz w:val="22"/>
                <w:szCs w:val="22"/>
              </w:rPr>
              <w:t>výběru ukazatelů výsledků pro každý program, jež budou vypovídat o motivaci k výběru strategických kroků financovaných z programu,</w:t>
            </w:r>
          </w:p>
        </w:tc>
        <w:tc>
          <w:tcPr>
            <w:tcW w:w="0" w:type="auto"/>
            <w:shd w:val="clear" w:color="auto" w:fill="auto"/>
          </w:tcPr>
          <w:p w14:paraId="7277DEA2"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Národního číselníku indikátorů pro programové období 2014-2020.</w:t>
            </w:r>
          </w:p>
          <w:p w14:paraId="7BA4E9E7"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a schválení strategie programů a potřebné navazující programové dokumentace</w:t>
            </w:r>
          </w:p>
          <w:p w14:paraId="00AE4945"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Příprava a schválení evaluačních plánů programů a Dohody o partnerství, které budou definovat indikativní harmonogram plánovaných evaluačních aktivit programů.</w:t>
            </w:r>
          </w:p>
        </w:tc>
        <w:tc>
          <w:tcPr>
            <w:tcW w:w="1984" w:type="dxa"/>
            <w:shd w:val="clear" w:color="auto" w:fill="auto"/>
          </w:tcPr>
          <w:p w14:paraId="393D8368" w14:textId="77777777" w:rsidR="00CD6752" w:rsidRPr="00DD47DF" w:rsidRDefault="00CD6752" w:rsidP="001B5F7D">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30.6.2016</w:t>
            </w:r>
          </w:p>
        </w:tc>
        <w:tc>
          <w:tcPr>
            <w:tcW w:w="2617" w:type="dxa"/>
            <w:shd w:val="clear" w:color="auto" w:fill="auto"/>
          </w:tcPr>
          <w:p w14:paraId="07E6EE20"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w:t>
            </w:r>
            <w:r w:rsidRPr="00DD47DF" w:rsidDel="00432201">
              <w:rPr>
                <w:rFonts w:ascii="Times New Roman" w:hAnsi="Times New Roman"/>
                <w:sz w:val="22"/>
                <w:szCs w:val="22"/>
                <w:lang w:eastAsia="cs-CZ"/>
              </w:rPr>
              <w:t xml:space="preserve"> </w:t>
            </w:r>
          </w:p>
        </w:tc>
      </w:tr>
      <w:tr w:rsidR="00CD6752" w:rsidRPr="00DD47DF" w14:paraId="1FE7E7C4" w14:textId="77777777" w:rsidTr="008A20D2">
        <w:trPr>
          <w:trHeight w:val="364"/>
        </w:trPr>
        <w:tc>
          <w:tcPr>
            <w:tcW w:w="0" w:type="auto"/>
            <w:vMerge/>
            <w:shd w:val="clear" w:color="auto" w:fill="auto"/>
            <w:vAlign w:val="center"/>
          </w:tcPr>
          <w:p w14:paraId="4B83ACAE" w14:textId="77777777" w:rsidR="00CD6752" w:rsidRPr="00DD47DF" w:rsidRDefault="00CD6752" w:rsidP="006D2F5F">
            <w:pPr>
              <w:pStyle w:val="Tabulka"/>
              <w:rPr>
                <w:rFonts w:cs="Calibri"/>
                <w:b/>
                <w:szCs w:val="24"/>
              </w:rPr>
            </w:pPr>
          </w:p>
        </w:tc>
        <w:tc>
          <w:tcPr>
            <w:tcW w:w="0" w:type="auto"/>
            <w:shd w:val="clear" w:color="auto" w:fill="auto"/>
            <w:vAlign w:val="center"/>
          </w:tcPr>
          <w:p w14:paraId="15846BAD" w14:textId="77777777" w:rsidR="00CD6752" w:rsidRPr="00DD47DF" w:rsidRDefault="00CD6752" w:rsidP="006D2F5F">
            <w:pPr>
              <w:pStyle w:val="Odstavecseseznamem"/>
              <w:spacing w:before="80" w:after="80"/>
              <w:ind w:left="0"/>
              <w:contextualSpacing w:val="0"/>
              <w:rPr>
                <w:bCs/>
                <w:sz w:val="22"/>
                <w:szCs w:val="22"/>
              </w:rPr>
            </w:pPr>
            <w:r w:rsidRPr="00DD47DF">
              <w:rPr>
                <w:bCs/>
                <w:sz w:val="22"/>
                <w:szCs w:val="22"/>
              </w:rPr>
              <w:t>Účinný systém ukazatelů výsledků, včetně:</w:t>
            </w:r>
          </w:p>
          <w:p w14:paraId="142384DF" w14:textId="77777777" w:rsidR="00CD6752" w:rsidRPr="00DD47DF" w:rsidRDefault="00CD6752" w:rsidP="006D2F5F">
            <w:pPr>
              <w:pStyle w:val="Tabulka"/>
              <w:jc w:val="left"/>
              <w:rPr>
                <w:rFonts w:cs="Calibri"/>
              </w:rPr>
            </w:pPr>
            <w:r w:rsidRPr="00DD47DF">
              <w:rPr>
                <w:bCs/>
              </w:rPr>
              <w:t xml:space="preserve">vytyčení cílů pro tyto </w:t>
            </w:r>
            <w:r w:rsidRPr="00DD47DF">
              <w:rPr>
                <w:bCs/>
              </w:rPr>
              <w:lastRenderedPageBreak/>
              <w:t>ukazatele</w:t>
            </w:r>
          </w:p>
        </w:tc>
        <w:tc>
          <w:tcPr>
            <w:tcW w:w="0" w:type="auto"/>
            <w:shd w:val="clear" w:color="auto" w:fill="auto"/>
          </w:tcPr>
          <w:p w14:paraId="31AD1B41"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lastRenderedPageBreak/>
              <w:t>Schválení programů</w:t>
            </w:r>
          </w:p>
        </w:tc>
        <w:tc>
          <w:tcPr>
            <w:tcW w:w="1984" w:type="dxa"/>
            <w:shd w:val="clear" w:color="auto" w:fill="auto"/>
          </w:tcPr>
          <w:p w14:paraId="58FB67F3" w14:textId="77777777" w:rsidR="00CD6752" w:rsidRPr="00DD47DF" w:rsidRDefault="00CD6752" w:rsidP="008A5AA0">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31.10.2015</w:t>
            </w:r>
          </w:p>
        </w:tc>
        <w:tc>
          <w:tcPr>
            <w:tcW w:w="2617" w:type="dxa"/>
            <w:shd w:val="clear" w:color="auto" w:fill="auto"/>
          </w:tcPr>
          <w:p w14:paraId="3FCFBF3A"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 Úřad vlády, EK</w:t>
            </w:r>
          </w:p>
        </w:tc>
      </w:tr>
      <w:tr w:rsidR="00CD6752" w:rsidRPr="00DD47DF" w14:paraId="03FB5877" w14:textId="77777777" w:rsidTr="008A20D2">
        <w:trPr>
          <w:trHeight w:val="424"/>
        </w:trPr>
        <w:tc>
          <w:tcPr>
            <w:tcW w:w="0" w:type="auto"/>
            <w:vMerge/>
            <w:shd w:val="clear" w:color="auto" w:fill="auto"/>
          </w:tcPr>
          <w:p w14:paraId="1EB31FEC" w14:textId="77777777" w:rsidR="00CD6752" w:rsidRPr="00DD47DF" w:rsidRDefault="00CD6752" w:rsidP="006D2F5F">
            <w:pPr>
              <w:spacing w:before="80" w:after="80"/>
              <w:rPr>
                <w:rFonts w:cs="Calibri"/>
                <w:b/>
              </w:rPr>
            </w:pPr>
          </w:p>
        </w:tc>
        <w:tc>
          <w:tcPr>
            <w:tcW w:w="0" w:type="auto"/>
            <w:shd w:val="clear" w:color="auto" w:fill="auto"/>
          </w:tcPr>
          <w:p w14:paraId="58DC72C8" w14:textId="77777777" w:rsidR="00CD6752" w:rsidRPr="00DD47DF" w:rsidRDefault="00CD6752" w:rsidP="006D2F5F">
            <w:pPr>
              <w:pStyle w:val="Odstavecseseznamem"/>
              <w:spacing w:before="80" w:after="80"/>
              <w:ind w:left="0"/>
              <w:contextualSpacing w:val="0"/>
              <w:rPr>
                <w:color w:val="000000"/>
                <w:sz w:val="22"/>
                <w:szCs w:val="22"/>
              </w:rPr>
            </w:pPr>
            <w:r w:rsidRPr="00DD47DF">
              <w:rPr>
                <w:color w:val="000000"/>
                <w:sz w:val="22"/>
                <w:szCs w:val="22"/>
              </w:rPr>
              <w:t>Účinný systém ukazatelů výsledků, včetně:</w:t>
            </w:r>
          </w:p>
          <w:p w14:paraId="1C2C3887" w14:textId="77777777" w:rsidR="00CD6752" w:rsidRPr="00DD47DF" w:rsidRDefault="00CD6752" w:rsidP="00F91E8F">
            <w:pPr>
              <w:pStyle w:val="Tabulka"/>
              <w:numPr>
                <w:ilvl w:val="0"/>
                <w:numId w:val="92"/>
              </w:numPr>
              <w:jc w:val="left"/>
              <w:rPr>
                <w:rFonts w:cs="Calibri"/>
              </w:rPr>
            </w:pPr>
            <w:r w:rsidRPr="00DD47DF">
              <w:rPr>
                <w:color w:val="000000"/>
              </w:rPr>
              <w:t>musí být zajištěn soulad každého ukazatele s těmito podmínkami: robustností a statistickou validací, jasným normativním výkladem, souladem se strategiemi, včasným sběrem údajů,</w:t>
            </w:r>
          </w:p>
        </w:tc>
        <w:tc>
          <w:tcPr>
            <w:tcW w:w="0" w:type="auto"/>
            <w:shd w:val="clear" w:color="auto" w:fill="auto"/>
          </w:tcPr>
          <w:p w14:paraId="67814CA9"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Nastavení spolupráce s ČSÚ pro pravidelné dodávání potřebných statistických dat.</w:t>
            </w:r>
          </w:p>
          <w:p w14:paraId="6666E362"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Dopracování monitorovacího systému zajišťující sběr a agregaci dat z operací (MS2014+).</w:t>
            </w:r>
          </w:p>
          <w:p w14:paraId="142E0756" w14:textId="77777777" w:rsidR="00CD6752" w:rsidRPr="00DD47DF" w:rsidRDefault="00CD6752" w:rsidP="006D2F5F">
            <w:pPr>
              <w:pStyle w:val="DAVA"/>
              <w:spacing w:before="0"/>
              <w:rPr>
                <w:rFonts w:ascii="Times New Roman" w:hAnsi="Times New Roman"/>
                <w:sz w:val="22"/>
                <w:szCs w:val="22"/>
                <w:lang w:eastAsia="cs-CZ"/>
              </w:rPr>
            </w:pPr>
            <w:r w:rsidRPr="00DD47DF">
              <w:rPr>
                <w:rFonts w:ascii="Times New Roman" w:hAnsi="Times New Roman"/>
                <w:sz w:val="22"/>
                <w:szCs w:val="22"/>
                <w:lang w:eastAsia="cs-CZ"/>
              </w:rPr>
              <w:t>Ve spolupráci s ŘO OPZ připravit technické řešení sběru údajů o účastnících intervencí tzv. IS ESF2014+, které bude zajišťovat automatické provazby na vybrané datové zdroje České správy sociálního zabezpečení a Úřadu práce, které jsou nezbytné pro vyhodnocení úspěšnosti ESF intervencí.</w:t>
            </w:r>
          </w:p>
        </w:tc>
        <w:tc>
          <w:tcPr>
            <w:tcW w:w="1984" w:type="dxa"/>
            <w:shd w:val="clear" w:color="auto" w:fill="auto"/>
          </w:tcPr>
          <w:p w14:paraId="44DC34D3" w14:textId="77777777" w:rsidR="00CD6752" w:rsidRPr="00DD47DF" w:rsidRDefault="00CD6752" w:rsidP="008A5AA0">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31.3.2016</w:t>
            </w:r>
          </w:p>
        </w:tc>
        <w:tc>
          <w:tcPr>
            <w:tcW w:w="2617" w:type="dxa"/>
            <w:shd w:val="clear" w:color="auto" w:fill="auto"/>
          </w:tcPr>
          <w:p w14:paraId="4EE36089"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 ČSÚ, ČSSZ, ÚP</w:t>
            </w:r>
          </w:p>
        </w:tc>
      </w:tr>
      <w:tr w:rsidR="00CD6752" w:rsidRPr="00DD47DF" w14:paraId="3E701FAA" w14:textId="77777777" w:rsidTr="008A20D2">
        <w:trPr>
          <w:trHeight w:val="424"/>
        </w:trPr>
        <w:tc>
          <w:tcPr>
            <w:tcW w:w="0" w:type="auto"/>
            <w:vMerge/>
            <w:shd w:val="clear" w:color="auto" w:fill="auto"/>
            <w:vAlign w:val="center"/>
          </w:tcPr>
          <w:p w14:paraId="5C7D87E6" w14:textId="77777777" w:rsidR="00CD6752" w:rsidRPr="00DD47DF" w:rsidRDefault="00CD6752" w:rsidP="006D2F5F">
            <w:pPr>
              <w:pStyle w:val="Tabulka"/>
              <w:rPr>
                <w:rFonts w:cs="Calibri"/>
                <w:b/>
                <w:szCs w:val="24"/>
              </w:rPr>
            </w:pPr>
          </w:p>
        </w:tc>
        <w:tc>
          <w:tcPr>
            <w:tcW w:w="0" w:type="auto"/>
            <w:shd w:val="clear" w:color="auto" w:fill="auto"/>
          </w:tcPr>
          <w:p w14:paraId="56D36502" w14:textId="77777777" w:rsidR="00CD6752" w:rsidRPr="00DD47DF" w:rsidRDefault="00CD6752" w:rsidP="006D2F5F">
            <w:pPr>
              <w:pStyle w:val="Odstavecseseznamem"/>
              <w:spacing w:before="80" w:after="80"/>
              <w:ind w:left="0"/>
              <w:contextualSpacing w:val="0"/>
              <w:rPr>
                <w:bCs/>
                <w:sz w:val="22"/>
                <w:szCs w:val="22"/>
              </w:rPr>
            </w:pPr>
            <w:r w:rsidRPr="00DD47DF">
              <w:rPr>
                <w:bCs/>
                <w:sz w:val="22"/>
                <w:szCs w:val="22"/>
              </w:rPr>
              <w:t>Postupy zajišťující, aby všechny operace financované z programu používaly účinný systém ukazatelů</w:t>
            </w:r>
          </w:p>
        </w:tc>
        <w:tc>
          <w:tcPr>
            <w:tcW w:w="0" w:type="auto"/>
            <w:shd w:val="clear" w:color="auto" w:fill="auto"/>
          </w:tcPr>
          <w:p w14:paraId="06D6F17F" w14:textId="77777777" w:rsidR="00CD6752" w:rsidRPr="00DD47DF" w:rsidRDefault="00CD6752" w:rsidP="00CE43D2">
            <w:pPr>
              <w:pStyle w:val="DAVA"/>
              <w:spacing w:before="0"/>
              <w:rPr>
                <w:szCs w:val="22"/>
              </w:rPr>
            </w:pPr>
            <w:r w:rsidRPr="00DD47DF">
              <w:rPr>
                <w:rFonts w:ascii="Times New Roman" w:hAnsi="Times New Roman"/>
                <w:sz w:val="22"/>
                <w:szCs w:val="22"/>
                <w:lang w:eastAsia="cs-CZ"/>
              </w:rPr>
              <w:t>Příprava programové dokumentace (příručky pro žadatele a příjemce), které budou reflektovat jich schválená závazná metodická pravidla.</w:t>
            </w:r>
          </w:p>
        </w:tc>
        <w:tc>
          <w:tcPr>
            <w:tcW w:w="1984" w:type="dxa"/>
            <w:shd w:val="clear" w:color="auto" w:fill="auto"/>
          </w:tcPr>
          <w:p w14:paraId="7EFB3A99"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rPr>
              <w:t>31.10. 2015</w:t>
            </w:r>
          </w:p>
        </w:tc>
        <w:tc>
          <w:tcPr>
            <w:tcW w:w="2617" w:type="dxa"/>
            <w:shd w:val="clear" w:color="auto" w:fill="auto"/>
          </w:tcPr>
          <w:p w14:paraId="0703F8E5" w14:textId="77777777" w:rsidR="00CD6752" w:rsidRPr="00DD47DF" w:rsidRDefault="00CD6752" w:rsidP="006D2F5F">
            <w:pPr>
              <w:pStyle w:val="DAVA"/>
              <w:spacing w:before="80" w:after="80"/>
              <w:rPr>
                <w:rFonts w:ascii="Times New Roman" w:hAnsi="Times New Roman"/>
                <w:sz w:val="22"/>
                <w:szCs w:val="22"/>
                <w:lang w:eastAsia="cs-CZ"/>
              </w:rPr>
            </w:pPr>
            <w:r w:rsidRPr="00DD47DF">
              <w:rPr>
                <w:rFonts w:ascii="Times New Roman" w:hAnsi="Times New Roman"/>
                <w:sz w:val="22"/>
                <w:szCs w:val="22"/>
                <w:lang w:eastAsia="cs-CZ"/>
              </w:rPr>
              <w:t>MMR, ŘO</w:t>
            </w:r>
          </w:p>
        </w:tc>
      </w:tr>
    </w:tbl>
    <w:p w14:paraId="6E7B989E" w14:textId="77777777" w:rsidR="00790A0D" w:rsidRPr="00DD47DF" w:rsidRDefault="00790A0D" w:rsidP="00790A0D"/>
    <w:p w14:paraId="169AD9C4" w14:textId="77777777" w:rsidR="007E3732" w:rsidRPr="00DD47DF" w:rsidRDefault="007E3732" w:rsidP="00EE7B37">
      <w:pPr>
        <w:pStyle w:val="Titulek"/>
        <w:keepNext/>
        <w:keepLines/>
      </w:pPr>
      <w:r w:rsidRPr="00DD47DF">
        <w:lastRenderedPageBreak/>
        <w:t xml:space="preserve">Tabulka </w:t>
      </w:r>
      <w:r w:rsidR="002756E7" w:rsidRPr="00DD47DF">
        <w:fldChar w:fldCharType="begin"/>
      </w:r>
      <w:r w:rsidR="000E35F2" w:rsidRPr="00DD47DF">
        <w:instrText xml:space="preserve"> SEQ Tabulka \* ARABIC </w:instrText>
      </w:r>
      <w:r w:rsidR="002756E7" w:rsidRPr="00DD47DF">
        <w:fldChar w:fldCharType="separate"/>
      </w:r>
      <w:r w:rsidR="00117847">
        <w:rPr>
          <w:noProof/>
        </w:rPr>
        <w:t>26</w:t>
      </w:r>
      <w:r w:rsidR="002756E7" w:rsidRPr="00DD47DF">
        <w:rPr>
          <w:noProof/>
        </w:rPr>
        <w:fldChar w:fldCharType="end"/>
      </w:r>
      <w:r w:rsidRPr="00DD47DF">
        <w:t xml:space="preserve">: </w:t>
      </w:r>
      <w:r w:rsidR="00AE778E" w:rsidRPr="00DD47DF">
        <w:t>Opatření, která je třeba přijmout, aby byly splněny tematické předběžné podmínky</w:t>
      </w:r>
    </w:p>
    <w:tbl>
      <w:tblPr>
        <w:tblW w:w="0" w:type="auto"/>
        <w:tblInd w:w="-72" w:type="dxa"/>
        <w:tblCellMar>
          <w:left w:w="70" w:type="dxa"/>
          <w:right w:w="70" w:type="dxa"/>
        </w:tblCellMar>
        <w:tblLook w:val="04A0" w:firstRow="1" w:lastRow="0" w:firstColumn="1" w:lastColumn="0" w:noHBand="0" w:noVBand="1"/>
      </w:tblPr>
      <w:tblGrid>
        <w:gridCol w:w="2419"/>
        <w:gridCol w:w="1550"/>
        <w:gridCol w:w="6946"/>
        <w:gridCol w:w="1801"/>
        <w:gridCol w:w="1640"/>
      </w:tblGrid>
      <w:tr w:rsidR="006D2F5F" w:rsidRPr="00DD47DF" w14:paraId="0E1A3ECA" w14:textId="77777777" w:rsidTr="00437632">
        <w:trPr>
          <w:trHeight w:val="915"/>
        </w:trPr>
        <w:tc>
          <w:tcPr>
            <w:tcW w:w="0" w:type="auto"/>
            <w:tcBorders>
              <w:top w:val="single" w:sz="8" w:space="0" w:color="auto"/>
              <w:left w:val="single" w:sz="8" w:space="0" w:color="auto"/>
              <w:bottom w:val="single" w:sz="8" w:space="0" w:color="auto"/>
              <w:right w:val="single" w:sz="4" w:space="0" w:color="auto"/>
            </w:tcBorders>
            <w:shd w:val="clear" w:color="auto" w:fill="B8CCE4"/>
            <w:vAlign w:val="center"/>
          </w:tcPr>
          <w:p w14:paraId="4DA0EB20" w14:textId="77777777" w:rsidR="006D2F5F" w:rsidRPr="00DD47DF" w:rsidRDefault="006D2F5F" w:rsidP="006D2F5F">
            <w:pPr>
              <w:pStyle w:val="Tabulka"/>
              <w:keepNext/>
              <w:keepLines/>
              <w:rPr>
                <w:rFonts w:cs="Calibri"/>
              </w:rPr>
            </w:pPr>
            <w:r w:rsidRPr="00DD47DF">
              <w:rPr>
                <w:rFonts w:cs="Calibri"/>
              </w:rPr>
              <w:t>Tematické předběžné podmínky</w:t>
            </w:r>
          </w:p>
        </w:tc>
        <w:tc>
          <w:tcPr>
            <w:tcW w:w="0" w:type="auto"/>
            <w:tcBorders>
              <w:top w:val="single" w:sz="8" w:space="0" w:color="auto"/>
              <w:left w:val="single" w:sz="4" w:space="0" w:color="auto"/>
              <w:bottom w:val="single" w:sz="8" w:space="0" w:color="auto"/>
              <w:right w:val="double" w:sz="6" w:space="0" w:color="auto"/>
            </w:tcBorders>
            <w:shd w:val="clear" w:color="auto" w:fill="B8CCE4"/>
            <w:vAlign w:val="center"/>
          </w:tcPr>
          <w:p w14:paraId="316909EF" w14:textId="77777777" w:rsidR="006D2F5F" w:rsidRPr="00DD47DF" w:rsidRDefault="006D2F5F" w:rsidP="006D2F5F">
            <w:pPr>
              <w:pStyle w:val="Tabulka"/>
              <w:keepNext/>
              <w:keepLines/>
              <w:rPr>
                <w:rFonts w:cs="Calibri"/>
              </w:rPr>
            </w:pPr>
            <w:r w:rsidRPr="00DD47DF">
              <w:rPr>
                <w:rFonts w:cs="Calibri"/>
              </w:rPr>
              <w:t>Nesplněná kritéria</w:t>
            </w:r>
          </w:p>
        </w:tc>
        <w:tc>
          <w:tcPr>
            <w:tcW w:w="6946" w:type="dxa"/>
            <w:tcBorders>
              <w:top w:val="single" w:sz="8" w:space="0" w:color="auto"/>
              <w:left w:val="nil"/>
              <w:bottom w:val="single" w:sz="8" w:space="0" w:color="auto"/>
              <w:right w:val="double" w:sz="6" w:space="0" w:color="auto"/>
            </w:tcBorders>
            <w:shd w:val="clear" w:color="auto" w:fill="B8CCE4"/>
            <w:vAlign w:val="center"/>
          </w:tcPr>
          <w:p w14:paraId="25AEF177" w14:textId="77777777" w:rsidR="006D2F5F" w:rsidRPr="00DD47DF" w:rsidRDefault="006D2F5F" w:rsidP="006D2F5F">
            <w:pPr>
              <w:pStyle w:val="Tabulka"/>
              <w:keepNext/>
              <w:keepLines/>
              <w:rPr>
                <w:rFonts w:cs="Calibri"/>
              </w:rPr>
            </w:pPr>
            <w:r w:rsidRPr="00DD47DF">
              <w:rPr>
                <w:rFonts w:cs="Calibri"/>
              </w:rPr>
              <w:t>Opatření, která je třeba přijmout</w:t>
            </w:r>
            <w:r w:rsidRPr="00DD47DF">
              <w:rPr>
                <w:rStyle w:val="Znakapoznpodarou"/>
                <w:rFonts w:cs="Calibri"/>
              </w:rPr>
              <w:footnoteReference w:id="103"/>
            </w:r>
          </w:p>
        </w:tc>
        <w:tc>
          <w:tcPr>
            <w:tcW w:w="1801" w:type="dxa"/>
            <w:tcBorders>
              <w:top w:val="single" w:sz="8" w:space="0" w:color="auto"/>
              <w:left w:val="nil"/>
              <w:bottom w:val="single" w:sz="8" w:space="0" w:color="auto"/>
              <w:right w:val="double" w:sz="6" w:space="0" w:color="auto"/>
            </w:tcBorders>
            <w:shd w:val="clear" w:color="auto" w:fill="B8CCE4"/>
            <w:vAlign w:val="center"/>
          </w:tcPr>
          <w:p w14:paraId="43721B53" w14:textId="77777777" w:rsidR="006D2F5F" w:rsidRPr="00DD47DF" w:rsidRDefault="006D2F5F" w:rsidP="006D2F5F">
            <w:pPr>
              <w:pStyle w:val="Tabulka"/>
              <w:keepNext/>
              <w:keepLines/>
              <w:rPr>
                <w:rFonts w:cs="Calibri"/>
              </w:rPr>
            </w:pPr>
            <w:r w:rsidRPr="00DD47DF">
              <w:rPr>
                <w:rFonts w:cs="Calibri"/>
              </w:rPr>
              <w:t>Lhůta (datum)</w:t>
            </w:r>
          </w:p>
        </w:tc>
        <w:tc>
          <w:tcPr>
            <w:tcW w:w="0" w:type="auto"/>
            <w:tcBorders>
              <w:top w:val="single" w:sz="8" w:space="0" w:color="auto"/>
              <w:left w:val="nil"/>
              <w:bottom w:val="single" w:sz="8" w:space="0" w:color="auto"/>
              <w:right w:val="single" w:sz="8" w:space="0" w:color="auto"/>
            </w:tcBorders>
            <w:shd w:val="clear" w:color="auto" w:fill="B8CCE4"/>
            <w:vAlign w:val="center"/>
          </w:tcPr>
          <w:p w14:paraId="0B8F28BB" w14:textId="77777777" w:rsidR="006D2F5F" w:rsidRPr="00DD47DF" w:rsidRDefault="006D2F5F" w:rsidP="006D2F5F">
            <w:pPr>
              <w:pStyle w:val="Tabulka"/>
              <w:keepNext/>
              <w:keepLines/>
              <w:rPr>
                <w:rFonts w:cs="Calibri"/>
              </w:rPr>
            </w:pPr>
            <w:r w:rsidRPr="00DD47DF">
              <w:rPr>
                <w:rFonts w:cs="Calibri"/>
              </w:rPr>
              <w:t>Subjekty odpovědné za plnění</w:t>
            </w:r>
          </w:p>
        </w:tc>
      </w:tr>
      <w:tr w:rsidR="00DD47DF" w:rsidRPr="00DD47DF" w14:paraId="69034EB6" w14:textId="77777777" w:rsidTr="00DD47DF">
        <w:trPr>
          <w:trHeight w:val="2991"/>
        </w:trPr>
        <w:tc>
          <w:tcPr>
            <w:tcW w:w="0" w:type="auto"/>
            <w:vMerge w:val="restart"/>
            <w:tcBorders>
              <w:top w:val="nil"/>
              <w:left w:val="single" w:sz="8" w:space="0" w:color="auto"/>
              <w:bottom w:val="single" w:sz="4" w:space="0" w:color="000000"/>
              <w:right w:val="single" w:sz="4" w:space="0" w:color="auto"/>
            </w:tcBorders>
            <w:shd w:val="clear" w:color="auto" w:fill="auto"/>
          </w:tcPr>
          <w:p w14:paraId="1FE78F58" w14:textId="77777777" w:rsidR="00DD47DF" w:rsidRPr="00DD47DF" w:rsidRDefault="00DD47DF" w:rsidP="006D2F5F">
            <w:pPr>
              <w:pStyle w:val="Tabulka"/>
              <w:jc w:val="left"/>
              <w:rPr>
                <w:rFonts w:cs="Calibri"/>
                <w:b/>
              </w:rPr>
            </w:pPr>
            <w:r w:rsidRPr="00DD47DF">
              <w:rPr>
                <w:rFonts w:cs="Calibri"/>
                <w:b/>
              </w:rPr>
              <w:t xml:space="preserve">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 </w:t>
            </w:r>
          </w:p>
          <w:p w14:paraId="1172F325" w14:textId="77777777" w:rsidR="00DD47DF" w:rsidRPr="00DD47DF" w:rsidRDefault="00DD47DF" w:rsidP="006D2F5F">
            <w:pPr>
              <w:pStyle w:val="Tabulka"/>
              <w:jc w:val="left"/>
              <w:rPr>
                <w:rFonts w:cs="Calibri"/>
                <w:b/>
              </w:rPr>
            </w:pPr>
          </w:p>
        </w:tc>
        <w:tc>
          <w:tcPr>
            <w:tcW w:w="0" w:type="auto"/>
            <w:tcBorders>
              <w:top w:val="nil"/>
              <w:left w:val="nil"/>
              <w:bottom w:val="single" w:sz="4" w:space="0" w:color="auto"/>
              <w:right w:val="single" w:sz="4" w:space="0" w:color="auto"/>
            </w:tcBorders>
            <w:shd w:val="clear" w:color="auto" w:fill="auto"/>
          </w:tcPr>
          <w:p w14:paraId="01E6938F" w14:textId="77777777" w:rsidR="00DD47DF" w:rsidRPr="00DD47DF" w:rsidRDefault="00DD47DF" w:rsidP="006D2F5F">
            <w:pPr>
              <w:pStyle w:val="Tabulka"/>
              <w:jc w:val="left"/>
              <w:rPr>
                <w:rFonts w:cs="Calibri"/>
              </w:rPr>
            </w:pPr>
            <w:r w:rsidRPr="00DD47DF">
              <w:rPr>
                <w:rFonts w:cs="Calibri"/>
              </w:rPr>
              <w:t>Je k dispozici vnitrostátní nebo regionální Strategie pro inteligentní specializaci, která:</w:t>
            </w:r>
          </w:p>
          <w:p w14:paraId="05B78282" w14:textId="77777777" w:rsidR="00DD47DF" w:rsidRPr="00DD47DF" w:rsidRDefault="00DD47DF" w:rsidP="006D2F5F">
            <w:pPr>
              <w:pStyle w:val="Tabulka"/>
              <w:jc w:val="left"/>
              <w:rPr>
                <w:rFonts w:cs="Calibri"/>
              </w:rPr>
            </w:pPr>
            <w:r w:rsidRPr="00DD47DF">
              <w:rPr>
                <w:rFonts w:cs="Calibri"/>
              </w:rPr>
              <w:t>• obsahuje mechanismus sledování</w:t>
            </w:r>
          </w:p>
        </w:tc>
        <w:tc>
          <w:tcPr>
            <w:tcW w:w="6946" w:type="dxa"/>
            <w:tcBorders>
              <w:top w:val="nil"/>
              <w:left w:val="double" w:sz="6" w:space="0" w:color="auto"/>
              <w:bottom w:val="single" w:sz="4" w:space="0" w:color="auto"/>
              <w:right w:val="double" w:sz="6" w:space="0" w:color="auto"/>
            </w:tcBorders>
            <w:shd w:val="clear" w:color="auto" w:fill="auto"/>
          </w:tcPr>
          <w:p w14:paraId="6C16797C" w14:textId="77777777" w:rsidR="00DD47DF" w:rsidRPr="00DD47DF" w:rsidRDefault="00DD47DF" w:rsidP="00C85543">
            <w:pPr>
              <w:pStyle w:val="DAVA"/>
              <w:spacing w:before="0" w:after="120" w:line="276" w:lineRule="auto"/>
              <w:rPr>
                <w:rFonts w:ascii="Times New Roman" w:hAnsi="Times New Roman"/>
                <w:sz w:val="22"/>
                <w:szCs w:val="22"/>
              </w:rPr>
            </w:pPr>
            <w:r w:rsidRPr="00DD47DF">
              <w:rPr>
                <w:rFonts w:ascii="Times New Roman" w:hAnsi="Times New Roman"/>
                <w:sz w:val="22"/>
                <w:szCs w:val="22"/>
              </w:rPr>
              <w:t>Dle vyjádření EK ze dne 12.12.2014 kritérium nesplněno dostatečně.</w:t>
            </w:r>
          </w:p>
          <w:p w14:paraId="353F8D17" w14:textId="77777777" w:rsidR="00DD47DF" w:rsidRPr="00DD47DF" w:rsidRDefault="00DD47DF" w:rsidP="00C85543">
            <w:pPr>
              <w:pStyle w:val="Tabulka"/>
              <w:jc w:val="left"/>
            </w:pPr>
            <w:r w:rsidRPr="00DD47DF">
              <w:t>Monitorování Národní RIS3 strategie je rozpracováno v subkapitole 7.2 textu Národní RIS3, s důrazem na monitorovací zprávy a roli jednotlivých orgánů při jejich zpracování a na získávání vstupů pro monitorování z úrovně operačních programů a orgánů zodpovědných za implementaci národních podpůrných nástrojů. Metodika monitorování bude na základě požadavku EK dopracována popisem role krajských subjektů při monitorování intervencí RIS3, které jsou realizovány z krajské úrovně jako součást intervencí navržených v krajských přílohách Národní RIS3. Dále bude také dopracován a aktualizován návrh monitorovacích indikátorů Národní RIS3.</w:t>
            </w:r>
          </w:p>
        </w:tc>
        <w:tc>
          <w:tcPr>
            <w:tcW w:w="1801" w:type="dxa"/>
            <w:tcBorders>
              <w:top w:val="nil"/>
              <w:left w:val="nil"/>
              <w:bottom w:val="single" w:sz="4" w:space="0" w:color="auto"/>
              <w:right w:val="double" w:sz="6" w:space="0" w:color="auto"/>
            </w:tcBorders>
            <w:shd w:val="clear" w:color="auto" w:fill="auto"/>
          </w:tcPr>
          <w:p w14:paraId="62146A12" w14:textId="77777777" w:rsidR="00DD47DF" w:rsidRPr="00DD47DF" w:rsidRDefault="00DD47DF" w:rsidP="006D2F5F">
            <w:pPr>
              <w:pStyle w:val="Tabulka"/>
              <w:jc w:val="left"/>
              <w:rPr>
                <w:rFonts w:cs="Calibri"/>
              </w:rPr>
            </w:pPr>
            <w:r w:rsidRPr="00DD47DF">
              <w:rPr>
                <w:rFonts w:cs="Calibri"/>
              </w:rPr>
              <w:t>30.4.2015</w:t>
            </w:r>
          </w:p>
        </w:tc>
        <w:tc>
          <w:tcPr>
            <w:tcW w:w="0" w:type="auto"/>
            <w:tcBorders>
              <w:top w:val="nil"/>
              <w:left w:val="nil"/>
              <w:bottom w:val="single" w:sz="4" w:space="0" w:color="auto"/>
              <w:right w:val="single" w:sz="8" w:space="0" w:color="auto"/>
            </w:tcBorders>
            <w:shd w:val="clear" w:color="auto" w:fill="auto"/>
          </w:tcPr>
          <w:p w14:paraId="44360FA7" w14:textId="77777777" w:rsidR="00DD47DF" w:rsidRPr="00DD47DF" w:rsidRDefault="00DD47DF" w:rsidP="00DD47DF">
            <w:pPr>
              <w:pStyle w:val="Tabulka"/>
              <w:jc w:val="left"/>
              <w:rPr>
                <w:rFonts w:cs="Calibri"/>
              </w:rPr>
            </w:pPr>
            <w:r w:rsidRPr="00DD47DF">
              <w:t>Do 8. 12. 2014 MŠMT. Po tomto datu přebral agendu Úřad vlády (místopředseda vlády pro vědu, výzkum a inovace)</w:t>
            </w:r>
          </w:p>
        </w:tc>
      </w:tr>
      <w:tr w:rsidR="006D2F5F" w:rsidRPr="00DD47DF" w14:paraId="4D15A9BB" w14:textId="77777777" w:rsidTr="00DD47DF">
        <w:trPr>
          <w:trHeight w:val="765"/>
        </w:trPr>
        <w:tc>
          <w:tcPr>
            <w:tcW w:w="0" w:type="auto"/>
            <w:vMerge/>
            <w:tcBorders>
              <w:top w:val="nil"/>
              <w:left w:val="single" w:sz="8" w:space="0" w:color="auto"/>
              <w:bottom w:val="single" w:sz="4" w:space="0" w:color="auto"/>
              <w:right w:val="single" w:sz="4" w:space="0" w:color="auto"/>
            </w:tcBorders>
            <w:shd w:val="clear" w:color="auto" w:fill="auto"/>
          </w:tcPr>
          <w:p w14:paraId="3EEF7C2D" w14:textId="77777777" w:rsidR="006D2F5F" w:rsidRPr="00DD47DF" w:rsidRDefault="006D2F5F" w:rsidP="006D2F5F">
            <w:pPr>
              <w:pStyle w:val="Tabulka"/>
              <w:jc w:val="left"/>
              <w:rPr>
                <w:rFonts w:cs="Calibri"/>
                <w:b/>
              </w:rPr>
            </w:pPr>
          </w:p>
        </w:tc>
        <w:tc>
          <w:tcPr>
            <w:tcW w:w="0" w:type="auto"/>
            <w:tcBorders>
              <w:top w:val="single" w:sz="4" w:space="0" w:color="auto"/>
              <w:left w:val="nil"/>
              <w:bottom w:val="single" w:sz="4" w:space="0" w:color="auto"/>
              <w:right w:val="single" w:sz="4" w:space="0" w:color="auto"/>
            </w:tcBorders>
            <w:shd w:val="clear" w:color="auto" w:fill="auto"/>
          </w:tcPr>
          <w:p w14:paraId="047B9EF2" w14:textId="77777777" w:rsidR="006D2F5F" w:rsidRPr="00DD47DF" w:rsidRDefault="006D2F5F" w:rsidP="006D2F5F">
            <w:pPr>
              <w:pStyle w:val="Tabulka"/>
              <w:jc w:val="left"/>
              <w:rPr>
                <w:rFonts w:cs="Calibri"/>
              </w:rPr>
            </w:pPr>
            <w:r w:rsidRPr="00DD47DF">
              <w:rPr>
                <w:rFonts w:cs="Calibri"/>
              </w:rPr>
              <w:t>Byl přijat rámec, který vymezuje dostupné rozpočtové zdroje pro výzkum a inovace.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158D602A" w14:textId="77777777" w:rsidR="00C85543" w:rsidRPr="00DD47DF" w:rsidRDefault="00C85543" w:rsidP="00C85543">
            <w:pPr>
              <w:spacing w:line="280" w:lineRule="exact"/>
              <w:jc w:val="both"/>
              <w:rPr>
                <w:sz w:val="22"/>
                <w:szCs w:val="22"/>
              </w:rPr>
            </w:pPr>
            <w:r w:rsidRPr="00DD47DF">
              <w:rPr>
                <w:sz w:val="22"/>
                <w:szCs w:val="22"/>
              </w:rPr>
              <w:t xml:space="preserve">Dle vyjádření EK ze dne 12.12.2014 kritérium nesplněno dostatečně. </w:t>
            </w:r>
          </w:p>
          <w:p w14:paraId="6BAEF236" w14:textId="77777777" w:rsidR="006D2F5F" w:rsidRPr="00DD47DF" w:rsidRDefault="00C85543" w:rsidP="00C85543">
            <w:pPr>
              <w:pStyle w:val="Tabulka"/>
              <w:jc w:val="left"/>
              <w:rPr>
                <w:rFonts w:cs="Calibri"/>
              </w:rPr>
            </w:pPr>
            <w:r w:rsidRPr="00DD47DF">
              <w:t>Obecný rámec pro vymezení dostupných rozpočtových zdrojů a priorit pro financování VaVaI obsahuje NP VaVaI (a její Aktualizace).). Z ní vychází principy pro přípravu rozpočtu na VaVaI a následně vlastní návrh a střednědobý výhled rozpočtu na VaVaI, zpracovávaný Radou pro výzkum, vývoj a inovace.  V průběhu roku 2015 bude na základě připomínky EK Úřadem vlády provedena revize zdrojů veřejných rozpočtů na podporu VaVaI (národních i krajských) tak, aby bylo možno diferencovat zdroje určené na implementaci RIS3 a zdroje ostatní</w:t>
            </w:r>
            <w:r w:rsidR="001315A2" w:rsidRPr="00DD47DF">
              <w:t xml:space="preserve"> (s termínem březen 2015 u krajských zdrojů na rok 2015, a termínem září 2015 u zdrojů národních na rok 2015 s výhledem na roky 2016-17).</w:t>
            </w:r>
          </w:p>
        </w:tc>
        <w:tc>
          <w:tcPr>
            <w:tcW w:w="1801" w:type="dxa"/>
            <w:tcBorders>
              <w:top w:val="single" w:sz="4" w:space="0" w:color="auto"/>
              <w:left w:val="nil"/>
              <w:bottom w:val="single" w:sz="4" w:space="0" w:color="auto"/>
              <w:right w:val="double" w:sz="6" w:space="0" w:color="auto"/>
            </w:tcBorders>
            <w:shd w:val="clear" w:color="auto" w:fill="auto"/>
          </w:tcPr>
          <w:p w14:paraId="318F0258" w14:textId="77777777" w:rsidR="006D2F5F" w:rsidRPr="00DD47DF" w:rsidRDefault="00C85543" w:rsidP="006D2F5F">
            <w:pPr>
              <w:pStyle w:val="Tabulka"/>
              <w:jc w:val="left"/>
              <w:rPr>
                <w:rFonts w:cs="Calibri"/>
              </w:rPr>
            </w:pPr>
            <w:r w:rsidRPr="00DD47DF">
              <w:rPr>
                <w:rFonts w:cs="Calibri"/>
              </w:rPr>
              <w:t>30.9.2015</w:t>
            </w:r>
          </w:p>
        </w:tc>
        <w:tc>
          <w:tcPr>
            <w:tcW w:w="0" w:type="auto"/>
            <w:tcBorders>
              <w:top w:val="single" w:sz="4" w:space="0" w:color="auto"/>
              <w:left w:val="nil"/>
              <w:bottom w:val="single" w:sz="4" w:space="0" w:color="auto"/>
              <w:right w:val="single" w:sz="8" w:space="0" w:color="auto"/>
            </w:tcBorders>
            <w:shd w:val="clear" w:color="auto" w:fill="auto"/>
          </w:tcPr>
          <w:p w14:paraId="5659C634" w14:textId="77777777" w:rsidR="006D2F5F" w:rsidRPr="00DD47DF" w:rsidRDefault="001315A2" w:rsidP="006D2F5F">
            <w:pPr>
              <w:pStyle w:val="Tabulka"/>
              <w:jc w:val="left"/>
              <w:rPr>
                <w:rFonts w:cs="Calibri"/>
              </w:rPr>
            </w:pPr>
            <w:r w:rsidRPr="00DD47DF">
              <w:t>Do 8. 12. 2014 MŠMT. Po tomto datu přebral agendu Úřad vlády (místopředseda vlády pro vědu, výzkum a inovace)</w:t>
            </w:r>
          </w:p>
        </w:tc>
      </w:tr>
      <w:tr w:rsidR="00DD47DF" w:rsidRPr="00DD47DF" w14:paraId="52963CBC" w14:textId="77777777" w:rsidTr="00DD47DF">
        <w:trPr>
          <w:trHeight w:val="3409"/>
        </w:trPr>
        <w:tc>
          <w:tcPr>
            <w:tcW w:w="0" w:type="auto"/>
            <w:vMerge w:val="restart"/>
            <w:tcBorders>
              <w:top w:val="single" w:sz="4" w:space="0" w:color="auto"/>
              <w:left w:val="single" w:sz="8" w:space="0" w:color="auto"/>
              <w:right w:val="single" w:sz="4" w:space="0" w:color="auto"/>
            </w:tcBorders>
            <w:shd w:val="clear" w:color="auto" w:fill="auto"/>
          </w:tcPr>
          <w:p w14:paraId="531D59E7" w14:textId="77777777" w:rsidR="00DD47DF" w:rsidRPr="00DD47DF" w:rsidRDefault="00DD47DF" w:rsidP="006D2F5F">
            <w:pPr>
              <w:pStyle w:val="Tabulka"/>
              <w:jc w:val="left"/>
              <w:rPr>
                <w:rFonts w:cs="Calibri"/>
                <w:b/>
              </w:rPr>
            </w:pPr>
            <w:r w:rsidRPr="00DD47DF">
              <w:rPr>
                <w:rFonts w:cs="Calibri"/>
                <w:b/>
              </w:rPr>
              <w:lastRenderedPageBreak/>
              <w:t>2.1: Digitální růst: Strategický rámec politiky pro digitální růst, který má podněcovat cenově dostupné, kvalitní a interoperabilní soukromé a veřejné služby v oblasti IKT a zvýšit míru jejich využívání občany (včetně zranitelných skupin), podniky a orgány veřejné správy včetně přeshraničních iniciativ</w:t>
            </w:r>
          </w:p>
        </w:tc>
        <w:tc>
          <w:tcPr>
            <w:tcW w:w="0" w:type="auto"/>
            <w:tcBorders>
              <w:top w:val="single" w:sz="4" w:space="0" w:color="auto"/>
              <w:left w:val="nil"/>
              <w:bottom w:val="single" w:sz="4" w:space="0" w:color="auto"/>
              <w:right w:val="single" w:sz="4" w:space="0" w:color="auto"/>
            </w:tcBorders>
            <w:shd w:val="clear" w:color="auto" w:fill="auto"/>
          </w:tcPr>
          <w:p w14:paraId="280ECD22" w14:textId="77777777" w:rsidR="00DD47DF" w:rsidRPr="00DD47DF" w:rsidRDefault="00DD47DF" w:rsidP="006D2F5F">
            <w:pPr>
              <w:pStyle w:val="Tabulka"/>
              <w:jc w:val="left"/>
              <w:rPr>
                <w:rFonts w:cs="Calibri"/>
              </w:rPr>
            </w:pPr>
            <w:r w:rsidRPr="00DD47DF">
              <w:rPr>
                <w:rFonts w:cs="Calibri"/>
              </w:rPr>
              <w:t>V rámci národní nebo regionální strategie pro inteligentní specializaci je vypracován například strategický rámec politiky pro digitální růst, který obsahuje: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5AE05F80" w14:textId="77777777" w:rsidR="00DD47DF" w:rsidRPr="00DD47DF" w:rsidRDefault="00DD47DF" w:rsidP="00B83F1D">
            <w:pPr>
              <w:pStyle w:val="Tabulka"/>
              <w:jc w:val="left"/>
              <w:rPr>
                <w:rFonts w:cs="Calibri"/>
              </w:rPr>
            </w:pPr>
            <w:r w:rsidRPr="00DD47DF">
              <w:rPr>
                <w:rFonts w:cs="Calibri"/>
              </w:rPr>
              <w:t>Připravuje se „Strategie digitální gramotnosti ČR na období 2015 – 2020“ (podkladové analýzy, SWOT analýza, příprava návrhu strategie).</w:t>
            </w:r>
          </w:p>
          <w:p w14:paraId="6CBC9CA5" w14:textId="77777777" w:rsidR="00DD47DF" w:rsidRPr="00DD47DF" w:rsidRDefault="00DD47DF" w:rsidP="00B83F1D">
            <w:pPr>
              <w:pStyle w:val="Tabulka"/>
              <w:jc w:val="left"/>
              <w:rPr>
                <w:rFonts w:cs="Calibri"/>
              </w:rPr>
            </w:pPr>
          </w:p>
          <w:p w14:paraId="1AD25C68" w14:textId="77777777" w:rsidR="00DD47DF" w:rsidRPr="00DD47DF" w:rsidRDefault="00DD47DF" w:rsidP="00B83F1D">
            <w:pPr>
              <w:pStyle w:val="Tabulka"/>
              <w:jc w:val="left"/>
              <w:rPr>
                <w:rFonts w:cs="Calibri"/>
              </w:rPr>
            </w:pPr>
            <w:r w:rsidRPr="00DD47DF">
              <w:rPr>
                <w:rFonts w:cs="Calibri"/>
              </w:rPr>
              <w:t>Indikativní HMG:</w:t>
            </w:r>
          </w:p>
          <w:p w14:paraId="132FBC01" w14:textId="77777777" w:rsidR="00DD47DF" w:rsidRPr="00DD47DF" w:rsidRDefault="00DD47DF" w:rsidP="00B83F1D">
            <w:pPr>
              <w:pStyle w:val="Tabulka"/>
              <w:jc w:val="left"/>
              <w:rPr>
                <w:rFonts w:cs="Calibri"/>
              </w:rPr>
            </w:pPr>
            <w:r w:rsidRPr="00DD47DF">
              <w:rPr>
                <w:rFonts w:cs="Calibri"/>
              </w:rPr>
              <w:t>2014 - Příprava dokumentu (práce na strategii již byly zahájeny ve spolupráci MPSV s MŠMT)</w:t>
            </w:r>
          </w:p>
          <w:p w14:paraId="294C2B03" w14:textId="77777777" w:rsidR="00DD47DF" w:rsidRPr="00DD47DF" w:rsidRDefault="00DD47DF" w:rsidP="00B83F1D">
            <w:pPr>
              <w:jc w:val="both"/>
              <w:rPr>
                <w:rFonts w:cs="Calibri"/>
                <w:sz w:val="22"/>
                <w:szCs w:val="22"/>
              </w:rPr>
            </w:pPr>
            <w:r w:rsidRPr="00DD47DF">
              <w:rPr>
                <w:rFonts w:cs="Calibri"/>
                <w:sz w:val="22"/>
                <w:szCs w:val="22"/>
              </w:rPr>
              <w:t>Leden 2015: expertní konzultace k první verzi dokumentu (kulaté stoly) – připomínky z veřejného připomínkování byly vypořádány a zapracovány do konce ledna 2015</w:t>
            </w:r>
          </w:p>
          <w:p w14:paraId="6A1AD1DA" w14:textId="77777777" w:rsidR="00DD47DF" w:rsidRPr="00DD47DF" w:rsidRDefault="00DD47DF" w:rsidP="00B83F1D">
            <w:pPr>
              <w:jc w:val="both"/>
              <w:rPr>
                <w:rFonts w:cs="Calibri"/>
                <w:sz w:val="22"/>
                <w:szCs w:val="22"/>
              </w:rPr>
            </w:pPr>
            <w:r w:rsidRPr="00DD47DF">
              <w:rPr>
                <w:rFonts w:cs="Calibri"/>
                <w:sz w:val="22"/>
                <w:szCs w:val="22"/>
              </w:rPr>
              <w:t>Únor 2015: do konce února byla dopracována Strategie do druhé verze, která se následně předloží do mezirezortního připomínkového řízení.</w:t>
            </w:r>
          </w:p>
          <w:p w14:paraId="21F18824" w14:textId="77777777" w:rsidR="00DD47DF" w:rsidRPr="00DD47DF" w:rsidRDefault="00DD47DF" w:rsidP="00B83F1D">
            <w:pPr>
              <w:jc w:val="both"/>
              <w:rPr>
                <w:rFonts w:cs="Calibri"/>
              </w:rPr>
            </w:pPr>
            <w:r w:rsidRPr="00DD47DF">
              <w:rPr>
                <w:rFonts w:cs="Calibri"/>
                <w:sz w:val="22"/>
                <w:szCs w:val="22"/>
              </w:rPr>
              <w:t>30. 6. 2015 - Nejzazší termín schválení Strategie Vládou ČR.</w:t>
            </w:r>
          </w:p>
        </w:tc>
        <w:tc>
          <w:tcPr>
            <w:tcW w:w="1801" w:type="dxa"/>
            <w:tcBorders>
              <w:top w:val="single" w:sz="4" w:space="0" w:color="auto"/>
              <w:left w:val="nil"/>
              <w:bottom w:val="single" w:sz="4" w:space="0" w:color="auto"/>
              <w:right w:val="double" w:sz="6" w:space="0" w:color="auto"/>
            </w:tcBorders>
            <w:shd w:val="clear" w:color="auto" w:fill="auto"/>
          </w:tcPr>
          <w:p w14:paraId="4A008ECA" w14:textId="77777777" w:rsidR="00DD47DF" w:rsidRPr="00DD47DF" w:rsidRDefault="00DD47DF" w:rsidP="006D2F5F">
            <w:pPr>
              <w:pStyle w:val="Tabulka"/>
              <w:jc w:val="left"/>
              <w:rPr>
                <w:rFonts w:cs="Calibri"/>
              </w:rPr>
            </w:pPr>
            <w:r w:rsidRPr="00DD47DF">
              <w:rPr>
                <w:rFonts w:cs="Calibri"/>
              </w:rPr>
              <w:t>Do 30.6.2015</w:t>
            </w:r>
          </w:p>
          <w:p w14:paraId="1272C0B0" w14:textId="77777777" w:rsidR="00DD47DF" w:rsidRPr="00DD47DF" w:rsidRDefault="00DD47DF" w:rsidP="006D2F5F">
            <w:pPr>
              <w:pStyle w:val="Tabulka"/>
              <w:jc w:val="left"/>
              <w:rPr>
                <w:rFonts w:cs="Calibri"/>
              </w:rPr>
            </w:pPr>
          </w:p>
        </w:tc>
        <w:tc>
          <w:tcPr>
            <w:tcW w:w="0" w:type="auto"/>
            <w:tcBorders>
              <w:top w:val="single" w:sz="4" w:space="0" w:color="auto"/>
              <w:left w:val="nil"/>
              <w:bottom w:val="single" w:sz="4" w:space="0" w:color="auto"/>
              <w:right w:val="single" w:sz="8" w:space="0" w:color="auto"/>
            </w:tcBorders>
            <w:shd w:val="clear" w:color="auto" w:fill="auto"/>
          </w:tcPr>
          <w:p w14:paraId="5756E997" w14:textId="77777777" w:rsidR="00DD47DF" w:rsidRPr="00DD47DF" w:rsidRDefault="00DD47DF" w:rsidP="006D2F5F">
            <w:pPr>
              <w:pStyle w:val="Tabulka"/>
              <w:jc w:val="left"/>
              <w:rPr>
                <w:rFonts w:cs="Calibri"/>
              </w:rPr>
            </w:pPr>
            <w:r w:rsidRPr="00DD47DF">
              <w:rPr>
                <w:rFonts w:cs="Calibri"/>
              </w:rPr>
              <w:t xml:space="preserve">MPSV </w:t>
            </w:r>
          </w:p>
          <w:p w14:paraId="3C4C34E6" w14:textId="77777777" w:rsidR="00DD47DF" w:rsidRPr="00DD47DF" w:rsidRDefault="00DD47DF" w:rsidP="006D2F5F">
            <w:pPr>
              <w:pStyle w:val="Tabulka"/>
              <w:jc w:val="left"/>
            </w:pPr>
            <w:r w:rsidRPr="00DD47DF">
              <w:rPr>
                <w:rFonts w:cs="Calibri"/>
              </w:rPr>
              <w:t xml:space="preserve">MŠMT </w:t>
            </w:r>
          </w:p>
        </w:tc>
      </w:tr>
      <w:tr w:rsidR="006D2F5F" w:rsidRPr="00DD47DF" w14:paraId="398E22DD" w14:textId="77777777" w:rsidTr="00DD47DF">
        <w:trPr>
          <w:trHeight w:val="942"/>
        </w:trPr>
        <w:tc>
          <w:tcPr>
            <w:tcW w:w="0" w:type="auto"/>
            <w:vMerge/>
            <w:tcBorders>
              <w:left w:val="single" w:sz="8" w:space="0" w:color="auto"/>
              <w:right w:val="single" w:sz="4" w:space="0" w:color="auto"/>
            </w:tcBorders>
            <w:shd w:val="clear" w:color="auto" w:fill="auto"/>
          </w:tcPr>
          <w:p w14:paraId="68A4E8B0" w14:textId="77777777" w:rsidR="006D2F5F" w:rsidRPr="00DD47DF" w:rsidRDefault="006D2F5F" w:rsidP="006D2F5F">
            <w:pPr>
              <w:pStyle w:val="Tabulka"/>
              <w:rPr>
                <w:rFonts w:cs="Calibri"/>
                <w:b/>
              </w:rPr>
            </w:pPr>
          </w:p>
        </w:tc>
        <w:tc>
          <w:tcPr>
            <w:tcW w:w="0" w:type="auto"/>
            <w:vMerge w:val="restart"/>
            <w:tcBorders>
              <w:top w:val="single" w:sz="4" w:space="0" w:color="auto"/>
              <w:left w:val="nil"/>
              <w:right w:val="single" w:sz="4" w:space="0" w:color="auto"/>
            </w:tcBorders>
            <w:shd w:val="clear" w:color="auto" w:fill="auto"/>
          </w:tcPr>
          <w:p w14:paraId="197F9376" w14:textId="77777777" w:rsidR="006D2F5F" w:rsidRPr="00DD47DF" w:rsidRDefault="006D2F5F" w:rsidP="006D2F5F">
            <w:pPr>
              <w:pStyle w:val="Tabulka"/>
              <w:jc w:val="left"/>
              <w:rPr>
                <w:rFonts w:cs="Calibri"/>
              </w:rPr>
            </w:pPr>
            <w:r w:rsidRPr="00DD47DF">
              <w:rPr>
                <w:rFonts w:cs="Calibri"/>
              </w:rPr>
              <w:t xml:space="preserve">• ukazatele umožňující měření pokroku zásahů v oblastech, jako jsou počítačová gramotnost, digitální začlenění, digitální </w:t>
            </w:r>
            <w:r w:rsidRPr="00DD47DF">
              <w:rPr>
                <w:rFonts w:cs="Calibri"/>
              </w:rPr>
              <w:lastRenderedPageBreak/>
              <w:t>přístupnost a pokrok v elektronickém zdravotnictví v mezích článku 168 SFEU, jež jsou v souladu se stávajícími příslušnými unijními vnitrostátními nebo regionálními strategiemi pro jednotlivá odvětví,</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4E48E271" w14:textId="77777777" w:rsidR="006D2F5F" w:rsidRPr="00DD47DF" w:rsidRDefault="006D2F5F" w:rsidP="007B7EF7">
            <w:pPr>
              <w:pStyle w:val="Tabulka"/>
              <w:spacing w:before="0" w:after="0"/>
              <w:jc w:val="left"/>
              <w:rPr>
                <w:rFonts w:cs="Calibri"/>
              </w:rPr>
            </w:pPr>
            <w:r w:rsidRPr="00DD47DF">
              <w:rPr>
                <w:rFonts w:cs="Calibri"/>
              </w:rPr>
              <w:lastRenderedPageBreak/>
              <w:t xml:space="preserve">Zpracování </w:t>
            </w:r>
            <w:r w:rsidR="007B7EF7" w:rsidRPr="00DD47DF">
              <w:rPr>
                <w:rFonts w:cs="Calibri"/>
              </w:rPr>
              <w:t>„Strategie digitální gramotnosti ČR na období 2015 – 2020“</w:t>
            </w:r>
            <w:r w:rsidRPr="00DD47DF">
              <w:rPr>
                <w:rFonts w:cs="Calibri"/>
              </w:rPr>
              <w:t>S, která naplňuje opatření Digitálního Česka 2.0 v kapitole 5.6. Digitální gramotnost, elektronické dovednosti (e-skills).</w:t>
            </w:r>
          </w:p>
          <w:p w14:paraId="5D23FB51" w14:textId="77777777" w:rsidR="00BE7846" w:rsidRPr="00DD47DF" w:rsidRDefault="00BE7846" w:rsidP="00BE7846">
            <w:pPr>
              <w:rPr>
                <w:color w:val="000000"/>
                <w:sz w:val="22"/>
                <w:szCs w:val="22"/>
              </w:rPr>
            </w:pPr>
            <w:r w:rsidRPr="00DD47DF">
              <w:rPr>
                <w:rFonts w:asciiTheme="minorHAnsi" w:hAnsiTheme="minorHAnsi" w:cstheme="minorHAnsi"/>
                <w:sz w:val="22"/>
                <w:szCs w:val="22"/>
              </w:rPr>
              <w:t>S</w:t>
            </w:r>
            <w:r w:rsidRPr="00DD47DF">
              <w:rPr>
                <w:sz w:val="22"/>
                <w:szCs w:val="22"/>
              </w:rPr>
              <w:t>trategie digitální gramotnosti ČR na období 2015 – 2020</w:t>
            </w:r>
            <w:r w:rsidRPr="00DD47DF">
              <w:rPr>
                <w:color w:val="000000"/>
                <w:sz w:val="22"/>
                <w:szCs w:val="22"/>
              </w:rPr>
              <w:t xml:space="preserve"> vznikne v gesci MPSV (MŠMT bude spolugestorem). Přípravy byly zahájeny v prvním kvartálu roku 2014, v lednu 2015 byla dokončena a je projednávána první verze dokumentu, přičemž následné projednání a schválení je plánováno do konce 2 Q. roku 2015.</w:t>
            </w:r>
          </w:p>
          <w:p w14:paraId="486D2C57" w14:textId="77777777" w:rsidR="00BE7846" w:rsidRPr="00DD47DF" w:rsidRDefault="00BE7846" w:rsidP="00BE7846">
            <w:pPr>
              <w:pStyle w:val="Tabulka"/>
              <w:spacing w:before="0" w:after="0"/>
              <w:jc w:val="left"/>
            </w:pPr>
            <w:r w:rsidRPr="00DD47DF">
              <w:rPr>
                <w:color w:val="000000"/>
              </w:rPr>
              <w:t>Součástí této strategie budou ukazatele umožňující měření pokroku zásahů v oblasti počítačové gramotnosti a digitálního začlenění.</w:t>
            </w:r>
          </w:p>
          <w:p w14:paraId="1F4ADE3F" w14:textId="77777777" w:rsidR="007B7EF7" w:rsidRPr="00DD47DF" w:rsidRDefault="007B7EF7" w:rsidP="007B7EF7">
            <w:pPr>
              <w:pStyle w:val="Tabulka"/>
              <w:spacing w:before="0" w:after="0"/>
              <w:jc w:val="left"/>
              <w:rPr>
                <w:rFonts w:cs="Calibri"/>
              </w:rPr>
            </w:pPr>
            <w:r w:rsidRPr="00DD47DF">
              <w:rPr>
                <w:rFonts w:cs="Calibri"/>
              </w:rPr>
              <w:t>Indikativní harmonogram viz výše.</w:t>
            </w:r>
          </w:p>
        </w:tc>
        <w:tc>
          <w:tcPr>
            <w:tcW w:w="1801" w:type="dxa"/>
            <w:tcBorders>
              <w:top w:val="single" w:sz="4" w:space="0" w:color="auto"/>
              <w:left w:val="nil"/>
              <w:bottom w:val="single" w:sz="4" w:space="0" w:color="auto"/>
              <w:right w:val="double" w:sz="6" w:space="0" w:color="auto"/>
            </w:tcBorders>
            <w:shd w:val="clear" w:color="auto" w:fill="auto"/>
          </w:tcPr>
          <w:p w14:paraId="163CEC28" w14:textId="77777777" w:rsidR="006D2F5F" w:rsidRPr="00DD47DF" w:rsidRDefault="006D2F5F" w:rsidP="006D2F5F">
            <w:pPr>
              <w:pStyle w:val="Tabulka"/>
              <w:jc w:val="left"/>
              <w:rPr>
                <w:rFonts w:cs="Calibri"/>
              </w:rPr>
            </w:pPr>
            <w:r w:rsidRPr="00DD47DF">
              <w:rPr>
                <w:rFonts w:cs="Calibri"/>
              </w:rPr>
              <w:t>Do 30.6.2015</w:t>
            </w:r>
          </w:p>
        </w:tc>
        <w:tc>
          <w:tcPr>
            <w:tcW w:w="0" w:type="auto"/>
            <w:tcBorders>
              <w:top w:val="single" w:sz="4" w:space="0" w:color="auto"/>
              <w:left w:val="nil"/>
              <w:bottom w:val="single" w:sz="4" w:space="0" w:color="auto"/>
              <w:right w:val="single" w:sz="8" w:space="0" w:color="auto"/>
            </w:tcBorders>
            <w:shd w:val="clear" w:color="auto" w:fill="auto"/>
          </w:tcPr>
          <w:p w14:paraId="3A3C8922" w14:textId="77777777" w:rsidR="006D2F5F" w:rsidRPr="00DD47DF" w:rsidRDefault="006D2F5F" w:rsidP="006D2F5F">
            <w:pPr>
              <w:pStyle w:val="Tabulka"/>
              <w:jc w:val="left"/>
              <w:rPr>
                <w:rFonts w:cs="Calibri"/>
              </w:rPr>
            </w:pPr>
            <w:r w:rsidRPr="00DD47DF">
              <w:rPr>
                <w:rFonts w:cs="Calibri"/>
              </w:rPr>
              <w:t>MPSV</w:t>
            </w:r>
          </w:p>
          <w:p w14:paraId="3F65A595" w14:textId="77777777" w:rsidR="006D2F5F" w:rsidRPr="00DD47DF" w:rsidRDefault="006D2F5F" w:rsidP="006D2F5F">
            <w:pPr>
              <w:pStyle w:val="Tabulka"/>
              <w:jc w:val="left"/>
              <w:rPr>
                <w:rFonts w:cs="Calibri"/>
              </w:rPr>
            </w:pPr>
            <w:r w:rsidRPr="00DD47DF">
              <w:rPr>
                <w:rFonts w:cs="Calibri"/>
              </w:rPr>
              <w:t xml:space="preserve">MŠMT </w:t>
            </w:r>
          </w:p>
        </w:tc>
      </w:tr>
      <w:tr w:rsidR="007414AD" w:rsidRPr="00DD47DF" w14:paraId="7AEC967E" w14:textId="77777777" w:rsidTr="00BD2266">
        <w:trPr>
          <w:trHeight w:val="4048"/>
        </w:trPr>
        <w:tc>
          <w:tcPr>
            <w:tcW w:w="0" w:type="auto"/>
            <w:vMerge/>
            <w:tcBorders>
              <w:left w:val="single" w:sz="8" w:space="0" w:color="auto"/>
              <w:right w:val="single" w:sz="4" w:space="0" w:color="auto"/>
            </w:tcBorders>
            <w:shd w:val="clear" w:color="auto" w:fill="auto"/>
          </w:tcPr>
          <w:p w14:paraId="1CDC5B0B" w14:textId="77777777" w:rsidR="007414AD" w:rsidRPr="00DD47DF" w:rsidRDefault="007414AD" w:rsidP="006D2F5F">
            <w:pPr>
              <w:pStyle w:val="Tabulka"/>
              <w:rPr>
                <w:rFonts w:cs="Calibri"/>
                <w:b/>
              </w:rPr>
            </w:pPr>
          </w:p>
        </w:tc>
        <w:tc>
          <w:tcPr>
            <w:tcW w:w="0" w:type="auto"/>
            <w:vMerge/>
            <w:tcBorders>
              <w:left w:val="nil"/>
              <w:bottom w:val="single" w:sz="4" w:space="0" w:color="auto"/>
              <w:right w:val="single" w:sz="4" w:space="0" w:color="auto"/>
            </w:tcBorders>
            <w:shd w:val="clear" w:color="auto" w:fill="auto"/>
          </w:tcPr>
          <w:p w14:paraId="4C9D77E8" w14:textId="77777777" w:rsidR="007414AD" w:rsidRPr="00DD47DF" w:rsidRDefault="007414AD" w:rsidP="006D2F5F">
            <w:pPr>
              <w:pStyle w:val="Tabulka"/>
              <w:jc w:val="left"/>
              <w:rPr>
                <w:rFonts w:cs="Calibri"/>
              </w:rPr>
            </w:pPr>
          </w:p>
        </w:tc>
        <w:tc>
          <w:tcPr>
            <w:tcW w:w="6946" w:type="dxa"/>
            <w:tcBorders>
              <w:top w:val="nil"/>
              <w:left w:val="double" w:sz="6" w:space="0" w:color="auto"/>
              <w:bottom w:val="single" w:sz="4" w:space="0" w:color="auto"/>
              <w:right w:val="double" w:sz="6" w:space="0" w:color="auto"/>
            </w:tcBorders>
            <w:shd w:val="clear" w:color="auto" w:fill="auto"/>
          </w:tcPr>
          <w:p w14:paraId="500DE0FD" w14:textId="77777777" w:rsidR="007414AD" w:rsidRPr="00DD47DF" w:rsidRDefault="007414AD" w:rsidP="006D2F5F">
            <w:pPr>
              <w:pStyle w:val="Tabulka"/>
              <w:jc w:val="left"/>
            </w:pPr>
          </w:p>
        </w:tc>
        <w:tc>
          <w:tcPr>
            <w:tcW w:w="1801" w:type="dxa"/>
            <w:tcBorders>
              <w:top w:val="nil"/>
              <w:left w:val="nil"/>
              <w:bottom w:val="single" w:sz="4" w:space="0" w:color="auto"/>
              <w:right w:val="double" w:sz="6" w:space="0" w:color="auto"/>
            </w:tcBorders>
            <w:shd w:val="clear" w:color="auto" w:fill="auto"/>
          </w:tcPr>
          <w:p w14:paraId="3F7D1E5B" w14:textId="77777777" w:rsidR="007414AD" w:rsidRPr="00DD47DF" w:rsidRDefault="007414AD" w:rsidP="006D2F5F">
            <w:pPr>
              <w:pStyle w:val="Tabulka"/>
              <w:jc w:val="left"/>
              <w:rPr>
                <w:rFonts w:cs="Calibri"/>
              </w:rPr>
            </w:pPr>
          </w:p>
        </w:tc>
        <w:tc>
          <w:tcPr>
            <w:tcW w:w="0" w:type="auto"/>
            <w:tcBorders>
              <w:top w:val="nil"/>
              <w:left w:val="nil"/>
              <w:bottom w:val="single" w:sz="4" w:space="0" w:color="auto"/>
              <w:right w:val="single" w:sz="8" w:space="0" w:color="auto"/>
            </w:tcBorders>
            <w:shd w:val="clear" w:color="auto" w:fill="auto"/>
          </w:tcPr>
          <w:p w14:paraId="3E0257BC" w14:textId="77777777" w:rsidR="007414AD" w:rsidRPr="00DD47DF" w:rsidRDefault="007414AD" w:rsidP="006D2F5F">
            <w:pPr>
              <w:pStyle w:val="Tabulka"/>
              <w:jc w:val="left"/>
              <w:rPr>
                <w:rFonts w:cs="Calibri"/>
              </w:rPr>
            </w:pPr>
          </w:p>
        </w:tc>
      </w:tr>
      <w:tr w:rsidR="006D2F5F" w:rsidRPr="00DD47DF" w14:paraId="5B111E7F" w14:textId="77777777" w:rsidTr="00DD47DF">
        <w:trPr>
          <w:trHeight w:val="1214"/>
        </w:trPr>
        <w:tc>
          <w:tcPr>
            <w:tcW w:w="0" w:type="auto"/>
            <w:vMerge w:val="restart"/>
            <w:tcBorders>
              <w:top w:val="single" w:sz="4" w:space="0" w:color="auto"/>
              <w:left w:val="single" w:sz="8" w:space="0" w:color="auto"/>
              <w:right w:val="single" w:sz="4" w:space="0" w:color="auto"/>
            </w:tcBorders>
            <w:shd w:val="clear" w:color="auto" w:fill="auto"/>
          </w:tcPr>
          <w:p w14:paraId="61565FC0" w14:textId="77777777" w:rsidR="006D2F5F" w:rsidRPr="00DD47DF" w:rsidRDefault="006D2F5F" w:rsidP="006D2F5F">
            <w:pPr>
              <w:pStyle w:val="Tabulka"/>
              <w:jc w:val="left"/>
              <w:rPr>
                <w:rFonts w:cs="Calibri"/>
                <w:b/>
              </w:rPr>
            </w:pPr>
            <w:r w:rsidRPr="00DD47DF">
              <w:rPr>
                <w:rFonts w:cs="Calibri"/>
                <w:b/>
              </w:rPr>
              <w:t xml:space="preserve">2.2. Infrastruktura přístupových sítí nové generace: Existence celostátních nebo regionálních plánů přístupových sítí nové generace, které zohledňují regionální opatření k dosažení cílů Unie v oblasti vysokorychlostního přístupu k internetu se zaměřením na oblasti, kde trh není schopen poskytovat otevřenou infrastrukturu za </w:t>
            </w:r>
            <w:r w:rsidRPr="00DD47DF">
              <w:rPr>
                <w:rFonts w:cs="Calibri"/>
                <w:b/>
              </w:rPr>
              <w:lastRenderedPageBreak/>
              <w:t>dostupnou cenu a v odpovídající kvalitě v souladu s pravidly Unie pro hospodářskou soutěž a státní podpory, a poskytují dostupné služby zranitelným skupinám.</w:t>
            </w:r>
          </w:p>
        </w:tc>
        <w:tc>
          <w:tcPr>
            <w:tcW w:w="0" w:type="auto"/>
            <w:tcBorders>
              <w:top w:val="single" w:sz="4" w:space="0" w:color="auto"/>
              <w:left w:val="nil"/>
              <w:bottom w:val="single" w:sz="4" w:space="0" w:color="auto"/>
              <w:right w:val="single" w:sz="4" w:space="0" w:color="auto"/>
            </w:tcBorders>
            <w:shd w:val="clear" w:color="auto" w:fill="auto"/>
          </w:tcPr>
          <w:p w14:paraId="49A42BE1" w14:textId="77777777" w:rsidR="006D2F5F" w:rsidRPr="00DD47DF" w:rsidRDefault="006D2F5F" w:rsidP="006D2F5F">
            <w:pPr>
              <w:pStyle w:val="Tabulka"/>
              <w:jc w:val="left"/>
              <w:rPr>
                <w:rFonts w:cs="Calibri"/>
              </w:rPr>
            </w:pPr>
            <w:r w:rsidRPr="00DD47DF">
              <w:rPr>
                <w:rFonts w:cs="Calibri"/>
              </w:rPr>
              <w:lastRenderedPageBreak/>
              <w:t>Je vypracován celostátní nebo regionální plán přístupových sítí</w:t>
            </w:r>
            <w:r w:rsidR="00DD47DF">
              <w:rPr>
                <w:rFonts w:cs="Calibri"/>
              </w:rPr>
              <w:t xml:space="preserve"> nové generace, který obsahuje:</w:t>
            </w:r>
          </w:p>
        </w:tc>
        <w:tc>
          <w:tcPr>
            <w:tcW w:w="6946" w:type="dxa"/>
            <w:tcBorders>
              <w:top w:val="single" w:sz="4" w:space="0" w:color="auto"/>
              <w:left w:val="double" w:sz="6" w:space="0" w:color="auto"/>
              <w:bottom w:val="single" w:sz="4" w:space="0" w:color="auto"/>
              <w:right w:val="double" w:sz="6" w:space="0" w:color="auto"/>
            </w:tcBorders>
            <w:shd w:val="clear" w:color="auto" w:fill="auto"/>
          </w:tcPr>
          <w:p w14:paraId="3A343C7E" w14:textId="77777777" w:rsidR="006D2F5F" w:rsidRPr="00DD47DF" w:rsidRDefault="006D2F5F" w:rsidP="006D2F5F">
            <w:pPr>
              <w:pStyle w:val="Tabulka"/>
              <w:jc w:val="left"/>
              <w:rPr>
                <w:rFonts w:cs="Calibri"/>
              </w:rPr>
            </w:pPr>
            <w:r w:rsidRPr="00DD47DF">
              <w:rPr>
                <w:rFonts w:cs="Calibri"/>
              </w:rPr>
              <w:t>Zpracování Národního plánu rozvoje sítí nové generace.</w:t>
            </w:r>
          </w:p>
          <w:p w14:paraId="01017AE1" w14:textId="77777777" w:rsidR="006D2F5F" w:rsidRPr="00DD47DF" w:rsidRDefault="006D2F5F"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30D3B9B2" w14:textId="77777777" w:rsidR="006D2F5F" w:rsidRPr="00DD47DF" w:rsidRDefault="002D0399" w:rsidP="006D2F5F">
            <w:pPr>
              <w:pStyle w:val="Tabulka"/>
              <w:jc w:val="left"/>
              <w:rPr>
                <w:rFonts w:cs="Calibri"/>
              </w:rPr>
            </w:pPr>
            <w:r>
              <w:rPr>
                <w:rFonts w:cs="Calibri"/>
              </w:rPr>
              <w:t>30.</w:t>
            </w:r>
            <w:r w:rsidR="00A60930" w:rsidRPr="00DD47DF">
              <w:rPr>
                <w:rFonts w:cs="Calibri"/>
              </w:rPr>
              <w:t>6</w:t>
            </w:r>
            <w:r>
              <w:rPr>
                <w:rFonts w:cs="Calibri"/>
              </w:rPr>
              <w:t>.</w:t>
            </w:r>
            <w:r w:rsidR="006D2F5F" w:rsidRPr="00DD47DF">
              <w:rPr>
                <w:rFonts w:cs="Calibri"/>
              </w:rPr>
              <w:t>2015</w:t>
            </w:r>
          </w:p>
          <w:p w14:paraId="45879EBB" w14:textId="77777777" w:rsidR="006D2F5F" w:rsidRPr="00DD47DF" w:rsidRDefault="006D2F5F" w:rsidP="006D2F5F">
            <w:pPr>
              <w:pStyle w:val="Tabulka"/>
              <w:jc w:val="left"/>
              <w:rPr>
                <w:rFonts w:cs="Calibri"/>
              </w:rPr>
            </w:pPr>
          </w:p>
          <w:p w14:paraId="7EE152B2" w14:textId="77777777" w:rsidR="006D2F5F" w:rsidRPr="00DD47DF" w:rsidRDefault="006D2F5F" w:rsidP="006D2F5F">
            <w:pPr>
              <w:pStyle w:val="Tabulka"/>
              <w:jc w:val="left"/>
              <w:rPr>
                <w:rFonts w:cs="Calibri"/>
              </w:rPr>
            </w:pPr>
          </w:p>
        </w:tc>
        <w:tc>
          <w:tcPr>
            <w:tcW w:w="0" w:type="auto"/>
            <w:tcBorders>
              <w:top w:val="single" w:sz="4" w:space="0" w:color="auto"/>
              <w:left w:val="nil"/>
              <w:bottom w:val="single" w:sz="4" w:space="0" w:color="auto"/>
              <w:right w:val="single" w:sz="8" w:space="0" w:color="auto"/>
            </w:tcBorders>
            <w:shd w:val="clear" w:color="auto" w:fill="auto"/>
          </w:tcPr>
          <w:p w14:paraId="252E6842" w14:textId="77777777" w:rsidR="006D2F5F" w:rsidRPr="00DD47DF" w:rsidRDefault="006D2F5F" w:rsidP="006D2F5F">
            <w:pPr>
              <w:pStyle w:val="Tabulka"/>
              <w:jc w:val="left"/>
              <w:rPr>
                <w:rFonts w:cs="Calibri"/>
              </w:rPr>
            </w:pPr>
            <w:r w:rsidRPr="00DD47DF">
              <w:rPr>
                <w:rFonts w:cs="Calibri"/>
              </w:rPr>
              <w:t>MPO</w:t>
            </w:r>
          </w:p>
          <w:p w14:paraId="00626D8B" w14:textId="77777777" w:rsidR="006D2F5F" w:rsidRPr="00DD47DF" w:rsidRDefault="006D2F5F">
            <w:pPr>
              <w:pStyle w:val="Tabulka"/>
              <w:jc w:val="left"/>
              <w:rPr>
                <w:rFonts w:cs="Calibri"/>
              </w:rPr>
            </w:pPr>
          </w:p>
        </w:tc>
      </w:tr>
      <w:tr w:rsidR="006D2F5F" w:rsidRPr="00DD47DF" w14:paraId="7762B7C0" w14:textId="77777777" w:rsidTr="00DD47DF">
        <w:trPr>
          <w:trHeight w:val="660"/>
        </w:trPr>
        <w:tc>
          <w:tcPr>
            <w:tcW w:w="0" w:type="auto"/>
            <w:vMerge/>
            <w:tcBorders>
              <w:left w:val="single" w:sz="8" w:space="0" w:color="auto"/>
              <w:right w:val="single" w:sz="4" w:space="0" w:color="auto"/>
            </w:tcBorders>
            <w:shd w:val="clear" w:color="auto" w:fill="auto"/>
          </w:tcPr>
          <w:p w14:paraId="3ACBE666" w14:textId="77777777" w:rsidR="006D2F5F" w:rsidRPr="00DD47DF" w:rsidRDefault="006D2F5F" w:rsidP="006D2F5F">
            <w:pPr>
              <w:pStyle w:val="Tabulka"/>
              <w:jc w:val="left"/>
              <w:rPr>
                <w:rFonts w:cs="Calibri"/>
                <w:b/>
              </w:rPr>
            </w:pPr>
          </w:p>
        </w:tc>
        <w:tc>
          <w:tcPr>
            <w:tcW w:w="0" w:type="auto"/>
            <w:tcBorders>
              <w:top w:val="single" w:sz="4" w:space="0" w:color="auto"/>
              <w:left w:val="nil"/>
              <w:bottom w:val="single" w:sz="4" w:space="0" w:color="auto"/>
              <w:right w:val="single" w:sz="4" w:space="0" w:color="auto"/>
            </w:tcBorders>
            <w:shd w:val="clear" w:color="auto" w:fill="auto"/>
          </w:tcPr>
          <w:p w14:paraId="3B52AD5F" w14:textId="77777777" w:rsidR="006D2F5F" w:rsidRPr="00DD47DF" w:rsidRDefault="006D2F5F" w:rsidP="006D2F5F">
            <w:pPr>
              <w:pStyle w:val="Tabulka"/>
              <w:jc w:val="left"/>
              <w:rPr>
                <w:rFonts w:cs="Calibri"/>
              </w:rPr>
            </w:pPr>
            <w:r w:rsidRPr="00DD47DF">
              <w:rPr>
                <w:rFonts w:cs="Calibri"/>
              </w:rPr>
              <w:t xml:space="preserve">• plán investic do infrastruktury vycházející z ekonomické analýzy a zohledňující stávající infrastrukturu a </w:t>
            </w:r>
            <w:r w:rsidRPr="00DD47DF">
              <w:rPr>
                <w:rFonts w:cs="Calibri"/>
              </w:rPr>
              <w:lastRenderedPageBreak/>
              <w:t>plánované investice,</w:t>
            </w:r>
          </w:p>
        </w:tc>
        <w:tc>
          <w:tcPr>
            <w:tcW w:w="6946" w:type="dxa"/>
            <w:tcBorders>
              <w:top w:val="nil"/>
              <w:left w:val="double" w:sz="6" w:space="0" w:color="auto"/>
              <w:bottom w:val="single" w:sz="4" w:space="0" w:color="auto"/>
              <w:right w:val="double" w:sz="6" w:space="0" w:color="auto"/>
            </w:tcBorders>
            <w:shd w:val="clear" w:color="auto" w:fill="auto"/>
          </w:tcPr>
          <w:p w14:paraId="6DD1F8F0" w14:textId="77777777" w:rsidR="006D2F5F" w:rsidRPr="00DD47DF" w:rsidRDefault="006D2F5F" w:rsidP="006D2F5F">
            <w:pPr>
              <w:pStyle w:val="Tabulka"/>
              <w:jc w:val="left"/>
              <w:rPr>
                <w:rFonts w:cs="Calibri"/>
              </w:rPr>
            </w:pPr>
            <w:r w:rsidRPr="00DD47DF">
              <w:rPr>
                <w:rFonts w:cs="Calibri"/>
              </w:rPr>
              <w:lastRenderedPageBreak/>
              <w:t>Zpracování Národního plánu rozvoje sítí nové generace.</w:t>
            </w:r>
          </w:p>
          <w:p w14:paraId="2B4810D1" w14:textId="77777777" w:rsidR="006D2F5F" w:rsidRPr="00DD47DF" w:rsidRDefault="006D2F5F" w:rsidP="006D2F5F">
            <w:pPr>
              <w:pStyle w:val="Tabulka"/>
              <w:jc w:val="left"/>
              <w:rPr>
                <w:rFonts w:cs="Calibri"/>
              </w:rPr>
            </w:pPr>
          </w:p>
        </w:tc>
        <w:tc>
          <w:tcPr>
            <w:tcW w:w="1801" w:type="dxa"/>
            <w:tcBorders>
              <w:top w:val="nil"/>
              <w:left w:val="nil"/>
              <w:bottom w:val="single" w:sz="4" w:space="0" w:color="auto"/>
              <w:right w:val="double" w:sz="6" w:space="0" w:color="auto"/>
            </w:tcBorders>
            <w:shd w:val="clear" w:color="auto" w:fill="auto"/>
          </w:tcPr>
          <w:p w14:paraId="06B9DEB2" w14:textId="77777777" w:rsidR="006D2F5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tc>
        <w:tc>
          <w:tcPr>
            <w:tcW w:w="0" w:type="auto"/>
            <w:tcBorders>
              <w:top w:val="nil"/>
              <w:left w:val="nil"/>
              <w:bottom w:val="single" w:sz="4" w:space="0" w:color="auto"/>
              <w:right w:val="single" w:sz="8" w:space="0" w:color="auto"/>
            </w:tcBorders>
            <w:shd w:val="clear" w:color="auto" w:fill="auto"/>
          </w:tcPr>
          <w:p w14:paraId="23A1120E" w14:textId="77777777" w:rsidR="006D2F5F" w:rsidRPr="00DD47DF" w:rsidRDefault="006D2F5F" w:rsidP="006D2F5F">
            <w:pPr>
              <w:pStyle w:val="Tabulka"/>
              <w:jc w:val="left"/>
              <w:rPr>
                <w:rFonts w:cs="Calibri"/>
              </w:rPr>
            </w:pPr>
            <w:r w:rsidRPr="00DD47DF">
              <w:rPr>
                <w:rFonts w:cs="Calibri"/>
              </w:rPr>
              <w:t>MPO</w:t>
            </w:r>
          </w:p>
          <w:p w14:paraId="753E702F" w14:textId="77777777" w:rsidR="006D2F5F" w:rsidRPr="00DD47DF" w:rsidRDefault="006D2F5F" w:rsidP="006D2F5F">
            <w:pPr>
              <w:pStyle w:val="Tabulka"/>
              <w:jc w:val="left"/>
              <w:rPr>
                <w:rFonts w:cs="Calibri"/>
              </w:rPr>
            </w:pPr>
          </w:p>
        </w:tc>
      </w:tr>
      <w:tr w:rsidR="00DD47DF" w:rsidRPr="00DD47DF" w14:paraId="684A5EAB" w14:textId="77777777" w:rsidTr="001C2A07">
        <w:trPr>
          <w:trHeight w:val="3662"/>
        </w:trPr>
        <w:tc>
          <w:tcPr>
            <w:tcW w:w="0" w:type="auto"/>
            <w:vMerge/>
            <w:tcBorders>
              <w:left w:val="single" w:sz="8" w:space="0" w:color="auto"/>
              <w:right w:val="single" w:sz="4" w:space="0" w:color="auto"/>
            </w:tcBorders>
            <w:shd w:val="clear" w:color="auto" w:fill="auto"/>
          </w:tcPr>
          <w:p w14:paraId="21304A8C" w14:textId="77777777" w:rsidR="00DD47DF" w:rsidRPr="00DD47DF" w:rsidRDefault="00DD47DF" w:rsidP="006D2F5F">
            <w:pPr>
              <w:pStyle w:val="Tabulka"/>
              <w:jc w:val="left"/>
              <w:rPr>
                <w:rFonts w:cs="Calibri"/>
                <w:b/>
              </w:rPr>
            </w:pPr>
          </w:p>
        </w:tc>
        <w:tc>
          <w:tcPr>
            <w:tcW w:w="0" w:type="auto"/>
            <w:tcBorders>
              <w:top w:val="single" w:sz="4" w:space="0" w:color="auto"/>
              <w:left w:val="nil"/>
              <w:right w:val="single" w:sz="4" w:space="0" w:color="auto"/>
            </w:tcBorders>
            <w:shd w:val="clear" w:color="auto" w:fill="auto"/>
          </w:tcPr>
          <w:p w14:paraId="54A891D5" w14:textId="77777777" w:rsidR="00DD47DF" w:rsidRPr="00DD47DF" w:rsidRDefault="00DD47DF" w:rsidP="006D2F5F">
            <w:pPr>
              <w:pStyle w:val="Tabulka"/>
              <w:jc w:val="left"/>
              <w:rPr>
                <w:rFonts w:cs="Calibri"/>
              </w:rPr>
            </w:pPr>
            <w:r w:rsidRPr="00DD47DF">
              <w:rPr>
                <w:rFonts w:cs="Calibri"/>
              </w:rPr>
              <w:t>• modely udržitelných investic, které posilují hospodářskou soutěž a zajišťují přístup k otevřeným, cenově dostupným, kvalitním a progresivním infrastrukturám a službám,</w:t>
            </w:r>
          </w:p>
        </w:tc>
        <w:tc>
          <w:tcPr>
            <w:tcW w:w="6946" w:type="dxa"/>
            <w:tcBorders>
              <w:top w:val="single" w:sz="4" w:space="0" w:color="auto"/>
              <w:left w:val="double" w:sz="6" w:space="0" w:color="auto"/>
              <w:right w:val="double" w:sz="6" w:space="0" w:color="auto"/>
            </w:tcBorders>
            <w:shd w:val="clear" w:color="auto" w:fill="auto"/>
          </w:tcPr>
          <w:p w14:paraId="61EF8253" w14:textId="77777777" w:rsidR="00DD47DF" w:rsidRPr="00DD47DF" w:rsidRDefault="00DD47DF" w:rsidP="006D2F5F">
            <w:pPr>
              <w:pStyle w:val="Tabulka"/>
              <w:jc w:val="left"/>
              <w:rPr>
                <w:rFonts w:cs="Calibri"/>
              </w:rPr>
            </w:pPr>
            <w:r w:rsidRPr="00DD47DF">
              <w:rPr>
                <w:rFonts w:cs="Calibri"/>
              </w:rPr>
              <w:t>Zpracování Národního plánu rozvoje sítí nové generace.</w:t>
            </w:r>
          </w:p>
          <w:p w14:paraId="3C67A436" w14:textId="77777777" w:rsidR="00DD47DF" w:rsidRPr="00DD47DF" w:rsidRDefault="00DD47D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6F138155" w14:textId="77777777" w:rsidR="00DD47D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p w14:paraId="5A55924A" w14:textId="77777777" w:rsidR="00DD47DF" w:rsidRPr="00DD47DF" w:rsidRDefault="00DD47DF" w:rsidP="006D2F5F">
            <w:pPr>
              <w:pStyle w:val="Tabulka"/>
              <w:jc w:val="left"/>
              <w:rPr>
                <w:rFonts w:cs="Calibri"/>
              </w:rPr>
            </w:pPr>
          </w:p>
          <w:p w14:paraId="1FD9F6D4" w14:textId="77777777" w:rsidR="00DD47DF" w:rsidRPr="00DD47DF" w:rsidRDefault="00DD47DF" w:rsidP="006D2F5F">
            <w:pPr>
              <w:pStyle w:val="Tabulka"/>
              <w:jc w:val="left"/>
              <w:rPr>
                <w:rFonts w:cs="Calibri"/>
              </w:rPr>
            </w:pPr>
          </w:p>
        </w:tc>
        <w:tc>
          <w:tcPr>
            <w:tcW w:w="0" w:type="auto"/>
            <w:tcBorders>
              <w:top w:val="single" w:sz="4" w:space="0" w:color="auto"/>
              <w:left w:val="nil"/>
              <w:right w:val="single" w:sz="8" w:space="0" w:color="auto"/>
            </w:tcBorders>
            <w:shd w:val="clear" w:color="auto" w:fill="auto"/>
          </w:tcPr>
          <w:p w14:paraId="07DEE39C" w14:textId="77777777" w:rsidR="00DD47DF" w:rsidRPr="00DD47DF" w:rsidRDefault="00DD47DF" w:rsidP="006D2F5F">
            <w:pPr>
              <w:pStyle w:val="Tabulka"/>
              <w:jc w:val="left"/>
              <w:rPr>
                <w:rFonts w:cs="Calibri"/>
              </w:rPr>
            </w:pPr>
            <w:r w:rsidRPr="00DD47DF">
              <w:rPr>
                <w:rFonts w:cs="Calibri"/>
              </w:rPr>
              <w:t>MPO</w:t>
            </w:r>
          </w:p>
          <w:p w14:paraId="0CCE7AD1" w14:textId="77777777" w:rsidR="00DD47DF" w:rsidRPr="00DD47DF" w:rsidRDefault="00DD47DF" w:rsidP="001C2A07">
            <w:pPr>
              <w:pStyle w:val="Tabulka"/>
              <w:jc w:val="left"/>
              <w:rPr>
                <w:rFonts w:cs="Calibri"/>
              </w:rPr>
            </w:pPr>
          </w:p>
        </w:tc>
      </w:tr>
      <w:tr w:rsidR="006D2F5F" w:rsidRPr="00DD47DF" w14:paraId="5027C4ED" w14:textId="77777777" w:rsidTr="00437632">
        <w:trPr>
          <w:trHeight w:val="364"/>
        </w:trPr>
        <w:tc>
          <w:tcPr>
            <w:tcW w:w="0" w:type="auto"/>
            <w:vMerge/>
            <w:tcBorders>
              <w:left w:val="single" w:sz="8" w:space="0" w:color="auto"/>
              <w:bottom w:val="single" w:sz="4" w:space="0" w:color="000000"/>
              <w:right w:val="single" w:sz="4" w:space="0" w:color="auto"/>
            </w:tcBorders>
            <w:shd w:val="clear" w:color="auto" w:fill="auto"/>
          </w:tcPr>
          <w:p w14:paraId="081EAF8D" w14:textId="77777777" w:rsidR="006D2F5F" w:rsidRPr="00DD47DF" w:rsidRDefault="006D2F5F" w:rsidP="006D2F5F">
            <w:pPr>
              <w:pStyle w:val="Tabulka"/>
              <w:jc w:val="left"/>
              <w:rPr>
                <w:rFonts w:cs="Calibri"/>
                <w:b/>
              </w:rPr>
            </w:pPr>
          </w:p>
        </w:tc>
        <w:tc>
          <w:tcPr>
            <w:tcW w:w="0" w:type="auto"/>
            <w:tcBorders>
              <w:top w:val="single" w:sz="4" w:space="0" w:color="auto"/>
              <w:left w:val="single" w:sz="4" w:space="0" w:color="auto"/>
              <w:right w:val="double" w:sz="6" w:space="0" w:color="auto"/>
            </w:tcBorders>
            <w:shd w:val="clear" w:color="auto" w:fill="auto"/>
          </w:tcPr>
          <w:p w14:paraId="1C415724" w14:textId="77777777" w:rsidR="006D2F5F" w:rsidRPr="00DD47DF" w:rsidRDefault="006D2F5F" w:rsidP="00F91E8F">
            <w:pPr>
              <w:pStyle w:val="Tabulka"/>
              <w:numPr>
                <w:ilvl w:val="0"/>
                <w:numId w:val="80"/>
              </w:numPr>
              <w:ind w:left="234" w:hanging="200"/>
              <w:jc w:val="left"/>
              <w:rPr>
                <w:rFonts w:cs="Calibri"/>
              </w:rPr>
            </w:pPr>
            <w:r w:rsidRPr="00DD47DF">
              <w:rPr>
                <w:rFonts w:cs="Calibri"/>
              </w:rPr>
              <w:t>opatření k podnícení soukromých investic</w:t>
            </w:r>
          </w:p>
        </w:tc>
        <w:tc>
          <w:tcPr>
            <w:tcW w:w="6946" w:type="dxa"/>
            <w:tcBorders>
              <w:top w:val="single" w:sz="4" w:space="0" w:color="auto"/>
              <w:left w:val="nil"/>
              <w:right w:val="double" w:sz="6" w:space="0" w:color="auto"/>
            </w:tcBorders>
            <w:shd w:val="clear" w:color="auto" w:fill="auto"/>
          </w:tcPr>
          <w:p w14:paraId="11B8CC49" w14:textId="77777777" w:rsidR="006D2F5F" w:rsidRPr="00DD47DF" w:rsidRDefault="006D2F5F" w:rsidP="006D2F5F">
            <w:pPr>
              <w:pStyle w:val="Tabulka"/>
              <w:jc w:val="left"/>
              <w:rPr>
                <w:rFonts w:cs="Calibri"/>
              </w:rPr>
            </w:pPr>
            <w:r w:rsidRPr="00DD47DF">
              <w:rPr>
                <w:rFonts w:cs="Calibri"/>
              </w:rPr>
              <w:t>Zpracování Národního plánu rozvoje sítí nové generace.</w:t>
            </w:r>
          </w:p>
          <w:p w14:paraId="7981B594" w14:textId="77777777" w:rsidR="006D2F5F" w:rsidRPr="00DD47DF" w:rsidRDefault="006D2F5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001FDD4A" w14:textId="77777777" w:rsidR="006D2F5F" w:rsidRPr="00DD47DF" w:rsidRDefault="002D0399" w:rsidP="006D2F5F">
            <w:pPr>
              <w:pStyle w:val="Tabulka"/>
              <w:jc w:val="left"/>
              <w:rPr>
                <w:rFonts w:cs="Calibri"/>
              </w:rPr>
            </w:pPr>
            <w:r>
              <w:rPr>
                <w:rFonts w:cs="Calibri"/>
              </w:rPr>
              <w:t>30.</w:t>
            </w:r>
            <w:r w:rsidRPr="00DD47DF">
              <w:rPr>
                <w:rFonts w:cs="Calibri"/>
              </w:rPr>
              <w:t>6</w:t>
            </w:r>
            <w:r>
              <w:rPr>
                <w:rFonts w:cs="Calibri"/>
              </w:rPr>
              <w:t>.</w:t>
            </w:r>
            <w:r w:rsidRPr="00DD47DF">
              <w:rPr>
                <w:rFonts w:cs="Calibri"/>
              </w:rPr>
              <w:t>2015</w:t>
            </w:r>
          </w:p>
          <w:p w14:paraId="6179105C" w14:textId="77777777" w:rsidR="006D2F5F" w:rsidRPr="00DD47DF" w:rsidRDefault="006D2F5F" w:rsidP="006D2F5F">
            <w:pPr>
              <w:pStyle w:val="Tabulka"/>
              <w:jc w:val="left"/>
              <w:rPr>
                <w:rFonts w:cs="Calibri"/>
              </w:rPr>
            </w:pPr>
          </w:p>
          <w:p w14:paraId="7C758744" w14:textId="77777777" w:rsidR="006D2F5F" w:rsidRPr="00DD47DF" w:rsidRDefault="006D2F5F" w:rsidP="006D2F5F">
            <w:pPr>
              <w:pStyle w:val="Tabulka"/>
              <w:jc w:val="left"/>
              <w:rPr>
                <w:rFonts w:cs="Calibri"/>
              </w:rPr>
            </w:pPr>
          </w:p>
        </w:tc>
        <w:tc>
          <w:tcPr>
            <w:tcW w:w="0" w:type="auto"/>
            <w:tcBorders>
              <w:top w:val="single" w:sz="4" w:space="0" w:color="auto"/>
              <w:left w:val="nil"/>
              <w:right w:val="single" w:sz="8" w:space="0" w:color="auto"/>
            </w:tcBorders>
            <w:shd w:val="clear" w:color="auto" w:fill="auto"/>
          </w:tcPr>
          <w:p w14:paraId="43D32EDE" w14:textId="77777777" w:rsidR="006D2F5F" w:rsidRPr="00DD47DF" w:rsidRDefault="006D2F5F" w:rsidP="006D2F5F">
            <w:pPr>
              <w:pStyle w:val="Tabulka"/>
              <w:spacing w:before="0" w:after="0"/>
              <w:jc w:val="left"/>
              <w:rPr>
                <w:rFonts w:cs="Calibri"/>
              </w:rPr>
            </w:pPr>
            <w:r w:rsidRPr="00DD47DF">
              <w:rPr>
                <w:rFonts w:cs="Calibri"/>
              </w:rPr>
              <w:t>MPO</w:t>
            </w:r>
          </w:p>
          <w:p w14:paraId="17B9DB89" w14:textId="77777777" w:rsidR="006D2F5F" w:rsidRPr="00DD47DF" w:rsidRDefault="006D2F5F" w:rsidP="005B5EFF">
            <w:pPr>
              <w:pStyle w:val="Tabulka"/>
              <w:spacing w:before="0" w:after="0"/>
              <w:jc w:val="left"/>
              <w:rPr>
                <w:rFonts w:cs="Calibri"/>
              </w:rPr>
            </w:pPr>
          </w:p>
        </w:tc>
      </w:tr>
      <w:tr w:rsidR="006D2F5F" w:rsidRPr="00DD47DF" w14:paraId="0840CE23" w14:textId="77777777" w:rsidTr="00437632">
        <w:trPr>
          <w:trHeight w:val="364"/>
        </w:trPr>
        <w:tc>
          <w:tcPr>
            <w:tcW w:w="0" w:type="auto"/>
            <w:tcBorders>
              <w:top w:val="nil"/>
              <w:left w:val="single" w:sz="8" w:space="0" w:color="auto"/>
              <w:bottom w:val="single" w:sz="4" w:space="0" w:color="000000"/>
              <w:right w:val="double" w:sz="6" w:space="0" w:color="auto"/>
            </w:tcBorders>
            <w:shd w:val="clear" w:color="auto" w:fill="auto"/>
          </w:tcPr>
          <w:p w14:paraId="20BA8DBE" w14:textId="77777777" w:rsidR="006D2F5F" w:rsidRPr="00DD47DF" w:rsidRDefault="006D2F5F" w:rsidP="00917C08">
            <w:pPr>
              <w:pStyle w:val="Tabulka"/>
              <w:jc w:val="left"/>
              <w:rPr>
                <w:rFonts w:cs="Calibri"/>
                <w:b/>
              </w:rPr>
            </w:pPr>
            <w:r w:rsidRPr="00DD47DF">
              <w:rPr>
                <w:rFonts w:cs="Calibri"/>
                <w:b/>
              </w:rPr>
              <w:t xml:space="preserve">3.1. </w:t>
            </w:r>
            <w:r w:rsidR="00917C08" w:rsidRPr="00DD47DF">
              <w:rPr>
                <w:rFonts w:cs="Calibri"/>
                <w:b/>
              </w:rPr>
              <w:t>Byla provedena zvláštní opatření, o něž se opírá podpora podnikání, zohledňující „Small Business Act“ (SBA).</w:t>
            </w:r>
          </w:p>
        </w:tc>
        <w:tc>
          <w:tcPr>
            <w:tcW w:w="0" w:type="auto"/>
            <w:tcBorders>
              <w:top w:val="single" w:sz="4" w:space="0" w:color="auto"/>
              <w:left w:val="nil"/>
              <w:right w:val="double" w:sz="6" w:space="0" w:color="auto"/>
            </w:tcBorders>
            <w:shd w:val="clear" w:color="auto" w:fill="auto"/>
          </w:tcPr>
          <w:p w14:paraId="2FDC7D1A" w14:textId="77777777" w:rsidR="006D2F5F" w:rsidRPr="00DD47DF" w:rsidRDefault="006D2F5F" w:rsidP="006D2F5F">
            <w:pPr>
              <w:pStyle w:val="Tabulka"/>
              <w:jc w:val="left"/>
              <w:rPr>
                <w:rFonts w:cs="Calibri"/>
              </w:rPr>
            </w:pPr>
            <w:r w:rsidRPr="00DD47DF">
              <w:rPr>
                <w:rFonts w:cs="Calibri"/>
              </w:rPr>
              <w:t xml:space="preserve"> opatření zavedená s cílem zkrátit dobu potřebnou k založení firmy a snížit příslušné náklady, která zohledňují cíle SBA</w:t>
            </w:r>
          </w:p>
        </w:tc>
        <w:tc>
          <w:tcPr>
            <w:tcW w:w="6946" w:type="dxa"/>
            <w:tcBorders>
              <w:top w:val="single" w:sz="4" w:space="0" w:color="auto"/>
              <w:left w:val="nil"/>
              <w:right w:val="double" w:sz="6" w:space="0" w:color="auto"/>
            </w:tcBorders>
            <w:shd w:val="clear" w:color="auto" w:fill="auto"/>
          </w:tcPr>
          <w:p w14:paraId="38B8286F" w14:textId="77777777" w:rsidR="00C03599" w:rsidRPr="00DD47DF" w:rsidRDefault="006D2F5F" w:rsidP="00C03599">
            <w:pPr>
              <w:pStyle w:val="Tabulka"/>
              <w:jc w:val="left"/>
              <w:rPr>
                <w:rFonts w:cs="Calibri"/>
              </w:rPr>
            </w:pPr>
            <w:r w:rsidRPr="00DD47DF">
              <w:rPr>
                <w:rFonts w:cs="Calibri"/>
              </w:rPr>
              <w:t xml:space="preserve">Návrh legislativního řešení </w:t>
            </w:r>
            <w:r w:rsidR="003D49D0" w:rsidRPr="00DD47DF">
              <w:rPr>
                <w:rFonts w:cs="Calibri"/>
              </w:rPr>
              <w:t xml:space="preserve">osvobození od soudních poplatků a </w:t>
            </w:r>
            <w:r w:rsidRPr="00DD47DF">
              <w:rPr>
                <w:rFonts w:cs="Calibri"/>
              </w:rPr>
              <w:t>snížení odměny notáře za zakládání podniků (společností)</w:t>
            </w:r>
          </w:p>
          <w:p w14:paraId="0BF409F0" w14:textId="77777777" w:rsidR="006D2F5F" w:rsidRPr="00DD47DF" w:rsidRDefault="003D49D0" w:rsidP="006D2F5F">
            <w:pPr>
              <w:pStyle w:val="Tabulka"/>
              <w:jc w:val="left"/>
              <w:rPr>
                <w:rFonts w:cs="Calibri"/>
              </w:rPr>
            </w:pPr>
            <w:r w:rsidRPr="00DD47DF">
              <w:rPr>
                <w:rFonts w:cs="Calibri"/>
              </w:rPr>
              <w:t>Předložení návrhu novely vládě:</w:t>
            </w:r>
          </w:p>
          <w:p w14:paraId="2C2DE6F9" w14:textId="77777777" w:rsidR="003D49D0" w:rsidRPr="00DD47DF" w:rsidRDefault="003D49D0" w:rsidP="006D2F5F">
            <w:pPr>
              <w:pStyle w:val="Tabulka"/>
              <w:jc w:val="left"/>
              <w:rPr>
                <w:rFonts w:cs="Calibri"/>
              </w:rPr>
            </w:pPr>
            <w:r w:rsidRPr="00DD47DF">
              <w:rPr>
                <w:rFonts w:cs="Calibri"/>
              </w:rPr>
              <w:t>12/2014</w:t>
            </w:r>
          </w:p>
          <w:p w14:paraId="7802AD6E" w14:textId="77777777" w:rsidR="003D49D0" w:rsidRPr="00DD47DF" w:rsidRDefault="003D49D0" w:rsidP="006D2F5F">
            <w:pPr>
              <w:pStyle w:val="Tabulka"/>
              <w:jc w:val="left"/>
              <w:rPr>
                <w:rFonts w:cs="Calibri"/>
              </w:rPr>
            </w:pPr>
            <w:r w:rsidRPr="00DD47DF">
              <w:rPr>
                <w:rFonts w:cs="Calibri"/>
              </w:rPr>
              <w:t>Nabytí účinnosti novely:</w:t>
            </w:r>
          </w:p>
          <w:p w14:paraId="19C44009" w14:textId="77777777" w:rsidR="003D49D0" w:rsidRPr="00DD47DF" w:rsidRDefault="003D49D0" w:rsidP="006D2F5F">
            <w:pPr>
              <w:pStyle w:val="Tabulka"/>
              <w:jc w:val="left"/>
              <w:rPr>
                <w:rFonts w:cs="Calibri"/>
              </w:rPr>
            </w:pPr>
            <w:r w:rsidRPr="00DD47DF">
              <w:rPr>
                <w:rFonts w:cs="Calibri"/>
              </w:rPr>
              <w:t>10/2015</w:t>
            </w:r>
          </w:p>
          <w:p w14:paraId="18D9627A" w14:textId="77777777" w:rsidR="006D2F5F" w:rsidRPr="00DD47DF" w:rsidRDefault="006D2F5F" w:rsidP="006D2F5F">
            <w:pPr>
              <w:pStyle w:val="Tabulka"/>
              <w:jc w:val="left"/>
              <w:rPr>
                <w:rFonts w:cs="Calibri"/>
              </w:rPr>
            </w:pPr>
            <w:r w:rsidRPr="00DD47DF">
              <w:rPr>
                <w:rFonts w:cs="Calibri"/>
              </w:rPr>
              <w:t>Podrobn</w:t>
            </w:r>
            <w:r w:rsidR="00C03599" w:rsidRPr="00DD47DF">
              <w:rPr>
                <w:rFonts w:cs="Calibri"/>
              </w:rPr>
              <w:t>ěji</w:t>
            </w:r>
            <w:r w:rsidRPr="00DD47DF">
              <w:rPr>
                <w:rFonts w:cs="Calibri"/>
              </w:rPr>
              <w:t xml:space="preserve"> viz Příloha II</w:t>
            </w:r>
            <w:r w:rsidR="00C03599" w:rsidRPr="00DD47DF">
              <w:rPr>
                <w:rFonts w:cs="Calibri"/>
              </w:rPr>
              <w:t xml:space="preserve"> a Akční plán</w:t>
            </w:r>
            <w:r w:rsidRPr="00DD47DF">
              <w:rPr>
                <w:rFonts w:cs="Calibri"/>
              </w:rPr>
              <w:t>.</w:t>
            </w:r>
          </w:p>
        </w:tc>
        <w:tc>
          <w:tcPr>
            <w:tcW w:w="1801" w:type="dxa"/>
            <w:tcBorders>
              <w:top w:val="single" w:sz="4" w:space="0" w:color="auto"/>
              <w:left w:val="nil"/>
              <w:right w:val="double" w:sz="6" w:space="0" w:color="auto"/>
            </w:tcBorders>
            <w:shd w:val="clear" w:color="auto" w:fill="auto"/>
          </w:tcPr>
          <w:p w14:paraId="66A3A78D" w14:textId="77777777" w:rsidR="003D49D0" w:rsidRPr="00DD47DF" w:rsidRDefault="002D0399" w:rsidP="006D2F5F">
            <w:pPr>
              <w:pStyle w:val="Tabulka"/>
              <w:jc w:val="left"/>
              <w:rPr>
                <w:rFonts w:cs="Calibri"/>
              </w:rPr>
            </w:pPr>
            <w:r>
              <w:rPr>
                <w:rFonts w:cs="Calibri"/>
              </w:rPr>
              <w:t>31.10.</w:t>
            </w:r>
            <w:r w:rsidR="003D49D0" w:rsidRPr="00DD47DF">
              <w:rPr>
                <w:rFonts w:cs="Calibri"/>
              </w:rPr>
              <w:t>2015</w:t>
            </w:r>
          </w:p>
        </w:tc>
        <w:tc>
          <w:tcPr>
            <w:tcW w:w="0" w:type="auto"/>
            <w:tcBorders>
              <w:top w:val="single" w:sz="4" w:space="0" w:color="auto"/>
              <w:left w:val="nil"/>
              <w:right w:val="single" w:sz="8" w:space="0" w:color="auto"/>
            </w:tcBorders>
            <w:shd w:val="clear" w:color="auto" w:fill="auto"/>
          </w:tcPr>
          <w:p w14:paraId="2F5FC622" w14:textId="77777777" w:rsidR="006D2F5F" w:rsidRPr="00DD47DF" w:rsidRDefault="006D2F5F" w:rsidP="006D2F5F">
            <w:pPr>
              <w:pStyle w:val="Tabulka"/>
              <w:jc w:val="left"/>
              <w:rPr>
                <w:rFonts w:cs="Calibri"/>
              </w:rPr>
            </w:pPr>
            <w:r w:rsidRPr="00DD47DF">
              <w:rPr>
                <w:rFonts w:cs="Calibri"/>
              </w:rPr>
              <w:t>MSp</w:t>
            </w:r>
          </w:p>
        </w:tc>
      </w:tr>
      <w:tr w:rsidR="006D2F5F" w:rsidRPr="00DD47DF" w14:paraId="303316C1" w14:textId="77777777" w:rsidTr="00437632">
        <w:trPr>
          <w:trHeight w:val="363"/>
        </w:trPr>
        <w:tc>
          <w:tcPr>
            <w:tcW w:w="0" w:type="auto"/>
            <w:vMerge w:val="restart"/>
            <w:tcBorders>
              <w:top w:val="single" w:sz="4" w:space="0" w:color="auto"/>
              <w:left w:val="single" w:sz="8" w:space="0" w:color="auto"/>
              <w:right w:val="double" w:sz="6" w:space="0" w:color="auto"/>
            </w:tcBorders>
            <w:shd w:val="clear" w:color="auto" w:fill="auto"/>
          </w:tcPr>
          <w:p w14:paraId="3930C8A4" w14:textId="77777777" w:rsidR="006D2F5F" w:rsidRPr="00DD47DF" w:rsidRDefault="006D2F5F" w:rsidP="006D2F5F">
            <w:pPr>
              <w:pStyle w:val="Tabulka"/>
              <w:jc w:val="left"/>
              <w:rPr>
                <w:rFonts w:cs="Calibri"/>
                <w:b/>
              </w:rPr>
            </w:pPr>
            <w:r w:rsidRPr="00DD47DF">
              <w:rPr>
                <w:rFonts w:cs="Calibri"/>
                <w:b/>
              </w:rPr>
              <w:lastRenderedPageBreak/>
              <w:t>4.1. Byla provedena opatření na podporu nákladově efektivního zvyšování energetické účinnosti u koncového uživatele a nákladově efektivních investic do energetické účinnosti při výstavbě a renovaci budov</w:t>
            </w:r>
          </w:p>
        </w:tc>
        <w:tc>
          <w:tcPr>
            <w:tcW w:w="0" w:type="auto"/>
            <w:tcBorders>
              <w:top w:val="single" w:sz="4" w:space="0" w:color="auto"/>
              <w:left w:val="nil"/>
              <w:right w:val="double" w:sz="6" w:space="0" w:color="auto"/>
            </w:tcBorders>
            <w:shd w:val="clear" w:color="auto" w:fill="auto"/>
          </w:tcPr>
          <w:p w14:paraId="1F8E10B3" w14:textId="77777777" w:rsidR="006D2F5F" w:rsidRPr="00DD47DF" w:rsidRDefault="006D2F5F" w:rsidP="006D2F5F">
            <w:pPr>
              <w:pStyle w:val="Tabulka"/>
              <w:jc w:val="left"/>
              <w:rPr>
                <w:rFonts w:cs="Calibri"/>
              </w:rPr>
            </w:pPr>
            <w:r w:rsidRPr="00DD47DF">
              <w:rPr>
                <w:rFonts w:cs="Calibri"/>
              </w:rPr>
              <w:t>Opatření k zajištění minimálních požadavků týkajících se energetické náročnosti budov v souladu s články 3, 4 a 5 směrnice Evropského parlamentu a Rady 2010/31/EU,</w:t>
            </w:r>
          </w:p>
        </w:tc>
        <w:tc>
          <w:tcPr>
            <w:tcW w:w="6946" w:type="dxa"/>
            <w:tcBorders>
              <w:top w:val="single" w:sz="4" w:space="0" w:color="auto"/>
              <w:left w:val="nil"/>
              <w:bottom w:val="single" w:sz="4" w:space="0" w:color="auto"/>
              <w:right w:val="double" w:sz="6" w:space="0" w:color="auto"/>
            </w:tcBorders>
            <w:shd w:val="clear" w:color="auto" w:fill="auto"/>
          </w:tcPr>
          <w:p w14:paraId="282363B1" w14:textId="77777777" w:rsidR="006D2F5F" w:rsidRPr="00DD47DF" w:rsidRDefault="006D2F5F" w:rsidP="006D2F5F">
            <w:pPr>
              <w:pStyle w:val="Tabulka"/>
              <w:jc w:val="left"/>
              <w:rPr>
                <w:rFonts w:cs="Calibri"/>
              </w:rPr>
            </w:pPr>
            <w:r w:rsidRPr="00DD47DF">
              <w:rPr>
                <w:rFonts w:cs="Calibri"/>
              </w:rPr>
              <w:t xml:space="preserve">Úprava zákona č. 406/2000 Sb., o hospodaření s energií a vyhlášky č. 78/2013 Sb. </w:t>
            </w:r>
          </w:p>
          <w:p w14:paraId="70B44DC5" w14:textId="77777777" w:rsidR="008C4BF4" w:rsidRPr="00DD47DF" w:rsidRDefault="008C4BF4" w:rsidP="008C4BF4">
            <w:pPr>
              <w:pStyle w:val="Tabulka"/>
              <w:jc w:val="left"/>
              <w:rPr>
                <w:rFonts w:cs="Calibri"/>
              </w:rPr>
            </w:pPr>
            <w:r w:rsidRPr="00DD47DF">
              <w:rPr>
                <w:rFonts w:cs="Calibri"/>
              </w:rPr>
              <w:t>Předložení návrhu vládě</w:t>
            </w:r>
          </w:p>
          <w:p w14:paraId="501881EA" w14:textId="77777777" w:rsidR="008C4BF4" w:rsidRPr="00DD47DF" w:rsidRDefault="008C4BF4" w:rsidP="008C4BF4">
            <w:pPr>
              <w:pStyle w:val="Tabulka"/>
              <w:jc w:val="left"/>
              <w:rPr>
                <w:rFonts w:cs="Calibri"/>
              </w:rPr>
            </w:pPr>
            <w:r w:rsidRPr="00DD47DF">
              <w:rPr>
                <w:rFonts w:cs="Calibri"/>
              </w:rPr>
              <w:t>7/2014</w:t>
            </w:r>
          </w:p>
          <w:p w14:paraId="573CD7E1" w14:textId="77777777" w:rsidR="008C4BF4" w:rsidRPr="00DD47DF" w:rsidRDefault="008C4BF4" w:rsidP="008C4BF4">
            <w:pPr>
              <w:pStyle w:val="Tabulka"/>
              <w:jc w:val="left"/>
              <w:rPr>
                <w:rFonts w:cs="Calibri"/>
              </w:rPr>
            </w:pPr>
            <w:r w:rsidRPr="00DD47DF">
              <w:rPr>
                <w:rFonts w:cs="Calibri"/>
              </w:rPr>
              <w:t xml:space="preserve">Předložení Parlamentu </w:t>
            </w:r>
          </w:p>
          <w:p w14:paraId="5432C5D4" w14:textId="77777777" w:rsidR="008C4BF4" w:rsidRPr="00DD47DF" w:rsidRDefault="008C4BF4" w:rsidP="008C4BF4">
            <w:pPr>
              <w:pStyle w:val="Tabulka"/>
              <w:jc w:val="left"/>
              <w:rPr>
                <w:rFonts w:cs="Calibri"/>
              </w:rPr>
            </w:pPr>
            <w:r w:rsidRPr="00DD47DF">
              <w:rPr>
                <w:rFonts w:cs="Calibri"/>
              </w:rPr>
              <w:t>9/2014</w:t>
            </w:r>
          </w:p>
          <w:p w14:paraId="3ADC2FDB" w14:textId="77777777" w:rsidR="008C4BF4" w:rsidRPr="00DD47DF" w:rsidRDefault="008C4BF4" w:rsidP="008C4BF4">
            <w:pPr>
              <w:pStyle w:val="Tabulka"/>
              <w:jc w:val="left"/>
              <w:rPr>
                <w:rFonts w:cs="Calibri"/>
              </w:rPr>
            </w:pPr>
            <w:r w:rsidRPr="00DD47DF">
              <w:rPr>
                <w:rFonts w:cs="Calibri"/>
              </w:rPr>
              <w:t>Předpokládané nabytí účinnosti</w:t>
            </w:r>
          </w:p>
          <w:p w14:paraId="2C24B63B" w14:textId="77777777" w:rsidR="006D2F5F" w:rsidRPr="00DD47DF" w:rsidDel="00C8176E" w:rsidRDefault="00F907CF" w:rsidP="008C4BF4">
            <w:pPr>
              <w:pStyle w:val="Tabulka"/>
              <w:jc w:val="left"/>
              <w:rPr>
                <w:rFonts w:cs="Calibri"/>
              </w:rPr>
            </w:pPr>
            <w:r w:rsidRPr="00DD47DF">
              <w:rPr>
                <w:rFonts w:cs="Calibri"/>
              </w:rPr>
              <w:t>7</w:t>
            </w:r>
            <w:r w:rsidR="008C4BF4" w:rsidRPr="00DD47DF">
              <w:rPr>
                <w:rFonts w:cs="Calibri"/>
              </w:rPr>
              <w:t>/2015</w:t>
            </w:r>
          </w:p>
          <w:p w14:paraId="176FCED3" w14:textId="77777777" w:rsidR="006D2F5F" w:rsidRPr="00DD47DF" w:rsidRDefault="006D2F5F"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375E42E1" w14:textId="77777777" w:rsidR="006D2F5F" w:rsidRPr="00DD47DF" w:rsidRDefault="00CC5680" w:rsidP="006D2F5F">
            <w:pPr>
              <w:pStyle w:val="Tabulka"/>
              <w:jc w:val="left"/>
              <w:rPr>
                <w:rFonts w:cs="Calibri"/>
              </w:rPr>
            </w:pPr>
            <w:r>
              <w:rPr>
                <w:rFonts w:cs="Calibri"/>
              </w:rPr>
              <w:t>1.7.2015</w:t>
            </w:r>
          </w:p>
        </w:tc>
        <w:tc>
          <w:tcPr>
            <w:tcW w:w="0" w:type="auto"/>
            <w:tcBorders>
              <w:top w:val="single" w:sz="4" w:space="0" w:color="auto"/>
              <w:left w:val="nil"/>
              <w:bottom w:val="single" w:sz="4" w:space="0" w:color="auto"/>
              <w:right w:val="single" w:sz="8" w:space="0" w:color="auto"/>
            </w:tcBorders>
            <w:shd w:val="clear" w:color="auto" w:fill="auto"/>
          </w:tcPr>
          <w:p w14:paraId="36387D7E" w14:textId="77777777" w:rsidR="006D2F5F" w:rsidRPr="00DD47DF" w:rsidRDefault="006D2F5F" w:rsidP="006D2F5F">
            <w:pPr>
              <w:pStyle w:val="Tabulka"/>
              <w:jc w:val="left"/>
              <w:rPr>
                <w:rFonts w:cs="Calibri"/>
              </w:rPr>
            </w:pPr>
            <w:r w:rsidRPr="00DD47DF">
              <w:rPr>
                <w:rFonts w:cs="Calibri"/>
              </w:rPr>
              <w:t>MPO</w:t>
            </w:r>
          </w:p>
        </w:tc>
      </w:tr>
      <w:tr w:rsidR="006D2F5F" w:rsidRPr="00DD47DF" w14:paraId="0425B68F" w14:textId="77777777" w:rsidTr="00CE43D2">
        <w:trPr>
          <w:trHeight w:val="3057"/>
        </w:trPr>
        <w:tc>
          <w:tcPr>
            <w:tcW w:w="0" w:type="auto"/>
            <w:vMerge/>
            <w:tcBorders>
              <w:left w:val="single" w:sz="8" w:space="0" w:color="auto"/>
              <w:right w:val="double" w:sz="6" w:space="0" w:color="auto"/>
            </w:tcBorders>
            <w:shd w:val="clear" w:color="auto" w:fill="auto"/>
          </w:tcPr>
          <w:p w14:paraId="32FCA4A2"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2144AF5F" w14:textId="77777777" w:rsidR="006D2F5F" w:rsidRPr="00DD47DF" w:rsidRDefault="006D2F5F" w:rsidP="006D2F5F">
            <w:pPr>
              <w:pStyle w:val="Tabulka"/>
              <w:jc w:val="left"/>
              <w:rPr>
                <w:rFonts w:cs="Calibri"/>
              </w:rPr>
            </w:pPr>
            <w:r w:rsidRPr="00DD47DF">
              <w:rPr>
                <w:rFonts w:cs="Calibri"/>
              </w:rPr>
              <w:t>Opatření nezbytná pro zavedení systému certifikace energetické náročnosti budov v souladu s článkem 11 směrnice 2010/31/EU,</w:t>
            </w:r>
          </w:p>
        </w:tc>
        <w:tc>
          <w:tcPr>
            <w:tcW w:w="6946" w:type="dxa"/>
            <w:tcBorders>
              <w:top w:val="single" w:sz="4" w:space="0" w:color="auto"/>
              <w:left w:val="nil"/>
              <w:right w:val="double" w:sz="6" w:space="0" w:color="auto"/>
            </w:tcBorders>
            <w:shd w:val="clear" w:color="auto" w:fill="auto"/>
          </w:tcPr>
          <w:p w14:paraId="6308A527" w14:textId="77777777" w:rsidR="006D2F5F" w:rsidRPr="00DD47DF" w:rsidRDefault="006D2F5F" w:rsidP="006D2F5F">
            <w:pPr>
              <w:pStyle w:val="Tabulka"/>
              <w:jc w:val="left"/>
              <w:rPr>
                <w:rFonts w:cs="Calibri"/>
              </w:rPr>
            </w:pPr>
            <w:r w:rsidRPr="00DD47DF">
              <w:rPr>
                <w:rFonts w:cs="Calibri"/>
              </w:rPr>
              <w:t xml:space="preserve">Úprava zákona č. 406/2000 Sb., o hospodaření s energií a vyhlášky č. 78/2013 Sb. </w:t>
            </w:r>
          </w:p>
          <w:p w14:paraId="5DB4BA9C" w14:textId="77777777" w:rsidR="008C4BF4" w:rsidRPr="00DD47DF" w:rsidRDefault="008C4BF4" w:rsidP="008C4BF4">
            <w:pPr>
              <w:pStyle w:val="Tabulka"/>
              <w:jc w:val="left"/>
              <w:rPr>
                <w:rFonts w:cs="Calibri"/>
              </w:rPr>
            </w:pPr>
            <w:r w:rsidRPr="00DD47DF">
              <w:rPr>
                <w:rFonts w:cs="Calibri"/>
              </w:rPr>
              <w:t>Předložení návrhu vládě</w:t>
            </w:r>
          </w:p>
          <w:p w14:paraId="7967CCA8" w14:textId="77777777" w:rsidR="008C4BF4" w:rsidRPr="00DD47DF" w:rsidRDefault="008C4BF4" w:rsidP="008C4BF4">
            <w:pPr>
              <w:pStyle w:val="Tabulka"/>
              <w:jc w:val="left"/>
              <w:rPr>
                <w:rFonts w:cs="Calibri"/>
              </w:rPr>
            </w:pPr>
            <w:r w:rsidRPr="00DD47DF">
              <w:rPr>
                <w:rFonts w:cs="Calibri"/>
              </w:rPr>
              <w:t>7/2014</w:t>
            </w:r>
          </w:p>
          <w:p w14:paraId="1E234F01" w14:textId="77777777" w:rsidR="008C4BF4" w:rsidRPr="00DD47DF" w:rsidRDefault="008C4BF4" w:rsidP="008C4BF4">
            <w:pPr>
              <w:pStyle w:val="Tabulka"/>
              <w:jc w:val="left"/>
              <w:rPr>
                <w:rFonts w:cs="Calibri"/>
              </w:rPr>
            </w:pPr>
            <w:r w:rsidRPr="00DD47DF">
              <w:rPr>
                <w:rFonts w:cs="Calibri"/>
              </w:rPr>
              <w:t xml:space="preserve">Předložení Parlamentu </w:t>
            </w:r>
          </w:p>
          <w:p w14:paraId="4B9AAA83" w14:textId="77777777" w:rsidR="008C4BF4" w:rsidRPr="00DD47DF" w:rsidRDefault="008C4BF4" w:rsidP="008C4BF4">
            <w:pPr>
              <w:pStyle w:val="Tabulka"/>
              <w:jc w:val="left"/>
              <w:rPr>
                <w:rFonts w:cs="Calibri"/>
              </w:rPr>
            </w:pPr>
            <w:r w:rsidRPr="00DD47DF">
              <w:rPr>
                <w:rFonts w:cs="Calibri"/>
              </w:rPr>
              <w:t>9/2014</w:t>
            </w:r>
          </w:p>
          <w:p w14:paraId="078C3291" w14:textId="77777777" w:rsidR="008C4BF4" w:rsidRPr="00DD47DF" w:rsidRDefault="008C4BF4" w:rsidP="008C4BF4">
            <w:pPr>
              <w:pStyle w:val="Tabulka"/>
              <w:jc w:val="left"/>
              <w:rPr>
                <w:rFonts w:cs="Calibri"/>
              </w:rPr>
            </w:pPr>
            <w:r w:rsidRPr="00DD47DF">
              <w:rPr>
                <w:rFonts w:cs="Calibri"/>
              </w:rPr>
              <w:t>Předpokládané nabytí účinnosti</w:t>
            </w:r>
          </w:p>
          <w:p w14:paraId="287CA963" w14:textId="77777777" w:rsidR="006D2F5F" w:rsidRPr="00DD47DF" w:rsidDel="008E10C9" w:rsidRDefault="00F907CF" w:rsidP="008C4BF4">
            <w:pPr>
              <w:pStyle w:val="Tabulka"/>
              <w:jc w:val="left"/>
              <w:rPr>
                <w:rFonts w:cs="Calibri"/>
              </w:rPr>
            </w:pPr>
            <w:r w:rsidRPr="00DD47DF">
              <w:rPr>
                <w:rFonts w:cs="Calibri"/>
              </w:rPr>
              <w:t>7</w:t>
            </w:r>
            <w:r w:rsidR="008C4BF4" w:rsidRPr="00DD47DF">
              <w:rPr>
                <w:rFonts w:cs="Calibri"/>
              </w:rPr>
              <w:t>/2015</w:t>
            </w:r>
          </w:p>
          <w:p w14:paraId="517B0418" w14:textId="77777777" w:rsidR="006D2F5F" w:rsidRPr="00DD47DF" w:rsidRDefault="006D2F5F" w:rsidP="006D2F5F">
            <w:pPr>
              <w:pStyle w:val="Tabulka"/>
              <w:jc w:val="left"/>
              <w:rPr>
                <w:rFonts w:cs="Calibri"/>
              </w:rPr>
            </w:pPr>
          </w:p>
        </w:tc>
        <w:tc>
          <w:tcPr>
            <w:tcW w:w="1801" w:type="dxa"/>
            <w:tcBorders>
              <w:top w:val="single" w:sz="4" w:space="0" w:color="auto"/>
              <w:left w:val="nil"/>
              <w:right w:val="double" w:sz="6" w:space="0" w:color="auto"/>
            </w:tcBorders>
            <w:shd w:val="clear" w:color="auto" w:fill="auto"/>
          </w:tcPr>
          <w:p w14:paraId="7758F158" w14:textId="77777777" w:rsidR="006D2F5F" w:rsidRPr="00DD47DF" w:rsidRDefault="00CC5680" w:rsidP="006D2F5F">
            <w:pPr>
              <w:pStyle w:val="Tabulka"/>
              <w:jc w:val="left"/>
              <w:rPr>
                <w:rFonts w:cs="Calibri"/>
              </w:rPr>
            </w:pPr>
            <w:r>
              <w:rPr>
                <w:rFonts w:cs="Calibri"/>
              </w:rPr>
              <w:t>1.7.2015</w:t>
            </w:r>
          </w:p>
        </w:tc>
        <w:tc>
          <w:tcPr>
            <w:tcW w:w="0" w:type="auto"/>
            <w:tcBorders>
              <w:top w:val="single" w:sz="4" w:space="0" w:color="auto"/>
              <w:left w:val="nil"/>
              <w:right w:val="single" w:sz="8" w:space="0" w:color="auto"/>
            </w:tcBorders>
            <w:shd w:val="clear" w:color="auto" w:fill="auto"/>
          </w:tcPr>
          <w:p w14:paraId="2A2FBB00" w14:textId="77777777" w:rsidR="006D2F5F" w:rsidRPr="00DD47DF" w:rsidRDefault="006D2F5F" w:rsidP="006D2F5F">
            <w:pPr>
              <w:pStyle w:val="Tabulka"/>
              <w:jc w:val="left"/>
              <w:rPr>
                <w:rFonts w:cs="Calibri"/>
              </w:rPr>
            </w:pPr>
            <w:r w:rsidRPr="00DD47DF">
              <w:rPr>
                <w:rFonts w:cs="Calibri"/>
              </w:rPr>
              <w:t>MPO</w:t>
            </w:r>
          </w:p>
        </w:tc>
      </w:tr>
      <w:tr w:rsidR="006D2F5F" w:rsidRPr="00DD47DF" w14:paraId="1370A6F1" w14:textId="77777777" w:rsidTr="002D60A4">
        <w:trPr>
          <w:trHeight w:val="2444"/>
        </w:trPr>
        <w:tc>
          <w:tcPr>
            <w:tcW w:w="0" w:type="auto"/>
            <w:vMerge/>
            <w:tcBorders>
              <w:left w:val="single" w:sz="8" w:space="0" w:color="auto"/>
              <w:right w:val="double" w:sz="6" w:space="0" w:color="auto"/>
            </w:tcBorders>
            <w:shd w:val="clear" w:color="auto" w:fill="auto"/>
          </w:tcPr>
          <w:p w14:paraId="35D95155"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6D120B5C" w14:textId="77777777" w:rsidR="006D2F5F" w:rsidRPr="00DD47DF" w:rsidRDefault="006D2F5F" w:rsidP="006D2F5F">
            <w:pPr>
              <w:pStyle w:val="Tabulka"/>
              <w:jc w:val="left"/>
              <w:rPr>
                <w:rFonts w:cs="Calibri"/>
              </w:rPr>
            </w:pPr>
            <w:r w:rsidRPr="00DD47DF">
              <w:rPr>
                <w:rFonts w:cs="Calibri"/>
              </w:rPr>
              <w:t>Opatření k zajištění strategického plánování v oblasti energetické účinnosti v souladu s čl. 3 směrnice 2012/27/EU</w:t>
            </w:r>
            <w:r w:rsidRPr="00DD47DF">
              <w:rPr>
                <w:rStyle w:val="Znakapoznpodarou"/>
                <w:rFonts w:cs="Calibri"/>
              </w:rPr>
              <w:footnoteReference w:id="104"/>
            </w:r>
          </w:p>
        </w:tc>
        <w:tc>
          <w:tcPr>
            <w:tcW w:w="6946" w:type="dxa"/>
            <w:tcBorders>
              <w:top w:val="single" w:sz="4" w:space="0" w:color="auto"/>
              <w:left w:val="nil"/>
              <w:bottom w:val="single" w:sz="4" w:space="0" w:color="auto"/>
              <w:right w:val="double" w:sz="6" w:space="0" w:color="auto"/>
            </w:tcBorders>
            <w:shd w:val="clear" w:color="auto" w:fill="auto"/>
          </w:tcPr>
          <w:p w14:paraId="684AAE52" w14:textId="77777777" w:rsidR="006D2F5F" w:rsidRPr="00DD47DF" w:rsidRDefault="006D2F5F" w:rsidP="006D2F5F">
            <w:pPr>
              <w:pStyle w:val="Tabulka"/>
              <w:keepNext/>
              <w:keepLines/>
              <w:jc w:val="left"/>
              <w:rPr>
                <w:rFonts w:cs="Calibri"/>
              </w:rPr>
            </w:pPr>
            <w:r w:rsidRPr="00DD47DF">
              <w:rPr>
                <w:rFonts w:cs="Calibri"/>
              </w:rPr>
              <w:t>Novela zákona č. 406/2000 Sb., o hospodaření s energií</w:t>
            </w:r>
          </w:p>
          <w:p w14:paraId="140E8131" w14:textId="77777777" w:rsidR="008C4BF4" w:rsidRPr="00DD47DF" w:rsidRDefault="008C4BF4" w:rsidP="008C4BF4">
            <w:pPr>
              <w:pStyle w:val="Tabulka"/>
              <w:keepNext/>
              <w:keepLines/>
              <w:jc w:val="left"/>
              <w:rPr>
                <w:rFonts w:cs="Calibri"/>
              </w:rPr>
            </w:pPr>
            <w:r w:rsidRPr="00DD47DF">
              <w:rPr>
                <w:rFonts w:cs="Calibri"/>
              </w:rPr>
              <w:t>Zákon č. 406/2000 Sb.:</w:t>
            </w:r>
          </w:p>
          <w:p w14:paraId="0B7F02E1"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229E2F8E" w14:textId="77777777" w:rsidR="008C4BF4" w:rsidRPr="00DD47DF" w:rsidRDefault="008C4BF4" w:rsidP="008C4BF4">
            <w:pPr>
              <w:pStyle w:val="Tabulka"/>
              <w:keepNext/>
              <w:keepLines/>
              <w:jc w:val="left"/>
              <w:rPr>
                <w:rFonts w:cs="Calibri"/>
              </w:rPr>
            </w:pPr>
            <w:r w:rsidRPr="00DD47DF">
              <w:rPr>
                <w:rFonts w:cs="Calibri"/>
              </w:rPr>
              <w:t>7/2014</w:t>
            </w:r>
          </w:p>
          <w:p w14:paraId="29932ECF" w14:textId="77777777" w:rsidR="008C4BF4" w:rsidRPr="00DD47DF" w:rsidRDefault="008C4BF4" w:rsidP="008C4BF4">
            <w:pPr>
              <w:pStyle w:val="Tabulka"/>
              <w:keepNext/>
              <w:keepLines/>
              <w:jc w:val="left"/>
              <w:rPr>
                <w:rFonts w:cs="Calibri"/>
              </w:rPr>
            </w:pPr>
            <w:r w:rsidRPr="00DD47DF">
              <w:rPr>
                <w:rFonts w:cs="Calibri"/>
              </w:rPr>
              <w:t>Předložení Parlamentu</w:t>
            </w:r>
          </w:p>
          <w:p w14:paraId="0E7774F9" w14:textId="77777777" w:rsidR="008C4BF4" w:rsidRPr="00DD47DF" w:rsidRDefault="008C4BF4" w:rsidP="008C4BF4">
            <w:pPr>
              <w:pStyle w:val="Tabulka"/>
              <w:keepNext/>
              <w:keepLines/>
              <w:jc w:val="left"/>
              <w:rPr>
                <w:rFonts w:cs="Calibri"/>
              </w:rPr>
            </w:pPr>
            <w:r w:rsidRPr="00DD47DF">
              <w:rPr>
                <w:rFonts w:cs="Calibri"/>
              </w:rPr>
              <w:t>9/2014</w:t>
            </w:r>
          </w:p>
          <w:p w14:paraId="17CF29A9"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017DEA87" w14:textId="77777777" w:rsidR="008C4BF4" w:rsidRPr="00DD47DF" w:rsidRDefault="00F907CF" w:rsidP="008C4BF4">
            <w:pPr>
              <w:pStyle w:val="Tabulka"/>
              <w:keepNext/>
              <w:keepLines/>
              <w:jc w:val="left"/>
              <w:rPr>
                <w:rFonts w:cs="Calibri"/>
              </w:rPr>
            </w:pPr>
            <w:r w:rsidRPr="00DD47DF">
              <w:rPr>
                <w:rFonts w:cs="Calibri"/>
              </w:rPr>
              <w:t>7</w:t>
            </w:r>
            <w:r w:rsidR="008C4BF4" w:rsidRPr="00DD47DF">
              <w:rPr>
                <w:rFonts w:cs="Calibri"/>
              </w:rPr>
              <w:t>/2015</w:t>
            </w:r>
          </w:p>
          <w:p w14:paraId="569ADE03" w14:textId="77777777" w:rsidR="006D2F5F" w:rsidRPr="00DD47DF" w:rsidRDefault="006D2F5F" w:rsidP="006D2F5F">
            <w:pPr>
              <w:pStyle w:val="Tabulka"/>
              <w:jc w:val="left"/>
              <w:rPr>
                <w:rFonts w:cs="Calibri"/>
              </w:rPr>
            </w:pPr>
            <w:r w:rsidRPr="00DD47DF">
              <w:rPr>
                <w:rFonts w:cs="Calibri"/>
              </w:rPr>
              <w:t>Novela energetického zákona (zákon č. 458/2000 Sb.)</w:t>
            </w:r>
          </w:p>
          <w:p w14:paraId="0E43EFF0" w14:textId="77777777" w:rsidR="008C4BF4" w:rsidRPr="00DD47DF" w:rsidRDefault="008C4BF4" w:rsidP="008C4BF4">
            <w:pPr>
              <w:pStyle w:val="Tabulka"/>
              <w:keepNext/>
              <w:keepLines/>
              <w:jc w:val="left"/>
              <w:rPr>
                <w:rFonts w:cs="Calibri"/>
              </w:rPr>
            </w:pPr>
            <w:r w:rsidRPr="00DD47DF">
              <w:rPr>
                <w:rFonts w:cs="Calibri"/>
              </w:rPr>
              <w:t>Zákon 458/2000 Sb.:</w:t>
            </w:r>
          </w:p>
          <w:p w14:paraId="5F5876C5"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5FD14053" w14:textId="77777777" w:rsidR="008C4BF4" w:rsidRPr="00DD47DF" w:rsidRDefault="008C4BF4" w:rsidP="008C4BF4">
            <w:pPr>
              <w:pStyle w:val="Tabulka"/>
              <w:keepNext/>
              <w:keepLines/>
              <w:jc w:val="left"/>
              <w:rPr>
                <w:rFonts w:cs="Calibri"/>
              </w:rPr>
            </w:pPr>
            <w:r w:rsidRPr="00DD47DF">
              <w:rPr>
                <w:rFonts w:cs="Calibri"/>
              </w:rPr>
              <w:t>8/2014</w:t>
            </w:r>
          </w:p>
          <w:p w14:paraId="799DAB68" w14:textId="77777777" w:rsidR="008C4BF4" w:rsidRPr="00DD47DF" w:rsidRDefault="008C4BF4" w:rsidP="008C4BF4">
            <w:pPr>
              <w:pStyle w:val="Tabulka"/>
              <w:keepNext/>
              <w:keepLines/>
              <w:jc w:val="left"/>
              <w:rPr>
                <w:rFonts w:cs="Calibri"/>
              </w:rPr>
            </w:pPr>
            <w:r w:rsidRPr="00DD47DF">
              <w:rPr>
                <w:rFonts w:cs="Calibri"/>
              </w:rPr>
              <w:t>Předložení Parlamentu</w:t>
            </w:r>
          </w:p>
          <w:p w14:paraId="30C5AD44" w14:textId="77777777" w:rsidR="008C4BF4" w:rsidRPr="00DD47DF" w:rsidRDefault="008C4BF4" w:rsidP="008C4BF4">
            <w:pPr>
              <w:pStyle w:val="Tabulka"/>
              <w:keepNext/>
              <w:keepLines/>
              <w:jc w:val="left"/>
              <w:rPr>
                <w:rFonts w:cs="Calibri"/>
              </w:rPr>
            </w:pPr>
            <w:r w:rsidRPr="00DD47DF">
              <w:rPr>
                <w:rFonts w:cs="Calibri"/>
              </w:rPr>
              <w:t>10/2014</w:t>
            </w:r>
          </w:p>
          <w:p w14:paraId="2A94E68A"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2D5D17FF" w14:textId="77777777" w:rsidR="008C4BF4" w:rsidRPr="00DD47DF" w:rsidRDefault="008C4BF4" w:rsidP="008C4BF4">
            <w:pPr>
              <w:pStyle w:val="Tabulka"/>
              <w:jc w:val="left"/>
              <w:rPr>
                <w:rFonts w:cs="Calibri"/>
              </w:rPr>
            </w:pPr>
            <w:r w:rsidRPr="00DD47DF">
              <w:rPr>
                <w:rFonts w:cs="Calibri"/>
              </w:rPr>
              <w:t>7/2015</w:t>
            </w:r>
          </w:p>
        </w:tc>
        <w:tc>
          <w:tcPr>
            <w:tcW w:w="1801" w:type="dxa"/>
            <w:tcBorders>
              <w:top w:val="single" w:sz="4" w:space="0" w:color="auto"/>
              <w:left w:val="nil"/>
              <w:bottom w:val="single" w:sz="4" w:space="0" w:color="auto"/>
              <w:right w:val="double" w:sz="6" w:space="0" w:color="auto"/>
            </w:tcBorders>
            <w:shd w:val="clear" w:color="auto" w:fill="auto"/>
          </w:tcPr>
          <w:p w14:paraId="676E5FA3" w14:textId="77777777" w:rsidR="006D2F5F" w:rsidRPr="00DD47DF" w:rsidRDefault="00CC5680" w:rsidP="002D60A4">
            <w:pPr>
              <w:pStyle w:val="Tabulka"/>
              <w:keepNext/>
              <w:keepLines/>
              <w:jc w:val="left"/>
              <w:rPr>
                <w:rFonts w:cs="Calibri"/>
              </w:rPr>
            </w:pPr>
            <w:r>
              <w:rPr>
                <w:rFonts w:cs="Calibri"/>
              </w:rPr>
              <w:t>1.7.2015</w:t>
            </w:r>
          </w:p>
        </w:tc>
        <w:tc>
          <w:tcPr>
            <w:tcW w:w="0" w:type="auto"/>
            <w:tcBorders>
              <w:top w:val="single" w:sz="4" w:space="0" w:color="auto"/>
              <w:left w:val="nil"/>
              <w:bottom w:val="single" w:sz="4" w:space="0" w:color="auto"/>
              <w:right w:val="single" w:sz="8" w:space="0" w:color="auto"/>
            </w:tcBorders>
            <w:shd w:val="clear" w:color="auto" w:fill="auto"/>
          </w:tcPr>
          <w:p w14:paraId="1057CD6E" w14:textId="77777777" w:rsidR="006D2F5F" w:rsidRPr="00DD47DF" w:rsidRDefault="006D2F5F" w:rsidP="006D2F5F">
            <w:pPr>
              <w:pStyle w:val="Tabulka"/>
              <w:jc w:val="left"/>
              <w:rPr>
                <w:rFonts w:cs="Calibri"/>
              </w:rPr>
            </w:pPr>
            <w:r w:rsidRPr="00DD47DF">
              <w:rPr>
                <w:rFonts w:cs="Calibri"/>
              </w:rPr>
              <w:t>MPO</w:t>
            </w:r>
          </w:p>
        </w:tc>
      </w:tr>
      <w:tr w:rsidR="006D2F5F" w:rsidRPr="00DD47DF" w14:paraId="4296DA59" w14:textId="77777777" w:rsidTr="00BD2266">
        <w:trPr>
          <w:trHeight w:val="930"/>
        </w:trPr>
        <w:tc>
          <w:tcPr>
            <w:tcW w:w="0" w:type="auto"/>
            <w:vMerge/>
            <w:tcBorders>
              <w:left w:val="single" w:sz="8" w:space="0" w:color="auto"/>
              <w:right w:val="double" w:sz="6" w:space="0" w:color="auto"/>
            </w:tcBorders>
            <w:shd w:val="clear" w:color="auto" w:fill="auto"/>
          </w:tcPr>
          <w:p w14:paraId="63C124F2" w14:textId="77777777" w:rsidR="006D2F5F" w:rsidRPr="00DD47DF" w:rsidRDefault="006D2F5F" w:rsidP="006D2F5F">
            <w:pPr>
              <w:pStyle w:val="Tabulka"/>
              <w:jc w:val="left"/>
              <w:rPr>
                <w:rFonts w:cs="Calibri"/>
                <w:b/>
              </w:rPr>
            </w:pPr>
          </w:p>
        </w:tc>
        <w:tc>
          <w:tcPr>
            <w:tcW w:w="0" w:type="auto"/>
            <w:tcBorders>
              <w:top w:val="single" w:sz="4" w:space="0" w:color="auto"/>
              <w:left w:val="nil"/>
              <w:right w:val="double" w:sz="6" w:space="0" w:color="auto"/>
            </w:tcBorders>
            <w:shd w:val="clear" w:color="auto" w:fill="auto"/>
          </w:tcPr>
          <w:p w14:paraId="03B33701" w14:textId="77777777" w:rsidR="006D2F5F" w:rsidRPr="00DD47DF" w:rsidRDefault="006D2F5F" w:rsidP="006D2F5F">
            <w:pPr>
              <w:pStyle w:val="Tabulka"/>
              <w:jc w:val="left"/>
              <w:rPr>
                <w:rFonts w:cs="Calibri"/>
              </w:rPr>
            </w:pPr>
            <w:r w:rsidRPr="00DD47DF">
              <w:rPr>
                <w:rFonts w:cs="Calibri"/>
              </w:rPr>
              <w:t xml:space="preserve">Opatření v souladu s článkem 13 směrnice Evropského parlamentu a Rady 2006/32/ES zajišťující, aby </w:t>
            </w:r>
            <w:r w:rsidRPr="00DD47DF">
              <w:rPr>
                <w:rFonts w:cs="Calibri"/>
              </w:rPr>
              <w:lastRenderedPageBreak/>
              <w:t>pokud je to technicky možné, finančně únosné a úměrné potenciálním úsporám energie, byli koneční zákazníci vybaveni individuálními měřiči.</w:t>
            </w:r>
          </w:p>
        </w:tc>
        <w:tc>
          <w:tcPr>
            <w:tcW w:w="6946" w:type="dxa"/>
            <w:tcBorders>
              <w:top w:val="single" w:sz="4" w:space="0" w:color="auto"/>
              <w:left w:val="nil"/>
              <w:bottom w:val="single" w:sz="4" w:space="0" w:color="auto"/>
              <w:right w:val="double" w:sz="6" w:space="0" w:color="auto"/>
            </w:tcBorders>
            <w:shd w:val="clear" w:color="auto" w:fill="auto"/>
          </w:tcPr>
          <w:p w14:paraId="0D51C1BC" w14:textId="77777777" w:rsidR="006D2F5F" w:rsidRPr="00DD47DF" w:rsidRDefault="006D2F5F" w:rsidP="006D2F5F">
            <w:pPr>
              <w:pStyle w:val="Tabulka"/>
              <w:jc w:val="left"/>
              <w:rPr>
                <w:rFonts w:cs="Calibri"/>
              </w:rPr>
            </w:pPr>
            <w:r w:rsidRPr="00DD47DF">
              <w:rPr>
                <w:rFonts w:cs="Calibri"/>
              </w:rPr>
              <w:lastRenderedPageBreak/>
              <w:t>Doplnění energetického zákona (zákon č. 458/2000 Sb.) a novelizace vyhlášky č. 194/2007 Sb., úprava zákona č. 406/2000 Sb., o hospodaření s</w:t>
            </w:r>
            <w:r w:rsidR="008C4BF4" w:rsidRPr="00DD47DF">
              <w:rPr>
                <w:rFonts w:cs="Calibri"/>
              </w:rPr>
              <w:t> </w:t>
            </w:r>
            <w:r w:rsidRPr="00DD47DF">
              <w:rPr>
                <w:rFonts w:cs="Calibri"/>
              </w:rPr>
              <w:t>energií</w:t>
            </w:r>
          </w:p>
          <w:p w14:paraId="14820EC2" w14:textId="77777777" w:rsidR="008C4BF4" w:rsidRPr="00DD47DF" w:rsidRDefault="008C4BF4" w:rsidP="008C4BF4">
            <w:pPr>
              <w:pStyle w:val="Tabulka"/>
              <w:keepNext/>
              <w:keepLines/>
              <w:jc w:val="left"/>
              <w:rPr>
                <w:rFonts w:cs="Calibri"/>
              </w:rPr>
            </w:pPr>
            <w:r w:rsidRPr="00DD47DF">
              <w:rPr>
                <w:rFonts w:cs="Calibri"/>
              </w:rPr>
              <w:t>Zákon 458/2000 Sb.:</w:t>
            </w:r>
          </w:p>
          <w:p w14:paraId="5C7CEA90" w14:textId="77777777" w:rsidR="008C4BF4" w:rsidRPr="00DD47DF" w:rsidRDefault="008C4BF4" w:rsidP="008C4BF4">
            <w:pPr>
              <w:pStyle w:val="Tabulka"/>
              <w:jc w:val="left"/>
              <w:rPr>
                <w:rFonts w:cs="Calibri"/>
              </w:rPr>
            </w:pPr>
            <w:r w:rsidRPr="00DD47DF">
              <w:rPr>
                <w:rFonts w:cs="Calibri"/>
              </w:rPr>
              <w:t>Předložení návrhu vládě</w:t>
            </w:r>
          </w:p>
          <w:p w14:paraId="3F3F7818" w14:textId="77777777" w:rsidR="008C4BF4" w:rsidRPr="00DD47DF" w:rsidRDefault="008C4BF4" w:rsidP="008C4BF4">
            <w:pPr>
              <w:pStyle w:val="Tabulka"/>
              <w:jc w:val="left"/>
              <w:rPr>
                <w:rFonts w:cs="Calibri"/>
              </w:rPr>
            </w:pPr>
            <w:r w:rsidRPr="00DD47DF">
              <w:rPr>
                <w:rFonts w:cs="Calibri"/>
              </w:rPr>
              <w:t>8/2014</w:t>
            </w:r>
          </w:p>
          <w:p w14:paraId="00EF0C23" w14:textId="77777777" w:rsidR="008C4BF4" w:rsidRPr="00DD47DF" w:rsidRDefault="008C4BF4" w:rsidP="008C4BF4">
            <w:pPr>
              <w:pStyle w:val="Tabulka"/>
              <w:jc w:val="left"/>
              <w:rPr>
                <w:rFonts w:cs="Calibri"/>
              </w:rPr>
            </w:pPr>
            <w:r w:rsidRPr="00DD47DF">
              <w:rPr>
                <w:rFonts w:cs="Calibri"/>
              </w:rPr>
              <w:t xml:space="preserve">Předložení Parlamentu </w:t>
            </w:r>
          </w:p>
          <w:p w14:paraId="6DB13EE7" w14:textId="77777777" w:rsidR="008C4BF4" w:rsidRPr="00DD47DF" w:rsidRDefault="008C4BF4" w:rsidP="008C4BF4">
            <w:pPr>
              <w:pStyle w:val="Tabulka"/>
              <w:jc w:val="left"/>
              <w:rPr>
                <w:rFonts w:cs="Calibri"/>
              </w:rPr>
            </w:pPr>
            <w:r w:rsidRPr="00DD47DF">
              <w:rPr>
                <w:rFonts w:cs="Calibri"/>
              </w:rPr>
              <w:lastRenderedPageBreak/>
              <w:t>10/2014</w:t>
            </w:r>
          </w:p>
          <w:p w14:paraId="43C719DB" w14:textId="77777777" w:rsidR="008C4BF4" w:rsidRPr="00DD47DF" w:rsidRDefault="008C4BF4" w:rsidP="008C4BF4">
            <w:pPr>
              <w:pStyle w:val="Tabulka"/>
              <w:jc w:val="left"/>
              <w:rPr>
                <w:rFonts w:cs="Calibri"/>
              </w:rPr>
            </w:pPr>
            <w:r w:rsidRPr="00DD47DF">
              <w:rPr>
                <w:rFonts w:cs="Calibri"/>
              </w:rPr>
              <w:t>Předpokládané nabytí účinnosti</w:t>
            </w:r>
          </w:p>
          <w:p w14:paraId="4837C831" w14:textId="77777777" w:rsidR="008C4BF4" w:rsidRPr="00DD47DF" w:rsidRDefault="008C4BF4" w:rsidP="008C4BF4">
            <w:pPr>
              <w:pStyle w:val="Tabulka"/>
              <w:jc w:val="left"/>
              <w:rPr>
                <w:rFonts w:cs="Calibri"/>
              </w:rPr>
            </w:pPr>
            <w:r w:rsidRPr="00DD47DF">
              <w:rPr>
                <w:rFonts w:cs="Calibri"/>
              </w:rPr>
              <w:t>7/2015</w:t>
            </w:r>
          </w:p>
          <w:p w14:paraId="1F07CD47" w14:textId="77777777" w:rsidR="008C4BF4" w:rsidRPr="00DD47DF" w:rsidRDefault="008C4BF4" w:rsidP="008C4BF4">
            <w:pPr>
              <w:pStyle w:val="Tabulka"/>
              <w:keepNext/>
              <w:keepLines/>
              <w:jc w:val="left"/>
              <w:rPr>
                <w:rFonts w:cs="Calibri"/>
              </w:rPr>
            </w:pPr>
            <w:r w:rsidRPr="00DD47DF">
              <w:rPr>
                <w:rFonts w:cs="Calibri"/>
              </w:rPr>
              <w:t>zákon č. 406/2000 Sb.:</w:t>
            </w:r>
          </w:p>
          <w:p w14:paraId="095AEF98" w14:textId="77777777" w:rsidR="008C4BF4" w:rsidRPr="00DD47DF" w:rsidRDefault="008C4BF4" w:rsidP="008C4BF4">
            <w:pPr>
              <w:pStyle w:val="Tabulka"/>
              <w:keepNext/>
              <w:keepLines/>
              <w:jc w:val="left"/>
              <w:rPr>
                <w:rFonts w:cs="Calibri"/>
              </w:rPr>
            </w:pPr>
            <w:r w:rsidRPr="00DD47DF">
              <w:rPr>
                <w:rFonts w:cs="Calibri"/>
              </w:rPr>
              <w:t>Předložení návrhu vládě</w:t>
            </w:r>
          </w:p>
          <w:p w14:paraId="00A642AF" w14:textId="77777777" w:rsidR="008C4BF4" w:rsidRPr="00DD47DF" w:rsidRDefault="008C4BF4" w:rsidP="008C4BF4">
            <w:pPr>
              <w:pStyle w:val="Tabulka"/>
              <w:keepNext/>
              <w:keepLines/>
              <w:jc w:val="left"/>
              <w:rPr>
                <w:rFonts w:cs="Calibri"/>
              </w:rPr>
            </w:pPr>
            <w:r w:rsidRPr="00DD47DF">
              <w:rPr>
                <w:rFonts w:cs="Calibri"/>
              </w:rPr>
              <w:t>7/2014</w:t>
            </w:r>
          </w:p>
          <w:p w14:paraId="0558EA5A" w14:textId="77777777" w:rsidR="008C4BF4" w:rsidRPr="00DD47DF" w:rsidRDefault="008C4BF4" w:rsidP="008C4BF4">
            <w:pPr>
              <w:pStyle w:val="Tabulka"/>
              <w:keepNext/>
              <w:keepLines/>
              <w:jc w:val="left"/>
              <w:rPr>
                <w:rFonts w:cs="Calibri"/>
              </w:rPr>
            </w:pPr>
            <w:r w:rsidRPr="00DD47DF">
              <w:rPr>
                <w:rFonts w:cs="Calibri"/>
              </w:rPr>
              <w:t>Předložení Parlamentu</w:t>
            </w:r>
          </w:p>
          <w:p w14:paraId="3F2329B5" w14:textId="77777777" w:rsidR="008C4BF4" w:rsidRPr="00DD47DF" w:rsidRDefault="008C4BF4" w:rsidP="008C4BF4">
            <w:pPr>
              <w:pStyle w:val="Tabulka"/>
              <w:keepNext/>
              <w:keepLines/>
              <w:jc w:val="left"/>
              <w:rPr>
                <w:rFonts w:cs="Calibri"/>
              </w:rPr>
            </w:pPr>
            <w:r w:rsidRPr="00DD47DF">
              <w:rPr>
                <w:rFonts w:cs="Calibri"/>
              </w:rPr>
              <w:t>9/2014</w:t>
            </w:r>
          </w:p>
          <w:p w14:paraId="4303CDC4" w14:textId="77777777" w:rsidR="008C4BF4" w:rsidRPr="00DD47DF" w:rsidRDefault="008C4BF4" w:rsidP="008C4BF4">
            <w:pPr>
              <w:pStyle w:val="Tabulka"/>
              <w:keepNext/>
              <w:keepLines/>
              <w:jc w:val="left"/>
              <w:rPr>
                <w:rFonts w:cs="Calibri"/>
              </w:rPr>
            </w:pPr>
            <w:r w:rsidRPr="00DD47DF">
              <w:rPr>
                <w:rFonts w:cs="Calibri"/>
              </w:rPr>
              <w:t>Předpokládané nabytí účinnosti</w:t>
            </w:r>
          </w:p>
          <w:p w14:paraId="03F9BDF6" w14:textId="77777777" w:rsidR="008C4BF4" w:rsidRPr="00DD47DF" w:rsidRDefault="00F907CF" w:rsidP="008C4BF4">
            <w:pPr>
              <w:pStyle w:val="Tabulka"/>
              <w:jc w:val="left"/>
              <w:rPr>
                <w:rFonts w:cs="Calibri"/>
              </w:rPr>
            </w:pPr>
            <w:r w:rsidRPr="00DD47DF">
              <w:rPr>
                <w:rFonts w:cs="Calibri"/>
              </w:rPr>
              <w:t>7</w:t>
            </w:r>
            <w:r w:rsidR="008C4BF4" w:rsidRPr="00DD47DF">
              <w:rPr>
                <w:rFonts w:cs="Calibri"/>
              </w:rPr>
              <w:t>/2015</w:t>
            </w:r>
          </w:p>
          <w:p w14:paraId="1EF92D1C" w14:textId="77777777" w:rsidR="008C4BF4" w:rsidRPr="00DD47DF" w:rsidRDefault="008C4BF4" w:rsidP="006D2F5F">
            <w:pPr>
              <w:pStyle w:val="Tabulka"/>
              <w:jc w:val="left"/>
              <w:rPr>
                <w:rFonts w:cs="Calibri"/>
              </w:rPr>
            </w:pPr>
          </w:p>
        </w:tc>
        <w:tc>
          <w:tcPr>
            <w:tcW w:w="1801" w:type="dxa"/>
            <w:tcBorders>
              <w:top w:val="single" w:sz="4" w:space="0" w:color="auto"/>
              <w:left w:val="nil"/>
              <w:bottom w:val="single" w:sz="4" w:space="0" w:color="auto"/>
              <w:right w:val="double" w:sz="6" w:space="0" w:color="auto"/>
            </w:tcBorders>
            <w:shd w:val="clear" w:color="auto" w:fill="auto"/>
          </w:tcPr>
          <w:p w14:paraId="58443B20" w14:textId="77777777" w:rsidR="006D2F5F" w:rsidRPr="00DD47DF" w:rsidRDefault="00CC5680" w:rsidP="00CC5680">
            <w:pPr>
              <w:pStyle w:val="Tabulka"/>
              <w:keepNext/>
              <w:keepLines/>
              <w:jc w:val="left"/>
              <w:rPr>
                <w:rFonts w:cs="Calibri"/>
              </w:rPr>
            </w:pPr>
            <w:r>
              <w:rPr>
                <w:rFonts w:cs="Calibri"/>
              </w:rPr>
              <w:lastRenderedPageBreak/>
              <w:t>1.7.2015</w:t>
            </w:r>
          </w:p>
        </w:tc>
        <w:tc>
          <w:tcPr>
            <w:tcW w:w="0" w:type="auto"/>
            <w:tcBorders>
              <w:top w:val="single" w:sz="4" w:space="0" w:color="auto"/>
              <w:left w:val="nil"/>
              <w:bottom w:val="single" w:sz="4" w:space="0" w:color="auto"/>
              <w:right w:val="single" w:sz="8" w:space="0" w:color="auto"/>
            </w:tcBorders>
            <w:shd w:val="clear" w:color="auto" w:fill="auto"/>
          </w:tcPr>
          <w:p w14:paraId="4C9D1E0E" w14:textId="77777777" w:rsidR="006D2F5F" w:rsidRPr="00DD47DF" w:rsidRDefault="006D2F5F" w:rsidP="006D2F5F">
            <w:pPr>
              <w:pStyle w:val="Tabulka"/>
              <w:jc w:val="left"/>
              <w:rPr>
                <w:rFonts w:cs="Calibri"/>
              </w:rPr>
            </w:pPr>
            <w:r w:rsidRPr="00DD47DF">
              <w:rPr>
                <w:rFonts w:cs="Calibri"/>
              </w:rPr>
              <w:t>MPO</w:t>
            </w:r>
          </w:p>
        </w:tc>
      </w:tr>
      <w:tr w:rsidR="006D2F5F" w:rsidRPr="00DD47DF" w14:paraId="7081A186" w14:textId="77777777" w:rsidTr="00437632">
        <w:trPr>
          <w:trHeight w:val="1275"/>
        </w:trPr>
        <w:tc>
          <w:tcPr>
            <w:tcW w:w="2419" w:type="dxa"/>
            <w:tcBorders>
              <w:top w:val="single" w:sz="4" w:space="0" w:color="auto"/>
              <w:left w:val="single" w:sz="8" w:space="0" w:color="auto"/>
              <w:bottom w:val="single" w:sz="8" w:space="0" w:color="000000"/>
              <w:right w:val="double" w:sz="6" w:space="0" w:color="auto"/>
            </w:tcBorders>
            <w:shd w:val="clear" w:color="auto" w:fill="auto"/>
          </w:tcPr>
          <w:p w14:paraId="30436B50" w14:textId="77777777" w:rsidR="006D2F5F" w:rsidRPr="00DD47DF" w:rsidRDefault="006D2F5F" w:rsidP="006D2F5F">
            <w:pPr>
              <w:pStyle w:val="Tabulka"/>
              <w:jc w:val="left"/>
              <w:rPr>
                <w:rFonts w:cs="Calibri"/>
                <w:b/>
              </w:rPr>
            </w:pPr>
            <w:r w:rsidRPr="00DD47DF">
              <w:rPr>
                <w:rFonts w:cs="Calibri"/>
                <w:b/>
              </w:rPr>
              <w:t>8.2. Samostatná výdělečná činnost, podnikání a zakládání firem: existence strategického rámce politiky podpory začínajících podniků přispívající k začlenění.</w:t>
            </w:r>
          </w:p>
        </w:tc>
        <w:tc>
          <w:tcPr>
            <w:tcW w:w="1550" w:type="dxa"/>
            <w:tcBorders>
              <w:top w:val="single" w:sz="4" w:space="0" w:color="auto"/>
              <w:left w:val="nil"/>
              <w:bottom w:val="single" w:sz="8" w:space="0" w:color="auto"/>
              <w:right w:val="double" w:sz="6" w:space="0" w:color="auto"/>
            </w:tcBorders>
            <w:shd w:val="clear" w:color="auto" w:fill="auto"/>
          </w:tcPr>
          <w:p w14:paraId="2578B3E1" w14:textId="77777777" w:rsidR="006D2F5F" w:rsidRPr="00DD47DF" w:rsidRDefault="006D2F5F" w:rsidP="006D2F5F">
            <w:pPr>
              <w:pStyle w:val="Tabulka"/>
              <w:jc w:val="left"/>
              <w:rPr>
                <w:rFonts w:cs="Calibri"/>
              </w:rPr>
            </w:pPr>
            <w:r w:rsidRPr="00DD47DF">
              <w:rPr>
                <w:rFonts w:cs="Calibri"/>
              </w:rPr>
              <w:t>Opatření zavedená s cílem zkrátit dobu potřebnou k založení firmy a snížit příslušné náklady, která zohledňují cíle SBA</w:t>
            </w:r>
          </w:p>
        </w:tc>
        <w:tc>
          <w:tcPr>
            <w:tcW w:w="6946" w:type="dxa"/>
            <w:tcBorders>
              <w:top w:val="single" w:sz="4" w:space="0" w:color="auto"/>
              <w:left w:val="nil"/>
              <w:bottom w:val="single" w:sz="8" w:space="0" w:color="auto"/>
              <w:right w:val="double" w:sz="6" w:space="0" w:color="auto"/>
            </w:tcBorders>
            <w:shd w:val="clear" w:color="auto" w:fill="auto"/>
          </w:tcPr>
          <w:p w14:paraId="22999415" w14:textId="77777777" w:rsidR="00C03599" w:rsidRPr="00DD47DF" w:rsidRDefault="006D2F5F" w:rsidP="00C03599">
            <w:pPr>
              <w:pStyle w:val="Tabulka"/>
              <w:jc w:val="left"/>
              <w:rPr>
                <w:rFonts w:cs="Calibri"/>
              </w:rPr>
            </w:pPr>
            <w:r w:rsidRPr="00DD47DF">
              <w:rPr>
                <w:rFonts w:cs="Calibri"/>
              </w:rPr>
              <w:t xml:space="preserve">Návrh legislativního řešení </w:t>
            </w:r>
            <w:r w:rsidR="009E6E27" w:rsidRPr="00DD47DF">
              <w:rPr>
                <w:rFonts w:cs="Calibri"/>
              </w:rPr>
              <w:t xml:space="preserve">osvobození od soudních poplatků a </w:t>
            </w:r>
            <w:r w:rsidRPr="00DD47DF">
              <w:rPr>
                <w:rFonts w:cs="Calibri"/>
              </w:rPr>
              <w:t>snížení odměny notáře za zakládání podniků (společností)</w:t>
            </w:r>
          </w:p>
          <w:p w14:paraId="78D2BF32" w14:textId="77777777" w:rsidR="006D2F5F" w:rsidRPr="00DD47DF" w:rsidRDefault="006D2F5F" w:rsidP="006D2F5F">
            <w:pPr>
              <w:pStyle w:val="Tabulka"/>
              <w:jc w:val="left"/>
              <w:rPr>
                <w:rFonts w:cs="Calibri"/>
              </w:rPr>
            </w:pPr>
          </w:p>
          <w:p w14:paraId="47FDCBA3" w14:textId="77777777" w:rsidR="006D2F5F" w:rsidRPr="00DD47DF" w:rsidRDefault="006D2F5F" w:rsidP="00E96581">
            <w:pPr>
              <w:pStyle w:val="Tabulka"/>
              <w:jc w:val="left"/>
              <w:rPr>
                <w:rFonts w:cs="Calibri"/>
              </w:rPr>
            </w:pPr>
            <w:r w:rsidRPr="00DD47DF">
              <w:rPr>
                <w:rFonts w:cs="Calibri"/>
              </w:rPr>
              <w:t xml:space="preserve">Viz podmínka č. 3.1. </w:t>
            </w:r>
          </w:p>
        </w:tc>
        <w:tc>
          <w:tcPr>
            <w:tcW w:w="1801" w:type="dxa"/>
            <w:tcBorders>
              <w:top w:val="single" w:sz="4" w:space="0" w:color="auto"/>
              <w:left w:val="nil"/>
              <w:bottom w:val="single" w:sz="8" w:space="0" w:color="auto"/>
              <w:right w:val="double" w:sz="6" w:space="0" w:color="auto"/>
            </w:tcBorders>
            <w:shd w:val="clear" w:color="auto" w:fill="auto"/>
          </w:tcPr>
          <w:p w14:paraId="6E7A0A66" w14:textId="77777777" w:rsidR="00C03599" w:rsidRPr="00DD47DF" w:rsidRDefault="002D0399" w:rsidP="006D2F5F">
            <w:pPr>
              <w:pStyle w:val="Tabulka"/>
              <w:jc w:val="left"/>
              <w:rPr>
                <w:rFonts w:cs="Calibri"/>
              </w:rPr>
            </w:pPr>
            <w:r>
              <w:rPr>
                <w:rFonts w:cs="Calibri"/>
              </w:rPr>
              <w:t>31.10.</w:t>
            </w:r>
            <w:r w:rsidR="00D44763" w:rsidRPr="00DD47DF">
              <w:rPr>
                <w:rFonts w:cs="Calibri"/>
              </w:rPr>
              <w:t>2015</w:t>
            </w:r>
          </w:p>
        </w:tc>
        <w:tc>
          <w:tcPr>
            <w:tcW w:w="1640" w:type="dxa"/>
            <w:tcBorders>
              <w:top w:val="single" w:sz="4" w:space="0" w:color="auto"/>
              <w:left w:val="nil"/>
              <w:bottom w:val="single" w:sz="8" w:space="0" w:color="auto"/>
              <w:right w:val="single" w:sz="8" w:space="0" w:color="auto"/>
            </w:tcBorders>
            <w:shd w:val="clear" w:color="auto" w:fill="auto"/>
          </w:tcPr>
          <w:p w14:paraId="5AEDD141" w14:textId="77777777" w:rsidR="006D2F5F" w:rsidRPr="00DD47DF" w:rsidRDefault="006D2F5F" w:rsidP="006D2F5F">
            <w:pPr>
              <w:pStyle w:val="Tabulka"/>
              <w:jc w:val="left"/>
              <w:rPr>
                <w:rFonts w:cs="Calibri"/>
              </w:rPr>
            </w:pPr>
            <w:r w:rsidRPr="00DD47DF">
              <w:rPr>
                <w:rFonts w:cs="Calibri"/>
              </w:rPr>
              <w:t>MSp</w:t>
            </w:r>
          </w:p>
        </w:tc>
      </w:tr>
    </w:tbl>
    <w:p w14:paraId="381E75A3" w14:textId="77777777" w:rsidR="006D2F5F" w:rsidRPr="00DD47DF" w:rsidRDefault="006D2F5F" w:rsidP="004B5A6C">
      <w:pPr>
        <w:jc w:val="both"/>
        <w:rPr>
          <w:rFonts w:ascii="Calibri" w:hAnsi="Calibri" w:cs="Calibri"/>
          <w:sz w:val="28"/>
          <w:szCs w:val="28"/>
        </w:rPr>
        <w:sectPr w:rsidR="006D2F5F" w:rsidRPr="00DD47DF" w:rsidSect="00A72DFD">
          <w:headerReference w:type="default" r:id="rId169"/>
          <w:footerReference w:type="default" r:id="rId170"/>
          <w:pgSz w:w="16838" w:h="11906" w:orient="landscape"/>
          <w:pgMar w:top="1418" w:right="1418" w:bottom="1276" w:left="1276" w:header="709" w:footer="709" w:gutter="0"/>
          <w:cols w:space="708"/>
          <w:docGrid w:linePitch="272"/>
        </w:sectPr>
      </w:pPr>
    </w:p>
    <w:p w14:paraId="0393ADAF" w14:textId="77777777" w:rsidR="00FF200C" w:rsidRPr="00DD47DF" w:rsidRDefault="00FF200C" w:rsidP="00FF200C">
      <w:pPr>
        <w:pStyle w:val="Nadpis1"/>
      </w:pPr>
      <w:bookmarkStart w:id="139" w:name="_Toc129005465"/>
      <w:r w:rsidRPr="00DD47DF">
        <w:lastRenderedPageBreak/>
        <w:t>Snižování administrativní zátěže pro příjemce</w:t>
      </w:r>
      <w:bookmarkEnd w:id="139"/>
    </w:p>
    <w:p w14:paraId="537AC048" w14:textId="77777777" w:rsidR="00D162A4" w:rsidRPr="00DD47DF" w:rsidRDefault="00223D40" w:rsidP="00223D40">
      <w:pPr>
        <w:pStyle w:val="Standardntext"/>
        <w:rPr>
          <w:u w:val="single"/>
        </w:rPr>
      </w:pPr>
      <w:r w:rsidRPr="00DD47DF">
        <w:t>Snižování administrativní zátěže byla věnována pozornost již v průběhu implementace OPPI. Zásadním prvkem bylo využ</w:t>
      </w:r>
      <w:r w:rsidR="00D162A4" w:rsidRPr="00DD47DF">
        <w:t>ívání IS</w:t>
      </w:r>
      <w:r w:rsidRPr="00DD47DF">
        <w:t xml:space="preserve"> ISOP-Centrum a internetové aplikace e-Account pro zajištění elektronické komunikace mezi žadateli a příjemci podpory a implementační strukturou. Tato aplikace přinesla snížení nákladů u žadatelů a příjemců i zjednodušení procesů v rámci administrace projektů</w:t>
      </w:r>
      <w:r w:rsidR="00D162A4" w:rsidRPr="00DD47DF">
        <w:t>, a</w:t>
      </w:r>
      <w:r w:rsidRPr="00DD47DF">
        <w:t xml:space="preserve"> byla na základě zkušeností a potřeb v průběhu využívání doplňována </w:t>
      </w:r>
      <w:r w:rsidR="00D162A4" w:rsidRPr="00DD47DF">
        <w:t xml:space="preserve">o další funkce, </w:t>
      </w:r>
      <w:r w:rsidRPr="00DD47DF">
        <w:t>mj. na základě externě zpracované evaluace</w:t>
      </w:r>
      <w:r w:rsidRPr="00DD47DF">
        <w:rPr>
          <w:rStyle w:val="Znakapoznpodarou"/>
        </w:rPr>
        <w:footnoteReference w:id="105"/>
      </w:r>
      <w:r w:rsidRPr="00DD47DF">
        <w:t>. Dále bylo vyhodnoceno nastavení některých dalších procesů při implementaci OPPI</w:t>
      </w:r>
      <w:r w:rsidRPr="00DD47DF">
        <w:rPr>
          <w:rStyle w:val="Znakapoznpodarou"/>
        </w:rPr>
        <w:footnoteReference w:id="106"/>
      </w:r>
      <w:r w:rsidRPr="00DD47DF">
        <w:t>, na základě kterého došlo k optimalizaci administrativních procesů a postupů na straně Řídícího orgánu s pozitivním dopadem na administrativní nároky na žadatele a příjemce, stejně jako evaluace procesů souvisejících s žádostí o platbu</w:t>
      </w:r>
      <w:r w:rsidRPr="00DD47DF">
        <w:rPr>
          <w:rStyle w:val="Znakapoznpodarou"/>
        </w:rPr>
        <w:footnoteReference w:id="107"/>
      </w:r>
      <w:r w:rsidRPr="00DD47DF">
        <w:t xml:space="preserve">. Závěry z této evaluace budou využity pro nastavení procesů v OP PIK. Při implementaci programu </w:t>
      </w:r>
      <w:r w:rsidR="00D162A4" w:rsidRPr="00DD47DF">
        <w:t xml:space="preserve">bude kladen </w:t>
      </w:r>
      <w:r w:rsidRPr="00DD47DF">
        <w:t>důraz na intenzivní komunikaci s žadateli a příjemci podpory s cílem napomoci jim při plnění administrativních povinností při realizaci projektů v problémových oblastech,</w:t>
      </w:r>
      <w:r w:rsidR="00D162A4" w:rsidRPr="00DD47DF">
        <w:t xml:space="preserve"> zejména v oblasti</w:t>
      </w:r>
      <w:r w:rsidRPr="00DD47DF">
        <w:t xml:space="preserve"> </w:t>
      </w:r>
      <w:r w:rsidR="00D162A4" w:rsidRPr="00DD47DF">
        <w:t xml:space="preserve">veřejných </w:t>
      </w:r>
      <w:r w:rsidRPr="00DD47DF">
        <w:t>zakáz</w:t>
      </w:r>
      <w:r w:rsidR="00D162A4" w:rsidRPr="00DD47DF">
        <w:t>ek</w:t>
      </w:r>
      <w:r w:rsidRPr="00DD47DF">
        <w:t>, příprav žádostí o platbu, kontrol.</w:t>
      </w:r>
      <w:r w:rsidRPr="00DD47DF" w:rsidDel="009D218D">
        <w:t xml:space="preserve"> </w:t>
      </w:r>
      <w:r w:rsidR="00D162A4" w:rsidRPr="00DD47DF">
        <w:rPr>
          <w:u w:val="single"/>
        </w:rPr>
        <w:t>Semináře k těmto tématům pro uvedenou cílovou skupinu budou součástí komunikační strategie programu, řídící orgán je bude organizovat v termínech daných touto strategií.</w:t>
      </w:r>
    </w:p>
    <w:p w14:paraId="272F5C5B" w14:textId="77777777" w:rsidR="00223D40" w:rsidRPr="00DD47DF" w:rsidRDefault="00223D40" w:rsidP="00223D40">
      <w:pPr>
        <w:pStyle w:val="Standardntext"/>
      </w:pPr>
      <w:r w:rsidRPr="00DD47DF">
        <w:t xml:space="preserve">Snižování administrativní zátěže pro příjemce bude probíhat v souladu s usnesením vlády ČR ze dne 21. března 2012 č. 184 </w:t>
      </w:r>
      <w:r w:rsidRPr="00DD47DF">
        <w:rPr>
          <w:i/>
        </w:rPr>
        <w:t>o doporučeních ke zjednodušení administrativní zátěže pro žadatele a příjemce při čerpání finančních prostředků z fondů EU v programovém období 2014–2020</w:t>
      </w:r>
      <w:r w:rsidRPr="00DD47DF">
        <w:t xml:space="preserve"> ve třech rovinách:</w:t>
      </w:r>
    </w:p>
    <w:p w14:paraId="5EF6CC80" w14:textId="77777777" w:rsidR="00223D40" w:rsidRPr="00DD47DF" w:rsidRDefault="00223D40" w:rsidP="00DA3512">
      <w:pPr>
        <w:pStyle w:val="Standardntext"/>
        <w:numPr>
          <w:ilvl w:val="0"/>
          <w:numId w:val="73"/>
        </w:numPr>
        <w:spacing w:after="60"/>
        <w:ind w:left="714" w:hanging="357"/>
      </w:pPr>
      <w:r w:rsidRPr="00DD47DF">
        <w:t>Vstřícný přístup k žadatelům</w:t>
      </w:r>
    </w:p>
    <w:p w14:paraId="3D10223E" w14:textId="77777777" w:rsidR="00223D40" w:rsidRPr="00DD47DF" w:rsidRDefault="00223D40" w:rsidP="00223D40">
      <w:pPr>
        <w:pStyle w:val="Standardntext"/>
        <w:ind w:left="720"/>
      </w:pPr>
      <w:r w:rsidRPr="00DD47DF">
        <w:t>Cílem je redukovat požadavky na rozsah projektových žádostí a jejich příloh jen na informace nezbytné k posouzení žádosti. Předávání žádostí o platbu bude v maximální možné míř</w:t>
      </w:r>
      <w:r w:rsidR="00C8287F" w:rsidRPr="00DD47DF">
        <w:t>e probíhat v elektronické podobě.</w:t>
      </w:r>
      <w:r w:rsidRPr="00DD47DF">
        <w:t xml:space="preserve"> Samozřejmostí je oboustranná elektronická komunikace Řídícího orgánu se žadatelem, předávání rozhodnutí a jeho změn elektronicky do datové schránky žadatele či uchovávání dokumentů v informačním systému elektronicky. Tato opatření se osvědčila</w:t>
      </w:r>
      <w:r w:rsidR="00BA4E72" w:rsidRPr="00DD47DF">
        <w:t xml:space="preserve"> </w:t>
      </w:r>
      <w:r w:rsidRPr="00DD47DF">
        <w:t xml:space="preserve">v letech 2007 – 2013. Nezbytné je nastavení jednotlivých procesů při administraci žádosti a realizaci projektu tak, aby jednotlivé procesy a postupy na sebe navazovaly a měly jednoznačně stanoven svůj počátek a konec a také předcházející a návazný proces. Dále je nutné jednoznačně nastavit lhůty jednotlivých procesů tam, kde je to možné. Lhůty musí být součástí interních dokumentů Řídícího orgánu a musí být dodržovány. Cílem je dosáhnout jejich měření, vyhodnocení a následně také zkrácení. </w:t>
      </w:r>
      <w:r w:rsidRPr="00DD47DF">
        <w:rPr>
          <w:u w:val="single"/>
        </w:rPr>
        <w:t>Indikativním časovým rámcem pro naplnění výše uvedených opatření je prosinec 2014.</w:t>
      </w:r>
    </w:p>
    <w:p w14:paraId="2EFE72E6" w14:textId="77777777" w:rsidR="00223D40" w:rsidRPr="00DD47DF" w:rsidRDefault="00223D40" w:rsidP="00DA3512">
      <w:pPr>
        <w:pStyle w:val="Standardntext"/>
        <w:keepNext/>
        <w:keepLines/>
        <w:numPr>
          <w:ilvl w:val="0"/>
          <w:numId w:val="73"/>
        </w:numPr>
        <w:spacing w:after="60"/>
        <w:ind w:left="714" w:hanging="357"/>
      </w:pPr>
      <w:r w:rsidRPr="00DD47DF">
        <w:lastRenderedPageBreak/>
        <w:t>Efektivní a uživatelsky přívětivý informační systém</w:t>
      </w:r>
    </w:p>
    <w:p w14:paraId="728ABB3E" w14:textId="77777777" w:rsidR="00223D40" w:rsidRPr="00DD47DF" w:rsidRDefault="00223D40" w:rsidP="003E1311">
      <w:pPr>
        <w:pStyle w:val="Standardntext"/>
        <w:keepNext/>
        <w:keepLines/>
        <w:ind w:left="720"/>
        <w:rPr>
          <w:u w:val="single"/>
        </w:rPr>
      </w:pPr>
      <w:r w:rsidRPr="00DD47DF">
        <w:t>Ve spolupráci s gestorem jednotného monitorovacího prostředí (MMR) usiluje Řídící orgán OP PIK o to, aby informační systém vytvořil prostředí, které poskytne žadateli či příjemci jasné a přehledné uživatelské prostředí a naplní výše nastíněná opatření. Půjde zejména o to zabezpečit optimální míru elektronizace celého procesu přípravy projektových žádostí, jejich podání (včetně příloh, např. digitalizované kopie faktur, dokladů o úhradě apod.) formou elektronických formulářů a systému elektronického podepisování platné dokumentace, administrace projektových žádostí, systému hodnocení a výběru projektů, administrace monitorovacích zpráv a žádostí o platbu. Dalším opatřením bude maximální využití centrálních registrů v procesech Operačního programu</w:t>
      </w:r>
      <w:r w:rsidR="00E33D19" w:rsidRPr="00DD47DF">
        <w:t>, tj. možnost online ověření identity žadatele, jeho možných insolvenčních řízení apod</w:t>
      </w:r>
      <w:r w:rsidRPr="00DD47DF">
        <w:t>. Z hlediska monitoringu</w:t>
      </w:r>
      <w:r w:rsidRPr="00DD47DF">
        <w:rPr>
          <w:rStyle w:val="Znakapoznpodarou"/>
        </w:rPr>
        <w:footnoteReference w:id="108"/>
      </w:r>
      <w:r w:rsidRPr="00DD47DF">
        <w:t xml:space="preserve"> se předpokládá existence systému statistického sledování projektů a jejich výstupů, systemizace sledování hodnocení předkládaných projektů formou jejich umístění v konkrétních hodnocených stavech a logická provázanost jednotlivých dílčích kroků. Nezbytná je rovněž existence komunikačního kanálu pro jasnou a rychlou spolupráci s příjemcem. Systém by měl umožnit efektivní nastavení, sledování a urgování plnění lhůt, aby žadatelé nemuseli dlouho čekat na vydání rozhodnutí a na proplacení příslušné výše podpory. </w:t>
      </w:r>
      <w:r w:rsidRPr="00DD47DF">
        <w:rPr>
          <w:u w:val="single"/>
        </w:rPr>
        <w:t>Indikativní časový rám</w:t>
      </w:r>
      <w:r w:rsidR="00E33D19" w:rsidRPr="00DD47DF">
        <w:rPr>
          <w:u w:val="single"/>
        </w:rPr>
        <w:t>ec</w:t>
      </w:r>
      <w:r w:rsidRPr="00DD47DF">
        <w:rPr>
          <w:u w:val="single"/>
        </w:rPr>
        <w:t xml:space="preserve"> pro naplnění výše uvedených opatření je </w:t>
      </w:r>
      <w:r w:rsidR="00E33D19" w:rsidRPr="00DD47DF">
        <w:rPr>
          <w:u w:val="single"/>
        </w:rPr>
        <w:t xml:space="preserve">dán </w:t>
      </w:r>
      <w:r w:rsidRPr="00DD47DF">
        <w:rPr>
          <w:u w:val="single"/>
        </w:rPr>
        <w:t>harmonogram</w:t>
      </w:r>
      <w:r w:rsidR="00E33D19" w:rsidRPr="00DD47DF">
        <w:rPr>
          <w:u w:val="single"/>
        </w:rPr>
        <w:t>em</w:t>
      </w:r>
      <w:r w:rsidRPr="00DD47DF">
        <w:rPr>
          <w:u w:val="single"/>
        </w:rPr>
        <w:t xml:space="preserve"> gestora informačního systému.</w:t>
      </w:r>
    </w:p>
    <w:p w14:paraId="4F3E239F" w14:textId="77777777" w:rsidR="00223D40" w:rsidRPr="00DD47DF" w:rsidRDefault="00223D40" w:rsidP="00DA3512">
      <w:pPr>
        <w:pStyle w:val="Standardntext"/>
        <w:numPr>
          <w:ilvl w:val="0"/>
          <w:numId w:val="73"/>
        </w:numPr>
        <w:spacing w:after="60"/>
        <w:ind w:left="714" w:hanging="357"/>
      </w:pPr>
      <w:r w:rsidRPr="00DD47DF">
        <w:t>Jednoznačné a srozumitelné programy podpory a výzvy</w:t>
      </w:r>
    </w:p>
    <w:p w14:paraId="1DE96C65" w14:textId="77777777" w:rsidR="00223D40" w:rsidRPr="00DD47DF" w:rsidRDefault="00223D40" w:rsidP="00223D40">
      <w:pPr>
        <w:pStyle w:val="Standardntext"/>
        <w:ind w:left="720"/>
      </w:pPr>
      <w:r w:rsidRPr="00DD47DF">
        <w:t xml:space="preserve">Výběrová kritéria by měla maximalizovat kritéria binární, která jsou transparentní a srozumitelná pro žadatele a nekladou na žadatele přehnané nároky v podobě dokládání dokumentů a dalších podkladů, které pro posouzení kvality projektu nejsou nezbytně nutné. Tím se usnadní i případné odvolací a přezkumné procedury, pokud bude žadatelům dopředu zřejmé, kdo může o podporu v daném programu podpory žádat. </w:t>
      </w:r>
      <w:r w:rsidRPr="00DD47DF">
        <w:rPr>
          <w:u w:val="single"/>
        </w:rPr>
        <w:t>Indikativním časovým rámcem pro naplnění výše uvedených opatření je termín vyhlášení prvních výzev v rámci OP PIK</w:t>
      </w:r>
      <w:r w:rsidRPr="00DD47DF">
        <w:t>.</w:t>
      </w:r>
    </w:p>
    <w:p w14:paraId="1EF02C2B" w14:textId="77777777" w:rsidR="00223D40" w:rsidRPr="00DD47DF" w:rsidRDefault="00223D40" w:rsidP="00223D40">
      <w:pPr>
        <w:pStyle w:val="Standardntext"/>
      </w:pPr>
      <w:r w:rsidRPr="00DD47DF">
        <w:t xml:space="preserve">K naplnění těchto principů přispěje vytvoření jednotného metodického prostředí na národní úrovni, kterým bude zajištěna standardizace postupů a pravidel, větší transparentnost procesů i přehlednost pravidel s pozitivním dopadem na nižší administrativní zátěž na straně příjemců podpory. Jednotné metodické dokumenty budou zohledněny v interních manuálech </w:t>
      </w:r>
      <w:r w:rsidR="00E33D19" w:rsidRPr="00DD47DF">
        <w:t xml:space="preserve">Řídícího orgánu </w:t>
      </w:r>
      <w:r w:rsidRPr="00DD47DF">
        <w:t>pro implementaci programu. Dostupnost a sdílení metodických dokumentů bude ošetřeno softwarovou aplikací, která zajistí on-line přístup ke všem dokumentům celé implementační struktury. Tím bude zajištěn jednotný přístup k žadatelům v oblasti výkladu metodiky všemi účastníky podílejících se na implementaci OP PIK.</w:t>
      </w:r>
    </w:p>
    <w:p w14:paraId="7EDB406A" w14:textId="77777777" w:rsidR="00223D40" w:rsidRPr="00DD47DF" w:rsidRDefault="00223D40" w:rsidP="00210E9A">
      <w:pPr>
        <w:pStyle w:val="Standardntext"/>
        <w:spacing w:after="60"/>
      </w:pPr>
      <w:r w:rsidRPr="00DD47DF">
        <w:t>S ohledem na charakter hlavní cílové skupiny příjemců (</w:t>
      </w:r>
      <w:r w:rsidR="00E33D19" w:rsidRPr="00DD47DF">
        <w:t>MSP</w:t>
      </w:r>
      <w:r w:rsidRPr="00DD47DF">
        <w:t>) umožní snížení administrativní náročnosti účasti v programu také provádění pomoci prostřednictvím finančních nástrojů</w:t>
      </w:r>
      <w:r w:rsidR="00E33D19" w:rsidRPr="00DD47DF">
        <w:t xml:space="preserve"> (FN)</w:t>
      </w:r>
      <w:r w:rsidRPr="00DD47DF">
        <w:t>:</w:t>
      </w:r>
    </w:p>
    <w:p w14:paraId="3C4317B2" w14:textId="77777777" w:rsidR="00223D40" w:rsidRPr="00DD47DF" w:rsidRDefault="00223D40" w:rsidP="00DA3512">
      <w:pPr>
        <w:pStyle w:val="Standardntext"/>
        <w:numPr>
          <w:ilvl w:val="0"/>
          <w:numId w:val="72"/>
        </w:numPr>
        <w:spacing w:after="60"/>
      </w:pPr>
      <w:r w:rsidRPr="00DD47DF">
        <w:t xml:space="preserve">V případě </w:t>
      </w:r>
      <w:r w:rsidR="00E33D19" w:rsidRPr="00DD47DF">
        <w:t xml:space="preserve">FN </w:t>
      </w:r>
      <w:r w:rsidRPr="00DD47DF">
        <w:t>není konečný příjemce dotovaným zadavatelem, což znamená jednoduš</w:t>
      </w:r>
      <w:r w:rsidR="00E33D19" w:rsidRPr="00DD47DF">
        <w:t>š</w:t>
      </w:r>
      <w:r w:rsidRPr="00DD47DF">
        <w:t xml:space="preserve">í </w:t>
      </w:r>
      <w:r w:rsidR="00E33D19" w:rsidRPr="00DD47DF">
        <w:t xml:space="preserve">administraci </w:t>
      </w:r>
      <w:r w:rsidRPr="00DD47DF">
        <w:t>projektu.</w:t>
      </w:r>
    </w:p>
    <w:p w14:paraId="74F0E4CC" w14:textId="77777777" w:rsidR="00223D40" w:rsidRPr="00DD47DF" w:rsidRDefault="00223D40" w:rsidP="00DA3512">
      <w:pPr>
        <w:pStyle w:val="Standardntext"/>
        <w:numPr>
          <w:ilvl w:val="0"/>
          <w:numId w:val="72"/>
        </w:numPr>
        <w:spacing w:after="60"/>
      </w:pPr>
      <w:r w:rsidRPr="00DD47DF">
        <w:t>Hodnocení žádosti se časově zkrátí (jednostupňové hodnocení) a více se orientuje na věcné a finanční hledisko, méně na hledisko formální.</w:t>
      </w:r>
    </w:p>
    <w:p w14:paraId="58865DD8" w14:textId="77777777" w:rsidR="00223D40" w:rsidRPr="00DD47DF" w:rsidRDefault="00223D40" w:rsidP="00DA3512">
      <w:pPr>
        <w:pStyle w:val="Standardntext"/>
        <w:numPr>
          <w:ilvl w:val="0"/>
          <w:numId w:val="72"/>
        </w:numPr>
        <w:spacing w:after="60"/>
      </w:pPr>
      <w:r w:rsidRPr="00DD47DF">
        <w:lastRenderedPageBreak/>
        <w:t>Proces proplacení žádosti o platbu je vázán především na prokázání účelovosti čerpaných prostředků v souladu s podmínkami smlouvy, nikoliv na další dodatečné podmínky, proplácení ex ante</w:t>
      </w:r>
      <w:r w:rsidR="00C8287F" w:rsidRPr="00DD47DF">
        <w:t>.</w:t>
      </w:r>
    </w:p>
    <w:p w14:paraId="35CB0B80" w14:textId="77777777" w:rsidR="00223D40" w:rsidRPr="00DD47DF" w:rsidRDefault="00223D40" w:rsidP="00DA3512">
      <w:pPr>
        <w:pStyle w:val="Standardntext"/>
        <w:numPr>
          <w:ilvl w:val="0"/>
          <w:numId w:val="72"/>
        </w:numPr>
      </w:pPr>
      <w:r w:rsidRPr="00DD47DF">
        <w:t>Změny podmínek realizace projektu jsou také spojeny s nižší administrativní náročností, pokud nejsou zásadního charakteru (pokud nemají vliv na hodnocení projektu)</w:t>
      </w:r>
      <w:r w:rsidR="00C8287F" w:rsidRPr="00DD47DF">
        <w:t>.</w:t>
      </w:r>
    </w:p>
    <w:p w14:paraId="4984F3C8" w14:textId="77777777" w:rsidR="004A18A3" w:rsidRPr="00DD47DF" w:rsidRDefault="004A18A3" w:rsidP="004A18A3">
      <w:pPr>
        <w:pStyle w:val="Standardntext"/>
      </w:pPr>
      <w:r w:rsidRPr="00DD47DF">
        <w:t xml:space="preserve">ŘO OP PIK považuje za podstatné posílení metodického vedení programu tak, aby podnikatelé, jako hlavní skupina příjemců programu, měli jasné a jednoznačné vodítko, jak zpracovávat žádosti o podporu, administrovat a realizovat své projekty. K tomuto účelu pro ně budou vydána řídícím orgánem jasná a srozumitelná pravidla. </w:t>
      </w:r>
      <w:r w:rsidRPr="00DD47DF">
        <w:rPr>
          <w:u w:val="single"/>
        </w:rPr>
        <w:t>Příslušná dokumentace musí být připravena k termínu vyhlášení prvních výzev programů podpory OP PIK.</w:t>
      </w:r>
    </w:p>
    <w:p w14:paraId="0C892809" w14:textId="77777777" w:rsidR="009E6172" w:rsidRPr="00DD47DF" w:rsidRDefault="000816D8" w:rsidP="000816D8">
      <w:pPr>
        <w:pStyle w:val="Nadpis1"/>
      </w:pPr>
      <w:bookmarkStart w:id="140" w:name="_Toc129005466"/>
      <w:r w:rsidRPr="00DD47DF">
        <w:lastRenderedPageBreak/>
        <w:t xml:space="preserve">Horizontální </w:t>
      </w:r>
      <w:r w:rsidR="003D6763" w:rsidRPr="00DD47DF">
        <w:t>zásady</w:t>
      </w:r>
      <w:bookmarkEnd w:id="140"/>
    </w:p>
    <w:p w14:paraId="04D195B9" w14:textId="77777777" w:rsidR="00851C7E" w:rsidRPr="00DD47DF" w:rsidRDefault="0071595D" w:rsidP="00902931">
      <w:pPr>
        <w:pStyle w:val="Nadpis2"/>
        <w:rPr>
          <w:rFonts w:cs="Calibri"/>
        </w:rPr>
      </w:pPr>
      <w:bookmarkStart w:id="141" w:name="_Toc351464444"/>
      <w:bookmarkStart w:id="142" w:name="_Toc129005467"/>
      <w:r w:rsidRPr="00DD47DF">
        <w:rPr>
          <w:rFonts w:cs="Calibri"/>
        </w:rPr>
        <w:t>Udržitelný rozvoj</w:t>
      </w:r>
      <w:bookmarkEnd w:id="141"/>
      <w:bookmarkEnd w:id="142"/>
    </w:p>
    <w:p w14:paraId="77699360" w14:textId="77777777" w:rsidR="005C372A" w:rsidRPr="00DD47DF" w:rsidRDefault="005C372A" w:rsidP="00902931">
      <w:pPr>
        <w:pStyle w:val="Standardntext"/>
        <w:rPr>
          <w:color w:val="FF0000"/>
        </w:rPr>
      </w:pPr>
      <w:r w:rsidRPr="00DD47DF">
        <w:rPr>
          <w:bCs/>
        </w:rPr>
        <w:t xml:space="preserve">Udržitelný rozvoj je takový rozvoj, který umožňuje zlepšování </w:t>
      </w:r>
      <w:r w:rsidRPr="00DD47DF">
        <w:t>životní úrovně a blahobytu lidí v</w:t>
      </w:r>
      <w:r w:rsidR="00D111F8" w:rsidRPr="00DD47DF">
        <w:t> </w:t>
      </w:r>
      <w:r w:rsidRPr="00DD47DF">
        <w:t>mezích kapacity ekosystémů při zachování přírodních hodnot a biologické rozmanitosti pro současné a příští generace. Dle čl. 8 obecného nařízení mají členské státy a Komise při přípravě a provádění smluv o partnerství a programů zajistit podporu požadavků na ochranu životního prostředí, účinného využívání zdrojů, opatření ke zmírňování změny klimatu a přizpůsobení se této změně, odolnosti proti katastrofám a předcházení rizikům. Stav v jednotlivých oblastech udržitelného rozvoje v ČR je sledován pomocí sady indikátorů.</w:t>
      </w:r>
      <w:r w:rsidR="004621F2" w:rsidRPr="00DD47DF">
        <w:t xml:space="preserve"> </w:t>
      </w:r>
    </w:p>
    <w:p w14:paraId="2847BA6B" w14:textId="77777777" w:rsidR="005C372A" w:rsidRPr="00DD47DF" w:rsidRDefault="005C372A" w:rsidP="00902931">
      <w:pPr>
        <w:pStyle w:val="Standardntext"/>
        <w:spacing w:after="0"/>
      </w:pPr>
      <w:r w:rsidRPr="00DD47DF">
        <w:t>Základním dokumentem na národní úrovni, který řeší problematiku udržitelného rozvoje v ČR, je Strategický rámec udržitelného rozvoje ČR (SRUR). Mezi globální cíle SRUR patří:</w:t>
      </w:r>
    </w:p>
    <w:p w14:paraId="62C76E1D" w14:textId="77777777" w:rsidR="005C372A" w:rsidRPr="00DD47DF" w:rsidRDefault="005C372A" w:rsidP="005F43DF">
      <w:pPr>
        <w:pStyle w:val="Standardntext"/>
        <w:numPr>
          <w:ilvl w:val="0"/>
          <w:numId w:val="6"/>
        </w:numPr>
        <w:spacing w:after="0"/>
      </w:pPr>
      <w:r w:rsidRPr="00DD47DF">
        <w:t>ochrana životního prostředí (ekosystémy, biodiverzita, zdroje, udržitelná výroba a spotřeba),</w:t>
      </w:r>
    </w:p>
    <w:p w14:paraId="17D8472C" w14:textId="77777777" w:rsidR="005C372A" w:rsidRPr="00DD47DF" w:rsidRDefault="005C372A" w:rsidP="005F43DF">
      <w:pPr>
        <w:pStyle w:val="Standardntext"/>
        <w:numPr>
          <w:ilvl w:val="0"/>
          <w:numId w:val="6"/>
        </w:numPr>
        <w:spacing w:after="0"/>
      </w:pPr>
      <w:r w:rsidRPr="00DD47DF">
        <w:t>sociální soudržnost (sociální soudržnost, zdraví, bezpečnost, práva, rovné příležitosti, kulturní diverzita),</w:t>
      </w:r>
    </w:p>
    <w:p w14:paraId="5F2F2764" w14:textId="77777777" w:rsidR="005C372A" w:rsidRPr="00DD47DF" w:rsidRDefault="005C372A" w:rsidP="005F43DF">
      <w:pPr>
        <w:pStyle w:val="Standardntext"/>
        <w:numPr>
          <w:ilvl w:val="0"/>
          <w:numId w:val="6"/>
        </w:numPr>
        <w:spacing w:after="0"/>
      </w:pPr>
      <w:r w:rsidRPr="00DD47DF">
        <w:t>ekonomická prosperita (prosperita, inovace, znalosti, eko-efektivita, životní standard, zaměstnanost),</w:t>
      </w:r>
    </w:p>
    <w:p w14:paraId="2F072150" w14:textId="77777777" w:rsidR="005C372A" w:rsidRPr="00DD47DF" w:rsidRDefault="005C372A" w:rsidP="005F43DF">
      <w:pPr>
        <w:pStyle w:val="Standardntext"/>
        <w:numPr>
          <w:ilvl w:val="0"/>
          <w:numId w:val="6"/>
        </w:numPr>
      </w:pPr>
      <w:r w:rsidRPr="00DD47DF">
        <w:t>mezinárodní odpovědnost (stabilní demokratické instituce, mír, bezpečnost, svoboda, globální udržitelnost, mezinárodní vztahy).</w:t>
      </w:r>
    </w:p>
    <w:p w14:paraId="3F95C8D0" w14:textId="77777777" w:rsidR="005C372A" w:rsidRPr="00DD47DF" w:rsidRDefault="005C372A" w:rsidP="00902931">
      <w:pPr>
        <w:pStyle w:val="Standardntext"/>
        <w:spacing w:after="0"/>
      </w:pPr>
      <w:r w:rsidRPr="00DD47DF">
        <w:t>Zejména v posledních letech se ukazuje, že ochrana životního prostředí se pro podniky stává stále větším konkurenčním problémem a je prostředkem k získávání nového potenciálu zisku a profilování podniku. Respektování ekologického hlediska v podnikatelské strategii, může přispět k dosažení konkurenční výhody tehdy, jestliže:</w:t>
      </w:r>
    </w:p>
    <w:p w14:paraId="7045A9BA" w14:textId="77777777" w:rsidR="005C372A" w:rsidRPr="00DD47DF" w:rsidRDefault="005C372A" w:rsidP="005F43DF">
      <w:pPr>
        <w:pStyle w:val="Standardntext"/>
        <w:numPr>
          <w:ilvl w:val="0"/>
          <w:numId w:val="7"/>
        </w:numPr>
        <w:spacing w:after="0"/>
      </w:pPr>
      <w:r w:rsidRPr="00DD47DF">
        <w:t>je při ochraně životního prostředí zvyšování konkurenceschopnosti chápáno integrovaně ve všech podnikových funkcích,</w:t>
      </w:r>
    </w:p>
    <w:p w14:paraId="3B8D406D" w14:textId="77777777" w:rsidR="005C372A" w:rsidRPr="00DD47DF" w:rsidRDefault="005C372A" w:rsidP="005F43DF">
      <w:pPr>
        <w:pStyle w:val="Standardntext"/>
        <w:numPr>
          <w:ilvl w:val="0"/>
          <w:numId w:val="7"/>
        </w:numPr>
        <w:spacing w:after="0"/>
      </w:pPr>
      <w:r w:rsidRPr="00DD47DF">
        <w:t>opatření orientovaná dovnitř podniku jsou spojena s opatřeními orientovanými na trh,</w:t>
      </w:r>
    </w:p>
    <w:p w14:paraId="34ED792E" w14:textId="77777777" w:rsidR="005C372A" w:rsidRPr="00DD47DF" w:rsidRDefault="005C372A" w:rsidP="005F43DF">
      <w:pPr>
        <w:pStyle w:val="Standardntext"/>
        <w:numPr>
          <w:ilvl w:val="0"/>
          <w:numId w:val="7"/>
        </w:numPr>
      </w:pPr>
      <w:r w:rsidRPr="00DD47DF">
        <w:t xml:space="preserve">podnik získá časovou výhodu tím, že se ochranou životního prostředí zabývá včas, v předstihu před svými konkurenty. </w:t>
      </w:r>
    </w:p>
    <w:p w14:paraId="154E9C8D" w14:textId="4ED2C15D" w:rsidR="005C372A" w:rsidRPr="00DD47DF" w:rsidRDefault="005C372A" w:rsidP="00902931">
      <w:pPr>
        <w:pStyle w:val="Standardntext"/>
      </w:pPr>
      <w:r w:rsidRPr="00DD47DF">
        <w:t>Horizontální téma udržitelný rozvoj bude zohledněno ve výběrových kritériích jednotlivých subprogramů podpory OP PIK. Povinnost respektovat udržitelný rozvoj bude stanovena již ve specifikaci podmínek podpory, které budou obsahovat část týkající se horizontálních ukazatelů předkládaného projektu. Žadatel o podporu musí proto již v této fázi posoudit a v příslušné části žádosti popsat vliv projektu na udržitelný rozvoj, tj. určit, zda je projekt zaměřen zejména na podporu udržitelného rozvoje, popř. zda má projekt pozitivní dopad na udržitelný rozvoj či zda je z hlediska udržitelného rozvoje neutrální. Zohlednění tohoto horizontálního cíle v projektu bude následně rovněž předmětem hodnocení projektu v</w:t>
      </w:r>
      <w:r w:rsidR="00BA68C1">
        <w:t>e</w:t>
      </w:r>
      <w:r w:rsidRPr="00DD47DF">
        <w:t> </w:t>
      </w:r>
      <w:r w:rsidR="00BA68C1">
        <w:t>výběrových</w:t>
      </w:r>
      <w:r w:rsidR="00BA68C1" w:rsidRPr="00DD47DF">
        <w:t xml:space="preserve"> </w:t>
      </w:r>
      <w:r w:rsidRPr="00DD47DF">
        <w:t>komisích.</w:t>
      </w:r>
      <w:r w:rsidR="004621F2" w:rsidRPr="00DD47DF">
        <w:t xml:space="preserve"> V případě, že </w:t>
      </w:r>
      <w:r w:rsidR="00BA68C1">
        <w:t>výběrová</w:t>
      </w:r>
      <w:r w:rsidR="00BA68C1" w:rsidRPr="00DD47DF">
        <w:t xml:space="preserve"> </w:t>
      </w:r>
      <w:r w:rsidR="004621F2" w:rsidRPr="00DD47DF">
        <w:t>komise shledá, že projekt má negativní vliv na udržitelný rozvoj, nebude projekt v rámci OP PIK podpořen.</w:t>
      </w:r>
      <w:r w:rsidR="00EF7547" w:rsidRPr="00DD47DF">
        <w:t xml:space="preserve"> U relevantních specifických cílů budou na projektové úrovni interně monitorovány environmentální indikátory, které budou dále agregovány pro potřeby Dohody o partnerství (více kapitoly 2.A.6.2 „Hlavní zásady pro výběr operací“).</w:t>
      </w:r>
    </w:p>
    <w:p w14:paraId="03D8819A" w14:textId="77777777" w:rsidR="00A567C4" w:rsidRPr="00DD47DF" w:rsidRDefault="00A567C4" w:rsidP="00902931">
      <w:pPr>
        <w:pStyle w:val="Standardntext"/>
      </w:pPr>
      <w:r w:rsidRPr="00DD47DF">
        <w:t xml:space="preserve">Dopady na životní prostředí budou posuzovány zejména během hodnocení intervencí zahrnujících stavební práce, nákup technologií, přístrojů, zařízení, tj. takových, u kterých je pravděpodobnost dopadu na životní prostředí či efektivní využívání zdrojů (zejména energetických) vysoká, investice v rámci realizace takovýchto intervencí budou muset splňovat </w:t>
      </w:r>
      <w:r w:rsidRPr="00DD47DF">
        <w:lastRenderedPageBreak/>
        <w:t>nejvyšší standardy. Zásadně tedy bude platit, že v rámci operačního programu a implementace jeho jednotlivých prioritních os nebudou podporovány žádné projekty, které by negativně ovlivňovaly udržitelný rozvoj. Dodržování zásad udržitelného rozvoje bude vyžadováno na úrovni každého projektu, budou posuzovány v rámci hodnocení přijatelnosti projektu a dále jako součást hodnocení realizace projektu.</w:t>
      </w:r>
    </w:p>
    <w:p w14:paraId="23F0A326" w14:textId="77777777" w:rsidR="00851C7E" w:rsidRPr="00DD47DF" w:rsidRDefault="0071595D" w:rsidP="00902931">
      <w:pPr>
        <w:pStyle w:val="Nadpis2"/>
        <w:rPr>
          <w:rFonts w:cs="Calibri"/>
        </w:rPr>
      </w:pPr>
      <w:bookmarkStart w:id="143" w:name="_Toc351464445"/>
      <w:bookmarkStart w:id="144" w:name="_Toc129005468"/>
      <w:r w:rsidRPr="00DD47DF">
        <w:rPr>
          <w:rFonts w:cs="Calibri"/>
        </w:rPr>
        <w:t xml:space="preserve">Rovné příležitosti a </w:t>
      </w:r>
      <w:r w:rsidR="003D6763" w:rsidRPr="00DD47DF">
        <w:rPr>
          <w:rFonts w:cs="Calibri"/>
        </w:rPr>
        <w:t>zákaz</w:t>
      </w:r>
      <w:r w:rsidRPr="00DD47DF">
        <w:rPr>
          <w:rFonts w:cs="Calibri"/>
        </w:rPr>
        <w:t xml:space="preserve"> diskriminac</w:t>
      </w:r>
      <w:r w:rsidR="003D6763" w:rsidRPr="00DD47DF">
        <w:rPr>
          <w:rFonts w:cs="Calibri"/>
        </w:rPr>
        <w:t>e</w:t>
      </w:r>
      <w:bookmarkEnd w:id="143"/>
      <w:bookmarkEnd w:id="144"/>
    </w:p>
    <w:p w14:paraId="61AFB71A" w14:textId="77777777" w:rsidR="005C372A" w:rsidRPr="00DD47DF" w:rsidRDefault="005C372A" w:rsidP="00902931">
      <w:pPr>
        <w:pStyle w:val="Standardntext"/>
      </w:pPr>
      <w:r w:rsidRPr="00DD47DF">
        <w:t>Na základě čl. 7 obecného nařízení přijmou členské státy a Komise vhodná opatření, aby během přípravy a provádění programů nedocházelo k diskriminaci na základě pohlaví, rasového nebo etnického původu, náboženského vyznání nebo víry, zdravotního postižení, věku nebo sexuální orientace. Horizontální téma rovné příležitosti a ochrana před diskriminací slouží k dosažení cíle sociální spravedlnosti a soudržnosti a zakládá se na podpoře sociálního začlenění, dodržování základních lidských práv a zachování kulturní rozmanitosti.</w:t>
      </w:r>
      <w:r w:rsidR="004621F2" w:rsidRPr="00DD47DF">
        <w:t xml:space="preserve"> </w:t>
      </w:r>
    </w:p>
    <w:p w14:paraId="2D105988" w14:textId="77777777" w:rsidR="00E517C6" w:rsidRPr="00DD47DF" w:rsidRDefault="00E517C6" w:rsidP="000374FF">
      <w:pPr>
        <w:pStyle w:val="Standardntext"/>
      </w:pPr>
      <w:r w:rsidRPr="00DD47DF">
        <w:t xml:space="preserve">Zákaz diskriminace v souladu s českým i evropským právem a podpora rovných příležitostí jsou základními principy realizace OP PIK a budou respektovány a podporovány ve všech prioritních osách a investičních prioritách. S otázkou rovných příležitostí souvisí i transparentnost výběrových řízení, která musí zajistit nediskriminační přístup všem zájemcům bez ohledu na pohlaví, rasový či etnický původ, náboženství či světový názor, zdravotní postižení, věk nebo sexuální orientaci. </w:t>
      </w:r>
      <w:r w:rsidRPr="00DD47DF">
        <w:rPr>
          <w:lang w:eastAsia="en-US"/>
        </w:rPr>
        <w:t>Tato otázka také bezprostředně souvisí s</w:t>
      </w:r>
      <w:r w:rsidRPr="00DD47DF">
        <w:t> </w:t>
      </w:r>
      <w:r w:rsidR="00430ED6" w:rsidRPr="00DD47DF">
        <w:rPr>
          <w:lang w:eastAsia="en-US"/>
        </w:rPr>
        <w:t>principy pro výběr operací</w:t>
      </w:r>
      <w:r w:rsidRPr="00DD47DF">
        <w:rPr>
          <w:lang w:eastAsia="en-US"/>
        </w:rPr>
        <w:t xml:space="preserve"> (viz kapitoly 2.A.</w:t>
      </w:r>
      <w:r w:rsidR="00430ED6" w:rsidRPr="00DD47DF">
        <w:rPr>
          <w:lang w:eastAsia="en-US"/>
        </w:rPr>
        <w:t>6</w:t>
      </w:r>
      <w:r w:rsidRPr="00DD47DF">
        <w:rPr>
          <w:lang w:eastAsia="en-US"/>
        </w:rPr>
        <w:t xml:space="preserve">.2). </w:t>
      </w:r>
      <w:r w:rsidR="000374FF" w:rsidRPr="00DD47DF">
        <w:t>U</w:t>
      </w:r>
      <w:r w:rsidR="000374FF" w:rsidRPr="00DD47DF">
        <w:rPr>
          <w:rFonts w:cs="Tahoma"/>
          <w:szCs w:val="20"/>
        </w:rPr>
        <w:t>platňování rovných příležitostí je možné rovněž spatřovat v publicitě a propagaci programu a poskytování informací</w:t>
      </w:r>
      <w:r w:rsidR="000374FF" w:rsidRPr="00DD47DF">
        <w:rPr>
          <w:rFonts w:cs="Tahoma"/>
        </w:rPr>
        <w:t>.</w:t>
      </w:r>
      <w:r w:rsidR="000374FF" w:rsidRPr="00DD47DF">
        <w:t xml:space="preserve"> </w:t>
      </w:r>
      <w:r w:rsidRPr="00DD47DF">
        <w:t xml:space="preserve">Při realizaci OP PIK bude brán zřetel na příspěvek k rovnému zacházení, aby měly všechny sociální skupiny stejný přístup k čerpání prostředků EFRR. Řídící orgán zajistí, aby otázka rovných příležitostí a rovného zacházení byla sledována – při zohlednění jejich specifického zaměření - u všech oblastí intervencí na úrovni projektů. </w:t>
      </w:r>
    </w:p>
    <w:p w14:paraId="67477E43" w14:textId="0650F324" w:rsidR="00E7579B" w:rsidRPr="00DD47DF" w:rsidRDefault="005C372A" w:rsidP="00902931">
      <w:pPr>
        <w:pStyle w:val="Standardntext"/>
      </w:pPr>
      <w:r w:rsidRPr="00DD47DF">
        <w:t xml:space="preserve">Stejně jako u udržitelného rozvoje bude stanovena podmínka respektovat rovné příležitosti </w:t>
      </w:r>
      <w:r w:rsidR="00E517C6" w:rsidRPr="00DD47DF">
        <w:t xml:space="preserve">a rovné zacházení </w:t>
      </w:r>
      <w:r w:rsidRPr="00DD47DF">
        <w:t xml:space="preserve">již ve specifikaci podmínek k poskytnutí podpory v rámci jednotlivých subprogramů podpory. Žadatel o podporu bude muset již v této fázi posoudit a v příslušné části žádosti popsat vliv projektu na rovné příležitosti, tj. určit, </w:t>
      </w:r>
      <w:r w:rsidR="00E517C6" w:rsidRPr="00DD47DF">
        <w:t xml:space="preserve">zda projekt zajišťuje rovné zacházení všem dotčeným skupinám, zda </w:t>
      </w:r>
      <w:r w:rsidRPr="00DD47DF">
        <w:t>je projekt zaměřen zejména na podporu rovných příležitostí, popř. zda má projekt pozitivní dopad na rovné příležitosti či zda je z hlediska rovných příležitostí neutrální. Horizontální téma rovné příležitosti a ochrana před diskriminací bude zohledněno ve výběrových kritériích jednotlivých subprogramů podpory OP PIK.</w:t>
      </w:r>
      <w:r w:rsidR="00244C79" w:rsidRPr="00DD47DF">
        <w:t xml:space="preserve"> V případě, že </w:t>
      </w:r>
      <w:r w:rsidR="00BA68C1">
        <w:t>výběrová</w:t>
      </w:r>
      <w:r w:rsidR="00BA68C1" w:rsidRPr="00DD47DF">
        <w:t xml:space="preserve"> </w:t>
      </w:r>
      <w:r w:rsidR="00244C79" w:rsidRPr="00DD47DF">
        <w:t>komise shledá, že projekt má negativní vliv na rovné příležitosti, nebude projekt v rámci OP PIK podpořen</w:t>
      </w:r>
      <w:r w:rsidR="00E7579B" w:rsidRPr="00DD47DF">
        <w:t>. V rámci prioritní osy 2, specifického cíle 2.1 budou zvýhodňovány projekty podnikatelů, které realizací projektu prokáží vytvoření a udržitelnost nových pracovních míst a tím přispějí k zaměstnatelnosti osob z ohrožených skupin (</w:t>
      </w:r>
      <w:r w:rsidR="00E517C6" w:rsidRPr="00DD47DF">
        <w:t>osoby se zdravotním postižením, matky s dětmi a další pečující osoby, senioři, příslušníci etnických menšin, včetně romské menšiny, cizinci, atd.)</w:t>
      </w:r>
      <w:r w:rsidR="00E7579B" w:rsidRPr="00DD47DF">
        <w:t>.</w:t>
      </w:r>
    </w:p>
    <w:p w14:paraId="3CC3B199" w14:textId="77777777" w:rsidR="000374FF" w:rsidRPr="00DD47DF" w:rsidRDefault="000374FF" w:rsidP="000374FF">
      <w:pPr>
        <w:pStyle w:val="Standardntext"/>
      </w:pPr>
      <w:r w:rsidRPr="00DD47DF">
        <w:t xml:space="preserve">Zohlednění rovných příležitostí a rovného zacházení bude hrát významnou roli i v procesech monitorování, hodnocení a v realizaci principu partnerství. ŘO bude dbát na to, aby v monitorovacím výboru byly dodržovány zásady rovných příležitostí a rovného zastoupení relevantních skupin a byla zabezpečena účast institucí z oblasti rovných příležitostí a ochranou před diskriminaci. V závislosti na charakteru oblasti intervence a bude-li to účelné, bude zabezpečena účast organizací zabývajících se rovnými příležitostmi a ochranou před diskriminaci v pracovních skupinách (např. v úrovni MV), v hodnotících komisích pro výběr </w:t>
      </w:r>
      <w:r w:rsidRPr="00DD47DF">
        <w:lastRenderedPageBreak/>
        <w:t>projektů apod. Informace o rovných příležitostech a rovném zacházení budou monitorovány primárně na úrovni projektů. ŘO zajistí, že téma rovných příležitostí a rovného zacházení bude v závislosti na charakteru podpory agregováno v rámci monitorování realizace programu na úrovni prioritní osy. Příspěvek OP PIK k zabezpečení zásady rovných příležitostí a rovného zacházení bude předmětem hodnocení při zpracování tematických a strategických evaluací.</w:t>
      </w:r>
    </w:p>
    <w:p w14:paraId="3A810B95" w14:textId="77777777" w:rsidR="00851C7E" w:rsidRPr="00DD47DF" w:rsidRDefault="005C372A" w:rsidP="00902931">
      <w:pPr>
        <w:pStyle w:val="Standardntext"/>
        <w:rPr>
          <w:b/>
          <w:bCs/>
        </w:rPr>
      </w:pPr>
      <w:r w:rsidRPr="00DD47DF">
        <w:t>Vzhledem k zaměření OP PIK (podpora podnikání, inovací v podnikatelském sektoru, energetické úspory, ICT infrastruktury</w:t>
      </w:r>
      <w:r w:rsidR="00D111F8" w:rsidRPr="00DD47DF">
        <w:t>)</w:t>
      </w:r>
      <w:r w:rsidRPr="00DD47DF">
        <w:t xml:space="preserve"> nemá žádné speciální programy zaměřené na </w:t>
      </w:r>
      <w:r w:rsidR="000374FF" w:rsidRPr="00DD47DF">
        <w:t>konkrétní znevýhodněné skupiny</w:t>
      </w:r>
      <w:r w:rsidRPr="00DD47DF">
        <w:t>. Tato oblast je řešena jinými operačními programy, využívajícími zejména prostředků Evropského sociálního fondu.</w:t>
      </w:r>
    </w:p>
    <w:p w14:paraId="03A6142C" w14:textId="77777777" w:rsidR="00851C7E" w:rsidRPr="00DD47DF" w:rsidRDefault="0071595D" w:rsidP="003D6763">
      <w:pPr>
        <w:pStyle w:val="Nadpis2"/>
        <w:rPr>
          <w:rFonts w:cs="Calibri"/>
        </w:rPr>
      </w:pPr>
      <w:bookmarkStart w:id="145" w:name="_Toc351464446"/>
      <w:bookmarkStart w:id="146" w:name="_Toc129005469"/>
      <w:r w:rsidRPr="00DD47DF">
        <w:rPr>
          <w:rFonts w:cs="Calibri"/>
        </w:rPr>
        <w:t xml:space="preserve">Rovnost </w:t>
      </w:r>
      <w:r w:rsidR="003D6763" w:rsidRPr="00DD47DF">
        <w:rPr>
          <w:rFonts w:cs="Calibri"/>
        </w:rPr>
        <w:t>mezi muži a ženami</w:t>
      </w:r>
      <w:bookmarkEnd w:id="145"/>
      <w:bookmarkEnd w:id="146"/>
    </w:p>
    <w:p w14:paraId="15608293" w14:textId="6A8C6432" w:rsidR="00244C79" w:rsidRPr="00DD47DF" w:rsidRDefault="005C372A" w:rsidP="00902931">
      <w:pPr>
        <w:pStyle w:val="Standardntext"/>
      </w:pPr>
      <w:r w:rsidRPr="00DD47DF">
        <w:t xml:space="preserve">Horizontální téma rovnost žen a mužů předpokládá </w:t>
      </w:r>
      <w:r w:rsidR="00793229" w:rsidRPr="00DD47DF">
        <w:t>čl.</w:t>
      </w:r>
      <w:r w:rsidRPr="00DD47DF">
        <w:t xml:space="preserve"> 7 obecného nařízení. Dle tohoto článku členské státy a Komise zajistí podporu rovnosti žen a mužů a začlenění </w:t>
      </w:r>
      <w:r w:rsidR="00244C79" w:rsidRPr="00DD47DF">
        <w:t xml:space="preserve">z </w:t>
      </w:r>
      <w:r w:rsidRPr="00DD47DF">
        <w:t xml:space="preserve">hlediska rovnosti pohlaví při přípravě a provádění programů. </w:t>
      </w:r>
      <w:r w:rsidR="00244C79" w:rsidRPr="00DD47DF">
        <w:t xml:space="preserve">V případě, že </w:t>
      </w:r>
      <w:r w:rsidR="00BA68C1">
        <w:t>výběrová</w:t>
      </w:r>
      <w:r w:rsidR="00BA68C1" w:rsidRPr="00DD47DF">
        <w:t xml:space="preserve"> </w:t>
      </w:r>
      <w:r w:rsidR="00244C79" w:rsidRPr="00DD47DF">
        <w:t>komise shledá, že projekt má negativní vliv na rovnost žen a mužů, nebude projekt v rámci OP PIK podpořen. Bude usilováno o to, aby podpořené projekty přispívaly k naplňování principu rovnosti žen a mužů všude, kde je to vzhledem k věcnému zaměření intervencí programu relevantní. V rámci OP PIK budou mít ke všem programům podpory stejný přístup ženy i muži, zároveň rovnost žen a mužů bude zahrnuta do výběrových kritérií jednotlivých subprogramů podpory</w:t>
      </w:r>
      <w:r w:rsidR="00E7579B" w:rsidRPr="00DD47DF">
        <w:t xml:space="preserve"> (výběrová kritéria budou nastavena tak, aby zamezila jakékoliv generové diskriminaci). Gend</w:t>
      </w:r>
      <w:r w:rsidR="00634DCF" w:rsidRPr="00DD47DF">
        <w:t>e</w:t>
      </w:r>
      <w:r w:rsidR="00E7579B" w:rsidRPr="00DD47DF">
        <w:t>rová rovnost bude zdůrazňována v rámci info</w:t>
      </w:r>
      <w:r w:rsidR="00634DCF" w:rsidRPr="00DD47DF">
        <w:t>r</w:t>
      </w:r>
      <w:r w:rsidR="00E7579B" w:rsidRPr="00DD47DF">
        <w:t xml:space="preserve">mačních, propagačních a komunikačních aktivit </w:t>
      </w:r>
      <w:r w:rsidR="00A0251A" w:rsidRPr="00DD47DF">
        <w:t>Ř</w:t>
      </w:r>
      <w:r w:rsidR="00E7579B" w:rsidRPr="00DD47DF">
        <w:t>ídícího orgánu.</w:t>
      </w:r>
      <w:r w:rsidR="00BA4E72" w:rsidRPr="00DD47DF">
        <w:t xml:space="preserve"> </w:t>
      </w:r>
    </w:p>
    <w:p w14:paraId="327E09C9" w14:textId="77777777" w:rsidR="00244C79" w:rsidRPr="00DD47DF" w:rsidRDefault="00244C79" w:rsidP="00902931">
      <w:pPr>
        <w:pStyle w:val="Standardntext"/>
      </w:pPr>
      <w:r w:rsidRPr="00DD47DF">
        <w:t>Indikátory na úrovni programu a specifických cílů, které mají přímou vazbu na respektování rovných příležitostí (např. Počet nově vytvořených pracovních míst) budou sledovány v členění na muže a ženy.</w:t>
      </w:r>
    </w:p>
    <w:p w14:paraId="284A2954" w14:textId="77777777" w:rsidR="00AA042C" w:rsidRPr="00DD47DF" w:rsidRDefault="00E7579B" w:rsidP="00902931">
      <w:pPr>
        <w:pStyle w:val="Standardntext"/>
        <w:rPr>
          <w:rFonts w:cs="Tahoma"/>
          <w:szCs w:val="20"/>
        </w:rPr>
      </w:pPr>
      <w:r w:rsidRPr="00DD47DF">
        <w:t xml:space="preserve">Princip rovnosti žen a mužů bude uplatňován během programování, monitorování a evaluací programu. </w:t>
      </w:r>
      <w:r w:rsidR="00244C79" w:rsidRPr="00DD47DF">
        <w:t xml:space="preserve">Ve fázi implementace operačního programu bude rovnost mužů a žen zajištěna zejména ve složení Monitorovacího výboru OP PIK. </w:t>
      </w:r>
      <w:r w:rsidR="00E8622F" w:rsidRPr="00DD47DF">
        <w:rPr>
          <w:rFonts w:cs="Tahoma"/>
          <w:szCs w:val="20"/>
        </w:rPr>
        <w:t xml:space="preserve">Téma rovnosti žen a mužů bude plně respektováno rovněž při administraci programu; při personálním zajištění implementace programu / zajištění administrativní kapacity bude kladen důraz na nediskriminační přístup k uchazečům. </w:t>
      </w:r>
    </w:p>
    <w:p w14:paraId="40205608" w14:textId="77777777" w:rsidR="00DA412A" w:rsidRPr="00DD47DF" w:rsidRDefault="00F70A96" w:rsidP="00DA412A">
      <w:pPr>
        <w:pStyle w:val="Standardntext"/>
      </w:pPr>
      <w:r w:rsidRPr="00DD47DF">
        <w:t>Jak p</w:t>
      </w:r>
      <w:r w:rsidR="00B776E3" w:rsidRPr="00DD47DF">
        <w:t>ři přípravě program</w:t>
      </w:r>
      <w:r w:rsidRPr="00DD47DF">
        <w:t xml:space="preserve">u, tak </w:t>
      </w:r>
      <w:r w:rsidR="00B776E3" w:rsidRPr="00DD47DF">
        <w:t>při je</w:t>
      </w:r>
      <w:r w:rsidRPr="00DD47DF">
        <w:t xml:space="preserve">ho vlastní </w:t>
      </w:r>
      <w:r w:rsidR="00B776E3" w:rsidRPr="00DD47DF">
        <w:t>realizaci bud</w:t>
      </w:r>
      <w:r w:rsidRPr="00DD47DF">
        <w:t xml:space="preserve">e tedy ve všech </w:t>
      </w:r>
      <w:r w:rsidR="00B776E3" w:rsidRPr="00DD47DF">
        <w:t xml:space="preserve">fázích </w:t>
      </w:r>
      <w:r w:rsidRPr="00DD47DF">
        <w:t xml:space="preserve">zohledněno, </w:t>
      </w:r>
      <w:r w:rsidR="00B776E3" w:rsidRPr="00DD47DF">
        <w:t xml:space="preserve">aby </w:t>
      </w:r>
      <w:r w:rsidRPr="00DD47DF">
        <w:t xml:space="preserve">byl striktně dodržován </w:t>
      </w:r>
      <w:r w:rsidR="00B776E3" w:rsidRPr="00DD47DF">
        <w:t>zákaz diskriminace a podporov</w:t>
      </w:r>
      <w:r w:rsidRPr="00DD47DF">
        <w:t xml:space="preserve">án </w:t>
      </w:r>
      <w:r w:rsidR="00B776E3" w:rsidRPr="00DD47DF">
        <w:t>rovný přístup k ženám i mužům. Za tímto účelem je v návaznosti na plnění příslušn</w:t>
      </w:r>
      <w:r w:rsidRPr="00DD47DF">
        <w:t xml:space="preserve">é obecné </w:t>
      </w:r>
      <w:r w:rsidR="00B776E3" w:rsidRPr="00DD47DF">
        <w:t>předběžn</w:t>
      </w:r>
      <w:r w:rsidRPr="00DD47DF">
        <w:t xml:space="preserve">é </w:t>
      </w:r>
      <w:r w:rsidR="00B776E3" w:rsidRPr="00DD47DF">
        <w:t>podmínk</w:t>
      </w:r>
      <w:r w:rsidRPr="00DD47DF">
        <w:t xml:space="preserve">y u </w:t>
      </w:r>
      <w:r w:rsidR="00A0251A" w:rsidRPr="00DD47DF">
        <w:t>Ř</w:t>
      </w:r>
      <w:r w:rsidRPr="00DD47DF">
        <w:t>ídícího orgánu určena k</w:t>
      </w:r>
      <w:r w:rsidR="00B776E3" w:rsidRPr="00DD47DF">
        <w:t>ontaktní osoba</w:t>
      </w:r>
      <w:r w:rsidRPr="00DD47DF">
        <w:t xml:space="preserve">, která se </w:t>
      </w:r>
      <w:r w:rsidR="00B776E3" w:rsidRPr="00DD47DF">
        <w:t xml:space="preserve">budou </w:t>
      </w:r>
      <w:r w:rsidRPr="00DD47DF">
        <w:t xml:space="preserve">v rámci své pracovní činnosti </w:t>
      </w:r>
      <w:r w:rsidR="00B776E3" w:rsidRPr="00DD47DF">
        <w:t>zabývat implementací a aplikací antidiskriminačního práva</w:t>
      </w:r>
      <w:r w:rsidRPr="00DD47DF">
        <w:t>, v</w:t>
      </w:r>
      <w:r w:rsidR="00B776E3" w:rsidRPr="00DD47DF">
        <w:t>četně problematiky rovnosti žen a mužů a přístupnosti pro osoby se zdravotním postižením</w:t>
      </w:r>
      <w:r w:rsidR="00DA412A" w:rsidRPr="00DD47DF">
        <w:t xml:space="preserve">. Touto kontaktní osobou </w:t>
      </w:r>
      <w:r w:rsidR="00065A87" w:rsidRPr="00DD47DF">
        <w:t>je</w:t>
      </w:r>
      <w:r w:rsidR="00DA412A" w:rsidRPr="00DD47DF">
        <w:t xml:space="preserve"> komunikační úředník OP PIK.</w:t>
      </w:r>
    </w:p>
    <w:p w14:paraId="33913491" w14:textId="77777777" w:rsidR="009E6172" w:rsidRPr="00DD47DF" w:rsidRDefault="00E134D0" w:rsidP="000816D8">
      <w:pPr>
        <w:pStyle w:val="Nadpis1"/>
      </w:pPr>
      <w:bookmarkStart w:id="147" w:name="_Toc129005470"/>
      <w:r w:rsidRPr="00DD47DF">
        <w:lastRenderedPageBreak/>
        <w:t>Samosta</w:t>
      </w:r>
      <w:r w:rsidR="00A96B2E" w:rsidRPr="00DD47DF">
        <w:t>t</w:t>
      </w:r>
      <w:r w:rsidRPr="00DD47DF">
        <w:t>né prvky</w:t>
      </w:r>
      <w:bookmarkEnd w:id="147"/>
    </w:p>
    <w:p w14:paraId="649A7956" w14:textId="77777777" w:rsidR="00AA042C" w:rsidRPr="00DD47DF" w:rsidRDefault="00E134D0" w:rsidP="00E134D0">
      <w:pPr>
        <w:pStyle w:val="Nadpis2"/>
        <w:rPr>
          <w:rFonts w:cs="Calibri"/>
        </w:rPr>
      </w:pPr>
      <w:bookmarkStart w:id="148" w:name="_Toc129005471"/>
      <w:r w:rsidRPr="00DD47DF">
        <w:rPr>
          <w:rFonts w:cs="Calibri"/>
        </w:rPr>
        <w:t>Velké projekty, které mají být během programového období realizovány</w:t>
      </w:r>
      <w:bookmarkEnd w:id="148"/>
    </w:p>
    <w:p w14:paraId="6FC09CF8" w14:textId="4C1775F2" w:rsidR="00714EBE" w:rsidRPr="006E7C03" w:rsidRDefault="00714EBE" w:rsidP="00714EBE">
      <w:pPr>
        <w:pStyle w:val="Zkladntext"/>
        <w:spacing w:after="120"/>
      </w:pPr>
      <w:r w:rsidRPr="00714EBE">
        <w:t xml:space="preserve"> </w:t>
      </w:r>
      <w:r w:rsidRPr="006E7C03">
        <w:t>Tabulka 27: Seznam velkých projektů</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724"/>
        <w:gridCol w:w="1724"/>
        <w:gridCol w:w="1724"/>
        <w:gridCol w:w="2319"/>
      </w:tblGrid>
      <w:tr w:rsidR="00714EBE" w:rsidRPr="006E7C03" w14:paraId="6E8C8A75" w14:textId="77777777" w:rsidTr="009533C8">
        <w:tc>
          <w:tcPr>
            <w:tcW w:w="1576" w:type="dxa"/>
          </w:tcPr>
          <w:p w14:paraId="4B52B660" w14:textId="77777777" w:rsidR="00714EBE" w:rsidRPr="006E7C03" w:rsidRDefault="00714EBE" w:rsidP="00E46245">
            <w:pPr>
              <w:pStyle w:val="Zkladntext"/>
              <w:spacing w:after="120"/>
              <w:rPr>
                <w:b w:val="0"/>
              </w:rPr>
            </w:pPr>
            <w:r w:rsidRPr="006E7C03">
              <w:rPr>
                <w:b w:val="0"/>
              </w:rPr>
              <w:t>Název velkého projektu</w:t>
            </w:r>
          </w:p>
        </w:tc>
        <w:tc>
          <w:tcPr>
            <w:tcW w:w="1724" w:type="dxa"/>
          </w:tcPr>
          <w:p w14:paraId="3F2B6A73" w14:textId="77777777" w:rsidR="00714EBE" w:rsidRPr="006E7C03" w:rsidRDefault="00714EBE" w:rsidP="00E46245">
            <w:pPr>
              <w:pStyle w:val="Zkladntext"/>
              <w:spacing w:after="120"/>
              <w:rPr>
                <w:b w:val="0"/>
              </w:rPr>
            </w:pPr>
            <w:r w:rsidRPr="006E7C03">
              <w:rPr>
                <w:b w:val="0"/>
              </w:rPr>
              <w:t>Předpokládané datum předložení na EK</w:t>
            </w:r>
          </w:p>
        </w:tc>
        <w:tc>
          <w:tcPr>
            <w:tcW w:w="1724" w:type="dxa"/>
          </w:tcPr>
          <w:p w14:paraId="7F9F94FE" w14:textId="77777777" w:rsidR="00714EBE" w:rsidRPr="006E7C03" w:rsidRDefault="00714EBE" w:rsidP="00E46245">
            <w:pPr>
              <w:pStyle w:val="Zkladntext"/>
              <w:spacing w:after="120"/>
              <w:rPr>
                <w:b w:val="0"/>
              </w:rPr>
            </w:pPr>
            <w:r w:rsidRPr="006E7C03">
              <w:rPr>
                <w:b w:val="0"/>
              </w:rPr>
              <w:t>Předpokládané datum zahájení realizace projektu</w:t>
            </w:r>
          </w:p>
        </w:tc>
        <w:tc>
          <w:tcPr>
            <w:tcW w:w="1724" w:type="dxa"/>
          </w:tcPr>
          <w:p w14:paraId="2823BE99" w14:textId="77777777" w:rsidR="00714EBE" w:rsidRPr="006E7C03" w:rsidRDefault="00714EBE" w:rsidP="00E46245">
            <w:pPr>
              <w:pStyle w:val="Zkladntext"/>
              <w:spacing w:after="120"/>
              <w:rPr>
                <w:b w:val="0"/>
              </w:rPr>
            </w:pPr>
            <w:r w:rsidRPr="006E7C03">
              <w:rPr>
                <w:b w:val="0"/>
              </w:rPr>
              <w:t>Předpokládané datum ukončení realizace projektu</w:t>
            </w:r>
          </w:p>
        </w:tc>
        <w:tc>
          <w:tcPr>
            <w:tcW w:w="2319" w:type="dxa"/>
          </w:tcPr>
          <w:p w14:paraId="7E53C3D4" w14:textId="77777777" w:rsidR="00714EBE" w:rsidRPr="006E7C03" w:rsidRDefault="00714EBE" w:rsidP="00E46245">
            <w:pPr>
              <w:pStyle w:val="Zkladntext"/>
              <w:spacing w:after="120"/>
              <w:rPr>
                <w:b w:val="0"/>
              </w:rPr>
            </w:pPr>
            <w:r w:rsidRPr="006E7C03">
              <w:rPr>
                <w:b w:val="0"/>
              </w:rPr>
              <w:t>Prioritní osy/ investiční priority</w:t>
            </w:r>
          </w:p>
        </w:tc>
      </w:tr>
      <w:tr w:rsidR="009533C8" w:rsidRPr="006E7C03" w14:paraId="26F2CD7D" w14:textId="77777777" w:rsidTr="009533C8">
        <w:tc>
          <w:tcPr>
            <w:tcW w:w="1576" w:type="dxa"/>
          </w:tcPr>
          <w:p w14:paraId="20A8A0D1" w14:textId="77777777" w:rsidR="009533C8" w:rsidRPr="006E7C03" w:rsidRDefault="009533C8" w:rsidP="009533C8">
            <w:pPr>
              <w:pStyle w:val="Zkladntext"/>
              <w:spacing w:after="120"/>
            </w:pPr>
            <w:r w:rsidRPr="006E7C03">
              <w:t>Výstavba nového vedení 400 kV v trase Přeštice – Vítkov</w:t>
            </w:r>
          </w:p>
        </w:tc>
        <w:tc>
          <w:tcPr>
            <w:tcW w:w="1724" w:type="dxa"/>
            <w:tcBorders>
              <w:top w:val="nil"/>
              <w:left w:val="nil"/>
              <w:bottom w:val="single" w:sz="8" w:space="0" w:color="auto"/>
              <w:right w:val="single" w:sz="8" w:space="0" w:color="auto"/>
            </w:tcBorders>
          </w:tcPr>
          <w:p w14:paraId="002E4493" w14:textId="3EA77D3D" w:rsidR="009533C8" w:rsidRPr="006E7C03" w:rsidRDefault="009533C8" w:rsidP="009533C8">
            <w:pPr>
              <w:pStyle w:val="Zkladntext"/>
              <w:spacing w:after="120"/>
            </w:pPr>
            <w:r>
              <w:t>2</w:t>
            </w:r>
            <w:r w:rsidRPr="00F15E73">
              <w:t>Q/2019</w:t>
            </w:r>
          </w:p>
        </w:tc>
        <w:tc>
          <w:tcPr>
            <w:tcW w:w="1724" w:type="dxa"/>
            <w:tcBorders>
              <w:top w:val="nil"/>
              <w:left w:val="nil"/>
              <w:bottom w:val="single" w:sz="8" w:space="0" w:color="auto"/>
              <w:right w:val="single" w:sz="8" w:space="0" w:color="auto"/>
            </w:tcBorders>
          </w:tcPr>
          <w:p w14:paraId="0A097C4B" w14:textId="024000D1" w:rsidR="009533C8" w:rsidRPr="006E7C03" w:rsidRDefault="009533C8" w:rsidP="009533C8">
            <w:pPr>
              <w:pStyle w:val="Zkladntext"/>
              <w:spacing w:after="120"/>
            </w:pPr>
            <w:r>
              <w:t>1Q/2019</w:t>
            </w:r>
          </w:p>
        </w:tc>
        <w:tc>
          <w:tcPr>
            <w:tcW w:w="1724" w:type="dxa"/>
            <w:tcBorders>
              <w:top w:val="nil"/>
              <w:left w:val="nil"/>
              <w:bottom w:val="single" w:sz="8" w:space="0" w:color="auto"/>
              <w:right w:val="single" w:sz="8" w:space="0" w:color="auto"/>
            </w:tcBorders>
          </w:tcPr>
          <w:p w14:paraId="28F20844" w14:textId="06ECF409" w:rsidR="009533C8" w:rsidRPr="006E7C03" w:rsidRDefault="009533C8" w:rsidP="009533C8">
            <w:pPr>
              <w:pStyle w:val="Zkladntext"/>
              <w:spacing w:after="120"/>
            </w:pPr>
            <w:r w:rsidRPr="00F15E73">
              <w:t>4Q/2022</w:t>
            </w:r>
          </w:p>
        </w:tc>
        <w:tc>
          <w:tcPr>
            <w:tcW w:w="2319" w:type="dxa"/>
          </w:tcPr>
          <w:p w14:paraId="6833D156" w14:textId="77777777" w:rsidR="009533C8" w:rsidRPr="006E7C03" w:rsidRDefault="009533C8" w:rsidP="009533C8">
            <w:pPr>
              <w:pStyle w:val="Zkladntext"/>
              <w:spacing w:after="120"/>
            </w:pPr>
            <w:r w:rsidRPr="006E7C03">
              <w:t>Prioritní osa 3/ Zvyšování energetické účinnosti a zabezpečení dodávek prostřednictvím rozvoje inteligentních systémů pro distribuci, skladování a přenos energie a prostřednictvím integrace distribuované výroby z obnovitelných zdrojů</w:t>
            </w:r>
          </w:p>
        </w:tc>
      </w:tr>
      <w:tr w:rsidR="009533C8" w:rsidRPr="006E7C03" w14:paraId="443C1BB2" w14:textId="77777777" w:rsidTr="009533C8">
        <w:trPr>
          <w:trHeight w:val="3375"/>
        </w:trPr>
        <w:tc>
          <w:tcPr>
            <w:tcW w:w="1576" w:type="dxa"/>
          </w:tcPr>
          <w:p w14:paraId="4BC1EC28" w14:textId="77777777" w:rsidR="009533C8" w:rsidRPr="0038465A" w:rsidRDefault="009533C8" w:rsidP="009533C8">
            <w:pPr>
              <w:pStyle w:val="Zkladntext"/>
              <w:spacing w:after="120"/>
            </w:pPr>
            <w:r>
              <w:t>Rozvodna Kočín – rozšíření, rekonstrukce a přeústění</w:t>
            </w:r>
          </w:p>
        </w:tc>
        <w:tc>
          <w:tcPr>
            <w:tcW w:w="1724" w:type="dxa"/>
          </w:tcPr>
          <w:p w14:paraId="698D99C3" w14:textId="4B5AB863" w:rsidR="009533C8" w:rsidRPr="0038465A" w:rsidRDefault="00DF3C49" w:rsidP="009533C8">
            <w:pPr>
              <w:pStyle w:val="Zkladntext"/>
              <w:spacing w:after="120"/>
            </w:pPr>
            <w:r w:rsidRPr="00DF3C49">
              <w:t>4Q/2018</w:t>
            </w:r>
          </w:p>
        </w:tc>
        <w:tc>
          <w:tcPr>
            <w:tcW w:w="1724" w:type="dxa"/>
          </w:tcPr>
          <w:p w14:paraId="7850C8DE" w14:textId="65DD3867" w:rsidR="009533C8" w:rsidRPr="0038465A" w:rsidRDefault="009533C8" w:rsidP="009533C8">
            <w:pPr>
              <w:pStyle w:val="Zkladntext"/>
              <w:spacing w:after="120"/>
            </w:pPr>
            <w:r>
              <w:t>2Q/2017</w:t>
            </w:r>
          </w:p>
        </w:tc>
        <w:tc>
          <w:tcPr>
            <w:tcW w:w="1724" w:type="dxa"/>
          </w:tcPr>
          <w:p w14:paraId="4E36F697" w14:textId="7F4E286F" w:rsidR="009533C8" w:rsidRPr="0038465A" w:rsidRDefault="009533C8" w:rsidP="009533C8">
            <w:pPr>
              <w:pStyle w:val="Zkladntext"/>
              <w:spacing w:after="120"/>
            </w:pPr>
            <w:r>
              <w:t>4Q/2022</w:t>
            </w:r>
          </w:p>
        </w:tc>
        <w:tc>
          <w:tcPr>
            <w:tcW w:w="2319" w:type="dxa"/>
          </w:tcPr>
          <w:p w14:paraId="2D9EE822" w14:textId="77777777" w:rsidR="009533C8" w:rsidRPr="006E7C03" w:rsidRDefault="009533C8" w:rsidP="009533C8">
            <w:pPr>
              <w:pStyle w:val="Zkladntext"/>
              <w:spacing w:after="120"/>
            </w:pPr>
            <w:r w:rsidRPr="00DD6664">
              <w:t xml:space="preserve">Prioritní osa 3/ Zvyšování energetické účinnosti a zabezpečení dodávek prostřednictvím rozvoje inteligentních systémů pro distribuci, skladování a přenos energie a prostřednictvím integrace distribuované výroby z </w:t>
            </w:r>
            <w:r w:rsidRPr="00DD6664">
              <w:lastRenderedPageBreak/>
              <w:t>obnovitelných zdrojů</w:t>
            </w:r>
          </w:p>
        </w:tc>
      </w:tr>
    </w:tbl>
    <w:p w14:paraId="205F8862" w14:textId="75312B3A" w:rsidR="00AA042C" w:rsidRPr="00DD47DF" w:rsidRDefault="00AA042C" w:rsidP="00A146B9">
      <w:pPr>
        <w:pStyle w:val="Standardntext"/>
      </w:pPr>
    </w:p>
    <w:p w14:paraId="0BFFD173" w14:textId="77777777" w:rsidR="00AA042C" w:rsidRPr="00DD47DF" w:rsidRDefault="006C634D" w:rsidP="00E134D0">
      <w:pPr>
        <w:pStyle w:val="Nadpis2"/>
        <w:rPr>
          <w:rFonts w:cs="Calibri"/>
        </w:rPr>
      </w:pPr>
      <w:bookmarkStart w:id="149" w:name="_Toc351464449"/>
      <w:bookmarkStart w:id="150" w:name="_Toc129005472"/>
      <w:r w:rsidRPr="00DD47DF">
        <w:rPr>
          <w:rFonts w:cs="Calibri"/>
        </w:rPr>
        <w:t xml:space="preserve">Výkonnostní rámec </w:t>
      </w:r>
      <w:bookmarkEnd w:id="149"/>
      <w:r w:rsidR="00E134D0" w:rsidRPr="00DD47DF">
        <w:rPr>
          <w:rFonts w:cs="Calibri"/>
        </w:rPr>
        <w:t>pro operační program</w:t>
      </w:r>
      <w:bookmarkEnd w:id="150"/>
    </w:p>
    <w:p w14:paraId="7012E4F1" w14:textId="77777777" w:rsidR="006C634D" w:rsidRPr="00DD47DF" w:rsidRDefault="006C634D" w:rsidP="000816D8">
      <w:pPr>
        <w:pStyle w:val="Titulek"/>
      </w:pPr>
      <w:r w:rsidRPr="00DD47DF">
        <w:t xml:space="preserve">Tabulka </w:t>
      </w:r>
      <w:r w:rsidR="002756E7" w:rsidRPr="00DD47DF">
        <w:fldChar w:fldCharType="begin"/>
      </w:r>
      <w:r w:rsidR="000E35F2" w:rsidRPr="00DD47DF">
        <w:instrText xml:space="preserve"> SEQ Tabulka \* ARABIC \r 28 </w:instrText>
      </w:r>
      <w:r w:rsidR="002756E7" w:rsidRPr="00DD47DF">
        <w:fldChar w:fldCharType="separate"/>
      </w:r>
      <w:r w:rsidR="00117847">
        <w:rPr>
          <w:noProof/>
        </w:rPr>
        <w:t>28</w:t>
      </w:r>
      <w:r w:rsidR="002756E7" w:rsidRPr="00DD47DF">
        <w:rPr>
          <w:noProof/>
        </w:rPr>
        <w:fldChar w:fldCharType="end"/>
      </w:r>
      <w:r w:rsidRPr="00DD47DF">
        <w:t xml:space="preserve">: </w:t>
      </w:r>
      <w:r w:rsidR="00E134D0" w:rsidRPr="00DD47DF">
        <w:t>Výkonnostní rámec operačního programu rozdělený podle fondu a kategorie regionu (shrnující tabulka)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9"/>
        <w:gridCol w:w="696"/>
        <w:gridCol w:w="1108"/>
        <w:gridCol w:w="2429"/>
        <w:gridCol w:w="1553"/>
        <w:gridCol w:w="1251"/>
        <w:gridCol w:w="1251"/>
      </w:tblGrid>
      <w:tr w:rsidR="0062043C" w:rsidRPr="00DD47DF" w14:paraId="4598D93D" w14:textId="77777777">
        <w:trPr>
          <w:trHeight w:val="846"/>
        </w:trPr>
        <w:tc>
          <w:tcPr>
            <w:tcW w:w="581" w:type="pct"/>
            <w:shd w:val="clear" w:color="auto" w:fill="B8CCE4"/>
          </w:tcPr>
          <w:p w14:paraId="1FE5EC49" w14:textId="77777777" w:rsidR="0062043C" w:rsidRPr="00DD47DF" w:rsidRDefault="0062043C" w:rsidP="00E134D0">
            <w:pPr>
              <w:pStyle w:val="Tabulka"/>
              <w:rPr>
                <w:rFonts w:cs="Calibri"/>
                <w:b/>
              </w:rPr>
            </w:pPr>
            <w:r w:rsidRPr="00DD47DF">
              <w:rPr>
                <w:rFonts w:cs="Calibri"/>
                <w:b/>
              </w:rPr>
              <w:t>Prioritní osa</w:t>
            </w:r>
          </w:p>
        </w:tc>
        <w:tc>
          <w:tcPr>
            <w:tcW w:w="371" w:type="pct"/>
            <w:shd w:val="clear" w:color="auto" w:fill="B8CCE4"/>
          </w:tcPr>
          <w:p w14:paraId="52A67460" w14:textId="77777777" w:rsidR="0062043C" w:rsidRPr="00DD47DF" w:rsidRDefault="0062043C" w:rsidP="00D51BBA">
            <w:pPr>
              <w:pStyle w:val="Tabulka"/>
              <w:rPr>
                <w:rFonts w:cs="Calibri"/>
                <w:b/>
              </w:rPr>
            </w:pPr>
            <w:r w:rsidRPr="00DD47DF">
              <w:rPr>
                <w:rFonts w:cs="Calibri"/>
                <w:b/>
              </w:rPr>
              <w:t>Fond</w:t>
            </w:r>
          </w:p>
        </w:tc>
        <w:tc>
          <w:tcPr>
            <w:tcW w:w="591" w:type="pct"/>
            <w:shd w:val="clear" w:color="auto" w:fill="B8CCE4"/>
          </w:tcPr>
          <w:p w14:paraId="56CB6821" w14:textId="77777777" w:rsidR="0062043C" w:rsidRPr="00DD47DF" w:rsidRDefault="00E134D0" w:rsidP="00E134D0">
            <w:pPr>
              <w:pStyle w:val="Tabulka"/>
              <w:rPr>
                <w:rFonts w:cs="Calibri"/>
                <w:b/>
              </w:rPr>
            </w:pPr>
            <w:r w:rsidRPr="00DD47DF">
              <w:rPr>
                <w:rFonts w:cs="Calibri"/>
                <w:b/>
              </w:rPr>
              <w:t>Kategorie regionů</w:t>
            </w:r>
          </w:p>
        </w:tc>
        <w:tc>
          <w:tcPr>
            <w:tcW w:w="1295" w:type="pct"/>
            <w:shd w:val="clear" w:color="auto" w:fill="B8CCE4"/>
            <w:tcMar>
              <w:top w:w="0" w:type="dxa"/>
              <w:left w:w="108" w:type="dxa"/>
              <w:bottom w:w="0" w:type="dxa"/>
              <w:right w:w="108" w:type="dxa"/>
            </w:tcMar>
          </w:tcPr>
          <w:p w14:paraId="5466B159" w14:textId="77777777" w:rsidR="0062043C" w:rsidRPr="00DD47DF" w:rsidRDefault="00E134D0" w:rsidP="00E134D0">
            <w:pPr>
              <w:pStyle w:val="Tabulka"/>
              <w:rPr>
                <w:rFonts w:cs="Calibri"/>
                <w:b/>
              </w:rPr>
            </w:pPr>
            <w:r w:rsidRPr="00DD47DF">
              <w:rPr>
                <w:rFonts w:cs="Calibri"/>
                <w:b/>
              </w:rPr>
              <w:t>Ukazatel nebo klíčový krok provádění</w:t>
            </w:r>
          </w:p>
        </w:tc>
        <w:tc>
          <w:tcPr>
            <w:tcW w:w="828" w:type="pct"/>
            <w:shd w:val="clear" w:color="auto" w:fill="B8CCE4"/>
            <w:tcMar>
              <w:top w:w="0" w:type="dxa"/>
              <w:left w:w="108" w:type="dxa"/>
              <w:bottom w:w="0" w:type="dxa"/>
              <w:right w:w="108" w:type="dxa"/>
            </w:tcMar>
          </w:tcPr>
          <w:p w14:paraId="02AE8ABD" w14:textId="77777777" w:rsidR="0062043C" w:rsidRPr="00DD47DF" w:rsidRDefault="00E134D0" w:rsidP="00E134D0">
            <w:pPr>
              <w:pStyle w:val="Tabulka"/>
              <w:rPr>
                <w:rFonts w:cs="Calibri"/>
                <w:b/>
                <w:bCs/>
              </w:rPr>
            </w:pPr>
            <w:r w:rsidRPr="00DD47DF">
              <w:rPr>
                <w:rFonts w:cs="Calibri"/>
                <w:b/>
                <w:bCs/>
              </w:rPr>
              <w:t>Měrná jednotka (použije-li se)</w:t>
            </w:r>
          </w:p>
        </w:tc>
        <w:tc>
          <w:tcPr>
            <w:tcW w:w="667" w:type="pct"/>
            <w:shd w:val="clear" w:color="auto" w:fill="B8CCE4"/>
            <w:tcMar>
              <w:top w:w="0" w:type="dxa"/>
              <w:left w:w="108" w:type="dxa"/>
              <w:bottom w:w="0" w:type="dxa"/>
              <w:right w:w="108" w:type="dxa"/>
            </w:tcMar>
          </w:tcPr>
          <w:p w14:paraId="7D0D1B3F" w14:textId="77777777" w:rsidR="0062043C" w:rsidRPr="00DD47DF" w:rsidRDefault="00E134D0" w:rsidP="00E134D0">
            <w:pPr>
              <w:pStyle w:val="Tabulka"/>
              <w:rPr>
                <w:rFonts w:cs="Calibri"/>
                <w:b/>
              </w:rPr>
            </w:pPr>
            <w:r w:rsidRPr="00DD47DF">
              <w:rPr>
                <w:rFonts w:cs="Calibri"/>
                <w:b/>
              </w:rPr>
              <w:t>Milník pro rok 2018</w:t>
            </w:r>
          </w:p>
        </w:tc>
        <w:tc>
          <w:tcPr>
            <w:tcW w:w="668" w:type="pct"/>
            <w:shd w:val="clear" w:color="auto" w:fill="B8CCE4"/>
            <w:tcMar>
              <w:top w:w="0" w:type="dxa"/>
              <w:left w:w="108" w:type="dxa"/>
              <w:bottom w:w="0" w:type="dxa"/>
              <w:right w:w="108" w:type="dxa"/>
            </w:tcMar>
          </w:tcPr>
          <w:p w14:paraId="7ADB2EA1" w14:textId="77777777" w:rsidR="0062043C" w:rsidRPr="00DD47DF" w:rsidRDefault="00E134D0" w:rsidP="00E134D0">
            <w:pPr>
              <w:pStyle w:val="Tabulka"/>
              <w:rPr>
                <w:rFonts w:cs="Calibri"/>
                <w:b/>
              </w:rPr>
            </w:pPr>
            <w:r w:rsidRPr="00DD47DF">
              <w:rPr>
                <w:rFonts w:cs="Calibri"/>
                <w:b/>
              </w:rPr>
              <w:t>Konečný cíl</w:t>
            </w:r>
            <w:r w:rsidR="0062043C" w:rsidRPr="00DD47DF">
              <w:rPr>
                <w:rFonts w:cs="Calibri"/>
                <w:b/>
              </w:rPr>
              <w:t xml:space="preserve"> </w:t>
            </w:r>
            <w:r w:rsidRPr="00DD47DF">
              <w:rPr>
                <w:rFonts w:cs="Calibri"/>
                <w:b/>
              </w:rPr>
              <w:t>(</w:t>
            </w:r>
            <w:r w:rsidR="0062043C" w:rsidRPr="00DD47DF">
              <w:rPr>
                <w:rFonts w:cs="Calibri"/>
                <w:b/>
              </w:rPr>
              <w:t>2023</w:t>
            </w:r>
            <w:r w:rsidRPr="00DD47DF">
              <w:rPr>
                <w:rFonts w:cs="Calibri"/>
                <w:b/>
              </w:rPr>
              <w:t>)</w:t>
            </w:r>
          </w:p>
        </w:tc>
      </w:tr>
      <w:tr w:rsidR="00DC685E" w:rsidRPr="00DD47DF" w14:paraId="423E53CA" w14:textId="77777777">
        <w:trPr>
          <w:trHeight w:val="318"/>
        </w:trPr>
        <w:tc>
          <w:tcPr>
            <w:tcW w:w="581" w:type="pct"/>
            <w:vMerge w:val="restart"/>
            <w:shd w:val="clear" w:color="auto" w:fill="auto"/>
            <w:vAlign w:val="center"/>
          </w:tcPr>
          <w:p w14:paraId="13D2D1A7" w14:textId="77777777" w:rsidR="00DC685E" w:rsidRPr="00DD47DF" w:rsidRDefault="00DC685E" w:rsidP="0062043C">
            <w:pPr>
              <w:pStyle w:val="Tabulka"/>
              <w:jc w:val="left"/>
              <w:rPr>
                <w:rFonts w:cs="Calibri"/>
              </w:rPr>
            </w:pPr>
            <w:r w:rsidRPr="00DD47DF">
              <w:rPr>
                <w:rFonts w:cs="Calibri"/>
              </w:rPr>
              <w:t>Prioritní osa 1</w:t>
            </w:r>
          </w:p>
        </w:tc>
        <w:tc>
          <w:tcPr>
            <w:tcW w:w="371" w:type="pct"/>
            <w:vMerge w:val="restart"/>
            <w:vAlign w:val="center"/>
          </w:tcPr>
          <w:p w14:paraId="19C1BB01"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382FC5D8"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1BC5B6F4" w14:textId="77777777" w:rsidR="00DC685E" w:rsidRPr="00DD47DF" w:rsidRDefault="003D1BB3" w:rsidP="000F4D69">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0B086D0F"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5D4C97B0" w14:textId="77777777" w:rsidR="00DC685E" w:rsidRPr="00DD47DF" w:rsidRDefault="000E5BB7" w:rsidP="00D51BBA">
            <w:pPr>
              <w:pStyle w:val="Tabulka"/>
              <w:rPr>
                <w:rFonts w:cs="Calibri"/>
              </w:rPr>
            </w:pPr>
            <w:r w:rsidRPr="00DD47DF">
              <w:rPr>
                <w:rFonts w:cs="Calibri"/>
              </w:rPr>
              <w:t>5</w:t>
            </w:r>
            <w:r w:rsidR="00CC653D" w:rsidRPr="00DD47DF">
              <w:rPr>
                <w:rFonts w:cs="Calibri"/>
              </w:rPr>
              <w:t>52</w:t>
            </w:r>
            <w:r w:rsidR="00DC685E" w:rsidRPr="00DD47DF">
              <w:rPr>
                <w:rFonts w:cs="Calibri"/>
              </w:rPr>
              <w:t> </w:t>
            </w:r>
            <w:r w:rsidR="00CC653D" w:rsidRPr="00DD47DF">
              <w:rPr>
                <w:rFonts w:cs="Calibri"/>
              </w:rPr>
              <w:t>4</w:t>
            </w:r>
            <w:r w:rsidR="00DC685E" w:rsidRPr="00DD47DF">
              <w:rPr>
                <w:rFonts w:cs="Calibri"/>
              </w:rPr>
              <w:t>00 000</w:t>
            </w:r>
          </w:p>
        </w:tc>
        <w:tc>
          <w:tcPr>
            <w:tcW w:w="668" w:type="pct"/>
            <w:shd w:val="clear" w:color="auto" w:fill="auto"/>
            <w:tcMar>
              <w:top w:w="0" w:type="dxa"/>
              <w:left w:w="108" w:type="dxa"/>
              <w:bottom w:w="0" w:type="dxa"/>
              <w:right w:w="108" w:type="dxa"/>
            </w:tcMar>
            <w:vAlign w:val="center"/>
          </w:tcPr>
          <w:p w14:paraId="5E642077" w14:textId="03A37390" w:rsidR="00DC685E" w:rsidRPr="00DD47DF" w:rsidRDefault="00CE6F21" w:rsidP="00D51BBA">
            <w:pPr>
              <w:pStyle w:val="Tabulka"/>
              <w:rPr>
                <w:rFonts w:cs="Calibri"/>
              </w:rPr>
            </w:pPr>
            <w:r w:rsidRPr="00CE6F21">
              <w:t>2 616 902 798</w:t>
            </w:r>
          </w:p>
        </w:tc>
      </w:tr>
      <w:tr w:rsidR="00DC685E" w:rsidRPr="00DD47DF" w14:paraId="54103C15" w14:textId="77777777">
        <w:trPr>
          <w:trHeight w:val="268"/>
        </w:trPr>
        <w:tc>
          <w:tcPr>
            <w:tcW w:w="581" w:type="pct"/>
            <w:vMerge/>
            <w:shd w:val="clear" w:color="auto" w:fill="auto"/>
            <w:vAlign w:val="center"/>
          </w:tcPr>
          <w:p w14:paraId="6C214F10" w14:textId="77777777" w:rsidR="00DC685E" w:rsidRPr="00DD47DF" w:rsidRDefault="00DC685E" w:rsidP="0062043C">
            <w:pPr>
              <w:pStyle w:val="Tabulka"/>
              <w:jc w:val="left"/>
              <w:rPr>
                <w:rFonts w:cs="Calibri"/>
              </w:rPr>
            </w:pPr>
          </w:p>
        </w:tc>
        <w:tc>
          <w:tcPr>
            <w:tcW w:w="371" w:type="pct"/>
            <w:vMerge/>
            <w:vAlign w:val="center"/>
          </w:tcPr>
          <w:p w14:paraId="54E2FB1E" w14:textId="77777777" w:rsidR="00DC685E" w:rsidRPr="00DD47DF" w:rsidRDefault="00DC685E" w:rsidP="00D51BBA">
            <w:pPr>
              <w:pStyle w:val="Tabulka"/>
              <w:rPr>
                <w:rFonts w:cs="Calibri"/>
              </w:rPr>
            </w:pPr>
          </w:p>
        </w:tc>
        <w:tc>
          <w:tcPr>
            <w:tcW w:w="591" w:type="pct"/>
            <w:vMerge/>
            <w:vAlign w:val="center"/>
          </w:tcPr>
          <w:p w14:paraId="22C893BA"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03D81AA5"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1482D7C7"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7A9CAABB" w14:textId="77777777" w:rsidR="00DC685E" w:rsidRPr="00DD47DF" w:rsidRDefault="00BD5D37" w:rsidP="00D51BBA">
            <w:pPr>
              <w:pStyle w:val="Tabulka"/>
              <w:rPr>
                <w:rFonts w:cs="Calibri"/>
              </w:rPr>
            </w:pPr>
            <w:r w:rsidRPr="00DD47DF">
              <w:rPr>
                <w:rFonts w:cs="Calibri"/>
              </w:rPr>
              <w:t>4</w:t>
            </w:r>
            <w:r w:rsidR="000E5BB7" w:rsidRPr="00DD47DF">
              <w:rPr>
                <w:rFonts w:cs="Calibri"/>
              </w:rPr>
              <w:t>2</w:t>
            </w:r>
            <w:r w:rsidRPr="00DD47DF">
              <w:rPr>
                <w:rFonts w:cs="Calibri"/>
              </w:rPr>
              <w:t>0</w:t>
            </w:r>
          </w:p>
        </w:tc>
        <w:tc>
          <w:tcPr>
            <w:tcW w:w="668" w:type="pct"/>
            <w:shd w:val="clear" w:color="auto" w:fill="auto"/>
            <w:tcMar>
              <w:top w:w="0" w:type="dxa"/>
              <w:left w:w="108" w:type="dxa"/>
              <w:bottom w:w="0" w:type="dxa"/>
              <w:right w:w="108" w:type="dxa"/>
            </w:tcMar>
            <w:vAlign w:val="center"/>
          </w:tcPr>
          <w:p w14:paraId="674EC609" w14:textId="7BA5B774" w:rsidR="00DC685E" w:rsidRPr="00DD47DF" w:rsidRDefault="00A7573D" w:rsidP="00661200">
            <w:pPr>
              <w:pStyle w:val="Tabulka"/>
              <w:rPr>
                <w:rFonts w:cs="Calibri"/>
              </w:rPr>
            </w:pPr>
            <w:r w:rsidRPr="00A7573D">
              <w:rPr>
                <w:rFonts w:cs="Calibri"/>
              </w:rPr>
              <w:t>2 452</w:t>
            </w:r>
          </w:p>
        </w:tc>
      </w:tr>
      <w:tr w:rsidR="00DC685E" w:rsidRPr="00DD47DF" w14:paraId="11813E20" w14:textId="77777777">
        <w:trPr>
          <w:trHeight w:val="335"/>
        </w:trPr>
        <w:tc>
          <w:tcPr>
            <w:tcW w:w="581" w:type="pct"/>
            <w:vMerge/>
            <w:shd w:val="clear" w:color="auto" w:fill="auto"/>
            <w:vAlign w:val="center"/>
          </w:tcPr>
          <w:p w14:paraId="0DDDD24A" w14:textId="77777777" w:rsidR="00DC685E" w:rsidRPr="00DD47DF" w:rsidRDefault="00DC685E" w:rsidP="0062043C">
            <w:pPr>
              <w:pStyle w:val="Tabulka"/>
              <w:jc w:val="left"/>
              <w:rPr>
                <w:rFonts w:cs="Calibri"/>
              </w:rPr>
            </w:pPr>
          </w:p>
        </w:tc>
        <w:tc>
          <w:tcPr>
            <w:tcW w:w="371" w:type="pct"/>
            <w:vMerge/>
            <w:vAlign w:val="center"/>
          </w:tcPr>
          <w:p w14:paraId="11D92080" w14:textId="77777777" w:rsidR="00DC685E" w:rsidRPr="00DD47DF" w:rsidRDefault="00DC685E" w:rsidP="00D51BBA">
            <w:pPr>
              <w:pStyle w:val="Tabulka"/>
              <w:rPr>
                <w:rFonts w:cs="Calibri"/>
              </w:rPr>
            </w:pPr>
          </w:p>
        </w:tc>
        <w:tc>
          <w:tcPr>
            <w:tcW w:w="591" w:type="pct"/>
            <w:vMerge/>
            <w:vAlign w:val="center"/>
          </w:tcPr>
          <w:p w14:paraId="51C08A24"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62807765" w14:textId="77777777" w:rsidR="00DC685E" w:rsidRPr="00DD47DF" w:rsidRDefault="00DC685E" w:rsidP="00DF5D6D">
            <w:pPr>
              <w:pStyle w:val="Tabulka"/>
              <w:rPr>
                <w:rFonts w:cs="Calibri"/>
              </w:rPr>
            </w:pPr>
            <w:r w:rsidRPr="00DD47DF">
              <w:rPr>
                <w:rFonts w:cs="Calibri"/>
              </w:rPr>
              <w:t>Počet podniků spolupracujících s výzkumnými institucemi</w:t>
            </w:r>
          </w:p>
        </w:tc>
        <w:tc>
          <w:tcPr>
            <w:tcW w:w="828" w:type="pct"/>
            <w:shd w:val="clear" w:color="auto" w:fill="auto"/>
            <w:tcMar>
              <w:top w:w="0" w:type="dxa"/>
              <w:left w:w="108" w:type="dxa"/>
              <w:bottom w:w="0" w:type="dxa"/>
              <w:right w:w="108" w:type="dxa"/>
            </w:tcMar>
            <w:vAlign w:val="center"/>
          </w:tcPr>
          <w:p w14:paraId="7571423E" w14:textId="77777777" w:rsidR="00DC685E" w:rsidRPr="00DD47DF" w:rsidRDefault="00DC685E" w:rsidP="00DF5D6D">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15073B96" w14:textId="41DF31BA" w:rsidR="00DC685E" w:rsidRPr="00DD47DF" w:rsidRDefault="00E71398" w:rsidP="00D51BBA">
            <w:pPr>
              <w:pStyle w:val="Tabulka"/>
              <w:rPr>
                <w:rFonts w:cs="Calibri"/>
              </w:rPr>
            </w:pPr>
            <w:r>
              <w:rPr>
                <w:rFonts w:cs="Calibri"/>
              </w:rPr>
              <w:t>3</w:t>
            </w:r>
            <w:r w:rsidR="00DC685E" w:rsidRPr="00DD47DF">
              <w:rPr>
                <w:rFonts w:cs="Calibri"/>
              </w:rPr>
              <w:t>50</w:t>
            </w:r>
          </w:p>
        </w:tc>
        <w:tc>
          <w:tcPr>
            <w:tcW w:w="668" w:type="pct"/>
            <w:shd w:val="clear" w:color="auto" w:fill="auto"/>
            <w:tcMar>
              <w:top w:w="0" w:type="dxa"/>
              <w:left w:w="108" w:type="dxa"/>
              <w:bottom w:w="0" w:type="dxa"/>
              <w:right w:w="108" w:type="dxa"/>
            </w:tcMar>
            <w:vAlign w:val="center"/>
          </w:tcPr>
          <w:p w14:paraId="5185B518" w14:textId="2A8388CF" w:rsidR="00DC685E" w:rsidRPr="00DD47DF" w:rsidRDefault="00DC685E" w:rsidP="00D51BBA">
            <w:pPr>
              <w:pStyle w:val="Tabulka"/>
              <w:rPr>
                <w:rFonts w:cs="Calibri"/>
              </w:rPr>
            </w:pPr>
            <w:r w:rsidRPr="00DD47DF">
              <w:rPr>
                <w:rFonts w:cs="Calibri"/>
              </w:rPr>
              <w:t xml:space="preserve">2 </w:t>
            </w:r>
            <w:r w:rsidR="00E71398">
              <w:rPr>
                <w:rFonts w:cs="Calibri"/>
              </w:rPr>
              <w:t>200</w:t>
            </w:r>
          </w:p>
        </w:tc>
      </w:tr>
      <w:tr w:rsidR="00DC685E" w:rsidRPr="00DD47DF" w14:paraId="234F4239" w14:textId="77777777">
        <w:trPr>
          <w:trHeight w:val="469"/>
        </w:trPr>
        <w:tc>
          <w:tcPr>
            <w:tcW w:w="581" w:type="pct"/>
            <w:vMerge w:val="restart"/>
            <w:shd w:val="clear" w:color="auto" w:fill="auto"/>
            <w:vAlign w:val="center"/>
          </w:tcPr>
          <w:p w14:paraId="26391463" w14:textId="77777777" w:rsidR="00DC685E" w:rsidRPr="00DD47DF" w:rsidRDefault="00DC685E" w:rsidP="0062043C">
            <w:pPr>
              <w:pStyle w:val="Tabulka"/>
              <w:jc w:val="left"/>
              <w:rPr>
                <w:rFonts w:cs="Calibri"/>
              </w:rPr>
            </w:pPr>
            <w:r w:rsidRPr="00DD47DF">
              <w:rPr>
                <w:rFonts w:cs="Calibri"/>
              </w:rPr>
              <w:t>Prioritní osa 2</w:t>
            </w:r>
          </w:p>
        </w:tc>
        <w:tc>
          <w:tcPr>
            <w:tcW w:w="371" w:type="pct"/>
            <w:vMerge w:val="restart"/>
            <w:vAlign w:val="center"/>
          </w:tcPr>
          <w:p w14:paraId="76CFEDBB"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21E021FC"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2E848E8C"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2E5D6E12"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515480E1" w14:textId="77777777" w:rsidR="00DC685E" w:rsidRPr="00DD47DF" w:rsidRDefault="000E5BB7" w:rsidP="00D51BBA">
            <w:pPr>
              <w:pStyle w:val="Tabulka"/>
              <w:rPr>
                <w:rFonts w:cs="Calibri"/>
              </w:rPr>
            </w:pPr>
            <w:r w:rsidRPr="00DD47DF">
              <w:rPr>
                <w:rFonts w:cs="Calibri"/>
              </w:rPr>
              <w:t>26</w:t>
            </w:r>
            <w:r w:rsidR="00CC653D" w:rsidRPr="00DD47DF">
              <w:rPr>
                <w:rFonts w:cs="Calibri"/>
              </w:rPr>
              <w:t>8</w:t>
            </w:r>
            <w:r w:rsidRPr="00DD47DF">
              <w:rPr>
                <w:rFonts w:cs="Calibri"/>
              </w:rPr>
              <w:t> 4</w:t>
            </w:r>
            <w:r w:rsidR="00DC685E" w:rsidRPr="00DD47DF">
              <w:rPr>
                <w:rFonts w:cs="Calibri"/>
              </w:rPr>
              <w:t>00 000</w:t>
            </w:r>
          </w:p>
        </w:tc>
        <w:tc>
          <w:tcPr>
            <w:tcW w:w="668" w:type="pct"/>
            <w:shd w:val="clear" w:color="auto" w:fill="auto"/>
            <w:tcMar>
              <w:top w:w="0" w:type="dxa"/>
              <w:left w:w="108" w:type="dxa"/>
              <w:bottom w:w="0" w:type="dxa"/>
              <w:right w:w="108" w:type="dxa"/>
            </w:tcMar>
            <w:vAlign w:val="center"/>
          </w:tcPr>
          <w:p w14:paraId="31E1177F" w14:textId="5D33CA6E" w:rsidR="00DC685E" w:rsidRPr="00DD47DF" w:rsidRDefault="000A787B" w:rsidP="00D51BBA">
            <w:pPr>
              <w:pStyle w:val="Tabulka"/>
              <w:rPr>
                <w:rFonts w:cs="Calibri"/>
              </w:rPr>
            </w:pPr>
            <w:r w:rsidRPr="005905B9">
              <w:rPr>
                <w:rFonts w:cs="Calibri"/>
              </w:rPr>
              <w:t>2 007 243 770</w:t>
            </w:r>
          </w:p>
        </w:tc>
      </w:tr>
      <w:tr w:rsidR="00DC685E" w:rsidRPr="00DD47DF" w14:paraId="20A6C35F" w14:textId="77777777">
        <w:trPr>
          <w:trHeight w:val="462"/>
        </w:trPr>
        <w:tc>
          <w:tcPr>
            <w:tcW w:w="581" w:type="pct"/>
            <w:vMerge/>
            <w:shd w:val="clear" w:color="auto" w:fill="auto"/>
            <w:vAlign w:val="center"/>
          </w:tcPr>
          <w:p w14:paraId="32AC4B71" w14:textId="77777777" w:rsidR="00DC685E" w:rsidRPr="00DD47DF" w:rsidRDefault="00DC685E" w:rsidP="0062043C">
            <w:pPr>
              <w:pStyle w:val="Tabulka"/>
              <w:jc w:val="left"/>
              <w:rPr>
                <w:rFonts w:cs="Calibri"/>
              </w:rPr>
            </w:pPr>
          </w:p>
        </w:tc>
        <w:tc>
          <w:tcPr>
            <w:tcW w:w="371" w:type="pct"/>
            <w:vMerge/>
            <w:vAlign w:val="center"/>
          </w:tcPr>
          <w:p w14:paraId="16D6F383" w14:textId="77777777" w:rsidR="00DC685E" w:rsidRPr="00DD47DF" w:rsidRDefault="00DC685E" w:rsidP="00D51BBA">
            <w:pPr>
              <w:pStyle w:val="Tabulka"/>
              <w:rPr>
                <w:rFonts w:cs="Calibri"/>
              </w:rPr>
            </w:pPr>
          </w:p>
        </w:tc>
        <w:tc>
          <w:tcPr>
            <w:tcW w:w="591" w:type="pct"/>
            <w:vMerge/>
            <w:vAlign w:val="center"/>
          </w:tcPr>
          <w:p w14:paraId="4F48AAAD"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31C890A1"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76614BE6"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0DA9A77A" w14:textId="77777777" w:rsidR="00DC685E" w:rsidRPr="00DD47DF" w:rsidRDefault="00A25B29" w:rsidP="00D51BBA">
            <w:pPr>
              <w:pStyle w:val="Tabulka"/>
              <w:rPr>
                <w:rFonts w:cs="Calibri"/>
              </w:rPr>
            </w:pPr>
            <w:r w:rsidRPr="00DD47DF">
              <w:rPr>
                <w:rFonts w:cs="Calibri"/>
              </w:rPr>
              <w:t>1 35</w:t>
            </w:r>
            <w:r w:rsidR="00DC685E" w:rsidRPr="00DD47DF">
              <w:rPr>
                <w:rFonts w:cs="Calibri"/>
              </w:rPr>
              <w:t>0</w:t>
            </w:r>
          </w:p>
        </w:tc>
        <w:tc>
          <w:tcPr>
            <w:tcW w:w="668" w:type="pct"/>
            <w:shd w:val="clear" w:color="auto" w:fill="auto"/>
            <w:tcMar>
              <w:top w:w="0" w:type="dxa"/>
              <w:left w:w="108" w:type="dxa"/>
              <w:bottom w:w="0" w:type="dxa"/>
              <w:right w:w="108" w:type="dxa"/>
            </w:tcMar>
            <w:vAlign w:val="center"/>
          </w:tcPr>
          <w:p w14:paraId="408A9C9B" w14:textId="23868B1D" w:rsidR="00DC685E" w:rsidRPr="00DD47DF" w:rsidRDefault="00B050B4" w:rsidP="00773626">
            <w:pPr>
              <w:pStyle w:val="Tabulka"/>
              <w:rPr>
                <w:rFonts w:cs="Calibri"/>
              </w:rPr>
            </w:pPr>
            <w:r>
              <w:rPr>
                <w:rFonts w:cs="Calibri"/>
              </w:rPr>
              <w:t>7 934</w:t>
            </w:r>
          </w:p>
        </w:tc>
      </w:tr>
      <w:tr w:rsidR="00DC685E" w:rsidRPr="00DD47DF" w14:paraId="2E78A5C7" w14:textId="77777777">
        <w:trPr>
          <w:trHeight w:val="485"/>
        </w:trPr>
        <w:tc>
          <w:tcPr>
            <w:tcW w:w="581" w:type="pct"/>
            <w:vMerge w:val="restart"/>
            <w:shd w:val="clear" w:color="auto" w:fill="auto"/>
            <w:vAlign w:val="center"/>
          </w:tcPr>
          <w:p w14:paraId="38A1DDEB" w14:textId="77777777" w:rsidR="00DC685E" w:rsidRPr="00DD47DF" w:rsidRDefault="00DC685E" w:rsidP="0062043C">
            <w:pPr>
              <w:pStyle w:val="Tabulka"/>
              <w:jc w:val="left"/>
              <w:rPr>
                <w:rFonts w:cs="Calibri"/>
              </w:rPr>
            </w:pPr>
            <w:r w:rsidRPr="00DD47DF">
              <w:rPr>
                <w:rFonts w:cs="Calibri"/>
              </w:rPr>
              <w:t>Prioritní osa 3</w:t>
            </w:r>
          </w:p>
        </w:tc>
        <w:tc>
          <w:tcPr>
            <w:tcW w:w="371" w:type="pct"/>
            <w:vMerge w:val="restart"/>
            <w:vAlign w:val="center"/>
          </w:tcPr>
          <w:p w14:paraId="34CB4202"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74B0250F"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248AA497"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75D8FD4F"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207AB257" w14:textId="05C97296" w:rsidR="00DC685E" w:rsidRPr="00DD47DF" w:rsidRDefault="000E5BB7" w:rsidP="00D51BBA">
            <w:pPr>
              <w:pStyle w:val="Tabulka"/>
              <w:rPr>
                <w:rFonts w:cs="Calibri"/>
              </w:rPr>
            </w:pPr>
            <w:r w:rsidRPr="00DD47DF">
              <w:rPr>
                <w:rFonts w:cs="Calibri"/>
              </w:rPr>
              <w:t>4</w:t>
            </w:r>
            <w:r w:rsidR="00CC653D" w:rsidRPr="00DD47DF">
              <w:rPr>
                <w:rFonts w:cs="Calibri"/>
              </w:rPr>
              <w:t>95</w:t>
            </w:r>
            <w:r w:rsidR="00DC685E" w:rsidRPr="00DD47DF">
              <w:rPr>
                <w:rFonts w:cs="Calibri"/>
              </w:rPr>
              <w:t> 000 000</w:t>
            </w:r>
          </w:p>
        </w:tc>
        <w:tc>
          <w:tcPr>
            <w:tcW w:w="668" w:type="pct"/>
            <w:shd w:val="clear" w:color="auto" w:fill="auto"/>
            <w:tcMar>
              <w:top w:w="0" w:type="dxa"/>
              <w:left w:w="108" w:type="dxa"/>
              <w:bottom w:w="0" w:type="dxa"/>
              <w:right w:w="108" w:type="dxa"/>
            </w:tcMar>
            <w:vAlign w:val="center"/>
          </w:tcPr>
          <w:p w14:paraId="1E188A26" w14:textId="36E94805" w:rsidR="00DC685E" w:rsidRPr="00DD47DF" w:rsidRDefault="00CE6F21" w:rsidP="00D51BBA">
            <w:pPr>
              <w:pStyle w:val="Tabulka"/>
              <w:rPr>
                <w:rFonts w:cs="Calibri"/>
              </w:rPr>
            </w:pPr>
            <w:r w:rsidRPr="007512D4">
              <w:rPr>
                <w:rFonts w:cs="Calibri"/>
              </w:rPr>
              <w:t>2 372 366 795</w:t>
            </w:r>
          </w:p>
        </w:tc>
      </w:tr>
      <w:tr w:rsidR="00DC685E" w:rsidRPr="00DD47DF" w14:paraId="5C56C7CA" w14:textId="77777777">
        <w:trPr>
          <w:trHeight w:val="446"/>
        </w:trPr>
        <w:tc>
          <w:tcPr>
            <w:tcW w:w="581" w:type="pct"/>
            <w:vMerge/>
            <w:shd w:val="clear" w:color="auto" w:fill="auto"/>
            <w:vAlign w:val="center"/>
          </w:tcPr>
          <w:p w14:paraId="657C9231" w14:textId="77777777" w:rsidR="00DC685E" w:rsidRPr="00DD47DF" w:rsidRDefault="00DC685E" w:rsidP="0062043C">
            <w:pPr>
              <w:pStyle w:val="Tabulka"/>
              <w:jc w:val="left"/>
              <w:rPr>
                <w:rFonts w:cs="Calibri"/>
              </w:rPr>
            </w:pPr>
          </w:p>
        </w:tc>
        <w:tc>
          <w:tcPr>
            <w:tcW w:w="371" w:type="pct"/>
            <w:vMerge/>
            <w:vAlign w:val="center"/>
          </w:tcPr>
          <w:p w14:paraId="770145E7" w14:textId="77777777" w:rsidR="00DC685E" w:rsidRPr="00DD47DF" w:rsidRDefault="00DC685E" w:rsidP="00D51BBA">
            <w:pPr>
              <w:pStyle w:val="Tabulka"/>
              <w:rPr>
                <w:rFonts w:cs="Calibri"/>
              </w:rPr>
            </w:pPr>
          </w:p>
        </w:tc>
        <w:tc>
          <w:tcPr>
            <w:tcW w:w="591" w:type="pct"/>
            <w:vMerge/>
            <w:vAlign w:val="center"/>
          </w:tcPr>
          <w:p w14:paraId="06E3A289" w14:textId="77777777" w:rsidR="00DC685E" w:rsidRPr="00DD47DF" w:rsidRDefault="00DC685E" w:rsidP="00F42269">
            <w:pPr>
              <w:pStyle w:val="Tabulka"/>
              <w:rPr>
                <w:rFonts w:cs="Calibri"/>
              </w:rPr>
            </w:pPr>
          </w:p>
        </w:tc>
        <w:tc>
          <w:tcPr>
            <w:tcW w:w="1295" w:type="pct"/>
            <w:shd w:val="clear" w:color="auto" w:fill="auto"/>
            <w:tcMar>
              <w:top w:w="0" w:type="dxa"/>
              <w:left w:w="108" w:type="dxa"/>
              <w:bottom w:w="0" w:type="dxa"/>
              <w:right w:w="108" w:type="dxa"/>
            </w:tcMar>
            <w:vAlign w:val="center"/>
          </w:tcPr>
          <w:p w14:paraId="65DF1FBC"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3BD15174"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682EA708" w14:textId="77777777" w:rsidR="00DC685E" w:rsidRPr="00DD47DF" w:rsidRDefault="00A25B29" w:rsidP="00D51BBA">
            <w:pPr>
              <w:pStyle w:val="Tabulka"/>
              <w:rPr>
                <w:rFonts w:cs="Calibri"/>
              </w:rPr>
            </w:pPr>
            <w:r w:rsidRPr="00DD47DF">
              <w:rPr>
                <w:rFonts w:cs="Calibri"/>
              </w:rPr>
              <w:t>270</w:t>
            </w:r>
          </w:p>
        </w:tc>
        <w:tc>
          <w:tcPr>
            <w:tcW w:w="668" w:type="pct"/>
            <w:shd w:val="clear" w:color="auto" w:fill="auto"/>
            <w:tcMar>
              <w:top w:w="0" w:type="dxa"/>
              <w:left w:w="108" w:type="dxa"/>
              <w:bottom w:w="0" w:type="dxa"/>
              <w:right w:w="108" w:type="dxa"/>
            </w:tcMar>
            <w:vAlign w:val="center"/>
          </w:tcPr>
          <w:p w14:paraId="60CABA37" w14:textId="2E7CAA94" w:rsidR="00DC685E" w:rsidRPr="00DD47DF" w:rsidRDefault="00CE6F21" w:rsidP="001C3462">
            <w:pPr>
              <w:pStyle w:val="Tabulka"/>
              <w:rPr>
                <w:rFonts w:cs="Calibri"/>
              </w:rPr>
            </w:pPr>
            <w:r>
              <w:rPr>
                <w:rFonts w:cs="Calibri"/>
              </w:rPr>
              <w:t>3 068</w:t>
            </w:r>
          </w:p>
        </w:tc>
      </w:tr>
      <w:tr w:rsidR="00DC685E" w:rsidRPr="00DD47DF" w14:paraId="28FDD0A1" w14:textId="77777777">
        <w:trPr>
          <w:trHeight w:val="485"/>
        </w:trPr>
        <w:tc>
          <w:tcPr>
            <w:tcW w:w="581" w:type="pct"/>
            <w:vMerge w:val="restart"/>
            <w:shd w:val="clear" w:color="auto" w:fill="auto"/>
            <w:vAlign w:val="center"/>
          </w:tcPr>
          <w:p w14:paraId="083B7B3C" w14:textId="77777777" w:rsidR="00DC685E" w:rsidRPr="00DD47DF" w:rsidRDefault="00DC685E" w:rsidP="0062043C">
            <w:pPr>
              <w:pStyle w:val="Tabulka"/>
              <w:jc w:val="left"/>
              <w:rPr>
                <w:rFonts w:cs="Calibri"/>
              </w:rPr>
            </w:pPr>
            <w:r w:rsidRPr="00DD47DF">
              <w:rPr>
                <w:rFonts w:cs="Calibri"/>
              </w:rPr>
              <w:t>Prioritní osa 4</w:t>
            </w:r>
          </w:p>
        </w:tc>
        <w:tc>
          <w:tcPr>
            <w:tcW w:w="371" w:type="pct"/>
            <w:vMerge w:val="restart"/>
            <w:vAlign w:val="center"/>
          </w:tcPr>
          <w:p w14:paraId="6CF36105" w14:textId="77777777" w:rsidR="00DC685E" w:rsidRPr="00DD47DF" w:rsidRDefault="00DC685E" w:rsidP="00D51BBA">
            <w:pPr>
              <w:pStyle w:val="Tabulka"/>
              <w:rPr>
                <w:rFonts w:cs="Calibri"/>
              </w:rPr>
            </w:pPr>
            <w:r w:rsidRPr="00DD47DF">
              <w:rPr>
                <w:rFonts w:cs="Calibri"/>
              </w:rPr>
              <w:t>EFRR</w:t>
            </w:r>
          </w:p>
        </w:tc>
        <w:tc>
          <w:tcPr>
            <w:tcW w:w="591" w:type="pct"/>
            <w:vMerge w:val="restart"/>
            <w:vAlign w:val="center"/>
          </w:tcPr>
          <w:p w14:paraId="4FDDEDCF" w14:textId="77777777" w:rsidR="00DC685E" w:rsidRPr="00DD47DF" w:rsidRDefault="00DC685E" w:rsidP="00F42269">
            <w:pPr>
              <w:pStyle w:val="Tabulka"/>
              <w:rPr>
                <w:rFonts w:cs="Calibri"/>
              </w:rPr>
            </w:pPr>
            <w:r w:rsidRPr="00DD47DF">
              <w:rPr>
                <w:rFonts w:cs="Calibri"/>
              </w:rPr>
              <w:t>Méně rozvinuté regiony</w:t>
            </w:r>
          </w:p>
        </w:tc>
        <w:tc>
          <w:tcPr>
            <w:tcW w:w="1295" w:type="pct"/>
            <w:shd w:val="clear" w:color="auto" w:fill="auto"/>
            <w:tcMar>
              <w:top w:w="0" w:type="dxa"/>
              <w:left w:w="108" w:type="dxa"/>
              <w:bottom w:w="0" w:type="dxa"/>
              <w:right w:w="108" w:type="dxa"/>
            </w:tcMar>
            <w:vAlign w:val="center"/>
          </w:tcPr>
          <w:p w14:paraId="0FF8F4BF" w14:textId="77777777" w:rsidR="00DC685E" w:rsidRPr="00DD47DF" w:rsidRDefault="003D1BB3" w:rsidP="00501DC8">
            <w:pPr>
              <w:pStyle w:val="Tabulka"/>
              <w:rPr>
                <w:rFonts w:cs="Calibri"/>
              </w:rPr>
            </w:pPr>
            <w:r w:rsidRPr="00DD47DF">
              <w:rPr>
                <w:rFonts w:cs="Calibri"/>
              </w:rPr>
              <w:t>Celkové způsobilé certifikované finanční prostředky</w:t>
            </w:r>
          </w:p>
        </w:tc>
        <w:tc>
          <w:tcPr>
            <w:tcW w:w="828" w:type="pct"/>
            <w:shd w:val="clear" w:color="auto" w:fill="auto"/>
            <w:tcMar>
              <w:top w:w="0" w:type="dxa"/>
              <w:left w:w="108" w:type="dxa"/>
              <w:bottom w:w="0" w:type="dxa"/>
              <w:right w:w="108" w:type="dxa"/>
            </w:tcMar>
            <w:vAlign w:val="center"/>
          </w:tcPr>
          <w:p w14:paraId="5CD1EEFE" w14:textId="77777777" w:rsidR="00DC685E" w:rsidRPr="00DD47DF" w:rsidRDefault="00DC685E" w:rsidP="00501DC8">
            <w:pPr>
              <w:pStyle w:val="Tabulka"/>
              <w:rPr>
                <w:rFonts w:cs="Calibri"/>
              </w:rPr>
            </w:pPr>
            <w:r w:rsidRPr="00DD47DF">
              <w:rPr>
                <w:rFonts w:cs="Calibri"/>
              </w:rPr>
              <w:t>EUR</w:t>
            </w:r>
          </w:p>
        </w:tc>
        <w:tc>
          <w:tcPr>
            <w:tcW w:w="667" w:type="pct"/>
            <w:shd w:val="clear" w:color="auto" w:fill="auto"/>
            <w:tcMar>
              <w:top w:w="0" w:type="dxa"/>
              <w:left w:w="108" w:type="dxa"/>
              <w:bottom w:w="0" w:type="dxa"/>
              <w:right w:w="108" w:type="dxa"/>
            </w:tcMar>
            <w:vAlign w:val="center"/>
          </w:tcPr>
          <w:p w14:paraId="7CCA7B88" w14:textId="77777777" w:rsidR="00DC685E" w:rsidRPr="00DD47DF" w:rsidRDefault="000E5BB7" w:rsidP="00D51BBA">
            <w:pPr>
              <w:pStyle w:val="Tabulka"/>
              <w:rPr>
                <w:rFonts w:cs="Calibri"/>
              </w:rPr>
            </w:pPr>
            <w:r w:rsidRPr="00DD47DF">
              <w:rPr>
                <w:rFonts w:cs="Calibri"/>
              </w:rPr>
              <w:t>3</w:t>
            </w:r>
            <w:r w:rsidR="00CC653D" w:rsidRPr="00DD47DF">
              <w:rPr>
                <w:rFonts w:cs="Calibri"/>
              </w:rPr>
              <w:t>1</w:t>
            </w:r>
            <w:r w:rsidRPr="00DD47DF">
              <w:rPr>
                <w:rFonts w:cs="Calibri"/>
              </w:rPr>
              <w:t>0</w:t>
            </w:r>
            <w:r w:rsidR="00DC685E" w:rsidRPr="00DD47DF">
              <w:rPr>
                <w:rFonts w:cs="Calibri"/>
              </w:rPr>
              <w:t> 000 000</w:t>
            </w:r>
          </w:p>
        </w:tc>
        <w:tc>
          <w:tcPr>
            <w:tcW w:w="668" w:type="pct"/>
            <w:shd w:val="clear" w:color="auto" w:fill="auto"/>
            <w:tcMar>
              <w:top w:w="0" w:type="dxa"/>
              <w:left w:w="108" w:type="dxa"/>
              <w:bottom w:w="0" w:type="dxa"/>
              <w:right w:w="108" w:type="dxa"/>
            </w:tcMar>
            <w:vAlign w:val="center"/>
          </w:tcPr>
          <w:p w14:paraId="7EF21ADF" w14:textId="7B93957F" w:rsidR="00DC685E" w:rsidRPr="00DD47DF" w:rsidRDefault="00CF0E52" w:rsidP="00D51BBA">
            <w:pPr>
              <w:pStyle w:val="Tabulka"/>
              <w:rPr>
                <w:rFonts w:cs="Calibri"/>
              </w:rPr>
            </w:pPr>
            <w:r w:rsidRPr="00844361">
              <w:rPr>
                <w:rFonts w:cs="Calibri"/>
              </w:rPr>
              <w:t>532 904 681</w:t>
            </w:r>
          </w:p>
        </w:tc>
      </w:tr>
      <w:tr w:rsidR="00DC685E" w:rsidRPr="00DD47DF" w14:paraId="47912AE7" w14:textId="77777777">
        <w:trPr>
          <w:trHeight w:val="446"/>
        </w:trPr>
        <w:tc>
          <w:tcPr>
            <w:tcW w:w="581" w:type="pct"/>
            <w:vMerge/>
            <w:shd w:val="clear" w:color="auto" w:fill="auto"/>
            <w:vAlign w:val="center"/>
          </w:tcPr>
          <w:p w14:paraId="2C396E75" w14:textId="77777777" w:rsidR="00DC685E" w:rsidRPr="00DD47DF" w:rsidRDefault="00DC685E" w:rsidP="0062043C">
            <w:pPr>
              <w:pStyle w:val="Tabulka"/>
              <w:jc w:val="left"/>
              <w:rPr>
                <w:rFonts w:cs="Calibri"/>
              </w:rPr>
            </w:pPr>
          </w:p>
        </w:tc>
        <w:tc>
          <w:tcPr>
            <w:tcW w:w="371" w:type="pct"/>
            <w:vMerge/>
            <w:vAlign w:val="center"/>
          </w:tcPr>
          <w:p w14:paraId="324F3A4C" w14:textId="77777777" w:rsidR="00DC685E" w:rsidRPr="00DD47DF" w:rsidRDefault="00DC685E" w:rsidP="00D51BBA">
            <w:pPr>
              <w:pStyle w:val="Tabulka"/>
              <w:rPr>
                <w:rFonts w:cs="Calibri"/>
              </w:rPr>
            </w:pPr>
          </w:p>
        </w:tc>
        <w:tc>
          <w:tcPr>
            <w:tcW w:w="591" w:type="pct"/>
            <w:vMerge/>
          </w:tcPr>
          <w:p w14:paraId="247C4D81" w14:textId="77777777" w:rsidR="00DC685E" w:rsidRPr="00DD47DF" w:rsidRDefault="00DC685E" w:rsidP="0062043C">
            <w:pPr>
              <w:pStyle w:val="Tabulka"/>
              <w:rPr>
                <w:rFonts w:cs="Calibri"/>
              </w:rPr>
            </w:pPr>
          </w:p>
        </w:tc>
        <w:tc>
          <w:tcPr>
            <w:tcW w:w="1295" w:type="pct"/>
            <w:shd w:val="clear" w:color="auto" w:fill="auto"/>
            <w:tcMar>
              <w:top w:w="0" w:type="dxa"/>
              <w:left w:w="108" w:type="dxa"/>
              <w:bottom w:w="0" w:type="dxa"/>
              <w:right w:w="108" w:type="dxa"/>
            </w:tcMar>
            <w:vAlign w:val="center"/>
          </w:tcPr>
          <w:p w14:paraId="4FB603D0" w14:textId="77777777" w:rsidR="00DC685E" w:rsidRPr="00DD47DF" w:rsidRDefault="00DC685E" w:rsidP="00501DC8">
            <w:pPr>
              <w:pStyle w:val="Tabulka"/>
              <w:rPr>
                <w:rFonts w:cs="Calibri"/>
              </w:rPr>
            </w:pPr>
            <w:r w:rsidRPr="00DD47DF">
              <w:rPr>
                <w:rFonts w:cs="Calibri"/>
              </w:rPr>
              <w:t>Počet podniků pobírajících podporu</w:t>
            </w:r>
          </w:p>
        </w:tc>
        <w:tc>
          <w:tcPr>
            <w:tcW w:w="828" w:type="pct"/>
            <w:shd w:val="clear" w:color="auto" w:fill="auto"/>
            <w:tcMar>
              <w:top w:w="0" w:type="dxa"/>
              <w:left w:w="108" w:type="dxa"/>
              <w:bottom w:w="0" w:type="dxa"/>
              <w:right w:w="108" w:type="dxa"/>
            </w:tcMar>
            <w:vAlign w:val="center"/>
          </w:tcPr>
          <w:p w14:paraId="14BD1403" w14:textId="77777777" w:rsidR="00DC685E" w:rsidRPr="00DD47DF" w:rsidRDefault="00DC685E" w:rsidP="00501DC8">
            <w:pPr>
              <w:pStyle w:val="Tabulka"/>
              <w:rPr>
                <w:rFonts w:cs="Calibri"/>
              </w:rPr>
            </w:pPr>
            <w:r w:rsidRPr="00DD47DF">
              <w:rPr>
                <w:rFonts w:cs="Calibri"/>
              </w:rPr>
              <w:t>Podniky</w:t>
            </w:r>
          </w:p>
        </w:tc>
        <w:tc>
          <w:tcPr>
            <w:tcW w:w="667" w:type="pct"/>
            <w:shd w:val="clear" w:color="auto" w:fill="auto"/>
            <w:tcMar>
              <w:top w:w="0" w:type="dxa"/>
              <w:left w:w="108" w:type="dxa"/>
              <w:bottom w:w="0" w:type="dxa"/>
              <w:right w:w="108" w:type="dxa"/>
            </w:tcMar>
            <w:vAlign w:val="center"/>
          </w:tcPr>
          <w:p w14:paraId="34B57B93" w14:textId="77777777" w:rsidR="00DC685E" w:rsidRPr="00DD47DF" w:rsidRDefault="00A25B29" w:rsidP="00D51BBA">
            <w:pPr>
              <w:pStyle w:val="Tabulka"/>
              <w:rPr>
                <w:rFonts w:cs="Calibri"/>
              </w:rPr>
            </w:pPr>
            <w:r w:rsidRPr="00DD47DF">
              <w:rPr>
                <w:rFonts w:cs="Calibri"/>
              </w:rPr>
              <w:t>20</w:t>
            </w:r>
            <w:r w:rsidR="00DC685E" w:rsidRPr="00DD47DF">
              <w:rPr>
                <w:rFonts w:cs="Calibri"/>
              </w:rPr>
              <w:t>0</w:t>
            </w:r>
          </w:p>
        </w:tc>
        <w:tc>
          <w:tcPr>
            <w:tcW w:w="668" w:type="pct"/>
            <w:shd w:val="clear" w:color="auto" w:fill="auto"/>
            <w:tcMar>
              <w:top w:w="0" w:type="dxa"/>
              <w:left w:w="108" w:type="dxa"/>
              <w:bottom w:w="0" w:type="dxa"/>
              <w:right w:w="108" w:type="dxa"/>
            </w:tcMar>
            <w:vAlign w:val="center"/>
          </w:tcPr>
          <w:p w14:paraId="315290FE" w14:textId="67DB31A7" w:rsidR="00DC685E" w:rsidRPr="00DD47DF" w:rsidRDefault="00B050B4" w:rsidP="00EC638C">
            <w:pPr>
              <w:pStyle w:val="Tabulka"/>
              <w:rPr>
                <w:rFonts w:cs="Calibri"/>
              </w:rPr>
            </w:pPr>
            <w:r>
              <w:rPr>
                <w:rFonts w:cs="Calibri"/>
              </w:rPr>
              <w:t>462</w:t>
            </w:r>
          </w:p>
        </w:tc>
      </w:tr>
    </w:tbl>
    <w:p w14:paraId="2727B676" w14:textId="77777777" w:rsidR="00400DD1" w:rsidRPr="00DD47DF" w:rsidRDefault="00E134D0" w:rsidP="004126CC">
      <w:pPr>
        <w:pStyle w:val="Nadpis2"/>
        <w:keepLines/>
        <w:rPr>
          <w:rFonts w:cs="Calibri"/>
        </w:rPr>
      </w:pPr>
      <w:bookmarkStart w:id="151" w:name="_Toc351464450"/>
      <w:bookmarkStart w:id="152" w:name="_Toc129005473"/>
      <w:r w:rsidRPr="00DD47DF">
        <w:rPr>
          <w:rFonts w:cs="Calibri"/>
        </w:rPr>
        <w:lastRenderedPageBreak/>
        <w:t>Seznam příslušných partnerů zapojených do přípravy operačního programu</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063"/>
      </w:tblGrid>
      <w:tr w:rsidR="00400DD1" w:rsidRPr="00DD47DF" w14:paraId="55CD6D01" w14:textId="77777777">
        <w:trPr>
          <w:trHeight w:val="413"/>
        </w:trPr>
        <w:tc>
          <w:tcPr>
            <w:tcW w:w="5000" w:type="pct"/>
            <w:gridSpan w:val="2"/>
            <w:shd w:val="clear" w:color="auto" w:fill="B8CCE4"/>
            <w:vAlign w:val="center"/>
          </w:tcPr>
          <w:p w14:paraId="398F9ED7" w14:textId="77777777" w:rsidR="00400DD1" w:rsidRPr="00DD47DF" w:rsidRDefault="00400DD1" w:rsidP="004126CC">
            <w:pPr>
              <w:pStyle w:val="Tabulka"/>
              <w:keepNext/>
              <w:keepLines/>
              <w:rPr>
                <w:rFonts w:cs="Calibri"/>
                <w:b/>
                <w:color w:val="4F81BD"/>
              </w:rPr>
            </w:pPr>
            <w:r w:rsidRPr="00DD47DF">
              <w:rPr>
                <w:rFonts w:cs="Calibri"/>
                <w:b/>
              </w:rPr>
              <w:t>Platforma MPO pro přípravu OP Podnikání a inovace pro konkurenceschopnost</w:t>
            </w:r>
          </w:p>
        </w:tc>
      </w:tr>
      <w:tr w:rsidR="00400DD1" w:rsidRPr="00DD47DF" w14:paraId="5BD5E5B9" w14:textId="77777777">
        <w:trPr>
          <w:trHeight w:val="397"/>
        </w:trPr>
        <w:tc>
          <w:tcPr>
            <w:tcW w:w="2395" w:type="pct"/>
            <w:shd w:val="clear" w:color="auto" w:fill="auto"/>
            <w:vAlign w:val="center"/>
          </w:tcPr>
          <w:p w14:paraId="44DBA378" w14:textId="77777777" w:rsidR="00400DD1" w:rsidRPr="00DD47DF" w:rsidRDefault="00400DD1" w:rsidP="004126CC">
            <w:pPr>
              <w:pStyle w:val="Tabulka"/>
              <w:keepNext/>
              <w:keepLines/>
              <w:jc w:val="left"/>
              <w:rPr>
                <w:rFonts w:cs="Calibri"/>
              </w:rPr>
            </w:pPr>
            <w:r w:rsidRPr="00DD47DF">
              <w:rPr>
                <w:rFonts w:cs="Calibri"/>
              </w:rPr>
              <w:t>M</w:t>
            </w:r>
            <w:r w:rsidR="000E47D9" w:rsidRPr="00DD47DF">
              <w:rPr>
                <w:rFonts w:cs="Calibri"/>
              </w:rPr>
              <w:t>inisterstvo pro místní rozvo</w:t>
            </w:r>
            <w:r w:rsidR="00D51BBA" w:rsidRPr="00DD47DF">
              <w:rPr>
                <w:rFonts w:cs="Calibri"/>
              </w:rPr>
              <w:t>j</w:t>
            </w:r>
          </w:p>
        </w:tc>
        <w:tc>
          <w:tcPr>
            <w:tcW w:w="2605" w:type="pct"/>
            <w:shd w:val="clear" w:color="auto" w:fill="auto"/>
            <w:vAlign w:val="center"/>
          </w:tcPr>
          <w:p w14:paraId="391AFFD8" w14:textId="77777777" w:rsidR="00400DD1" w:rsidRPr="00DD47DF" w:rsidRDefault="00013622" w:rsidP="004126CC">
            <w:pPr>
              <w:pStyle w:val="Tabulka"/>
              <w:keepNext/>
              <w:keepLines/>
              <w:jc w:val="left"/>
              <w:rPr>
                <w:rFonts w:cs="Calibri"/>
              </w:rPr>
            </w:pPr>
            <w:hyperlink r:id="rId171" w:history="1">
              <w:r w:rsidR="00400DD1" w:rsidRPr="00DD47DF">
                <w:rPr>
                  <w:rStyle w:val="Hypertextovodkaz"/>
                  <w:rFonts w:cs="Calibri"/>
                  <w:bCs/>
                </w:rPr>
                <w:t>http://www.mmr.cz/cs/Uvodni-strana</w:t>
              </w:r>
            </w:hyperlink>
          </w:p>
        </w:tc>
      </w:tr>
      <w:tr w:rsidR="00400DD1" w:rsidRPr="00DD47DF" w14:paraId="753CC853" w14:textId="77777777">
        <w:trPr>
          <w:trHeight w:val="413"/>
        </w:trPr>
        <w:tc>
          <w:tcPr>
            <w:tcW w:w="2395" w:type="pct"/>
            <w:shd w:val="clear" w:color="auto" w:fill="auto"/>
            <w:vAlign w:val="center"/>
          </w:tcPr>
          <w:p w14:paraId="37DAC565" w14:textId="77777777" w:rsidR="00400DD1" w:rsidRPr="00DD47DF" w:rsidRDefault="000E47D9" w:rsidP="00F23CDB">
            <w:pPr>
              <w:pStyle w:val="Tabulka"/>
              <w:jc w:val="left"/>
              <w:rPr>
                <w:rFonts w:cs="Calibri"/>
              </w:rPr>
            </w:pPr>
            <w:r w:rsidRPr="00DD47DF">
              <w:rPr>
                <w:rFonts w:cs="Calibri"/>
              </w:rPr>
              <w:t>Ministerstvo financí</w:t>
            </w:r>
          </w:p>
        </w:tc>
        <w:tc>
          <w:tcPr>
            <w:tcW w:w="2605" w:type="pct"/>
            <w:shd w:val="clear" w:color="auto" w:fill="auto"/>
            <w:vAlign w:val="center"/>
          </w:tcPr>
          <w:p w14:paraId="5ED38FB4" w14:textId="77777777" w:rsidR="00400DD1" w:rsidRPr="00DD47DF" w:rsidRDefault="00013622" w:rsidP="00F23CDB">
            <w:pPr>
              <w:pStyle w:val="Tabulka"/>
              <w:jc w:val="left"/>
              <w:rPr>
                <w:rFonts w:cs="Calibri"/>
              </w:rPr>
            </w:pPr>
            <w:hyperlink r:id="rId172" w:history="1">
              <w:r w:rsidR="00400DD1" w:rsidRPr="00DD47DF">
                <w:rPr>
                  <w:rStyle w:val="Hypertextovodkaz"/>
                  <w:rFonts w:cs="Calibri"/>
                  <w:bCs/>
                </w:rPr>
                <w:t>http://www.mfcr.cz/cps/rde/xchg/</w:t>
              </w:r>
            </w:hyperlink>
            <w:r w:rsidR="00400DD1" w:rsidRPr="00DD47DF">
              <w:rPr>
                <w:rFonts w:cs="Calibri"/>
              </w:rPr>
              <w:t xml:space="preserve"> </w:t>
            </w:r>
          </w:p>
        </w:tc>
      </w:tr>
      <w:tr w:rsidR="00400DD1" w:rsidRPr="00DD47DF" w14:paraId="1E3AB82C" w14:textId="77777777">
        <w:trPr>
          <w:trHeight w:val="413"/>
        </w:trPr>
        <w:tc>
          <w:tcPr>
            <w:tcW w:w="2395" w:type="pct"/>
            <w:shd w:val="clear" w:color="auto" w:fill="auto"/>
            <w:vAlign w:val="center"/>
          </w:tcPr>
          <w:p w14:paraId="37DE137C" w14:textId="77777777" w:rsidR="00400DD1" w:rsidRPr="00DD47DF" w:rsidRDefault="00400DD1" w:rsidP="00F23CDB">
            <w:pPr>
              <w:pStyle w:val="Tabulka"/>
              <w:jc w:val="left"/>
              <w:rPr>
                <w:rFonts w:cs="Calibri"/>
              </w:rPr>
            </w:pPr>
            <w:r w:rsidRPr="00DD47DF">
              <w:rPr>
                <w:rFonts w:cs="Calibri"/>
              </w:rPr>
              <w:t>Ministerstvo životního p</w:t>
            </w:r>
            <w:r w:rsidR="000E47D9" w:rsidRPr="00DD47DF">
              <w:rPr>
                <w:rFonts w:cs="Calibri"/>
              </w:rPr>
              <w:t>rostředí</w:t>
            </w:r>
          </w:p>
        </w:tc>
        <w:tc>
          <w:tcPr>
            <w:tcW w:w="2605" w:type="pct"/>
            <w:shd w:val="clear" w:color="auto" w:fill="auto"/>
            <w:vAlign w:val="center"/>
          </w:tcPr>
          <w:p w14:paraId="5D9E5549" w14:textId="77777777" w:rsidR="00400DD1" w:rsidRPr="00DD47DF" w:rsidRDefault="00013622" w:rsidP="00F23CDB">
            <w:pPr>
              <w:pStyle w:val="Tabulka"/>
              <w:jc w:val="left"/>
              <w:rPr>
                <w:rFonts w:cs="Calibri"/>
              </w:rPr>
            </w:pPr>
            <w:hyperlink r:id="rId173" w:history="1">
              <w:r w:rsidR="00400DD1" w:rsidRPr="00DD47DF">
                <w:rPr>
                  <w:rStyle w:val="Hypertextovodkaz"/>
                  <w:rFonts w:cs="Calibri"/>
                  <w:bCs/>
                </w:rPr>
                <w:t>http://mzp.cz/</w:t>
              </w:r>
            </w:hyperlink>
            <w:r w:rsidR="00400DD1" w:rsidRPr="00DD47DF">
              <w:rPr>
                <w:rFonts w:cs="Calibri"/>
              </w:rPr>
              <w:t xml:space="preserve"> </w:t>
            </w:r>
          </w:p>
        </w:tc>
      </w:tr>
      <w:tr w:rsidR="00400DD1" w:rsidRPr="00DD47DF" w14:paraId="04000713" w14:textId="77777777">
        <w:trPr>
          <w:trHeight w:val="413"/>
        </w:trPr>
        <w:tc>
          <w:tcPr>
            <w:tcW w:w="2395" w:type="pct"/>
            <w:shd w:val="clear" w:color="auto" w:fill="auto"/>
            <w:vAlign w:val="center"/>
          </w:tcPr>
          <w:p w14:paraId="4DB843FA" w14:textId="77777777" w:rsidR="00400DD1" w:rsidRPr="00DD47DF" w:rsidRDefault="00400DD1" w:rsidP="00F23CDB">
            <w:pPr>
              <w:pStyle w:val="Tabulka"/>
              <w:jc w:val="left"/>
              <w:rPr>
                <w:rFonts w:cs="Calibri"/>
              </w:rPr>
            </w:pPr>
            <w:r w:rsidRPr="00DD47DF">
              <w:rPr>
                <w:rFonts w:cs="Calibri"/>
              </w:rPr>
              <w:t>Ministe</w:t>
            </w:r>
            <w:r w:rsidR="000E47D9" w:rsidRPr="00DD47DF">
              <w:rPr>
                <w:rFonts w:cs="Calibri"/>
              </w:rPr>
              <w:t>rstvo práce a sociálních věcí</w:t>
            </w:r>
          </w:p>
        </w:tc>
        <w:tc>
          <w:tcPr>
            <w:tcW w:w="2605" w:type="pct"/>
            <w:shd w:val="clear" w:color="auto" w:fill="auto"/>
            <w:vAlign w:val="center"/>
          </w:tcPr>
          <w:p w14:paraId="3114BF6A" w14:textId="77777777" w:rsidR="00400DD1" w:rsidRPr="00DD47DF" w:rsidRDefault="00013622" w:rsidP="00F23CDB">
            <w:pPr>
              <w:pStyle w:val="Tabulka"/>
              <w:jc w:val="left"/>
              <w:rPr>
                <w:rFonts w:cs="Calibri"/>
              </w:rPr>
            </w:pPr>
            <w:hyperlink r:id="rId174" w:history="1">
              <w:r w:rsidR="00400DD1" w:rsidRPr="00DD47DF">
                <w:rPr>
                  <w:rStyle w:val="Hypertextovodkaz"/>
                  <w:rFonts w:cs="Calibri"/>
                  <w:bCs/>
                </w:rPr>
                <w:t>http://www.mpsv.cz/cs/</w:t>
              </w:r>
            </w:hyperlink>
            <w:r w:rsidR="00400DD1" w:rsidRPr="00DD47DF">
              <w:rPr>
                <w:rFonts w:cs="Calibri"/>
              </w:rPr>
              <w:t xml:space="preserve"> </w:t>
            </w:r>
          </w:p>
        </w:tc>
      </w:tr>
      <w:tr w:rsidR="00400DD1" w:rsidRPr="00DD47DF" w14:paraId="5870DEA4" w14:textId="77777777">
        <w:trPr>
          <w:trHeight w:val="699"/>
        </w:trPr>
        <w:tc>
          <w:tcPr>
            <w:tcW w:w="2395" w:type="pct"/>
            <w:shd w:val="clear" w:color="auto" w:fill="auto"/>
            <w:vAlign w:val="center"/>
          </w:tcPr>
          <w:p w14:paraId="101C14E9" w14:textId="77777777" w:rsidR="00400DD1" w:rsidRPr="00DD47DF" w:rsidRDefault="00400DD1" w:rsidP="00F23CDB">
            <w:pPr>
              <w:pStyle w:val="Tabulka"/>
              <w:jc w:val="left"/>
              <w:rPr>
                <w:rFonts w:cs="Calibri"/>
              </w:rPr>
            </w:pPr>
            <w:r w:rsidRPr="00DD47DF">
              <w:rPr>
                <w:rFonts w:cs="Calibri"/>
              </w:rPr>
              <w:t>Ministerstvo šk</w:t>
            </w:r>
            <w:r w:rsidR="000E47D9" w:rsidRPr="00DD47DF">
              <w:rPr>
                <w:rFonts w:cs="Calibri"/>
              </w:rPr>
              <w:t>olství, mládeže a tělovýchovy</w:t>
            </w:r>
          </w:p>
        </w:tc>
        <w:tc>
          <w:tcPr>
            <w:tcW w:w="2605" w:type="pct"/>
            <w:shd w:val="clear" w:color="auto" w:fill="auto"/>
            <w:vAlign w:val="center"/>
          </w:tcPr>
          <w:p w14:paraId="205ADA2E" w14:textId="77777777" w:rsidR="00400DD1" w:rsidRPr="00DD47DF" w:rsidRDefault="00013622" w:rsidP="00F23CDB">
            <w:pPr>
              <w:pStyle w:val="Tabulka"/>
              <w:jc w:val="left"/>
              <w:rPr>
                <w:rFonts w:cs="Calibri"/>
              </w:rPr>
            </w:pPr>
            <w:hyperlink r:id="rId175" w:history="1">
              <w:r w:rsidR="00400DD1" w:rsidRPr="00DD47DF">
                <w:rPr>
                  <w:rStyle w:val="Hypertextovodkaz"/>
                  <w:rFonts w:cs="Calibri"/>
                  <w:bCs/>
                </w:rPr>
                <w:t>http://www.msmt.cz/</w:t>
              </w:r>
            </w:hyperlink>
            <w:r w:rsidR="00400DD1" w:rsidRPr="00DD47DF">
              <w:rPr>
                <w:rFonts w:cs="Calibri"/>
              </w:rPr>
              <w:t xml:space="preserve"> </w:t>
            </w:r>
          </w:p>
        </w:tc>
      </w:tr>
      <w:tr w:rsidR="00400DD1" w:rsidRPr="00DD47DF" w14:paraId="1848360C" w14:textId="77777777">
        <w:trPr>
          <w:trHeight w:val="699"/>
        </w:trPr>
        <w:tc>
          <w:tcPr>
            <w:tcW w:w="2395" w:type="pct"/>
            <w:shd w:val="clear" w:color="auto" w:fill="auto"/>
            <w:vAlign w:val="center"/>
          </w:tcPr>
          <w:p w14:paraId="7D1A21CD" w14:textId="77777777" w:rsidR="00400DD1" w:rsidRPr="00DD47DF" w:rsidRDefault="000E47D9" w:rsidP="00F23CDB">
            <w:pPr>
              <w:pStyle w:val="Tabulka"/>
              <w:jc w:val="left"/>
              <w:rPr>
                <w:rFonts w:cs="Calibri"/>
              </w:rPr>
            </w:pPr>
            <w:r w:rsidRPr="00DD47DF">
              <w:rPr>
                <w:rFonts w:cs="Calibri"/>
              </w:rPr>
              <w:t>Ministerstvo zemědělství</w:t>
            </w:r>
          </w:p>
        </w:tc>
        <w:tc>
          <w:tcPr>
            <w:tcW w:w="2605" w:type="pct"/>
            <w:shd w:val="clear" w:color="auto" w:fill="auto"/>
            <w:vAlign w:val="center"/>
          </w:tcPr>
          <w:p w14:paraId="6E8FA8B6" w14:textId="77777777" w:rsidR="00400DD1" w:rsidRPr="00DD47DF" w:rsidRDefault="00013622" w:rsidP="00F23CDB">
            <w:pPr>
              <w:pStyle w:val="Tabulka"/>
              <w:jc w:val="left"/>
              <w:rPr>
                <w:rFonts w:cs="Calibri"/>
              </w:rPr>
            </w:pPr>
            <w:hyperlink r:id="rId176" w:history="1">
              <w:r w:rsidR="00400DD1" w:rsidRPr="00DD47DF">
                <w:rPr>
                  <w:rStyle w:val="Hypertextovodkaz"/>
                  <w:rFonts w:cs="Calibri"/>
                  <w:bCs/>
                </w:rPr>
                <w:t>http://eagri.cz/public/web/mze/ministerstvo-zemedelstvi/</w:t>
              </w:r>
            </w:hyperlink>
            <w:r w:rsidR="00400DD1" w:rsidRPr="00DD47DF">
              <w:rPr>
                <w:rFonts w:cs="Calibri"/>
              </w:rPr>
              <w:t xml:space="preserve"> </w:t>
            </w:r>
          </w:p>
        </w:tc>
      </w:tr>
      <w:tr w:rsidR="00400DD1" w:rsidRPr="00DD47DF" w14:paraId="740DBB65" w14:textId="77777777">
        <w:trPr>
          <w:trHeight w:val="413"/>
        </w:trPr>
        <w:tc>
          <w:tcPr>
            <w:tcW w:w="2395" w:type="pct"/>
            <w:shd w:val="clear" w:color="auto" w:fill="auto"/>
            <w:vAlign w:val="center"/>
          </w:tcPr>
          <w:p w14:paraId="254E1B70" w14:textId="77777777" w:rsidR="00400DD1" w:rsidRPr="00DD47DF" w:rsidRDefault="000E47D9" w:rsidP="00F23CDB">
            <w:pPr>
              <w:pStyle w:val="Tabulka"/>
              <w:jc w:val="left"/>
              <w:rPr>
                <w:rFonts w:cs="Calibri"/>
              </w:rPr>
            </w:pPr>
            <w:r w:rsidRPr="00DD47DF">
              <w:rPr>
                <w:rFonts w:cs="Calibri"/>
              </w:rPr>
              <w:t>Ministerstvo dopravy</w:t>
            </w:r>
          </w:p>
        </w:tc>
        <w:tc>
          <w:tcPr>
            <w:tcW w:w="2605" w:type="pct"/>
            <w:shd w:val="clear" w:color="auto" w:fill="auto"/>
            <w:vAlign w:val="center"/>
          </w:tcPr>
          <w:p w14:paraId="407F708E" w14:textId="77777777" w:rsidR="00400DD1" w:rsidRPr="00DD47DF" w:rsidRDefault="00013622" w:rsidP="00F23CDB">
            <w:pPr>
              <w:pStyle w:val="Tabulka"/>
              <w:jc w:val="left"/>
              <w:rPr>
                <w:rFonts w:cs="Calibri"/>
              </w:rPr>
            </w:pPr>
            <w:hyperlink r:id="rId177"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55425F1D" w14:textId="77777777">
        <w:trPr>
          <w:trHeight w:val="397"/>
        </w:trPr>
        <w:tc>
          <w:tcPr>
            <w:tcW w:w="2395" w:type="pct"/>
            <w:shd w:val="clear" w:color="auto" w:fill="auto"/>
            <w:vAlign w:val="center"/>
          </w:tcPr>
          <w:p w14:paraId="4DDAFA4A" w14:textId="77777777" w:rsidR="00400DD1" w:rsidRPr="00DD47DF" w:rsidRDefault="00400DD1" w:rsidP="00F23CDB">
            <w:pPr>
              <w:pStyle w:val="Tabulka"/>
              <w:jc w:val="left"/>
              <w:rPr>
                <w:rFonts w:cs="Calibri"/>
              </w:rPr>
            </w:pPr>
            <w:r w:rsidRPr="00DD47DF">
              <w:rPr>
                <w:rFonts w:cs="Calibri"/>
              </w:rPr>
              <w:t xml:space="preserve">Agentura CzechInvest </w:t>
            </w:r>
          </w:p>
        </w:tc>
        <w:tc>
          <w:tcPr>
            <w:tcW w:w="2605" w:type="pct"/>
            <w:shd w:val="clear" w:color="auto" w:fill="auto"/>
            <w:vAlign w:val="center"/>
          </w:tcPr>
          <w:p w14:paraId="64C0D899" w14:textId="77777777" w:rsidR="00400DD1" w:rsidRPr="00DD47DF" w:rsidRDefault="00013622" w:rsidP="00F23CDB">
            <w:pPr>
              <w:pStyle w:val="Tabulka"/>
              <w:jc w:val="left"/>
              <w:rPr>
                <w:rFonts w:cs="Calibri"/>
              </w:rPr>
            </w:pPr>
            <w:hyperlink r:id="rId178" w:history="1">
              <w:r w:rsidR="00400DD1" w:rsidRPr="00DD47DF">
                <w:rPr>
                  <w:rStyle w:val="Hypertextovodkaz"/>
                  <w:rFonts w:cs="Calibri"/>
                  <w:bCs/>
                </w:rPr>
                <w:t>http://czechinvest.org/</w:t>
              </w:r>
            </w:hyperlink>
            <w:r w:rsidR="00400DD1" w:rsidRPr="00DD47DF">
              <w:rPr>
                <w:rFonts w:cs="Calibri"/>
              </w:rPr>
              <w:t xml:space="preserve"> </w:t>
            </w:r>
          </w:p>
        </w:tc>
      </w:tr>
      <w:tr w:rsidR="00400DD1" w:rsidRPr="00DD47DF" w14:paraId="0B215E7C" w14:textId="77777777">
        <w:trPr>
          <w:trHeight w:val="413"/>
        </w:trPr>
        <w:tc>
          <w:tcPr>
            <w:tcW w:w="2395" w:type="pct"/>
            <w:shd w:val="clear" w:color="auto" w:fill="auto"/>
            <w:vAlign w:val="center"/>
          </w:tcPr>
          <w:p w14:paraId="6E47CD33" w14:textId="77777777" w:rsidR="00400DD1" w:rsidRPr="00DD47DF" w:rsidRDefault="000E47D9" w:rsidP="00F23CDB">
            <w:pPr>
              <w:pStyle w:val="Tabulka"/>
              <w:jc w:val="left"/>
              <w:rPr>
                <w:rFonts w:cs="Calibri"/>
              </w:rPr>
            </w:pPr>
            <w:r w:rsidRPr="00DD47DF">
              <w:rPr>
                <w:rFonts w:cs="Calibri"/>
              </w:rPr>
              <w:t>Hospodářská komora ČR</w:t>
            </w:r>
          </w:p>
        </w:tc>
        <w:tc>
          <w:tcPr>
            <w:tcW w:w="2605" w:type="pct"/>
            <w:shd w:val="clear" w:color="auto" w:fill="auto"/>
            <w:vAlign w:val="center"/>
          </w:tcPr>
          <w:p w14:paraId="53980C6C" w14:textId="77777777" w:rsidR="00400DD1" w:rsidRPr="00DD47DF" w:rsidRDefault="00013622" w:rsidP="00F23CDB">
            <w:pPr>
              <w:pStyle w:val="Tabulka"/>
              <w:jc w:val="left"/>
              <w:rPr>
                <w:rFonts w:cs="Calibri"/>
              </w:rPr>
            </w:pPr>
            <w:hyperlink r:id="rId179" w:history="1">
              <w:r w:rsidR="00400DD1" w:rsidRPr="00DD47DF">
                <w:rPr>
                  <w:rStyle w:val="Hypertextovodkaz"/>
                  <w:rFonts w:cs="Calibri"/>
                  <w:bCs/>
                </w:rPr>
                <w:t>http://www.komora.cz/</w:t>
              </w:r>
            </w:hyperlink>
            <w:r w:rsidR="00400DD1" w:rsidRPr="00DD47DF">
              <w:rPr>
                <w:rFonts w:cs="Calibri"/>
              </w:rPr>
              <w:t xml:space="preserve"> </w:t>
            </w:r>
          </w:p>
        </w:tc>
      </w:tr>
      <w:tr w:rsidR="00400DD1" w:rsidRPr="00DD47DF" w14:paraId="35387B21" w14:textId="77777777">
        <w:trPr>
          <w:trHeight w:val="413"/>
        </w:trPr>
        <w:tc>
          <w:tcPr>
            <w:tcW w:w="2395" w:type="pct"/>
            <w:shd w:val="clear" w:color="auto" w:fill="auto"/>
            <w:vAlign w:val="center"/>
          </w:tcPr>
          <w:p w14:paraId="1A3266F5" w14:textId="77777777" w:rsidR="00400DD1" w:rsidRPr="00DD47DF" w:rsidRDefault="00400DD1" w:rsidP="00F23CDB">
            <w:pPr>
              <w:pStyle w:val="Tabulka"/>
              <w:jc w:val="left"/>
              <w:rPr>
                <w:rFonts w:cs="Calibri"/>
              </w:rPr>
            </w:pPr>
            <w:r w:rsidRPr="00DD47DF">
              <w:rPr>
                <w:rFonts w:cs="Calibri"/>
              </w:rPr>
              <w:t>Potravinářská komora ČR</w:t>
            </w:r>
          </w:p>
        </w:tc>
        <w:tc>
          <w:tcPr>
            <w:tcW w:w="2605" w:type="pct"/>
            <w:shd w:val="clear" w:color="auto" w:fill="auto"/>
            <w:vAlign w:val="center"/>
          </w:tcPr>
          <w:p w14:paraId="1AA4896B" w14:textId="77777777" w:rsidR="00400DD1" w:rsidRPr="00DD47DF" w:rsidRDefault="00013622" w:rsidP="00F23CDB">
            <w:pPr>
              <w:pStyle w:val="Tabulka"/>
              <w:jc w:val="left"/>
              <w:rPr>
                <w:rFonts w:cs="Calibri"/>
              </w:rPr>
            </w:pPr>
            <w:hyperlink r:id="rId180" w:history="1">
              <w:r w:rsidR="00400DD1" w:rsidRPr="00DD47DF">
                <w:rPr>
                  <w:rStyle w:val="Hypertextovodkaz"/>
                  <w:rFonts w:cs="Calibri"/>
                  <w:bCs/>
                </w:rPr>
                <w:t>http://www.pkcr.cz/</w:t>
              </w:r>
            </w:hyperlink>
            <w:r w:rsidR="00400DD1" w:rsidRPr="00DD47DF">
              <w:rPr>
                <w:rFonts w:cs="Calibri"/>
              </w:rPr>
              <w:t xml:space="preserve"> </w:t>
            </w:r>
          </w:p>
        </w:tc>
      </w:tr>
      <w:tr w:rsidR="00400DD1" w:rsidRPr="00DD47DF" w14:paraId="3BF24982" w14:textId="77777777">
        <w:trPr>
          <w:trHeight w:val="413"/>
        </w:trPr>
        <w:tc>
          <w:tcPr>
            <w:tcW w:w="2395" w:type="pct"/>
            <w:shd w:val="clear" w:color="auto" w:fill="auto"/>
            <w:vAlign w:val="center"/>
          </w:tcPr>
          <w:p w14:paraId="52D86FBD" w14:textId="77777777" w:rsidR="00400DD1" w:rsidRPr="00DD47DF" w:rsidRDefault="00400DD1" w:rsidP="00F23CDB">
            <w:pPr>
              <w:pStyle w:val="Tabulka"/>
              <w:jc w:val="left"/>
              <w:rPr>
                <w:rFonts w:cs="Calibri"/>
              </w:rPr>
            </w:pPr>
            <w:r w:rsidRPr="00DD47DF">
              <w:rPr>
                <w:rFonts w:cs="Calibri"/>
              </w:rPr>
              <w:t>Technologická agentura ČR</w:t>
            </w:r>
          </w:p>
        </w:tc>
        <w:tc>
          <w:tcPr>
            <w:tcW w:w="2605" w:type="pct"/>
            <w:shd w:val="clear" w:color="auto" w:fill="auto"/>
            <w:vAlign w:val="center"/>
          </w:tcPr>
          <w:p w14:paraId="54437BD4" w14:textId="77777777" w:rsidR="00400DD1" w:rsidRPr="00DD47DF" w:rsidRDefault="00013622" w:rsidP="00F23CDB">
            <w:pPr>
              <w:pStyle w:val="Tabulka"/>
              <w:jc w:val="left"/>
              <w:rPr>
                <w:rFonts w:cs="Calibri"/>
              </w:rPr>
            </w:pPr>
            <w:hyperlink r:id="rId181" w:history="1">
              <w:r w:rsidR="00400DD1" w:rsidRPr="00DD47DF">
                <w:rPr>
                  <w:rStyle w:val="Hypertextovodkaz"/>
                  <w:rFonts w:cs="Calibri"/>
                  <w:bCs/>
                </w:rPr>
                <w:t>http://tacr.cz/</w:t>
              </w:r>
            </w:hyperlink>
            <w:r w:rsidR="00400DD1" w:rsidRPr="00DD47DF">
              <w:rPr>
                <w:rFonts w:cs="Calibri"/>
              </w:rPr>
              <w:t xml:space="preserve"> </w:t>
            </w:r>
          </w:p>
        </w:tc>
      </w:tr>
      <w:tr w:rsidR="00400DD1" w:rsidRPr="00DD47DF" w14:paraId="7EF2AD1D" w14:textId="77777777">
        <w:trPr>
          <w:trHeight w:val="397"/>
        </w:trPr>
        <w:tc>
          <w:tcPr>
            <w:tcW w:w="2395" w:type="pct"/>
            <w:shd w:val="clear" w:color="auto" w:fill="auto"/>
            <w:vAlign w:val="center"/>
          </w:tcPr>
          <w:p w14:paraId="58FAE3BB"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2BFF5F2B" w14:textId="77777777" w:rsidR="00400DD1" w:rsidRPr="00DD47DF" w:rsidRDefault="00013622" w:rsidP="00F23CDB">
            <w:pPr>
              <w:pStyle w:val="Tabulka"/>
              <w:jc w:val="left"/>
              <w:rPr>
                <w:rFonts w:cs="Calibri"/>
              </w:rPr>
            </w:pPr>
            <w:hyperlink r:id="rId182"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79D4E98B" w14:textId="77777777" w:rsidTr="00991550">
        <w:trPr>
          <w:trHeight w:val="417"/>
        </w:trPr>
        <w:tc>
          <w:tcPr>
            <w:tcW w:w="2395" w:type="pct"/>
            <w:shd w:val="clear" w:color="auto" w:fill="auto"/>
            <w:vAlign w:val="center"/>
          </w:tcPr>
          <w:p w14:paraId="3EE83017" w14:textId="77777777" w:rsidR="00400DD1" w:rsidRPr="00DD47DF" w:rsidRDefault="00400DD1" w:rsidP="00F23CDB">
            <w:pPr>
              <w:pStyle w:val="Tabulka"/>
              <w:jc w:val="left"/>
              <w:rPr>
                <w:rFonts w:cs="Calibri"/>
              </w:rPr>
            </w:pPr>
            <w:r w:rsidRPr="00DD47DF">
              <w:rPr>
                <w:rFonts w:cs="Calibri"/>
              </w:rPr>
              <w:t xml:space="preserve">Rada pro výzkum, vývoj a inovace </w:t>
            </w:r>
          </w:p>
        </w:tc>
        <w:tc>
          <w:tcPr>
            <w:tcW w:w="2605" w:type="pct"/>
            <w:shd w:val="clear" w:color="auto" w:fill="auto"/>
            <w:vAlign w:val="center"/>
          </w:tcPr>
          <w:p w14:paraId="6C89B440" w14:textId="77777777" w:rsidR="00400DD1" w:rsidRPr="00DD47DF" w:rsidRDefault="00013622" w:rsidP="00F23CDB">
            <w:pPr>
              <w:pStyle w:val="Tabulka"/>
              <w:jc w:val="left"/>
              <w:rPr>
                <w:rFonts w:cs="Calibri"/>
              </w:rPr>
            </w:pPr>
            <w:hyperlink r:id="rId183" w:history="1">
              <w:r w:rsidR="00400DD1" w:rsidRPr="00DD47DF">
                <w:rPr>
                  <w:rStyle w:val="Hypertextovodkaz"/>
                  <w:rFonts w:cs="Calibri"/>
                  <w:bCs/>
                </w:rPr>
                <w:t>http://www.vyzkum.cz/FrontClanek.aspx?idsekce=496</w:t>
              </w:r>
            </w:hyperlink>
            <w:r w:rsidR="00400DD1" w:rsidRPr="00DD47DF">
              <w:rPr>
                <w:rFonts w:cs="Calibri"/>
              </w:rPr>
              <w:t xml:space="preserve"> </w:t>
            </w:r>
          </w:p>
        </w:tc>
      </w:tr>
      <w:tr w:rsidR="00400DD1" w:rsidRPr="00DD47DF" w14:paraId="3828C45A" w14:textId="77777777">
        <w:trPr>
          <w:trHeight w:val="397"/>
        </w:trPr>
        <w:tc>
          <w:tcPr>
            <w:tcW w:w="2395" w:type="pct"/>
            <w:shd w:val="clear" w:color="auto" w:fill="auto"/>
            <w:vAlign w:val="center"/>
          </w:tcPr>
          <w:p w14:paraId="781061B8" w14:textId="77777777" w:rsidR="00400DD1" w:rsidRPr="00DD47DF" w:rsidRDefault="00400DD1" w:rsidP="00F23CDB">
            <w:pPr>
              <w:pStyle w:val="Tabulka"/>
              <w:jc w:val="left"/>
              <w:rPr>
                <w:rFonts w:cs="Calibri"/>
              </w:rPr>
            </w:pPr>
            <w:r w:rsidRPr="00DD47DF">
              <w:rPr>
                <w:rFonts w:cs="Calibri"/>
              </w:rPr>
              <w:t>Svaz průmyslu a dopravy ČR</w:t>
            </w:r>
          </w:p>
        </w:tc>
        <w:tc>
          <w:tcPr>
            <w:tcW w:w="2605" w:type="pct"/>
            <w:shd w:val="clear" w:color="auto" w:fill="auto"/>
            <w:vAlign w:val="center"/>
          </w:tcPr>
          <w:p w14:paraId="2781C329" w14:textId="77777777" w:rsidR="00400DD1" w:rsidRPr="00DD47DF" w:rsidRDefault="00013622" w:rsidP="00F23CDB">
            <w:pPr>
              <w:pStyle w:val="Tabulka"/>
              <w:jc w:val="left"/>
              <w:rPr>
                <w:rFonts w:cs="Calibri"/>
              </w:rPr>
            </w:pPr>
            <w:hyperlink r:id="rId184" w:history="1">
              <w:r w:rsidR="00400DD1" w:rsidRPr="00DD47DF">
                <w:rPr>
                  <w:rStyle w:val="Hypertextovodkaz"/>
                  <w:rFonts w:cs="Calibri"/>
                  <w:bCs/>
                </w:rPr>
                <w:t>http://www.spcr.cz/</w:t>
              </w:r>
            </w:hyperlink>
            <w:r w:rsidR="00400DD1" w:rsidRPr="00DD47DF">
              <w:rPr>
                <w:rFonts w:cs="Calibri"/>
              </w:rPr>
              <w:t xml:space="preserve"> </w:t>
            </w:r>
          </w:p>
        </w:tc>
      </w:tr>
      <w:tr w:rsidR="00400DD1" w:rsidRPr="00DD47DF" w14:paraId="52BF993B" w14:textId="77777777">
        <w:trPr>
          <w:trHeight w:val="413"/>
        </w:trPr>
        <w:tc>
          <w:tcPr>
            <w:tcW w:w="2395" w:type="pct"/>
            <w:shd w:val="clear" w:color="auto" w:fill="auto"/>
            <w:vAlign w:val="center"/>
          </w:tcPr>
          <w:p w14:paraId="0F017CFA" w14:textId="77777777" w:rsidR="00400DD1" w:rsidRPr="00DD47DF" w:rsidRDefault="00400DD1" w:rsidP="00F23CDB">
            <w:pPr>
              <w:pStyle w:val="Tabulka"/>
              <w:jc w:val="left"/>
              <w:rPr>
                <w:rFonts w:cs="Calibri"/>
              </w:rPr>
            </w:pPr>
            <w:r w:rsidRPr="00DD47DF">
              <w:rPr>
                <w:rFonts w:cs="Calibri"/>
              </w:rPr>
              <w:t>Svaz obchodu a cestovního ruchu</w:t>
            </w:r>
          </w:p>
        </w:tc>
        <w:tc>
          <w:tcPr>
            <w:tcW w:w="2605" w:type="pct"/>
            <w:shd w:val="clear" w:color="auto" w:fill="auto"/>
            <w:vAlign w:val="center"/>
          </w:tcPr>
          <w:p w14:paraId="472432D9" w14:textId="77777777" w:rsidR="00400DD1" w:rsidRPr="00DD47DF" w:rsidRDefault="00013622" w:rsidP="00F23CDB">
            <w:pPr>
              <w:pStyle w:val="Tabulka"/>
              <w:jc w:val="left"/>
              <w:rPr>
                <w:rFonts w:cs="Calibri"/>
              </w:rPr>
            </w:pPr>
            <w:hyperlink r:id="rId185"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255683C6" w14:textId="77777777">
        <w:trPr>
          <w:trHeight w:val="413"/>
        </w:trPr>
        <w:tc>
          <w:tcPr>
            <w:tcW w:w="2395" w:type="pct"/>
            <w:shd w:val="clear" w:color="auto" w:fill="auto"/>
            <w:vAlign w:val="center"/>
          </w:tcPr>
          <w:p w14:paraId="1B664394" w14:textId="77777777" w:rsidR="00400DD1" w:rsidRPr="00DD47DF" w:rsidRDefault="00400DD1" w:rsidP="00F23CDB">
            <w:pPr>
              <w:pStyle w:val="Tabulka"/>
              <w:jc w:val="left"/>
              <w:rPr>
                <w:rFonts w:cs="Calibri"/>
              </w:rPr>
            </w:pPr>
            <w:r w:rsidRPr="00DD47DF">
              <w:rPr>
                <w:rFonts w:cs="Calibri"/>
              </w:rPr>
              <w:t>Svaz podnikatelů ve stavebnictví</w:t>
            </w:r>
          </w:p>
        </w:tc>
        <w:tc>
          <w:tcPr>
            <w:tcW w:w="2605" w:type="pct"/>
            <w:shd w:val="clear" w:color="auto" w:fill="auto"/>
            <w:vAlign w:val="center"/>
          </w:tcPr>
          <w:p w14:paraId="3D3B41C2" w14:textId="77777777" w:rsidR="00400DD1" w:rsidRPr="00DD47DF" w:rsidRDefault="00013622" w:rsidP="00F23CDB">
            <w:pPr>
              <w:pStyle w:val="Tabulka"/>
              <w:jc w:val="left"/>
              <w:rPr>
                <w:rFonts w:cs="Calibri"/>
              </w:rPr>
            </w:pPr>
            <w:hyperlink r:id="rId186" w:history="1">
              <w:r w:rsidR="00400DD1" w:rsidRPr="00DD47DF">
                <w:rPr>
                  <w:rStyle w:val="Hypertextovodkaz"/>
                  <w:rFonts w:cs="Calibri"/>
                  <w:bCs/>
                </w:rPr>
                <w:t>http://www.sps.cz/index.ASP</w:t>
              </w:r>
            </w:hyperlink>
            <w:r w:rsidR="00400DD1" w:rsidRPr="00DD47DF">
              <w:rPr>
                <w:rFonts w:cs="Calibri"/>
              </w:rPr>
              <w:t xml:space="preserve"> </w:t>
            </w:r>
          </w:p>
        </w:tc>
      </w:tr>
      <w:tr w:rsidR="00400DD1" w:rsidRPr="00DD47DF" w14:paraId="31D9032E" w14:textId="77777777">
        <w:trPr>
          <w:trHeight w:val="413"/>
        </w:trPr>
        <w:tc>
          <w:tcPr>
            <w:tcW w:w="2395" w:type="pct"/>
            <w:shd w:val="clear" w:color="auto" w:fill="auto"/>
            <w:vAlign w:val="center"/>
          </w:tcPr>
          <w:p w14:paraId="030A03AC" w14:textId="77777777" w:rsidR="00400DD1" w:rsidRPr="00DD47DF" w:rsidRDefault="00400DD1" w:rsidP="00F23CDB">
            <w:pPr>
              <w:pStyle w:val="Tabulka"/>
              <w:jc w:val="left"/>
              <w:rPr>
                <w:rFonts w:cs="Calibri"/>
              </w:rPr>
            </w:pPr>
            <w:r w:rsidRPr="00DD47DF">
              <w:rPr>
                <w:rFonts w:cs="Calibri"/>
              </w:rPr>
              <w:t>Svaz měst a obcí ČR</w:t>
            </w:r>
          </w:p>
        </w:tc>
        <w:tc>
          <w:tcPr>
            <w:tcW w:w="2605" w:type="pct"/>
            <w:shd w:val="clear" w:color="auto" w:fill="auto"/>
            <w:vAlign w:val="center"/>
          </w:tcPr>
          <w:p w14:paraId="323B8E90" w14:textId="77777777" w:rsidR="00400DD1" w:rsidRPr="00DD47DF" w:rsidRDefault="00013622" w:rsidP="00F23CDB">
            <w:pPr>
              <w:pStyle w:val="Tabulka"/>
              <w:jc w:val="left"/>
              <w:rPr>
                <w:rFonts w:cs="Calibri"/>
              </w:rPr>
            </w:pPr>
            <w:hyperlink r:id="rId187"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2E5EB23C" w14:textId="77777777">
        <w:trPr>
          <w:trHeight w:val="397"/>
        </w:trPr>
        <w:tc>
          <w:tcPr>
            <w:tcW w:w="2395" w:type="pct"/>
            <w:shd w:val="clear" w:color="auto" w:fill="auto"/>
            <w:vAlign w:val="center"/>
          </w:tcPr>
          <w:p w14:paraId="6D5BD686" w14:textId="77777777" w:rsidR="00400DD1" w:rsidRPr="00DD47DF" w:rsidRDefault="00400DD1" w:rsidP="00F23CDB">
            <w:pPr>
              <w:pStyle w:val="Tabulka"/>
              <w:jc w:val="left"/>
              <w:rPr>
                <w:rFonts w:cs="Calibri"/>
              </w:rPr>
            </w:pPr>
            <w:r w:rsidRPr="00DD47DF">
              <w:rPr>
                <w:rFonts w:cs="Calibri"/>
              </w:rPr>
              <w:t>Svaz místních samospráv ČR</w:t>
            </w:r>
          </w:p>
        </w:tc>
        <w:tc>
          <w:tcPr>
            <w:tcW w:w="2605" w:type="pct"/>
            <w:shd w:val="clear" w:color="auto" w:fill="auto"/>
            <w:vAlign w:val="center"/>
          </w:tcPr>
          <w:p w14:paraId="7741B236" w14:textId="77777777" w:rsidR="00400DD1" w:rsidRPr="00DD47DF" w:rsidRDefault="00013622" w:rsidP="00F23CDB">
            <w:pPr>
              <w:pStyle w:val="Tabulka"/>
              <w:jc w:val="left"/>
              <w:rPr>
                <w:rFonts w:cs="Calibri"/>
              </w:rPr>
            </w:pPr>
            <w:hyperlink r:id="rId188" w:history="1">
              <w:r w:rsidR="00400DD1" w:rsidRPr="00DD47DF">
                <w:rPr>
                  <w:rStyle w:val="Hypertextovodkaz"/>
                  <w:rFonts w:cs="Calibri"/>
                  <w:bCs/>
                </w:rPr>
                <w:t>http://www.smscr.cz/</w:t>
              </w:r>
            </w:hyperlink>
            <w:r w:rsidR="00400DD1" w:rsidRPr="00DD47DF">
              <w:rPr>
                <w:rFonts w:cs="Calibri"/>
              </w:rPr>
              <w:t xml:space="preserve"> </w:t>
            </w:r>
          </w:p>
        </w:tc>
      </w:tr>
      <w:tr w:rsidR="00400DD1" w:rsidRPr="00DD47DF" w14:paraId="1DCE546C" w14:textId="77777777">
        <w:trPr>
          <w:trHeight w:val="715"/>
        </w:trPr>
        <w:tc>
          <w:tcPr>
            <w:tcW w:w="2395" w:type="pct"/>
            <w:shd w:val="clear" w:color="auto" w:fill="auto"/>
            <w:vAlign w:val="center"/>
          </w:tcPr>
          <w:p w14:paraId="01E881F1" w14:textId="77777777" w:rsidR="00400DD1" w:rsidRPr="00DD47DF" w:rsidRDefault="00400DD1" w:rsidP="00F23CDB">
            <w:pPr>
              <w:pStyle w:val="Tabulka"/>
              <w:jc w:val="left"/>
              <w:rPr>
                <w:rFonts w:cs="Calibri"/>
              </w:rPr>
            </w:pPr>
            <w:r w:rsidRPr="00DD47DF">
              <w:rPr>
                <w:rFonts w:cs="Calibri"/>
              </w:rPr>
              <w:t>Českomoravská konfederace odborových svazů</w:t>
            </w:r>
          </w:p>
        </w:tc>
        <w:tc>
          <w:tcPr>
            <w:tcW w:w="2605" w:type="pct"/>
            <w:shd w:val="clear" w:color="auto" w:fill="auto"/>
            <w:vAlign w:val="center"/>
          </w:tcPr>
          <w:p w14:paraId="4FCD9B5E" w14:textId="77777777" w:rsidR="00400DD1" w:rsidRPr="00DD47DF" w:rsidRDefault="00013622" w:rsidP="00F23CDB">
            <w:pPr>
              <w:pStyle w:val="Tabulka"/>
              <w:jc w:val="left"/>
              <w:rPr>
                <w:rFonts w:cs="Calibri"/>
              </w:rPr>
            </w:pPr>
            <w:hyperlink r:id="rId189" w:history="1">
              <w:r w:rsidR="00400DD1" w:rsidRPr="00DD47DF">
                <w:rPr>
                  <w:rStyle w:val="Hypertextovodkaz"/>
                  <w:rFonts w:cs="Calibri"/>
                  <w:bCs/>
                </w:rPr>
                <w:t>http://www.cmkos.cz/</w:t>
              </w:r>
            </w:hyperlink>
            <w:r w:rsidR="00400DD1" w:rsidRPr="00DD47DF">
              <w:rPr>
                <w:rFonts w:cs="Calibri"/>
              </w:rPr>
              <w:t xml:space="preserve"> </w:t>
            </w:r>
          </w:p>
        </w:tc>
      </w:tr>
      <w:tr w:rsidR="00400DD1" w:rsidRPr="00DD47DF" w14:paraId="40A3B4F7" w14:textId="77777777">
        <w:trPr>
          <w:trHeight w:val="699"/>
        </w:trPr>
        <w:tc>
          <w:tcPr>
            <w:tcW w:w="2395" w:type="pct"/>
            <w:shd w:val="clear" w:color="auto" w:fill="auto"/>
            <w:vAlign w:val="center"/>
          </w:tcPr>
          <w:p w14:paraId="0F89739A"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05" w:type="pct"/>
            <w:shd w:val="clear" w:color="auto" w:fill="auto"/>
            <w:vAlign w:val="center"/>
          </w:tcPr>
          <w:p w14:paraId="27248F8C" w14:textId="77777777" w:rsidR="00400DD1" w:rsidRPr="00DD47DF" w:rsidRDefault="00013622" w:rsidP="00F23CDB">
            <w:pPr>
              <w:pStyle w:val="Tabulka"/>
              <w:jc w:val="left"/>
              <w:rPr>
                <w:rFonts w:cs="Calibri"/>
              </w:rPr>
            </w:pPr>
            <w:hyperlink r:id="rId190" w:history="1">
              <w:r w:rsidR="00400DD1" w:rsidRPr="00DD47DF">
                <w:rPr>
                  <w:rStyle w:val="Hypertextovodkaz"/>
                  <w:rFonts w:cs="Calibri"/>
                  <w:bCs/>
                </w:rPr>
                <w:t>http://www.kzps.cz/</w:t>
              </w:r>
            </w:hyperlink>
            <w:r w:rsidR="00400DD1" w:rsidRPr="00DD47DF">
              <w:rPr>
                <w:rFonts w:cs="Calibri"/>
              </w:rPr>
              <w:t xml:space="preserve"> </w:t>
            </w:r>
          </w:p>
        </w:tc>
      </w:tr>
      <w:tr w:rsidR="00400DD1" w:rsidRPr="00DD47DF" w14:paraId="5166A767" w14:textId="77777777">
        <w:trPr>
          <w:trHeight w:val="397"/>
        </w:trPr>
        <w:tc>
          <w:tcPr>
            <w:tcW w:w="2395" w:type="pct"/>
            <w:shd w:val="clear" w:color="auto" w:fill="auto"/>
            <w:vAlign w:val="center"/>
          </w:tcPr>
          <w:p w14:paraId="63625007" w14:textId="77777777" w:rsidR="00400DD1" w:rsidRPr="00DD47DF" w:rsidRDefault="00400DD1" w:rsidP="00F23CDB">
            <w:pPr>
              <w:pStyle w:val="Tabulka"/>
              <w:jc w:val="left"/>
              <w:rPr>
                <w:rFonts w:cs="Calibri"/>
              </w:rPr>
            </w:pPr>
            <w:r w:rsidRPr="00DD47DF">
              <w:rPr>
                <w:rFonts w:cs="Calibri"/>
              </w:rPr>
              <w:t>Asociace MSP a živnostníků ČR</w:t>
            </w:r>
          </w:p>
        </w:tc>
        <w:tc>
          <w:tcPr>
            <w:tcW w:w="2605" w:type="pct"/>
            <w:shd w:val="clear" w:color="auto" w:fill="auto"/>
            <w:vAlign w:val="center"/>
          </w:tcPr>
          <w:p w14:paraId="4DA516C0" w14:textId="77777777" w:rsidR="00400DD1" w:rsidRPr="00DD47DF" w:rsidRDefault="00013622" w:rsidP="00F23CDB">
            <w:pPr>
              <w:pStyle w:val="Tabulka"/>
              <w:jc w:val="left"/>
              <w:rPr>
                <w:rFonts w:cs="Calibri"/>
              </w:rPr>
            </w:pPr>
            <w:hyperlink r:id="rId191" w:history="1">
              <w:r w:rsidR="00400DD1" w:rsidRPr="00DD47DF">
                <w:rPr>
                  <w:rStyle w:val="Hypertextovodkaz"/>
                  <w:rFonts w:cs="Calibri"/>
                  <w:bCs/>
                </w:rPr>
                <w:t>http://www.amsp.cz/</w:t>
              </w:r>
            </w:hyperlink>
            <w:r w:rsidR="00400DD1" w:rsidRPr="00DD47DF">
              <w:rPr>
                <w:rFonts w:cs="Calibri"/>
              </w:rPr>
              <w:t xml:space="preserve"> </w:t>
            </w:r>
          </w:p>
        </w:tc>
      </w:tr>
      <w:tr w:rsidR="00400DD1" w:rsidRPr="00DD47DF" w14:paraId="3FCE521D" w14:textId="77777777">
        <w:trPr>
          <w:trHeight w:val="429"/>
        </w:trPr>
        <w:tc>
          <w:tcPr>
            <w:tcW w:w="2395" w:type="pct"/>
            <w:shd w:val="clear" w:color="auto" w:fill="auto"/>
            <w:vAlign w:val="center"/>
          </w:tcPr>
          <w:p w14:paraId="6A310A95" w14:textId="77777777" w:rsidR="00400DD1" w:rsidRPr="00DD47DF" w:rsidRDefault="00400DD1" w:rsidP="00F23CDB">
            <w:pPr>
              <w:pStyle w:val="Tabulka"/>
              <w:jc w:val="left"/>
              <w:rPr>
                <w:rFonts w:cs="Calibri"/>
              </w:rPr>
            </w:pPr>
            <w:r w:rsidRPr="00DD47DF">
              <w:rPr>
                <w:rFonts w:cs="Calibri"/>
              </w:rPr>
              <w:t>Asociace krajů ČR</w:t>
            </w:r>
          </w:p>
        </w:tc>
        <w:tc>
          <w:tcPr>
            <w:tcW w:w="2605" w:type="pct"/>
            <w:shd w:val="clear" w:color="auto" w:fill="auto"/>
            <w:vAlign w:val="center"/>
          </w:tcPr>
          <w:p w14:paraId="766FF31B" w14:textId="77777777" w:rsidR="00400DD1" w:rsidRPr="00DD47DF" w:rsidRDefault="00013622" w:rsidP="00F23CDB">
            <w:pPr>
              <w:pStyle w:val="Tabulka"/>
              <w:jc w:val="left"/>
              <w:rPr>
                <w:rFonts w:cs="Calibri"/>
              </w:rPr>
            </w:pPr>
            <w:hyperlink r:id="rId192" w:history="1">
              <w:r w:rsidR="00400DD1" w:rsidRPr="00DD47DF">
                <w:rPr>
                  <w:rStyle w:val="Hypertextovodkaz"/>
                  <w:rFonts w:cs="Calibri"/>
                  <w:bCs/>
                </w:rPr>
                <w:t>http://www.asociacekraju.cz/</w:t>
              </w:r>
            </w:hyperlink>
            <w:r w:rsidR="00400DD1" w:rsidRPr="00DD47DF">
              <w:rPr>
                <w:rFonts w:cs="Calibri"/>
              </w:rPr>
              <w:t xml:space="preserve"> </w:t>
            </w:r>
          </w:p>
        </w:tc>
      </w:tr>
      <w:tr w:rsidR="00400DD1" w:rsidRPr="00DD47DF" w14:paraId="1C3ADA1E" w14:textId="77777777">
        <w:trPr>
          <w:trHeight w:val="413"/>
        </w:trPr>
        <w:tc>
          <w:tcPr>
            <w:tcW w:w="2395" w:type="pct"/>
            <w:shd w:val="clear" w:color="auto" w:fill="auto"/>
            <w:vAlign w:val="center"/>
          </w:tcPr>
          <w:p w14:paraId="6930ED63" w14:textId="77777777" w:rsidR="00400DD1" w:rsidRPr="00DD47DF" w:rsidRDefault="00400DD1" w:rsidP="00F23CDB">
            <w:pPr>
              <w:pStyle w:val="Tabulka"/>
              <w:jc w:val="left"/>
              <w:rPr>
                <w:rFonts w:cs="Calibri"/>
              </w:rPr>
            </w:pPr>
            <w:r w:rsidRPr="00DD47DF">
              <w:rPr>
                <w:rFonts w:cs="Calibri"/>
              </w:rPr>
              <w:t xml:space="preserve">Nestátní neziskové organizace </w:t>
            </w:r>
          </w:p>
        </w:tc>
        <w:tc>
          <w:tcPr>
            <w:tcW w:w="2605" w:type="pct"/>
            <w:shd w:val="clear" w:color="auto" w:fill="auto"/>
            <w:vAlign w:val="center"/>
          </w:tcPr>
          <w:p w14:paraId="150FDA6A" w14:textId="77777777" w:rsidR="00400DD1" w:rsidRPr="00DD47DF" w:rsidRDefault="00013622" w:rsidP="00F23CDB">
            <w:pPr>
              <w:pStyle w:val="Tabulka"/>
              <w:jc w:val="left"/>
              <w:rPr>
                <w:rFonts w:cs="Calibri"/>
              </w:rPr>
            </w:pPr>
            <w:hyperlink r:id="rId193" w:history="1">
              <w:r w:rsidR="00400DD1" w:rsidRPr="00DD47DF">
                <w:rPr>
                  <w:rStyle w:val="Hypertextovodkaz"/>
                  <w:rFonts w:cs="Calibri"/>
                  <w:bCs/>
                </w:rPr>
                <w:t>http://www.asociacenno.cz/</w:t>
              </w:r>
            </w:hyperlink>
            <w:r w:rsidR="00400DD1" w:rsidRPr="00DD47DF">
              <w:rPr>
                <w:rFonts w:cs="Calibri"/>
              </w:rPr>
              <w:t xml:space="preserve"> </w:t>
            </w:r>
          </w:p>
        </w:tc>
      </w:tr>
      <w:tr w:rsidR="00400DD1" w:rsidRPr="00DD47DF" w14:paraId="1267D498" w14:textId="77777777">
        <w:trPr>
          <w:trHeight w:val="699"/>
        </w:trPr>
        <w:tc>
          <w:tcPr>
            <w:tcW w:w="2395" w:type="pct"/>
            <w:shd w:val="clear" w:color="auto" w:fill="auto"/>
            <w:vAlign w:val="center"/>
          </w:tcPr>
          <w:p w14:paraId="18CE80ED"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5" w:type="pct"/>
            <w:shd w:val="clear" w:color="auto" w:fill="auto"/>
            <w:vAlign w:val="center"/>
          </w:tcPr>
          <w:p w14:paraId="4534B746" w14:textId="77777777" w:rsidR="00400DD1" w:rsidRPr="00DD47DF" w:rsidRDefault="00013622" w:rsidP="00F23CDB">
            <w:pPr>
              <w:pStyle w:val="Tabulka"/>
              <w:jc w:val="left"/>
              <w:rPr>
                <w:rFonts w:cs="Calibri"/>
              </w:rPr>
            </w:pPr>
            <w:hyperlink r:id="rId194" w:history="1">
              <w:r w:rsidR="00400DD1" w:rsidRPr="00DD47DF">
                <w:rPr>
                  <w:rStyle w:val="Hypertextovodkaz"/>
                  <w:rFonts w:cs="Calibri"/>
                  <w:bCs/>
                </w:rPr>
                <w:t>http://nsmascr.cz/o-nas/mistni-akncni-skupiny/</w:t>
              </w:r>
            </w:hyperlink>
            <w:r w:rsidR="00400DD1" w:rsidRPr="00DD47DF">
              <w:rPr>
                <w:rFonts w:cs="Calibri"/>
              </w:rPr>
              <w:t xml:space="preserve"> </w:t>
            </w:r>
          </w:p>
        </w:tc>
      </w:tr>
      <w:tr w:rsidR="00400DD1" w:rsidRPr="00DD47DF" w14:paraId="3F96F53C" w14:textId="77777777">
        <w:trPr>
          <w:trHeight w:val="413"/>
        </w:trPr>
        <w:tc>
          <w:tcPr>
            <w:tcW w:w="2395" w:type="pct"/>
            <w:shd w:val="clear" w:color="auto" w:fill="auto"/>
            <w:vAlign w:val="center"/>
          </w:tcPr>
          <w:p w14:paraId="34538EBB" w14:textId="77777777" w:rsidR="00400DD1" w:rsidRPr="00DD47DF" w:rsidRDefault="00400DD1" w:rsidP="00F23CDB">
            <w:pPr>
              <w:pStyle w:val="Tabulka"/>
              <w:jc w:val="left"/>
              <w:rPr>
                <w:rFonts w:cs="Calibri"/>
              </w:rPr>
            </w:pPr>
            <w:r w:rsidRPr="00DD47DF">
              <w:rPr>
                <w:rFonts w:cs="Calibri"/>
              </w:rPr>
              <w:t>Český statistický úřad</w:t>
            </w:r>
          </w:p>
        </w:tc>
        <w:tc>
          <w:tcPr>
            <w:tcW w:w="2605" w:type="pct"/>
            <w:shd w:val="clear" w:color="auto" w:fill="auto"/>
            <w:vAlign w:val="center"/>
          </w:tcPr>
          <w:p w14:paraId="049768AA" w14:textId="77777777" w:rsidR="00400DD1" w:rsidRPr="00DD47DF" w:rsidRDefault="00013622" w:rsidP="00F23CDB">
            <w:pPr>
              <w:pStyle w:val="Tabulka"/>
              <w:jc w:val="left"/>
              <w:rPr>
                <w:rFonts w:cs="Calibri"/>
              </w:rPr>
            </w:pPr>
            <w:hyperlink r:id="rId195" w:history="1">
              <w:r w:rsidR="00400DD1" w:rsidRPr="00DD47DF">
                <w:rPr>
                  <w:rStyle w:val="Hypertextovodkaz"/>
                  <w:rFonts w:cs="Calibri"/>
                  <w:bCs/>
                </w:rPr>
                <w:t>http://www.czso.cz/</w:t>
              </w:r>
            </w:hyperlink>
            <w:r w:rsidR="00400DD1" w:rsidRPr="00DD47DF">
              <w:rPr>
                <w:rFonts w:cs="Calibri"/>
              </w:rPr>
              <w:t xml:space="preserve"> </w:t>
            </w:r>
          </w:p>
        </w:tc>
      </w:tr>
      <w:tr w:rsidR="00400DD1" w:rsidRPr="00DD47DF" w14:paraId="742AE5C5" w14:textId="77777777">
        <w:trPr>
          <w:trHeight w:val="413"/>
        </w:trPr>
        <w:tc>
          <w:tcPr>
            <w:tcW w:w="2395" w:type="pct"/>
            <w:shd w:val="clear" w:color="auto" w:fill="auto"/>
            <w:vAlign w:val="center"/>
          </w:tcPr>
          <w:p w14:paraId="1D4AD079" w14:textId="77777777" w:rsidR="00400DD1" w:rsidRPr="00DD47DF" w:rsidRDefault="00400DD1" w:rsidP="00F23CDB">
            <w:pPr>
              <w:pStyle w:val="Tabulka"/>
              <w:jc w:val="left"/>
              <w:rPr>
                <w:rFonts w:cs="Calibri"/>
              </w:rPr>
            </w:pPr>
            <w:r w:rsidRPr="00DD47DF">
              <w:rPr>
                <w:rFonts w:cs="Calibri"/>
              </w:rPr>
              <w:lastRenderedPageBreak/>
              <w:t>Hlavní město Praha</w:t>
            </w:r>
          </w:p>
        </w:tc>
        <w:tc>
          <w:tcPr>
            <w:tcW w:w="2605" w:type="pct"/>
            <w:shd w:val="clear" w:color="auto" w:fill="auto"/>
            <w:vAlign w:val="center"/>
          </w:tcPr>
          <w:p w14:paraId="5A2C64FB" w14:textId="77777777" w:rsidR="00400DD1" w:rsidRPr="00DD47DF" w:rsidRDefault="00013622" w:rsidP="00F23CDB">
            <w:pPr>
              <w:pStyle w:val="Tabulka"/>
              <w:jc w:val="left"/>
              <w:rPr>
                <w:rFonts w:cs="Calibri"/>
              </w:rPr>
            </w:pPr>
            <w:hyperlink r:id="rId196" w:history="1">
              <w:r w:rsidR="00400DD1" w:rsidRPr="00DD47DF">
                <w:rPr>
                  <w:rStyle w:val="Hypertextovodkaz"/>
                  <w:rFonts w:cs="Calibri"/>
                  <w:bCs/>
                </w:rPr>
                <w:t>http://www.praha.eu/jnp/cz/home/index.html</w:t>
              </w:r>
            </w:hyperlink>
            <w:r w:rsidR="00400DD1" w:rsidRPr="00DD47DF">
              <w:rPr>
                <w:rFonts w:cs="Calibri"/>
              </w:rPr>
              <w:t xml:space="preserve"> </w:t>
            </w:r>
          </w:p>
        </w:tc>
      </w:tr>
    </w:tbl>
    <w:p w14:paraId="2CBDA8AF"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DD47DF" w14:paraId="41009AFA" w14:textId="77777777">
        <w:trPr>
          <w:trHeight w:val="431"/>
        </w:trPr>
        <w:tc>
          <w:tcPr>
            <w:tcW w:w="5000" w:type="pct"/>
            <w:gridSpan w:val="2"/>
            <w:shd w:val="clear" w:color="auto" w:fill="B8CCE4"/>
            <w:vAlign w:val="center"/>
          </w:tcPr>
          <w:p w14:paraId="02FD0DA1" w14:textId="77777777" w:rsidR="00400DD1" w:rsidRPr="00DD47DF" w:rsidRDefault="00400DD1" w:rsidP="00F23CDB">
            <w:pPr>
              <w:pStyle w:val="Tabulka"/>
              <w:keepNext/>
              <w:keepLines/>
              <w:rPr>
                <w:rFonts w:cs="Calibri"/>
                <w:b/>
              </w:rPr>
            </w:pPr>
            <w:r w:rsidRPr="00DD47DF">
              <w:rPr>
                <w:rFonts w:cs="Calibri"/>
                <w:b/>
              </w:rPr>
              <w:t>Pracovní skupiny pro rozpracování jednotlivých prioritních os OP PIK</w:t>
            </w:r>
          </w:p>
        </w:tc>
      </w:tr>
      <w:tr w:rsidR="00400DD1" w:rsidRPr="00DD47DF" w14:paraId="540E065D" w14:textId="77777777">
        <w:trPr>
          <w:trHeight w:val="414"/>
        </w:trPr>
        <w:tc>
          <w:tcPr>
            <w:tcW w:w="5000" w:type="pct"/>
            <w:gridSpan w:val="2"/>
            <w:shd w:val="clear" w:color="auto" w:fill="DBE5F1"/>
            <w:vAlign w:val="center"/>
          </w:tcPr>
          <w:p w14:paraId="4F463938" w14:textId="77777777" w:rsidR="00400DD1" w:rsidRPr="00DD47DF" w:rsidRDefault="005F4918" w:rsidP="00F23CDB">
            <w:pPr>
              <w:pStyle w:val="Tabulka"/>
              <w:keepNext/>
              <w:keepLines/>
              <w:rPr>
                <w:rFonts w:cs="Calibri"/>
                <w:b/>
              </w:rPr>
            </w:pPr>
            <w:r w:rsidRPr="00DD47DF">
              <w:rPr>
                <w:rFonts w:cs="Calibri"/>
                <w:b/>
              </w:rPr>
              <w:t xml:space="preserve">PS </w:t>
            </w:r>
            <w:r w:rsidR="00400DD1" w:rsidRPr="00DD47DF">
              <w:rPr>
                <w:rFonts w:cs="Calibri"/>
                <w:b/>
              </w:rPr>
              <w:t>1 „</w:t>
            </w:r>
            <w:r w:rsidR="00CB7936" w:rsidRPr="00DD47DF">
              <w:rPr>
                <w:rFonts w:cs="Calibri"/>
                <w:b/>
              </w:rPr>
              <w:t>Rozvoj výzkumu a vývoje pro inovace</w:t>
            </w:r>
            <w:r w:rsidR="00400DD1" w:rsidRPr="00DD47DF">
              <w:rPr>
                <w:rFonts w:cs="Calibri"/>
                <w:b/>
              </w:rPr>
              <w:t>“</w:t>
            </w:r>
          </w:p>
        </w:tc>
      </w:tr>
      <w:tr w:rsidR="00400DD1" w:rsidRPr="00DD47DF" w14:paraId="507CE76D" w14:textId="77777777">
        <w:trPr>
          <w:trHeight w:val="414"/>
        </w:trPr>
        <w:tc>
          <w:tcPr>
            <w:tcW w:w="2391" w:type="pct"/>
            <w:shd w:val="clear" w:color="auto" w:fill="auto"/>
            <w:vAlign w:val="center"/>
          </w:tcPr>
          <w:p w14:paraId="391702A4" w14:textId="77777777" w:rsidR="00400DD1" w:rsidRPr="00DD47DF" w:rsidRDefault="00400DD1" w:rsidP="00F23CDB">
            <w:pPr>
              <w:pStyle w:val="Tabulka"/>
              <w:keepNext/>
              <w:keepLines/>
              <w:jc w:val="left"/>
              <w:rPr>
                <w:rFonts w:cs="Calibri"/>
              </w:rPr>
            </w:pPr>
            <w:r w:rsidRPr="00DD47DF">
              <w:rPr>
                <w:rFonts w:cs="Calibri"/>
              </w:rPr>
              <w:t>Ministerstvo šk</w:t>
            </w:r>
            <w:r w:rsidR="000E47D9" w:rsidRPr="00DD47DF">
              <w:rPr>
                <w:rFonts w:cs="Calibri"/>
              </w:rPr>
              <w:t>olství, mládeže a tělovýchovy</w:t>
            </w:r>
          </w:p>
        </w:tc>
        <w:tc>
          <w:tcPr>
            <w:tcW w:w="2609" w:type="pct"/>
            <w:shd w:val="clear" w:color="auto" w:fill="auto"/>
            <w:vAlign w:val="center"/>
          </w:tcPr>
          <w:p w14:paraId="42CD13C9" w14:textId="77777777" w:rsidR="00400DD1" w:rsidRPr="00DD47DF" w:rsidRDefault="00013622" w:rsidP="00F23CDB">
            <w:pPr>
              <w:pStyle w:val="Tabulka"/>
              <w:keepNext/>
              <w:keepLines/>
              <w:jc w:val="left"/>
              <w:rPr>
                <w:rFonts w:cs="Calibri"/>
              </w:rPr>
            </w:pPr>
            <w:hyperlink r:id="rId197" w:history="1">
              <w:r w:rsidR="00400DD1" w:rsidRPr="00DD47DF">
                <w:rPr>
                  <w:rStyle w:val="Hypertextovodkaz"/>
                  <w:rFonts w:cs="Calibri"/>
                  <w:bCs/>
                </w:rPr>
                <w:t>http://www.msmt.cz/</w:t>
              </w:r>
            </w:hyperlink>
          </w:p>
        </w:tc>
      </w:tr>
      <w:tr w:rsidR="00400DD1" w:rsidRPr="00DD47DF" w14:paraId="16F11F61" w14:textId="77777777">
        <w:trPr>
          <w:trHeight w:val="414"/>
        </w:trPr>
        <w:tc>
          <w:tcPr>
            <w:tcW w:w="2391" w:type="pct"/>
            <w:shd w:val="clear" w:color="auto" w:fill="auto"/>
            <w:vAlign w:val="center"/>
          </w:tcPr>
          <w:p w14:paraId="62C71F88" w14:textId="77777777" w:rsidR="00400DD1" w:rsidRPr="00DD47DF" w:rsidRDefault="000E47D9" w:rsidP="00F23CDB">
            <w:pPr>
              <w:pStyle w:val="Tabulka"/>
              <w:jc w:val="left"/>
              <w:rPr>
                <w:rFonts w:cs="Calibri"/>
              </w:rPr>
            </w:pPr>
            <w:r w:rsidRPr="00DD47DF">
              <w:rPr>
                <w:rFonts w:cs="Calibri"/>
              </w:rPr>
              <w:t>Ministerstvo kultury</w:t>
            </w:r>
          </w:p>
        </w:tc>
        <w:tc>
          <w:tcPr>
            <w:tcW w:w="2609" w:type="pct"/>
            <w:shd w:val="clear" w:color="auto" w:fill="auto"/>
            <w:vAlign w:val="center"/>
          </w:tcPr>
          <w:p w14:paraId="0C118392" w14:textId="77777777" w:rsidR="00400DD1" w:rsidRPr="00DD47DF" w:rsidRDefault="00013622" w:rsidP="00F23CDB">
            <w:pPr>
              <w:pStyle w:val="Tabulka"/>
              <w:jc w:val="left"/>
              <w:rPr>
                <w:rFonts w:cs="Calibri"/>
              </w:rPr>
            </w:pPr>
            <w:hyperlink r:id="rId198" w:history="1">
              <w:r w:rsidR="00400DD1" w:rsidRPr="00DD47DF">
                <w:rPr>
                  <w:rStyle w:val="Hypertextovodkaz"/>
                  <w:rFonts w:cs="Calibri"/>
                  <w:bCs/>
                </w:rPr>
                <w:t>http://www.mkcr.cz/</w:t>
              </w:r>
            </w:hyperlink>
            <w:r w:rsidR="00400DD1" w:rsidRPr="00DD47DF">
              <w:rPr>
                <w:rFonts w:cs="Calibri"/>
              </w:rPr>
              <w:t xml:space="preserve"> </w:t>
            </w:r>
          </w:p>
        </w:tc>
      </w:tr>
      <w:tr w:rsidR="00400DD1" w:rsidRPr="00DD47DF" w14:paraId="2A637455" w14:textId="77777777">
        <w:trPr>
          <w:trHeight w:val="414"/>
        </w:trPr>
        <w:tc>
          <w:tcPr>
            <w:tcW w:w="2391" w:type="pct"/>
            <w:shd w:val="clear" w:color="auto" w:fill="auto"/>
            <w:vAlign w:val="center"/>
          </w:tcPr>
          <w:p w14:paraId="3B4D8D94" w14:textId="77777777" w:rsidR="00400DD1" w:rsidRPr="00DD47DF" w:rsidRDefault="000E47D9" w:rsidP="00F23CDB">
            <w:pPr>
              <w:pStyle w:val="Tabulka"/>
              <w:jc w:val="left"/>
              <w:rPr>
                <w:rFonts w:cs="Calibri"/>
              </w:rPr>
            </w:pPr>
            <w:r w:rsidRPr="00DD47DF">
              <w:rPr>
                <w:rFonts w:cs="Calibri"/>
              </w:rPr>
              <w:t>Ministerstvo dopravy</w:t>
            </w:r>
          </w:p>
        </w:tc>
        <w:tc>
          <w:tcPr>
            <w:tcW w:w="2609" w:type="pct"/>
            <w:shd w:val="clear" w:color="auto" w:fill="auto"/>
            <w:vAlign w:val="center"/>
          </w:tcPr>
          <w:p w14:paraId="293D293B" w14:textId="77777777" w:rsidR="00400DD1" w:rsidRPr="00DD47DF" w:rsidRDefault="00013622" w:rsidP="00F23CDB">
            <w:pPr>
              <w:pStyle w:val="Tabulka"/>
              <w:jc w:val="left"/>
              <w:rPr>
                <w:rFonts w:cs="Calibri"/>
              </w:rPr>
            </w:pPr>
            <w:hyperlink r:id="rId199" w:history="1">
              <w:r w:rsidR="00400DD1" w:rsidRPr="00DD47DF">
                <w:rPr>
                  <w:rStyle w:val="Hypertextovodkaz"/>
                  <w:rFonts w:cs="Calibri"/>
                  <w:bCs/>
                </w:rPr>
                <w:t>http://www.mdcr.cz/cs/default.htm</w:t>
              </w:r>
            </w:hyperlink>
          </w:p>
        </w:tc>
      </w:tr>
      <w:tr w:rsidR="00400DD1" w:rsidRPr="00DD47DF" w14:paraId="452DEF1D" w14:textId="77777777">
        <w:trPr>
          <w:trHeight w:val="414"/>
        </w:trPr>
        <w:tc>
          <w:tcPr>
            <w:tcW w:w="2391" w:type="pct"/>
            <w:shd w:val="clear" w:color="auto" w:fill="auto"/>
            <w:vAlign w:val="center"/>
          </w:tcPr>
          <w:p w14:paraId="4472A7B0" w14:textId="77777777" w:rsidR="00400DD1" w:rsidRPr="00DD47DF" w:rsidRDefault="00400DD1" w:rsidP="00F23CDB">
            <w:pPr>
              <w:pStyle w:val="Tabulka"/>
              <w:jc w:val="left"/>
              <w:rPr>
                <w:rFonts w:cs="Calibri"/>
              </w:rPr>
            </w:pPr>
            <w:r w:rsidRPr="00DD47DF">
              <w:rPr>
                <w:rFonts w:cs="Calibri"/>
              </w:rPr>
              <w:t>Technologická agentura ČR</w:t>
            </w:r>
          </w:p>
        </w:tc>
        <w:tc>
          <w:tcPr>
            <w:tcW w:w="2609" w:type="pct"/>
            <w:shd w:val="clear" w:color="auto" w:fill="auto"/>
            <w:vAlign w:val="center"/>
          </w:tcPr>
          <w:p w14:paraId="7D97D75C" w14:textId="77777777" w:rsidR="00400DD1" w:rsidRPr="00DD47DF" w:rsidRDefault="00013622" w:rsidP="00F23CDB">
            <w:pPr>
              <w:pStyle w:val="Tabulka"/>
              <w:jc w:val="left"/>
              <w:rPr>
                <w:rFonts w:cs="Calibri"/>
              </w:rPr>
            </w:pPr>
            <w:hyperlink r:id="rId200" w:history="1">
              <w:r w:rsidR="00400DD1" w:rsidRPr="00DD47DF">
                <w:rPr>
                  <w:rStyle w:val="Hypertextovodkaz"/>
                  <w:rFonts w:cs="Calibri"/>
                  <w:bCs/>
                </w:rPr>
                <w:t>http://tacr.cz/</w:t>
              </w:r>
            </w:hyperlink>
          </w:p>
        </w:tc>
      </w:tr>
      <w:tr w:rsidR="00400DD1" w:rsidRPr="00DD47DF" w14:paraId="3691F901" w14:textId="77777777">
        <w:trPr>
          <w:trHeight w:val="414"/>
        </w:trPr>
        <w:tc>
          <w:tcPr>
            <w:tcW w:w="2391" w:type="pct"/>
            <w:shd w:val="clear" w:color="auto" w:fill="auto"/>
            <w:vAlign w:val="center"/>
          </w:tcPr>
          <w:p w14:paraId="0E3B0DC5" w14:textId="77777777" w:rsidR="00400DD1" w:rsidRPr="00DD47DF" w:rsidRDefault="00400DD1" w:rsidP="00F23CDB">
            <w:pPr>
              <w:pStyle w:val="Tabulka"/>
              <w:jc w:val="left"/>
              <w:rPr>
                <w:rFonts w:cs="Calibri"/>
              </w:rPr>
            </w:pPr>
            <w:r w:rsidRPr="00DD47DF">
              <w:rPr>
                <w:rFonts w:cs="Calibri"/>
              </w:rPr>
              <w:t>Technologické centrum akademie věd</w:t>
            </w:r>
          </w:p>
        </w:tc>
        <w:tc>
          <w:tcPr>
            <w:tcW w:w="2609" w:type="pct"/>
            <w:shd w:val="clear" w:color="auto" w:fill="auto"/>
            <w:vAlign w:val="center"/>
          </w:tcPr>
          <w:p w14:paraId="0A8BF711" w14:textId="77777777" w:rsidR="00400DD1" w:rsidRPr="00DD47DF" w:rsidRDefault="00013622" w:rsidP="00F23CDB">
            <w:pPr>
              <w:pStyle w:val="Tabulka"/>
              <w:jc w:val="left"/>
              <w:rPr>
                <w:rFonts w:cs="Calibri"/>
              </w:rPr>
            </w:pPr>
            <w:hyperlink r:id="rId201" w:history="1">
              <w:r w:rsidR="00400DD1" w:rsidRPr="00DD47DF">
                <w:rPr>
                  <w:rStyle w:val="Hypertextovodkaz"/>
                  <w:rFonts w:cs="Calibri"/>
                  <w:bCs/>
                </w:rPr>
                <w:t>http://www.tc.cz/cs/</w:t>
              </w:r>
            </w:hyperlink>
            <w:r w:rsidR="00400DD1" w:rsidRPr="00DD47DF">
              <w:rPr>
                <w:rFonts w:cs="Calibri"/>
              </w:rPr>
              <w:t xml:space="preserve"> </w:t>
            </w:r>
          </w:p>
        </w:tc>
      </w:tr>
      <w:tr w:rsidR="00400DD1" w:rsidRPr="00DD47DF" w14:paraId="15EFB467" w14:textId="77777777">
        <w:trPr>
          <w:trHeight w:val="414"/>
        </w:trPr>
        <w:tc>
          <w:tcPr>
            <w:tcW w:w="2391" w:type="pct"/>
            <w:shd w:val="clear" w:color="auto" w:fill="auto"/>
            <w:vAlign w:val="center"/>
          </w:tcPr>
          <w:p w14:paraId="190A6D30" w14:textId="77777777" w:rsidR="00400DD1" w:rsidRPr="00DD47DF" w:rsidRDefault="00400DD1" w:rsidP="00F23CDB">
            <w:pPr>
              <w:pStyle w:val="Tabulka"/>
              <w:jc w:val="left"/>
              <w:rPr>
                <w:rFonts w:cs="Calibri"/>
              </w:rPr>
            </w:pPr>
            <w:r w:rsidRPr="00DD47DF">
              <w:rPr>
                <w:rFonts w:cs="Calibri"/>
              </w:rPr>
              <w:t>Jihomoravské inovační centrum</w:t>
            </w:r>
          </w:p>
        </w:tc>
        <w:tc>
          <w:tcPr>
            <w:tcW w:w="2609" w:type="pct"/>
            <w:shd w:val="clear" w:color="auto" w:fill="auto"/>
            <w:vAlign w:val="center"/>
          </w:tcPr>
          <w:p w14:paraId="400B8B67" w14:textId="77777777" w:rsidR="00400DD1" w:rsidRPr="00DD47DF" w:rsidRDefault="00013622" w:rsidP="00F23CDB">
            <w:pPr>
              <w:pStyle w:val="Tabulka"/>
              <w:jc w:val="left"/>
              <w:rPr>
                <w:rFonts w:cs="Calibri"/>
              </w:rPr>
            </w:pPr>
            <w:hyperlink r:id="rId202" w:history="1">
              <w:r w:rsidR="00400DD1" w:rsidRPr="00DD47DF">
                <w:rPr>
                  <w:rStyle w:val="Hypertextovodkaz"/>
                  <w:rFonts w:cs="Calibri"/>
                  <w:bCs/>
                </w:rPr>
                <w:t>http://www.jic.cz/</w:t>
              </w:r>
            </w:hyperlink>
            <w:r w:rsidR="00400DD1" w:rsidRPr="00DD47DF">
              <w:rPr>
                <w:rFonts w:cs="Calibri"/>
              </w:rPr>
              <w:t xml:space="preserve"> </w:t>
            </w:r>
          </w:p>
        </w:tc>
      </w:tr>
      <w:tr w:rsidR="00400DD1" w:rsidRPr="00DD47DF" w14:paraId="54B6AF28" w14:textId="77777777">
        <w:trPr>
          <w:trHeight w:val="414"/>
        </w:trPr>
        <w:tc>
          <w:tcPr>
            <w:tcW w:w="2391" w:type="pct"/>
            <w:shd w:val="clear" w:color="auto" w:fill="auto"/>
            <w:vAlign w:val="center"/>
          </w:tcPr>
          <w:p w14:paraId="27E89FEC" w14:textId="77777777" w:rsidR="00400DD1" w:rsidRPr="00DD47DF" w:rsidRDefault="00400DD1" w:rsidP="00F23CDB">
            <w:pPr>
              <w:pStyle w:val="Tabulka"/>
              <w:jc w:val="left"/>
              <w:rPr>
                <w:rFonts w:cs="Calibri"/>
              </w:rPr>
            </w:pPr>
            <w:r w:rsidRPr="00DD47DF">
              <w:rPr>
                <w:rFonts w:cs="Calibri"/>
              </w:rPr>
              <w:t>Hospodářská komora ČR</w:t>
            </w:r>
          </w:p>
        </w:tc>
        <w:tc>
          <w:tcPr>
            <w:tcW w:w="2609" w:type="pct"/>
            <w:shd w:val="clear" w:color="auto" w:fill="auto"/>
            <w:vAlign w:val="center"/>
          </w:tcPr>
          <w:p w14:paraId="224BE5AC" w14:textId="77777777" w:rsidR="00400DD1" w:rsidRPr="00DD47DF" w:rsidRDefault="00013622" w:rsidP="00F23CDB">
            <w:pPr>
              <w:pStyle w:val="Tabulka"/>
              <w:jc w:val="left"/>
              <w:rPr>
                <w:rFonts w:cs="Calibri"/>
              </w:rPr>
            </w:pPr>
            <w:hyperlink r:id="rId203" w:history="1">
              <w:r w:rsidR="00400DD1" w:rsidRPr="00DD47DF">
                <w:rPr>
                  <w:rStyle w:val="Hypertextovodkaz"/>
                  <w:rFonts w:cs="Calibri"/>
                  <w:bCs/>
                </w:rPr>
                <w:t>http://www.komora.cz/</w:t>
              </w:r>
            </w:hyperlink>
          </w:p>
        </w:tc>
      </w:tr>
      <w:tr w:rsidR="00400DD1" w:rsidRPr="00DD47DF" w14:paraId="5CC24DD5" w14:textId="77777777">
        <w:trPr>
          <w:trHeight w:val="414"/>
        </w:trPr>
        <w:tc>
          <w:tcPr>
            <w:tcW w:w="2391" w:type="pct"/>
            <w:shd w:val="clear" w:color="auto" w:fill="auto"/>
            <w:vAlign w:val="center"/>
          </w:tcPr>
          <w:p w14:paraId="7F6A69CB" w14:textId="77777777" w:rsidR="00400DD1" w:rsidRPr="00DD47DF" w:rsidRDefault="00400DD1" w:rsidP="00F23CDB">
            <w:pPr>
              <w:pStyle w:val="Tabulka"/>
              <w:jc w:val="left"/>
              <w:rPr>
                <w:rFonts w:cs="Calibri"/>
              </w:rPr>
            </w:pPr>
            <w:r w:rsidRPr="00DD47DF">
              <w:rPr>
                <w:rFonts w:cs="Calibri"/>
              </w:rPr>
              <w:t>Potravinářská komora ČR</w:t>
            </w:r>
          </w:p>
        </w:tc>
        <w:tc>
          <w:tcPr>
            <w:tcW w:w="2609" w:type="pct"/>
            <w:shd w:val="clear" w:color="auto" w:fill="auto"/>
            <w:vAlign w:val="center"/>
          </w:tcPr>
          <w:p w14:paraId="30698FE7" w14:textId="77777777" w:rsidR="00400DD1" w:rsidRPr="00DD47DF" w:rsidRDefault="00013622" w:rsidP="00F23CDB">
            <w:pPr>
              <w:pStyle w:val="Tabulka"/>
              <w:jc w:val="left"/>
              <w:rPr>
                <w:rFonts w:cs="Calibri"/>
              </w:rPr>
            </w:pPr>
            <w:hyperlink r:id="rId204" w:history="1">
              <w:r w:rsidR="00400DD1" w:rsidRPr="00DD47DF">
                <w:rPr>
                  <w:rStyle w:val="Hypertextovodkaz"/>
                  <w:rFonts w:cs="Calibri"/>
                  <w:bCs/>
                </w:rPr>
                <w:t>http://www.pkcr.cz/</w:t>
              </w:r>
            </w:hyperlink>
          </w:p>
        </w:tc>
      </w:tr>
      <w:tr w:rsidR="00400DD1" w:rsidRPr="00DD47DF" w14:paraId="2635F320" w14:textId="77777777">
        <w:trPr>
          <w:trHeight w:val="414"/>
        </w:trPr>
        <w:tc>
          <w:tcPr>
            <w:tcW w:w="2391" w:type="pct"/>
            <w:shd w:val="clear" w:color="auto" w:fill="auto"/>
            <w:vAlign w:val="center"/>
          </w:tcPr>
          <w:p w14:paraId="2530D812" w14:textId="77777777" w:rsidR="00400DD1" w:rsidRPr="00DD47DF" w:rsidRDefault="00400DD1" w:rsidP="00F23CDB">
            <w:pPr>
              <w:pStyle w:val="Tabulka"/>
              <w:jc w:val="left"/>
              <w:rPr>
                <w:rFonts w:cs="Calibri"/>
              </w:rPr>
            </w:pPr>
            <w:r w:rsidRPr="00DD47DF">
              <w:rPr>
                <w:rFonts w:cs="Calibri"/>
              </w:rPr>
              <w:t>Svaz průmyslu a dopravy ČR</w:t>
            </w:r>
          </w:p>
        </w:tc>
        <w:tc>
          <w:tcPr>
            <w:tcW w:w="2609" w:type="pct"/>
            <w:shd w:val="clear" w:color="auto" w:fill="auto"/>
            <w:vAlign w:val="center"/>
          </w:tcPr>
          <w:p w14:paraId="5DDDEF66" w14:textId="77777777" w:rsidR="00400DD1" w:rsidRPr="00DD47DF" w:rsidRDefault="00013622" w:rsidP="00F23CDB">
            <w:pPr>
              <w:pStyle w:val="Tabulka"/>
              <w:jc w:val="left"/>
              <w:rPr>
                <w:rFonts w:cs="Calibri"/>
              </w:rPr>
            </w:pPr>
            <w:hyperlink r:id="rId205" w:history="1">
              <w:r w:rsidR="00400DD1" w:rsidRPr="00DD47DF">
                <w:rPr>
                  <w:rStyle w:val="Hypertextovodkaz"/>
                  <w:rFonts w:cs="Calibri"/>
                  <w:bCs/>
                </w:rPr>
                <w:t>http://www.spcr.cz/</w:t>
              </w:r>
            </w:hyperlink>
          </w:p>
        </w:tc>
      </w:tr>
      <w:tr w:rsidR="00400DD1" w:rsidRPr="00DD47DF" w14:paraId="2B0D5992" w14:textId="77777777">
        <w:trPr>
          <w:trHeight w:val="414"/>
        </w:trPr>
        <w:tc>
          <w:tcPr>
            <w:tcW w:w="2391" w:type="pct"/>
            <w:shd w:val="clear" w:color="auto" w:fill="auto"/>
            <w:vAlign w:val="center"/>
          </w:tcPr>
          <w:p w14:paraId="7EBCC8A5" w14:textId="77777777" w:rsidR="00400DD1" w:rsidRPr="00DD47DF" w:rsidRDefault="00400DD1" w:rsidP="00F23CDB">
            <w:pPr>
              <w:pStyle w:val="Tabulka"/>
              <w:jc w:val="left"/>
              <w:rPr>
                <w:rFonts w:cs="Calibri"/>
              </w:rPr>
            </w:pPr>
            <w:r w:rsidRPr="00DD47DF">
              <w:rPr>
                <w:rFonts w:cs="Calibri"/>
              </w:rPr>
              <w:t>Svaz obchodu a cestovního ruchu</w:t>
            </w:r>
          </w:p>
        </w:tc>
        <w:tc>
          <w:tcPr>
            <w:tcW w:w="2609" w:type="pct"/>
            <w:shd w:val="clear" w:color="auto" w:fill="auto"/>
            <w:vAlign w:val="center"/>
          </w:tcPr>
          <w:p w14:paraId="2B6A60B9" w14:textId="77777777" w:rsidR="00400DD1" w:rsidRPr="00DD47DF" w:rsidRDefault="00013622" w:rsidP="00F23CDB">
            <w:pPr>
              <w:pStyle w:val="Tabulka"/>
              <w:jc w:val="left"/>
              <w:rPr>
                <w:rFonts w:cs="Calibri"/>
              </w:rPr>
            </w:pPr>
            <w:hyperlink r:id="rId20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30DB55E5" w14:textId="77777777">
        <w:trPr>
          <w:trHeight w:val="414"/>
        </w:trPr>
        <w:tc>
          <w:tcPr>
            <w:tcW w:w="2391" w:type="pct"/>
            <w:shd w:val="clear" w:color="auto" w:fill="auto"/>
            <w:vAlign w:val="center"/>
          </w:tcPr>
          <w:p w14:paraId="3A321101" w14:textId="77777777" w:rsidR="00400DD1" w:rsidRPr="00DD47DF" w:rsidRDefault="00400DD1" w:rsidP="00F23CDB">
            <w:pPr>
              <w:pStyle w:val="Tabulka"/>
              <w:jc w:val="left"/>
              <w:rPr>
                <w:rFonts w:cs="Calibri"/>
              </w:rPr>
            </w:pPr>
            <w:r w:rsidRPr="00DD47DF">
              <w:rPr>
                <w:rFonts w:cs="Calibri"/>
              </w:rPr>
              <w:t>Svaz měst a obcí ČR</w:t>
            </w:r>
          </w:p>
        </w:tc>
        <w:tc>
          <w:tcPr>
            <w:tcW w:w="2609" w:type="pct"/>
            <w:shd w:val="clear" w:color="auto" w:fill="auto"/>
            <w:vAlign w:val="center"/>
          </w:tcPr>
          <w:p w14:paraId="2DC31A79" w14:textId="77777777" w:rsidR="00400DD1" w:rsidRPr="00DD47DF" w:rsidRDefault="00013622" w:rsidP="00F23CDB">
            <w:pPr>
              <w:pStyle w:val="Tabulka"/>
              <w:jc w:val="left"/>
              <w:rPr>
                <w:rFonts w:cs="Calibri"/>
              </w:rPr>
            </w:pPr>
            <w:hyperlink r:id="rId207"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2B49CFE7" w14:textId="77777777">
        <w:trPr>
          <w:trHeight w:val="414"/>
        </w:trPr>
        <w:tc>
          <w:tcPr>
            <w:tcW w:w="2391" w:type="pct"/>
            <w:shd w:val="clear" w:color="auto" w:fill="auto"/>
            <w:vAlign w:val="center"/>
          </w:tcPr>
          <w:p w14:paraId="697B0609" w14:textId="77777777" w:rsidR="00400DD1" w:rsidRPr="00DD47DF" w:rsidRDefault="00400DD1" w:rsidP="00F23CDB">
            <w:pPr>
              <w:pStyle w:val="Tabulka"/>
              <w:jc w:val="left"/>
              <w:rPr>
                <w:rFonts w:cs="Calibri"/>
              </w:rPr>
            </w:pPr>
            <w:r w:rsidRPr="00DD47DF">
              <w:rPr>
                <w:rFonts w:cs="Calibri"/>
              </w:rPr>
              <w:t>Asociace výzkumných organizací</w:t>
            </w:r>
          </w:p>
        </w:tc>
        <w:tc>
          <w:tcPr>
            <w:tcW w:w="2609" w:type="pct"/>
            <w:shd w:val="clear" w:color="auto" w:fill="auto"/>
            <w:vAlign w:val="center"/>
          </w:tcPr>
          <w:p w14:paraId="2FA36AED" w14:textId="77777777" w:rsidR="00400DD1" w:rsidRPr="00DD47DF" w:rsidRDefault="00013622" w:rsidP="00F23CDB">
            <w:pPr>
              <w:pStyle w:val="Tabulka"/>
              <w:jc w:val="left"/>
              <w:rPr>
                <w:rFonts w:cs="Calibri"/>
              </w:rPr>
            </w:pPr>
            <w:hyperlink r:id="rId208" w:history="1">
              <w:r w:rsidR="00400DD1" w:rsidRPr="00DD47DF">
                <w:rPr>
                  <w:rStyle w:val="Hypertextovodkaz"/>
                  <w:rFonts w:cs="Calibri"/>
                  <w:bCs/>
                </w:rPr>
                <w:t>http://www.avo.cz/</w:t>
              </w:r>
            </w:hyperlink>
            <w:r w:rsidR="00400DD1" w:rsidRPr="00DD47DF">
              <w:rPr>
                <w:rFonts w:cs="Calibri"/>
              </w:rPr>
              <w:t xml:space="preserve"> </w:t>
            </w:r>
          </w:p>
        </w:tc>
      </w:tr>
      <w:tr w:rsidR="00400DD1" w:rsidRPr="00DD47DF" w14:paraId="76970FE5" w14:textId="77777777">
        <w:trPr>
          <w:trHeight w:val="414"/>
        </w:trPr>
        <w:tc>
          <w:tcPr>
            <w:tcW w:w="2391" w:type="pct"/>
            <w:shd w:val="clear" w:color="auto" w:fill="auto"/>
            <w:vAlign w:val="center"/>
          </w:tcPr>
          <w:p w14:paraId="49B9A789" w14:textId="77777777" w:rsidR="00400DD1" w:rsidRPr="00DD47DF" w:rsidRDefault="00400DD1" w:rsidP="00F23CDB">
            <w:pPr>
              <w:pStyle w:val="Tabulka"/>
              <w:jc w:val="left"/>
              <w:rPr>
                <w:rFonts w:cs="Calibri"/>
              </w:rPr>
            </w:pPr>
            <w:r w:rsidRPr="00DD47DF">
              <w:rPr>
                <w:rFonts w:cs="Calibri"/>
              </w:rPr>
              <w:t>Asociace inovačního podnikání</w:t>
            </w:r>
          </w:p>
        </w:tc>
        <w:tc>
          <w:tcPr>
            <w:tcW w:w="2609" w:type="pct"/>
            <w:shd w:val="clear" w:color="auto" w:fill="auto"/>
            <w:vAlign w:val="center"/>
          </w:tcPr>
          <w:p w14:paraId="725D0BB5" w14:textId="77777777" w:rsidR="00400DD1" w:rsidRPr="00DD47DF" w:rsidRDefault="00013622" w:rsidP="00F23CDB">
            <w:pPr>
              <w:pStyle w:val="Tabulka"/>
              <w:jc w:val="left"/>
              <w:rPr>
                <w:rFonts w:cs="Calibri"/>
              </w:rPr>
            </w:pPr>
            <w:hyperlink r:id="rId209" w:history="1">
              <w:r w:rsidR="00400DD1" w:rsidRPr="00DD47DF">
                <w:rPr>
                  <w:rStyle w:val="Hypertextovodkaz"/>
                  <w:rFonts w:cs="Calibri"/>
                  <w:bCs/>
                </w:rPr>
                <w:t>http://www.aipcr.cz/</w:t>
              </w:r>
            </w:hyperlink>
            <w:r w:rsidR="00400DD1" w:rsidRPr="00DD47DF">
              <w:rPr>
                <w:rFonts w:cs="Calibri"/>
              </w:rPr>
              <w:t xml:space="preserve"> </w:t>
            </w:r>
          </w:p>
        </w:tc>
      </w:tr>
      <w:tr w:rsidR="00400DD1" w:rsidRPr="00DD47DF" w14:paraId="7CE3F947" w14:textId="77777777">
        <w:trPr>
          <w:trHeight w:val="414"/>
        </w:trPr>
        <w:tc>
          <w:tcPr>
            <w:tcW w:w="2391" w:type="pct"/>
            <w:shd w:val="clear" w:color="auto" w:fill="auto"/>
            <w:vAlign w:val="center"/>
          </w:tcPr>
          <w:p w14:paraId="1C49A8D3"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9" w:type="pct"/>
            <w:shd w:val="clear" w:color="auto" w:fill="auto"/>
            <w:vAlign w:val="center"/>
          </w:tcPr>
          <w:p w14:paraId="50DE5808" w14:textId="77777777" w:rsidR="00400DD1" w:rsidRPr="00DD47DF" w:rsidRDefault="00013622" w:rsidP="00F23CDB">
            <w:pPr>
              <w:pStyle w:val="Tabulka"/>
              <w:jc w:val="left"/>
              <w:rPr>
                <w:rFonts w:cs="Calibri"/>
              </w:rPr>
            </w:pPr>
            <w:hyperlink r:id="rId210" w:history="1">
              <w:r w:rsidR="00400DD1" w:rsidRPr="00DD47DF">
                <w:rPr>
                  <w:rStyle w:val="Hypertextovodkaz"/>
                  <w:rFonts w:cs="Calibri"/>
                  <w:bCs/>
                </w:rPr>
                <w:t>http://www.amsp.cz/</w:t>
              </w:r>
            </w:hyperlink>
          </w:p>
        </w:tc>
      </w:tr>
      <w:tr w:rsidR="00400DD1" w:rsidRPr="00DD47DF" w14:paraId="4F2A7C2D" w14:textId="77777777">
        <w:trPr>
          <w:trHeight w:val="414"/>
        </w:trPr>
        <w:tc>
          <w:tcPr>
            <w:tcW w:w="2391" w:type="pct"/>
            <w:shd w:val="clear" w:color="auto" w:fill="auto"/>
            <w:vAlign w:val="center"/>
          </w:tcPr>
          <w:p w14:paraId="50DF18D8" w14:textId="77777777" w:rsidR="00400DD1" w:rsidRPr="00DD47DF" w:rsidRDefault="00400DD1" w:rsidP="00F23CDB">
            <w:pPr>
              <w:pStyle w:val="Tabulka"/>
              <w:jc w:val="left"/>
              <w:rPr>
                <w:rFonts w:cs="Calibri"/>
              </w:rPr>
            </w:pPr>
            <w:r w:rsidRPr="00DD47DF">
              <w:rPr>
                <w:rFonts w:cs="Calibri"/>
              </w:rPr>
              <w:t>Nestátní neziskové organizace</w:t>
            </w:r>
          </w:p>
        </w:tc>
        <w:tc>
          <w:tcPr>
            <w:tcW w:w="2609" w:type="pct"/>
            <w:shd w:val="clear" w:color="auto" w:fill="auto"/>
            <w:vAlign w:val="center"/>
          </w:tcPr>
          <w:p w14:paraId="19C900A5" w14:textId="77777777" w:rsidR="00400DD1" w:rsidRPr="00DD47DF" w:rsidRDefault="00013622" w:rsidP="00F23CDB">
            <w:pPr>
              <w:pStyle w:val="Tabulka"/>
              <w:jc w:val="left"/>
              <w:rPr>
                <w:rFonts w:cs="Calibri"/>
              </w:rPr>
            </w:pPr>
            <w:hyperlink r:id="rId211" w:history="1">
              <w:r w:rsidR="00400DD1" w:rsidRPr="00DD47DF">
                <w:rPr>
                  <w:rStyle w:val="Hypertextovodkaz"/>
                  <w:rFonts w:cs="Calibri"/>
                  <w:bCs/>
                </w:rPr>
                <w:t>http://www.asociacenno.cz/</w:t>
              </w:r>
            </w:hyperlink>
          </w:p>
        </w:tc>
      </w:tr>
      <w:tr w:rsidR="00400DD1" w:rsidRPr="00DD47DF" w14:paraId="4467AEA3" w14:textId="77777777">
        <w:trPr>
          <w:trHeight w:val="414"/>
        </w:trPr>
        <w:tc>
          <w:tcPr>
            <w:tcW w:w="2391" w:type="pct"/>
            <w:shd w:val="clear" w:color="auto" w:fill="auto"/>
            <w:vAlign w:val="center"/>
          </w:tcPr>
          <w:p w14:paraId="2BEABA11"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09" w:type="pct"/>
            <w:shd w:val="clear" w:color="auto" w:fill="auto"/>
            <w:vAlign w:val="center"/>
          </w:tcPr>
          <w:p w14:paraId="66F0F158" w14:textId="77777777" w:rsidR="00400DD1" w:rsidRPr="00DD47DF" w:rsidRDefault="00013622" w:rsidP="00F23CDB">
            <w:pPr>
              <w:pStyle w:val="Tabulka"/>
              <w:jc w:val="left"/>
              <w:rPr>
                <w:rFonts w:cs="Calibri"/>
              </w:rPr>
            </w:pPr>
            <w:hyperlink r:id="rId212" w:history="1">
              <w:r w:rsidR="00400DD1" w:rsidRPr="00DD47DF">
                <w:rPr>
                  <w:rStyle w:val="Hypertextovodkaz"/>
                  <w:rFonts w:cs="Calibri"/>
                  <w:bCs/>
                </w:rPr>
                <w:t>http://www.kzps.cz/</w:t>
              </w:r>
            </w:hyperlink>
          </w:p>
        </w:tc>
      </w:tr>
      <w:tr w:rsidR="00400DD1" w:rsidRPr="00DD47DF" w14:paraId="336D8620" w14:textId="77777777">
        <w:trPr>
          <w:trHeight w:val="414"/>
        </w:trPr>
        <w:tc>
          <w:tcPr>
            <w:tcW w:w="2391" w:type="pct"/>
            <w:shd w:val="clear" w:color="auto" w:fill="auto"/>
            <w:vAlign w:val="center"/>
          </w:tcPr>
          <w:p w14:paraId="58A36BBF" w14:textId="77777777" w:rsidR="00400DD1" w:rsidRPr="00DD47DF" w:rsidRDefault="00400DD1" w:rsidP="00F23CDB">
            <w:pPr>
              <w:pStyle w:val="Tabulka"/>
              <w:jc w:val="left"/>
              <w:rPr>
                <w:rFonts w:cs="Calibri"/>
              </w:rPr>
            </w:pPr>
            <w:r w:rsidRPr="00DD47DF">
              <w:rPr>
                <w:rFonts w:cs="Calibri"/>
              </w:rPr>
              <w:t>Česká konference rektorů</w:t>
            </w:r>
          </w:p>
        </w:tc>
        <w:tc>
          <w:tcPr>
            <w:tcW w:w="2609" w:type="pct"/>
            <w:shd w:val="clear" w:color="auto" w:fill="auto"/>
            <w:vAlign w:val="center"/>
          </w:tcPr>
          <w:p w14:paraId="106951A3" w14:textId="77777777" w:rsidR="00400DD1" w:rsidRPr="00DD47DF" w:rsidRDefault="00013622" w:rsidP="00F23CDB">
            <w:pPr>
              <w:pStyle w:val="Tabulka"/>
              <w:jc w:val="left"/>
              <w:rPr>
                <w:rFonts w:cs="Calibri"/>
              </w:rPr>
            </w:pPr>
            <w:hyperlink r:id="rId213" w:history="1">
              <w:r w:rsidR="00400DD1" w:rsidRPr="00DD47DF">
                <w:rPr>
                  <w:rStyle w:val="Hypertextovodkaz"/>
                  <w:rFonts w:cs="Calibri"/>
                  <w:bCs/>
                </w:rPr>
                <w:t>http://crc.muni.cz/</w:t>
              </w:r>
            </w:hyperlink>
            <w:r w:rsidR="00400DD1" w:rsidRPr="00DD47DF">
              <w:rPr>
                <w:rFonts w:cs="Calibri"/>
              </w:rPr>
              <w:t xml:space="preserve"> </w:t>
            </w:r>
          </w:p>
        </w:tc>
      </w:tr>
      <w:tr w:rsidR="00400DD1" w:rsidRPr="00DD47DF" w14:paraId="35CAA394" w14:textId="77777777">
        <w:trPr>
          <w:trHeight w:val="414"/>
        </w:trPr>
        <w:tc>
          <w:tcPr>
            <w:tcW w:w="2391" w:type="pct"/>
            <w:shd w:val="clear" w:color="auto" w:fill="auto"/>
            <w:vAlign w:val="center"/>
          </w:tcPr>
          <w:p w14:paraId="0BBF3E0A" w14:textId="77777777" w:rsidR="00400DD1" w:rsidRPr="00DD47DF" w:rsidRDefault="00400DD1" w:rsidP="00F23CDB">
            <w:pPr>
              <w:pStyle w:val="Tabulka"/>
              <w:jc w:val="left"/>
              <w:rPr>
                <w:rFonts w:cs="Calibri"/>
              </w:rPr>
            </w:pPr>
            <w:r w:rsidRPr="00DD47DF">
              <w:rPr>
                <w:rFonts w:cs="Calibri"/>
              </w:rPr>
              <w:t>Univerzita Tomáše Bati</w:t>
            </w:r>
          </w:p>
        </w:tc>
        <w:tc>
          <w:tcPr>
            <w:tcW w:w="2609" w:type="pct"/>
            <w:shd w:val="clear" w:color="auto" w:fill="auto"/>
            <w:vAlign w:val="center"/>
          </w:tcPr>
          <w:p w14:paraId="42BBB2E4" w14:textId="77777777" w:rsidR="00400DD1" w:rsidRPr="00DD47DF" w:rsidRDefault="00013622" w:rsidP="00F23CDB">
            <w:pPr>
              <w:pStyle w:val="Tabulka"/>
              <w:jc w:val="left"/>
              <w:rPr>
                <w:rFonts w:cs="Calibri"/>
              </w:rPr>
            </w:pPr>
            <w:hyperlink r:id="rId214" w:history="1">
              <w:r w:rsidR="00400DD1" w:rsidRPr="00DD47DF">
                <w:rPr>
                  <w:rStyle w:val="Hypertextovodkaz"/>
                  <w:rFonts w:cs="Calibri"/>
                  <w:bCs/>
                </w:rPr>
                <w:t>http://www.utb.cz/</w:t>
              </w:r>
            </w:hyperlink>
            <w:r w:rsidR="00400DD1" w:rsidRPr="00DD47DF">
              <w:rPr>
                <w:rFonts w:cs="Calibri"/>
              </w:rPr>
              <w:t xml:space="preserve"> </w:t>
            </w:r>
          </w:p>
        </w:tc>
      </w:tr>
      <w:tr w:rsidR="00400DD1" w:rsidRPr="00DD47DF" w14:paraId="4E6ADEEE" w14:textId="77777777">
        <w:trPr>
          <w:trHeight w:val="414"/>
        </w:trPr>
        <w:tc>
          <w:tcPr>
            <w:tcW w:w="2391" w:type="pct"/>
            <w:shd w:val="clear" w:color="auto" w:fill="auto"/>
            <w:vAlign w:val="center"/>
          </w:tcPr>
          <w:p w14:paraId="39F23AEF"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9" w:type="pct"/>
            <w:shd w:val="clear" w:color="auto" w:fill="auto"/>
            <w:vAlign w:val="center"/>
          </w:tcPr>
          <w:p w14:paraId="1CCBB852" w14:textId="77777777" w:rsidR="00400DD1" w:rsidRPr="00DD47DF" w:rsidRDefault="00013622" w:rsidP="00F23CDB">
            <w:pPr>
              <w:pStyle w:val="Tabulka"/>
              <w:jc w:val="left"/>
              <w:rPr>
                <w:rFonts w:cs="Calibri"/>
              </w:rPr>
            </w:pPr>
            <w:hyperlink r:id="rId215" w:history="1">
              <w:r w:rsidR="00400DD1" w:rsidRPr="00DD47DF">
                <w:rPr>
                  <w:rStyle w:val="Hypertextovodkaz"/>
                  <w:rFonts w:cs="Calibri"/>
                  <w:bCs/>
                </w:rPr>
                <w:t>http://nsmascr.cz/o-nas/mistni-akncni-skupiny/</w:t>
              </w:r>
            </w:hyperlink>
          </w:p>
        </w:tc>
      </w:tr>
      <w:tr w:rsidR="00400DD1" w:rsidRPr="00DD47DF" w14:paraId="7560F03B" w14:textId="77777777">
        <w:trPr>
          <w:trHeight w:val="414"/>
        </w:trPr>
        <w:tc>
          <w:tcPr>
            <w:tcW w:w="2391" w:type="pct"/>
            <w:shd w:val="clear" w:color="auto" w:fill="auto"/>
            <w:vAlign w:val="center"/>
          </w:tcPr>
          <w:p w14:paraId="74F732B0" w14:textId="77777777" w:rsidR="00400DD1" w:rsidRPr="00DD47DF" w:rsidRDefault="00400DD1" w:rsidP="00F23CDB">
            <w:pPr>
              <w:pStyle w:val="Tabulka"/>
              <w:jc w:val="left"/>
              <w:rPr>
                <w:rFonts w:cs="Calibri"/>
              </w:rPr>
            </w:pPr>
            <w:r w:rsidRPr="00DD47DF">
              <w:rPr>
                <w:rFonts w:cs="Calibri"/>
              </w:rPr>
              <w:t>Hlavní město Praha</w:t>
            </w:r>
          </w:p>
        </w:tc>
        <w:tc>
          <w:tcPr>
            <w:tcW w:w="2609" w:type="pct"/>
            <w:shd w:val="clear" w:color="auto" w:fill="auto"/>
            <w:vAlign w:val="center"/>
          </w:tcPr>
          <w:p w14:paraId="4A608F29" w14:textId="77777777" w:rsidR="00400DD1" w:rsidRPr="00DD47DF" w:rsidRDefault="00013622" w:rsidP="00F23CDB">
            <w:pPr>
              <w:pStyle w:val="Tabulka"/>
              <w:jc w:val="left"/>
              <w:rPr>
                <w:rFonts w:cs="Calibri"/>
              </w:rPr>
            </w:pPr>
            <w:hyperlink r:id="rId216" w:history="1">
              <w:r w:rsidR="00400DD1" w:rsidRPr="00DD47DF">
                <w:rPr>
                  <w:rStyle w:val="Hypertextovodkaz"/>
                  <w:rFonts w:cs="Calibri"/>
                  <w:bCs/>
                </w:rPr>
                <w:t>http://www.praha.eu/jnp/cz/home/index.html</w:t>
              </w:r>
            </w:hyperlink>
          </w:p>
        </w:tc>
      </w:tr>
      <w:tr w:rsidR="00400DD1" w:rsidRPr="00DD47DF" w14:paraId="29F04FF6" w14:textId="77777777">
        <w:trPr>
          <w:trHeight w:val="414"/>
        </w:trPr>
        <w:tc>
          <w:tcPr>
            <w:tcW w:w="2391" w:type="pct"/>
            <w:shd w:val="clear" w:color="auto" w:fill="auto"/>
            <w:vAlign w:val="center"/>
          </w:tcPr>
          <w:p w14:paraId="22ED0D8F" w14:textId="77777777" w:rsidR="00400DD1" w:rsidRPr="00DD47DF" w:rsidRDefault="00400DD1" w:rsidP="00F23CDB">
            <w:pPr>
              <w:pStyle w:val="Tabulka"/>
              <w:jc w:val="left"/>
              <w:rPr>
                <w:rFonts w:cs="Calibri"/>
              </w:rPr>
            </w:pPr>
            <w:r w:rsidRPr="00DD47DF">
              <w:rPr>
                <w:rFonts w:cs="Calibri"/>
              </w:rPr>
              <w:t>RNDr. Marek Blažka</w:t>
            </w:r>
          </w:p>
        </w:tc>
        <w:tc>
          <w:tcPr>
            <w:tcW w:w="2609" w:type="pct"/>
            <w:shd w:val="clear" w:color="auto" w:fill="auto"/>
            <w:vAlign w:val="center"/>
          </w:tcPr>
          <w:p w14:paraId="7B2DDFD1" w14:textId="77777777" w:rsidR="00400DD1" w:rsidRPr="00DD47DF" w:rsidRDefault="00400DD1" w:rsidP="00F23CDB">
            <w:pPr>
              <w:pStyle w:val="Tabulka"/>
              <w:jc w:val="left"/>
              <w:rPr>
                <w:rFonts w:cs="Calibri"/>
              </w:rPr>
            </w:pPr>
          </w:p>
        </w:tc>
      </w:tr>
    </w:tbl>
    <w:p w14:paraId="03384DBD"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198EE30A" w14:textId="77777777">
        <w:trPr>
          <w:trHeight w:val="414"/>
        </w:trPr>
        <w:tc>
          <w:tcPr>
            <w:tcW w:w="5000" w:type="pct"/>
            <w:gridSpan w:val="2"/>
            <w:shd w:val="clear" w:color="auto" w:fill="DBE5F1"/>
            <w:vAlign w:val="center"/>
          </w:tcPr>
          <w:p w14:paraId="220AF612" w14:textId="77777777" w:rsidR="00400DD1" w:rsidRPr="00DD47DF" w:rsidRDefault="005F4918" w:rsidP="004126CC">
            <w:pPr>
              <w:pStyle w:val="Tabulka"/>
              <w:keepNext/>
              <w:keepLines/>
              <w:rPr>
                <w:rFonts w:cs="Calibri"/>
                <w:b/>
              </w:rPr>
            </w:pPr>
            <w:r w:rsidRPr="00DD47DF">
              <w:rPr>
                <w:rFonts w:cs="Calibri"/>
                <w:b/>
              </w:rPr>
              <w:t xml:space="preserve">PS </w:t>
            </w:r>
            <w:r w:rsidR="00400DD1" w:rsidRPr="00DD47DF">
              <w:rPr>
                <w:rFonts w:cs="Calibri"/>
                <w:b/>
              </w:rPr>
              <w:t>2 „</w:t>
            </w:r>
            <w:r w:rsidR="005821F5" w:rsidRPr="00DD47DF">
              <w:rPr>
                <w:rFonts w:cs="Calibri"/>
                <w:b/>
              </w:rPr>
              <w:t>Rozvoj podnikání a konkurenceschopnosti malých a středních podniků</w:t>
            </w:r>
            <w:r w:rsidR="00400DD1" w:rsidRPr="00DD47DF">
              <w:rPr>
                <w:rFonts w:cs="Calibri"/>
                <w:b/>
              </w:rPr>
              <w:t>“</w:t>
            </w:r>
          </w:p>
        </w:tc>
      </w:tr>
      <w:tr w:rsidR="00400DD1" w:rsidRPr="00DD47DF" w14:paraId="3240E00F" w14:textId="77777777">
        <w:trPr>
          <w:trHeight w:val="414"/>
        </w:trPr>
        <w:tc>
          <w:tcPr>
            <w:tcW w:w="2395" w:type="pct"/>
            <w:shd w:val="clear" w:color="auto" w:fill="auto"/>
            <w:vAlign w:val="center"/>
          </w:tcPr>
          <w:p w14:paraId="19A8C097" w14:textId="77777777" w:rsidR="00400DD1" w:rsidRPr="00DD47DF" w:rsidRDefault="00400DD1" w:rsidP="004126CC">
            <w:pPr>
              <w:pStyle w:val="Tabulka"/>
              <w:keepNext/>
              <w:keepLines/>
              <w:jc w:val="left"/>
              <w:rPr>
                <w:rFonts w:cs="Calibri"/>
              </w:rPr>
            </w:pPr>
            <w:r w:rsidRPr="00DD47DF">
              <w:rPr>
                <w:rFonts w:cs="Calibri"/>
              </w:rPr>
              <w:t>Ministerstvo školství, mládeže a tělovýchovy</w:t>
            </w:r>
          </w:p>
        </w:tc>
        <w:tc>
          <w:tcPr>
            <w:tcW w:w="2605" w:type="pct"/>
            <w:shd w:val="clear" w:color="auto" w:fill="auto"/>
            <w:vAlign w:val="center"/>
          </w:tcPr>
          <w:p w14:paraId="79F11F0B" w14:textId="77777777" w:rsidR="00400DD1" w:rsidRPr="00DD47DF" w:rsidRDefault="00013622" w:rsidP="004126CC">
            <w:pPr>
              <w:pStyle w:val="Tabulka"/>
              <w:keepNext/>
              <w:keepLines/>
              <w:jc w:val="left"/>
              <w:rPr>
                <w:rFonts w:cs="Calibri"/>
              </w:rPr>
            </w:pPr>
            <w:hyperlink r:id="rId217" w:history="1">
              <w:r w:rsidR="00400DD1" w:rsidRPr="00DD47DF">
                <w:rPr>
                  <w:rStyle w:val="Hypertextovodkaz"/>
                  <w:rFonts w:cs="Calibri"/>
                  <w:bCs/>
                </w:rPr>
                <w:t>http://www.msmt.cz/</w:t>
              </w:r>
            </w:hyperlink>
          </w:p>
        </w:tc>
      </w:tr>
      <w:tr w:rsidR="00400DD1" w:rsidRPr="00DD47DF" w14:paraId="7C92D2BF" w14:textId="77777777">
        <w:trPr>
          <w:trHeight w:val="414"/>
        </w:trPr>
        <w:tc>
          <w:tcPr>
            <w:tcW w:w="2395" w:type="pct"/>
            <w:shd w:val="clear" w:color="auto" w:fill="auto"/>
            <w:vAlign w:val="center"/>
          </w:tcPr>
          <w:p w14:paraId="7DE06B0C" w14:textId="77777777" w:rsidR="00400DD1" w:rsidRPr="00DD47DF" w:rsidRDefault="000E47D9" w:rsidP="00F23CDB">
            <w:pPr>
              <w:pStyle w:val="Tabulka"/>
              <w:jc w:val="left"/>
              <w:rPr>
                <w:rFonts w:cs="Calibri"/>
              </w:rPr>
            </w:pPr>
            <w:r w:rsidRPr="00DD47DF">
              <w:rPr>
                <w:rFonts w:cs="Calibri"/>
              </w:rPr>
              <w:t>Ministerstvo kultury</w:t>
            </w:r>
          </w:p>
        </w:tc>
        <w:tc>
          <w:tcPr>
            <w:tcW w:w="2605" w:type="pct"/>
            <w:shd w:val="clear" w:color="auto" w:fill="auto"/>
            <w:vAlign w:val="center"/>
          </w:tcPr>
          <w:p w14:paraId="2577B621" w14:textId="77777777" w:rsidR="00400DD1" w:rsidRPr="00DD47DF" w:rsidRDefault="00013622" w:rsidP="00F23CDB">
            <w:pPr>
              <w:pStyle w:val="Tabulka"/>
              <w:jc w:val="left"/>
              <w:rPr>
                <w:rFonts w:cs="Calibri"/>
              </w:rPr>
            </w:pPr>
            <w:hyperlink r:id="rId218" w:history="1">
              <w:r w:rsidR="00400DD1" w:rsidRPr="00DD47DF">
                <w:rPr>
                  <w:rStyle w:val="Hypertextovodkaz"/>
                  <w:rFonts w:cs="Calibri"/>
                  <w:bCs/>
                </w:rPr>
                <w:t>http://www.mkcr.cz/</w:t>
              </w:r>
            </w:hyperlink>
            <w:r w:rsidR="00400DD1" w:rsidRPr="00DD47DF">
              <w:rPr>
                <w:rFonts w:cs="Calibri"/>
              </w:rPr>
              <w:t xml:space="preserve"> </w:t>
            </w:r>
          </w:p>
        </w:tc>
      </w:tr>
      <w:tr w:rsidR="00400DD1" w:rsidRPr="00DD47DF" w14:paraId="3DAAAE08" w14:textId="77777777">
        <w:trPr>
          <w:trHeight w:val="414"/>
        </w:trPr>
        <w:tc>
          <w:tcPr>
            <w:tcW w:w="2395" w:type="pct"/>
            <w:shd w:val="clear" w:color="auto" w:fill="auto"/>
            <w:vAlign w:val="center"/>
          </w:tcPr>
          <w:p w14:paraId="27ABE386" w14:textId="77777777" w:rsidR="00400DD1" w:rsidRPr="00DD47DF" w:rsidRDefault="00400DD1" w:rsidP="00F23CDB">
            <w:pPr>
              <w:pStyle w:val="Tabulka"/>
              <w:jc w:val="left"/>
              <w:rPr>
                <w:rFonts w:cs="Calibri"/>
              </w:rPr>
            </w:pPr>
            <w:r w:rsidRPr="00DD47DF">
              <w:rPr>
                <w:rFonts w:cs="Calibri"/>
              </w:rPr>
              <w:t>Ministe</w:t>
            </w:r>
            <w:r w:rsidR="000E47D9" w:rsidRPr="00DD47DF">
              <w:rPr>
                <w:rFonts w:cs="Calibri"/>
              </w:rPr>
              <w:t>rstvo práce a sociálních věcí</w:t>
            </w:r>
          </w:p>
        </w:tc>
        <w:tc>
          <w:tcPr>
            <w:tcW w:w="2605" w:type="pct"/>
            <w:shd w:val="clear" w:color="auto" w:fill="auto"/>
            <w:vAlign w:val="center"/>
          </w:tcPr>
          <w:p w14:paraId="08444228" w14:textId="77777777" w:rsidR="00400DD1" w:rsidRPr="00DD47DF" w:rsidRDefault="00013622" w:rsidP="00F23CDB">
            <w:pPr>
              <w:pStyle w:val="Tabulka"/>
              <w:jc w:val="left"/>
              <w:rPr>
                <w:rFonts w:cs="Calibri"/>
              </w:rPr>
            </w:pPr>
            <w:hyperlink r:id="rId219" w:history="1">
              <w:r w:rsidR="00400DD1" w:rsidRPr="00DD47DF">
                <w:rPr>
                  <w:rStyle w:val="Hypertextovodkaz"/>
                  <w:rFonts w:cs="Calibri"/>
                  <w:bCs/>
                </w:rPr>
                <w:t>http://www.mpsv.cz/cs/</w:t>
              </w:r>
            </w:hyperlink>
            <w:r w:rsidR="00400DD1" w:rsidRPr="00DD47DF">
              <w:rPr>
                <w:rFonts w:cs="Calibri"/>
              </w:rPr>
              <w:t xml:space="preserve"> </w:t>
            </w:r>
          </w:p>
        </w:tc>
      </w:tr>
      <w:tr w:rsidR="00400DD1" w:rsidRPr="00DD47DF" w14:paraId="17969D1E" w14:textId="77777777">
        <w:trPr>
          <w:trHeight w:val="414"/>
        </w:trPr>
        <w:tc>
          <w:tcPr>
            <w:tcW w:w="2395" w:type="pct"/>
            <w:shd w:val="clear" w:color="auto" w:fill="auto"/>
            <w:vAlign w:val="center"/>
          </w:tcPr>
          <w:p w14:paraId="57E336E8" w14:textId="77777777" w:rsidR="00400DD1" w:rsidRPr="00DD47DF" w:rsidRDefault="00400DD1" w:rsidP="00F23CDB">
            <w:pPr>
              <w:pStyle w:val="Tabulka"/>
              <w:jc w:val="left"/>
              <w:rPr>
                <w:rFonts w:cs="Calibri"/>
              </w:rPr>
            </w:pPr>
            <w:r w:rsidRPr="00DD47DF">
              <w:rPr>
                <w:rFonts w:cs="Calibri"/>
              </w:rPr>
              <w:lastRenderedPageBreak/>
              <w:t>Ministers</w:t>
            </w:r>
            <w:r w:rsidR="000E47D9" w:rsidRPr="00DD47DF">
              <w:rPr>
                <w:rFonts w:cs="Calibri"/>
              </w:rPr>
              <w:t>tvo dopravy</w:t>
            </w:r>
          </w:p>
        </w:tc>
        <w:tc>
          <w:tcPr>
            <w:tcW w:w="2605" w:type="pct"/>
            <w:shd w:val="clear" w:color="auto" w:fill="auto"/>
            <w:vAlign w:val="center"/>
          </w:tcPr>
          <w:p w14:paraId="42BE3F7E" w14:textId="77777777" w:rsidR="00400DD1" w:rsidRPr="00DD47DF" w:rsidRDefault="00013622" w:rsidP="00F23CDB">
            <w:pPr>
              <w:pStyle w:val="Tabulka"/>
              <w:jc w:val="left"/>
              <w:rPr>
                <w:rFonts w:cs="Calibri"/>
              </w:rPr>
            </w:pPr>
            <w:hyperlink r:id="rId220"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4D79B89C" w14:textId="77777777">
        <w:trPr>
          <w:trHeight w:val="414"/>
        </w:trPr>
        <w:tc>
          <w:tcPr>
            <w:tcW w:w="2395" w:type="pct"/>
            <w:shd w:val="clear" w:color="auto" w:fill="auto"/>
            <w:vAlign w:val="center"/>
          </w:tcPr>
          <w:p w14:paraId="0816414C" w14:textId="77777777" w:rsidR="00400DD1" w:rsidRPr="00DD47DF" w:rsidRDefault="00400DD1" w:rsidP="00F23CDB">
            <w:pPr>
              <w:pStyle w:val="Tabulka"/>
              <w:jc w:val="left"/>
              <w:rPr>
                <w:rFonts w:cs="Calibri"/>
              </w:rPr>
            </w:pPr>
            <w:r w:rsidRPr="00DD47DF">
              <w:rPr>
                <w:rFonts w:cs="Calibri"/>
              </w:rPr>
              <w:t>Jihomoravské inovační centrum</w:t>
            </w:r>
          </w:p>
        </w:tc>
        <w:tc>
          <w:tcPr>
            <w:tcW w:w="2605" w:type="pct"/>
            <w:shd w:val="clear" w:color="auto" w:fill="auto"/>
            <w:vAlign w:val="center"/>
          </w:tcPr>
          <w:p w14:paraId="58D3B954" w14:textId="77777777" w:rsidR="00400DD1" w:rsidRPr="00DD47DF" w:rsidRDefault="00013622" w:rsidP="00F23CDB">
            <w:pPr>
              <w:pStyle w:val="Tabulka"/>
              <w:jc w:val="left"/>
              <w:rPr>
                <w:rFonts w:cs="Calibri"/>
              </w:rPr>
            </w:pPr>
            <w:hyperlink r:id="rId221" w:history="1">
              <w:r w:rsidR="00400DD1" w:rsidRPr="00DD47DF">
                <w:rPr>
                  <w:rStyle w:val="Hypertextovodkaz"/>
                  <w:rFonts w:cs="Calibri"/>
                  <w:bCs/>
                </w:rPr>
                <w:t>http://www.jic.cz/</w:t>
              </w:r>
            </w:hyperlink>
            <w:r w:rsidR="00400DD1" w:rsidRPr="00DD47DF">
              <w:rPr>
                <w:rFonts w:cs="Calibri"/>
              </w:rPr>
              <w:t xml:space="preserve"> </w:t>
            </w:r>
          </w:p>
        </w:tc>
      </w:tr>
      <w:tr w:rsidR="00400DD1" w:rsidRPr="00DD47DF" w14:paraId="405A127D" w14:textId="77777777">
        <w:trPr>
          <w:trHeight w:val="414"/>
        </w:trPr>
        <w:tc>
          <w:tcPr>
            <w:tcW w:w="2395" w:type="pct"/>
            <w:shd w:val="clear" w:color="auto" w:fill="auto"/>
            <w:vAlign w:val="center"/>
          </w:tcPr>
          <w:p w14:paraId="51AC247E" w14:textId="77777777" w:rsidR="00400DD1" w:rsidRPr="00DD47DF" w:rsidRDefault="00400DD1" w:rsidP="00F23CDB">
            <w:pPr>
              <w:pStyle w:val="Tabulka"/>
              <w:jc w:val="left"/>
              <w:rPr>
                <w:rFonts w:cs="Calibri"/>
              </w:rPr>
            </w:pPr>
            <w:r w:rsidRPr="00DD47DF">
              <w:rPr>
                <w:rFonts w:cs="Calibri"/>
              </w:rPr>
              <w:t>Technologická agentura ČR</w:t>
            </w:r>
          </w:p>
        </w:tc>
        <w:tc>
          <w:tcPr>
            <w:tcW w:w="2605" w:type="pct"/>
            <w:shd w:val="clear" w:color="auto" w:fill="auto"/>
            <w:vAlign w:val="center"/>
          </w:tcPr>
          <w:p w14:paraId="5400DE39" w14:textId="77777777" w:rsidR="00400DD1" w:rsidRPr="00DD47DF" w:rsidRDefault="00013622" w:rsidP="00F23CDB">
            <w:pPr>
              <w:pStyle w:val="Tabulka"/>
              <w:jc w:val="left"/>
              <w:rPr>
                <w:rFonts w:cs="Calibri"/>
              </w:rPr>
            </w:pPr>
            <w:hyperlink r:id="rId222" w:history="1">
              <w:r w:rsidR="00400DD1" w:rsidRPr="00DD47DF">
                <w:rPr>
                  <w:rStyle w:val="Hypertextovodkaz"/>
                  <w:rFonts w:cs="Calibri"/>
                  <w:bCs/>
                </w:rPr>
                <w:t>http://tacr.cz/</w:t>
              </w:r>
            </w:hyperlink>
          </w:p>
        </w:tc>
      </w:tr>
      <w:tr w:rsidR="00400DD1" w:rsidRPr="00DD47DF" w14:paraId="0F2A05D5" w14:textId="77777777">
        <w:trPr>
          <w:trHeight w:val="414"/>
        </w:trPr>
        <w:tc>
          <w:tcPr>
            <w:tcW w:w="2395" w:type="pct"/>
            <w:shd w:val="clear" w:color="auto" w:fill="auto"/>
            <w:vAlign w:val="center"/>
          </w:tcPr>
          <w:p w14:paraId="5A8420D2" w14:textId="77777777" w:rsidR="00400DD1" w:rsidRPr="00DD47DF" w:rsidRDefault="00400DD1" w:rsidP="00F23CDB">
            <w:pPr>
              <w:pStyle w:val="Tabulka"/>
              <w:jc w:val="left"/>
              <w:rPr>
                <w:rFonts w:cs="Calibri"/>
              </w:rPr>
            </w:pPr>
            <w:r w:rsidRPr="00DD47DF">
              <w:rPr>
                <w:rFonts w:cs="Calibri"/>
              </w:rPr>
              <w:t>Hospodářská komora ČR</w:t>
            </w:r>
          </w:p>
        </w:tc>
        <w:tc>
          <w:tcPr>
            <w:tcW w:w="2605" w:type="pct"/>
            <w:shd w:val="clear" w:color="auto" w:fill="auto"/>
            <w:vAlign w:val="center"/>
          </w:tcPr>
          <w:p w14:paraId="19EC0935" w14:textId="77777777" w:rsidR="00400DD1" w:rsidRPr="00DD47DF" w:rsidRDefault="00013622" w:rsidP="00F23CDB">
            <w:pPr>
              <w:pStyle w:val="Tabulka"/>
              <w:jc w:val="left"/>
              <w:rPr>
                <w:rFonts w:cs="Calibri"/>
              </w:rPr>
            </w:pPr>
            <w:hyperlink r:id="rId223" w:history="1">
              <w:r w:rsidR="00400DD1" w:rsidRPr="00DD47DF">
                <w:rPr>
                  <w:rStyle w:val="Hypertextovodkaz"/>
                  <w:rFonts w:cs="Calibri"/>
                  <w:bCs/>
                </w:rPr>
                <w:t>http://www.komora.cz/</w:t>
              </w:r>
            </w:hyperlink>
          </w:p>
        </w:tc>
      </w:tr>
      <w:tr w:rsidR="00400DD1" w:rsidRPr="00DD47DF" w14:paraId="1E83604B" w14:textId="77777777">
        <w:trPr>
          <w:trHeight w:val="414"/>
        </w:trPr>
        <w:tc>
          <w:tcPr>
            <w:tcW w:w="2395" w:type="pct"/>
            <w:shd w:val="clear" w:color="auto" w:fill="auto"/>
            <w:vAlign w:val="center"/>
          </w:tcPr>
          <w:p w14:paraId="5A2E6C1B"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41F63CB2" w14:textId="77777777" w:rsidR="00400DD1" w:rsidRPr="00DD47DF" w:rsidRDefault="00013622" w:rsidP="00F23CDB">
            <w:pPr>
              <w:pStyle w:val="Tabulka"/>
              <w:jc w:val="left"/>
              <w:rPr>
                <w:rFonts w:cs="Calibri"/>
              </w:rPr>
            </w:pPr>
            <w:hyperlink r:id="rId224"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725F456D" w14:textId="77777777">
        <w:trPr>
          <w:trHeight w:val="414"/>
        </w:trPr>
        <w:tc>
          <w:tcPr>
            <w:tcW w:w="2395" w:type="pct"/>
            <w:shd w:val="clear" w:color="auto" w:fill="auto"/>
            <w:vAlign w:val="center"/>
          </w:tcPr>
          <w:p w14:paraId="3111D8BE" w14:textId="77777777" w:rsidR="00400DD1" w:rsidRPr="00DD47DF" w:rsidRDefault="00400DD1" w:rsidP="00F23CDB">
            <w:pPr>
              <w:pStyle w:val="Tabulka"/>
              <w:jc w:val="left"/>
              <w:rPr>
                <w:rFonts w:cs="Calibri"/>
              </w:rPr>
            </w:pPr>
            <w:r w:rsidRPr="00DD47DF">
              <w:rPr>
                <w:rFonts w:cs="Calibri"/>
              </w:rPr>
              <w:t>Svaz průmyslu a dopravy ČR</w:t>
            </w:r>
          </w:p>
        </w:tc>
        <w:tc>
          <w:tcPr>
            <w:tcW w:w="2605" w:type="pct"/>
            <w:shd w:val="clear" w:color="auto" w:fill="auto"/>
            <w:vAlign w:val="center"/>
          </w:tcPr>
          <w:p w14:paraId="14B4AD0B" w14:textId="77777777" w:rsidR="00400DD1" w:rsidRPr="00DD47DF" w:rsidRDefault="00013622" w:rsidP="00F23CDB">
            <w:pPr>
              <w:pStyle w:val="Tabulka"/>
              <w:jc w:val="left"/>
              <w:rPr>
                <w:rFonts w:cs="Calibri"/>
              </w:rPr>
            </w:pPr>
            <w:hyperlink r:id="rId225" w:history="1">
              <w:r w:rsidR="00400DD1" w:rsidRPr="00DD47DF">
                <w:rPr>
                  <w:rStyle w:val="Hypertextovodkaz"/>
                  <w:rFonts w:cs="Calibri"/>
                  <w:bCs/>
                </w:rPr>
                <w:t>http://www.spcr.cz/</w:t>
              </w:r>
            </w:hyperlink>
          </w:p>
        </w:tc>
      </w:tr>
      <w:tr w:rsidR="00400DD1" w:rsidRPr="00DD47DF" w14:paraId="79A0E321" w14:textId="77777777">
        <w:trPr>
          <w:trHeight w:val="414"/>
        </w:trPr>
        <w:tc>
          <w:tcPr>
            <w:tcW w:w="2395" w:type="pct"/>
            <w:shd w:val="clear" w:color="auto" w:fill="auto"/>
            <w:vAlign w:val="center"/>
          </w:tcPr>
          <w:p w14:paraId="4BF75CE9" w14:textId="77777777" w:rsidR="00400DD1" w:rsidRPr="00DD47DF" w:rsidRDefault="00400DD1" w:rsidP="00F23CDB">
            <w:pPr>
              <w:pStyle w:val="Tabulka"/>
              <w:jc w:val="left"/>
              <w:rPr>
                <w:rFonts w:cs="Calibri"/>
              </w:rPr>
            </w:pPr>
            <w:r w:rsidRPr="00DD47DF">
              <w:rPr>
                <w:rFonts w:cs="Calibri"/>
              </w:rPr>
              <w:t>Svaz obchodu a cestovního ruchu</w:t>
            </w:r>
          </w:p>
        </w:tc>
        <w:tc>
          <w:tcPr>
            <w:tcW w:w="2605" w:type="pct"/>
            <w:shd w:val="clear" w:color="auto" w:fill="auto"/>
            <w:vAlign w:val="center"/>
          </w:tcPr>
          <w:p w14:paraId="6BB4294A" w14:textId="77777777" w:rsidR="00400DD1" w:rsidRPr="00DD47DF" w:rsidRDefault="00013622" w:rsidP="00F23CDB">
            <w:pPr>
              <w:pStyle w:val="Tabulka"/>
              <w:jc w:val="left"/>
              <w:rPr>
                <w:rFonts w:cs="Calibri"/>
              </w:rPr>
            </w:pPr>
            <w:hyperlink r:id="rId22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5BB0B829" w14:textId="77777777">
        <w:trPr>
          <w:trHeight w:val="414"/>
        </w:trPr>
        <w:tc>
          <w:tcPr>
            <w:tcW w:w="2395" w:type="pct"/>
            <w:shd w:val="clear" w:color="auto" w:fill="auto"/>
            <w:vAlign w:val="center"/>
          </w:tcPr>
          <w:p w14:paraId="2C3674E2" w14:textId="77777777" w:rsidR="00400DD1" w:rsidRPr="00DD47DF" w:rsidRDefault="00400DD1" w:rsidP="00F23CDB">
            <w:pPr>
              <w:pStyle w:val="Tabulka"/>
              <w:jc w:val="left"/>
              <w:rPr>
                <w:rFonts w:cs="Calibri"/>
              </w:rPr>
            </w:pPr>
            <w:r w:rsidRPr="00DD47DF">
              <w:rPr>
                <w:rFonts w:cs="Calibri"/>
              </w:rPr>
              <w:t>Svaz podnikatelů ve stavebnictví</w:t>
            </w:r>
          </w:p>
        </w:tc>
        <w:tc>
          <w:tcPr>
            <w:tcW w:w="2605" w:type="pct"/>
            <w:shd w:val="clear" w:color="auto" w:fill="auto"/>
            <w:vAlign w:val="center"/>
          </w:tcPr>
          <w:p w14:paraId="402EBA5F" w14:textId="77777777" w:rsidR="00400DD1" w:rsidRPr="00DD47DF" w:rsidRDefault="00013622" w:rsidP="00F23CDB">
            <w:pPr>
              <w:pStyle w:val="Tabulka"/>
              <w:jc w:val="left"/>
              <w:rPr>
                <w:rFonts w:cs="Calibri"/>
              </w:rPr>
            </w:pPr>
            <w:hyperlink r:id="rId227" w:history="1">
              <w:r w:rsidR="00400DD1" w:rsidRPr="00DD47DF">
                <w:rPr>
                  <w:rStyle w:val="Hypertextovodkaz"/>
                  <w:rFonts w:cs="Calibri"/>
                  <w:bCs/>
                </w:rPr>
                <w:t>http://www.sps.cz/index.ASP</w:t>
              </w:r>
            </w:hyperlink>
            <w:r w:rsidR="00400DD1" w:rsidRPr="00DD47DF">
              <w:rPr>
                <w:rFonts w:cs="Calibri"/>
              </w:rPr>
              <w:t xml:space="preserve"> </w:t>
            </w:r>
          </w:p>
        </w:tc>
      </w:tr>
      <w:tr w:rsidR="00400DD1" w:rsidRPr="00DD47DF" w14:paraId="563AF024" w14:textId="77777777">
        <w:trPr>
          <w:trHeight w:val="414"/>
        </w:trPr>
        <w:tc>
          <w:tcPr>
            <w:tcW w:w="2395" w:type="pct"/>
            <w:shd w:val="clear" w:color="auto" w:fill="auto"/>
            <w:vAlign w:val="center"/>
          </w:tcPr>
          <w:p w14:paraId="2595DB15" w14:textId="77777777" w:rsidR="00400DD1" w:rsidRPr="00DD47DF" w:rsidRDefault="00400DD1" w:rsidP="00F23CDB">
            <w:pPr>
              <w:pStyle w:val="Tabulka"/>
              <w:jc w:val="left"/>
              <w:rPr>
                <w:rFonts w:cs="Calibri"/>
              </w:rPr>
            </w:pPr>
            <w:r w:rsidRPr="00DD47DF">
              <w:rPr>
                <w:rFonts w:cs="Calibri"/>
              </w:rPr>
              <w:t>Svaz českých a moravských výrobních družstev</w:t>
            </w:r>
          </w:p>
        </w:tc>
        <w:tc>
          <w:tcPr>
            <w:tcW w:w="2605" w:type="pct"/>
            <w:shd w:val="clear" w:color="auto" w:fill="auto"/>
            <w:vAlign w:val="center"/>
          </w:tcPr>
          <w:p w14:paraId="01027479" w14:textId="77777777" w:rsidR="00400DD1" w:rsidRPr="00DD47DF" w:rsidRDefault="00013622" w:rsidP="00F23CDB">
            <w:pPr>
              <w:pStyle w:val="Tabulka"/>
              <w:jc w:val="left"/>
              <w:rPr>
                <w:rFonts w:cs="Calibri"/>
              </w:rPr>
            </w:pPr>
            <w:hyperlink r:id="rId228" w:history="1">
              <w:r w:rsidR="00400DD1" w:rsidRPr="00DD47DF">
                <w:rPr>
                  <w:rStyle w:val="Hypertextovodkaz"/>
                  <w:rFonts w:cs="Calibri"/>
                  <w:bCs/>
                </w:rPr>
                <w:t>http://www.scmvd.cz/</w:t>
              </w:r>
            </w:hyperlink>
            <w:r w:rsidR="00400DD1" w:rsidRPr="00DD47DF">
              <w:rPr>
                <w:rFonts w:cs="Calibri"/>
              </w:rPr>
              <w:t xml:space="preserve"> </w:t>
            </w:r>
          </w:p>
        </w:tc>
      </w:tr>
      <w:tr w:rsidR="00400DD1" w:rsidRPr="00DD47DF" w14:paraId="4B70C5D6" w14:textId="77777777">
        <w:trPr>
          <w:trHeight w:val="414"/>
        </w:trPr>
        <w:tc>
          <w:tcPr>
            <w:tcW w:w="2395" w:type="pct"/>
            <w:shd w:val="clear" w:color="auto" w:fill="auto"/>
            <w:vAlign w:val="center"/>
          </w:tcPr>
          <w:p w14:paraId="2E1B7909"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5" w:type="pct"/>
            <w:shd w:val="clear" w:color="auto" w:fill="auto"/>
            <w:vAlign w:val="center"/>
          </w:tcPr>
          <w:p w14:paraId="6EFF190C" w14:textId="77777777" w:rsidR="00400DD1" w:rsidRPr="00DD47DF" w:rsidRDefault="00013622" w:rsidP="00F23CDB">
            <w:pPr>
              <w:pStyle w:val="Tabulka"/>
              <w:jc w:val="left"/>
              <w:rPr>
                <w:rFonts w:cs="Calibri"/>
              </w:rPr>
            </w:pPr>
            <w:hyperlink r:id="rId229" w:history="1">
              <w:r w:rsidR="00400DD1" w:rsidRPr="00DD47DF">
                <w:rPr>
                  <w:rStyle w:val="Hypertextovodkaz"/>
                  <w:rFonts w:cs="Calibri"/>
                  <w:bCs/>
                </w:rPr>
                <w:t>http://www.amsp.cz/</w:t>
              </w:r>
            </w:hyperlink>
          </w:p>
        </w:tc>
      </w:tr>
      <w:tr w:rsidR="00400DD1" w:rsidRPr="00DD47DF" w14:paraId="5344A247" w14:textId="77777777">
        <w:trPr>
          <w:trHeight w:val="414"/>
        </w:trPr>
        <w:tc>
          <w:tcPr>
            <w:tcW w:w="2395" w:type="pct"/>
            <w:shd w:val="clear" w:color="auto" w:fill="auto"/>
            <w:vAlign w:val="center"/>
          </w:tcPr>
          <w:p w14:paraId="406292E9" w14:textId="77777777" w:rsidR="00400DD1" w:rsidRPr="00DD47DF" w:rsidRDefault="00400DD1" w:rsidP="00F23CDB">
            <w:pPr>
              <w:pStyle w:val="Tabulka"/>
              <w:jc w:val="left"/>
              <w:rPr>
                <w:rFonts w:cs="Calibri"/>
              </w:rPr>
            </w:pPr>
            <w:r w:rsidRPr="00DD47DF">
              <w:rPr>
                <w:rFonts w:cs="Calibri"/>
              </w:rPr>
              <w:t>Asociace inovačního podnikání</w:t>
            </w:r>
          </w:p>
        </w:tc>
        <w:tc>
          <w:tcPr>
            <w:tcW w:w="2605" w:type="pct"/>
            <w:shd w:val="clear" w:color="auto" w:fill="auto"/>
            <w:vAlign w:val="center"/>
          </w:tcPr>
          <w:p w14:paraId="20AACB44" w14:textId="77777777" w:rsidR="00400DD1" w:rsidRPr="00DD47DF" w:rsidRDefault="00013622" w:rsidP="00F23CDB">
            <w:pPr>
              <w:pStyle w:val="Tabulka"/>
              <w:jc w:val="left"/>
              <w:rPr>
                <w:rFonts w:cs="Calibri"/>
              </w:rPr>
            </w:pPr>
            <w:hyperlink r:id="rId230" w:history="1">
              <w:r w:rsidR="00400DD1" w:rsidRPr="00DD47DF">
                <w:rPr>
                  <w:rStyle w:val="Hypertextovodkaz"/>
                  <w:rFonts w:cs="Calibri"/>
                  <w:bCs/>
                </w:rPr>
                <w:t>http://www.aipcr.cz/</w:t>
              </w:r>
            </w:hyperlink>
            <w:r w:rsidR="00400DD1" w:rsidRPr="00DD47DF">
              <w:rPr>
                <w:rFonts w:cs="Calibri"/>
              </w:rPr>
              <w:t xml:space="preserve"> </w:t>
            </w:r>
          </w:p>
        </w:tc>
      </w:tr>
      <w:tr w:rsidR="00400DD1" w:rsidRPr="00DD47DF" w14:paraId="15569911" w14:textId="77777777">
        <w:trPr>
          <w:trHeight w:val="414"/>
        </w:trPr>
        <w:tc>
          <w:tcPr>
            <w:tcW w:w="2395" w:type="pct"/>
            <w:shd w:val="clear" w:color="auto" w:fill="auto"/>
            <w:vAlign w:val="center"/>
          </w:tcPr>
          <w:p w14:paraId="0B126EF0" w14:textId="77777777" w:rsidR="00400DD1" w:rsidRPr="00DD47DF" w:rsidRDefault="00400DD1" w:rsidP="00F23CDB">
            <w:pPr>
              <w:pStyle w:val="Tabulka"/>
              <w:jc w:val="left"/>
              <w:rPr>
                <w:rFonts w:cs="Calibri"/>
              </w:rPr>
            </w:pPr>
            <w:r w:rsidRPr="00DD47DF">
              <w:rPr>
                <w:rFonts w:cs="Calibri"/>
              </w:rPr>
              <w:t>Nestátní neziskové organizace</w:t>
            </w:r>
          </w:p>
        </w:tc>
        <w:tc>
          <w:tcPr>
            <w:tcW w:w="2605" w:type="pct"/>
            <w:shd w:val="clear" w:color="auto" w:fill="auto"/>
            <w:vAlign w:val="center"/>
          </w:tcPr>
          <w:p w14:paraId="5D36AB4D" w14:textId="77777777" w:rsidR="00400DD1" w:rsidRPr="00DD47DF" w:rsidRDefault="00013622" w:rsidP="00F23CDB">
            <w:pPr>
              <w:pStyle w:val="Tabulka"/>
              <w:jc w:val="left"/>
              <w:rPr>
                <w:rFonts w:cs="Calibri"/>
              </w:rPr>
            </w:pPr>
            <w:hyperlink r:id="rId231" w:history="1">
              <w:r w:rsidR="00400DD1" w:rsidRPr="00DD47DF">
                <w:rPr>
                  <w:rStyle w:val="Hypertextovodkaz"/>
                  <w:rFonts w:cs="Calibri"/>
                  <w:bCs/>
                </w:rPr>
                <w:t>http://www.asociacenno.cz/</w:t>
              </w:r>
            </w:hyperlink>
          </w:p>
        </w:tc>
      </w:tr>
      <w:tr w:rsidR="00400DD1" w:rsidRPr="00DD47DF" w14:paraId="3C0955E3" w14:textId="77777777">
        <w:trPr>
          <w:trHeight w:val="414"/>
        </w:trPr>
        <w:tc>
          <w:tcPr>
            <w:tcW w:w="2395" w:type="pct"/>
            <w:shd w:val="clear" w:color="auto" w:fill="auto"/>
            <w:vAlign w:val="center"/>
          </w:tcPr>
          <w:p w14:paraId="363AF0D3"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5" w:type="pct"/>
            <w:shd w:val="clear" w:color="auto" w:fill="auto"/>
            <w:vAlign w:val="center"/>
          </w:tcPr>
          <w:p w14:paraId="0E35ABB7" w14:textId="77777777" w:rsidR="00400DD1" w:rsidRPr="00DD47DF" w:rsidRDefault="00013622" w:rsidP="00F23CDB">
            <w:pPr>
              <w:pStyle w:val="Tabulka"/>
              <w:jc w:val="left"/>
              <w:rPr>
                <w:rFonts w:cs="Calibri"/>
              </w:rPr>
            </w:pPr>
            <w:hyperlink r:id="rId232" w:history="1">
              <w:r w:rsidR="00400DD1" w:rsidRPr="00DD47DF">
                <w:rPr>
                  <w:rStyle w:val="Hypertextovodkaz"/>
                  <w:rFonts w:cs="Calibri"/>
                  <w:bCs/>
                </w:rPr>
                <w:t>http://nsmascr.cz/o-nas/mistni-akncni-skupiny/</w:t>
              </w:r>
            </w:hyperlink>
          </w:p>
        </w:tc>
      </w:tr>
      <w:tr w:rsidR="00400DD1" w:rsidRPr="00DD47DF" w14:paraId="0CB1BC6F" w14:textId="77777777">
        <w:trPr>
          <w:trHeight w:val="414"/>
        </w:trPr>
        <w:tc>
          <w:tcPr>
            <w:tcW w:w="2395" w:type="pct"/>
            <w:shd w:val="clear" w:color="auto" w:fill="auto"/>
            <w:vAlign w:val="center"/>
          </w:tcPr>
          <w:p w14:paraId="4D30A71A" w14:textId="77777777" w:rsidR="00400DD1" w:rsidRPr="00DD47DF" w:rsidRDefault="00400DD1" w:rsidP="00F23CDB">
            <w:pPr>
              <w:pStyle w:val="Tabulka"/>
              <w:jc w:val="left"/>
              <w:rPr>
                <w:rFonts w:cs="Calibri"/>
              </w:rPr>
            </w:pPr>
            <w:r w:rsidRPr="00DD47DF">
              <w:rPr>
                <w:rFonts w:cs="Calibri"/>
              </w:rPr>
              <w:t>Fórum průmyslu a vysokých škol</w:t>
            </w:r>
          </w:p>
        </w:tc>
        <w:tc>
          <w:tcPr>
            <w:tcW w:w="2605" w:type="pct"/>
            <w:shd w:val="clear" w:color="auto" w:fill="auto"/>
            <w:vAlign w:val="center"/>
          </w:tcPr>
          <w:p w14:paraId="5E876EC7" w14:textId="77777777" w:rsidR="00400DD1" w:rsidRPr="00DD47DF" w:rsidRDefault="00013622" w:rsidP="00F23CDB">
            <w:pPr>
              <w:pStyle w:val="Tabulka"/>
              <w:jc w:val="left"/>
              <w:rPr>
                <w:rFonts w:cs="Calibri"/>
              </w:rPr>
            </w:pPr>
            <w:hyperlink r:id="rId233" w:history="1">
              <w:r w:rsidR="00400DD1" w:rsidRPr="00DD47DF">
                <w:rPr>
                  <w:rStyle w:val="Hypertextovodkaz"/>
                  <w:rFonts w:cs="Calibri"/>
                  <w:bCs/>
                </w:rPr>
                <w:t>http://fpvs.cz/</w:t>
              </w:r>
            </w:hyperlink>
            <w:r w:rsidR="00400DD1" w:rsidRPr="00DD47DF">
              <w:rPr>
                <w:rFonts w:cs="Calibri"/>
              </w:rPr>
              <w:t xml:space="preserve"> </w:t>
            </w:r>
          </w:p>
        </w:tc>
      </w:tr>
      <w:tr w:rsidR="00400DD1" w:rsidRPr="00DD47DF" w14:paraId="1BF7ED70" w14:textId="77777777">
        <w:trPr>
          <w:trHeight w:val="414"/>
        </w:trPr>
        <w:tc>
          <w:tcPr>
            <w:tcW w:w="2395" w:type="pct"/>
            <w:shd w:val="clear" w:color="auto" w:fill="auto"/>
            <w:vAlign w:val="center"/>
          </w:tcPr>
          <w:p w14:paraId="1996B6A2" w14:textId="77777777" w:rsidR="00400DD1" w:rsidRPr="00DD47DF" w:rsidRDefault="00400DD1" w:rsidP="00F23CDB">
            <w:pPr>
              <w:pStyle w:val="Tabulka"/>
              <w:jc w:val="left"/>
              <w:rPr>
                <w:rFonts w:cs="Calibri"/>
              </w:rPr>
            </w:pPr>
            <w:r w:rsidRPr="00DD47DF">
              <w:rPr>
                <w:rFonts w:cs="Calibri"/>
              </w:rPr>
              <w:t>Hlavní město Praha</w:t>
            </w:r>
          </w:p>
        </w:tc>
        <w:tc>
          <w:tcPr>
            <w:tcW w:w="2605" w:type="pct"/>
            <w:shd w:val="clear" w:color="auto" w:fill="auto"/>
            <w:vAlign w:val="center"/>
          </w:tcPr>
          <w:p w14:paraId="45E92331" w14:textId="77777777" w:rsidR="00400DD1" w:rsidRPr="00DD47DF" w:rsidRDefault="00013622" w:rsidP="00F23CDB">
            <w:pPr>
              <w:pStyle w:val="Tabulka"/>
              <w:jc w:val="left"/>
              <w:rPr>
                <w:rFonts w:cs="Calibri"/>
              </w:rPr>
            </w:pPr>
            <w:hyperlink r:id="rId234" w:history="1">
              <w:r w:rsidR="00400DD1" w:rsidRPr="00DD47DF">
                <w:rPr>
                  <w:rStyle w:val="Hypertextovodkaz"/>
                  <w:rFonts w:cs="Calibri"/>
                  <w:bCs/>
                </w:rPr>
                <w:t>http://www.praha.eu/jnp/cz/home/index.html</w:t>
              </w:r>
            </w:hyperlink>
          </w:p>
        </w:tc>
      </w:tr>
      <w:tr w:rsidR="00400DD1" w:rsidRPr="00DD47DF" w14:paraId="5204F3C8" w14:textId="77777777">
        <w:trPr>
          <w:trHeight w:val="414"/>
        </w:trPr>
        <w:tc>
          <w:tcPr>
            <w:tcW w:w="2395" w:type="pct"/>
            <w:shd w:val="clear" w:color="auto" w:fill="auto"/>
            <w:vAlign w:val="center"/>
          </w:tcPr>
          <w:p w14:paraId="115CA4FA" w14:textId="77777777" w:rsidR="00400DD1" w:rsidRPr="00DD47DF" w:rsidRDefault="00400DD1" w:rsidP="00F23CDB">
            <w:pPr>
              <w:pStyle w:val="Tabulka"/>
              <w:jc w:val="left"/>
              <w:rPr>
                <w:rFonts w:cs="Calibri"/>
              </w:rPr>
            </w:pPr>
            <w:r w:rsidRPr="00DD47DF">
              <w:rPr>
                <w:rFonts w:cs="Calibri"/>
              </w:rPr>
              <w:t>Ing. Petr Zahradník, MSc.</w:t>
            </w:r>
          </w:p>
        </w:tc>
        <w:tc>
          <w:tcPr>
            <w:tcW w:w="2605" w:type="pct"/>
            <w:shd w:val="clear" w:color="auto" w:fill="auto"/>
            <w:vAlign w:val="center"/>
          </w:tcPr>
          <w:p w14:paraId="2A31C2A5" w14:textId="77777777" w:rsidR="00400DD1" w:rsidRPr="00DD47DF" w:rsidRDefault="00400DD1" w:rsidP="00F23CDB">
            <w:pPr>
              <w:pStyle w:val="Tabulka"/>
              <w:jc w:val="left"/>
              <w:rPr>
                <w:rFonts w:cs="Calibri"/>
              </w:rPr>
            </w:pPr>
          </w:p>
        </w:tc>
      </w:tr>
    </w:tbl>
    <w:p w14:paraId="23091035"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25"/>
      </w:tblGrid>
      <w:tr w:rsidR="00400DD1" w:rsidRPr="00DD47DF" w14:paraId="26720A26" w14:textId="77777777">
        <w:trPr>
          <w:trHeight w:val="414"/>
        </w:trPr>
        <w:tc>
          <w:tcPr>
            <w:tcW w:w="5000" w:type="pct"/>
            <w:gridSpan w:val="2"/>
            <w:shd w:val="clear" w:color="auto" w:fill="DBE5F1"/>
            <w:vAlign w:val="center"/>
          </w:tcPr>
          <w:p w14:paraId="2DBF7ED9" w14:textId="77777777" w:rsidR="00400DD1" w:rsidRPr="00DD47DF" w:rsidRDefault="005F4918" w:rsidP="007D5FD2">
            <w:pPr>
              <w:pStyle w:val="Tabulka"/>
              <w:rPr>
                <w:rFonts w:cs="Calibri"/>
                <w:b/>
              </w:rPr>
            </w:pPr>
            <w:r w:rsidRPr="00DD47DF">
              <w:rPr>
                <w:rFonts w:cs="Calibri"/>
                <w:b/>
              </w:rPr>
              <w:t xml:space="preserve">PS </w:t>
            </w:r>
            <w:r w:rsidR="00400DD1" w:rsidRPr="00DD47DF">
              <w:rPr>
                <w:rFonts w:cs="Calibri"/>
                <w:b/>
              </w:rPr>
              <w:t>3 „</w:t>
            </w:r>
            <w:r w:rsidR="009F593E" w:rsidRPr="00DD47DF">
              <w:rPr>
                <w:rFonts w:cs="Calibri"/>
                <w:b/>
              </w:rPr>
              <w:t>Účinné nakládání</w:t>
            </w:r>
            <w:r w:rsidR="00B70E21" w:rsidRPr="00DD47DF">
              <w:rPr>
                <w:rFonts w:cs="Calibri"/>
                <w:b/>
              </w:rPr>
              <w:t xml:space="preserve"> </w:t>
            </w:r>
            <w:r w:rsidR="00E701CA" w:rsidRPr="00DD47DF">
              <w:rPr>
                <w:rFonts w:cs="Calibri"/>
                <w:b/>
              </w:rPr>
              <w:t>energií, rozvoj energetické infrastruktury a obnovitelných zdrojů energie, podpora zavádění nových technologií v oblasti nakládání energií a druhotných surovin</w:t>
            </w:r>
            <w:r w:rsidR="00400DD1" w:rsidRPr="00DD47DF">
              <w:rPr>
                <w:rFonts w:cs="Calibri"/>
                <w:b/>
              </w:rPr>
              <w:t>“</w:t>
            </w:r>
          </w:p>
        </w:tc>
      </w:tr>
      <w:tr w:rsidR="00400DD1" w:rsidRPr="00DD47DF" w14:paraId="7D4B6B40" w14:textId="77777777">
        <w:trPr>
          <w:trHeight w:val="414"/>
        </w:trPr>
        <w:tc>
          <w:tcPr>
            <w:tcW w:w="2388" w:type="pct"/>
            <w:shd w:val="clear" w:color="auto" w:fill="auto"/>
            <w:vAlign w:val="center"/>
          </w:tcPr>
          <w:p w14:paraId="7FFC19EF" w14:textId="77777777" w:rsidR="00400DD1" w:rsidRPr="00DD47DF" w:rsidRDefault="00400DD1" w:rsidP="00F23CDB">
            <w:pPr>
              <w:pStyle w:val="Tabulka"/>
              <w:jc w:val="left"/>
              <w:rPr>
                <w:rFonts w:cs="Calibri"/>
              </w:rPr>
            </w:pPr>
            <w:r w:rsidRPr="00DD47DF">
              <w:rPr>
                <w:rFonts w:cs="Calibri"/>
              </w:rPr>
              <w:t>Hospodářská komora ČR</w:t>
            </w:r>
          </w:p>
        </w:tc>
        <w:tc>
          <w:tcPr>
            <w:tcW w:w="2612" w:type="pct"/>
            <w:shd w:val="clear" w:color="auto" w:fill="auto"/>
            <w:vAlign w:val="center"/>
          </w:tcPr>
          <w:p w14:paraId="057BE6A1" w14:textId="77777777" w:rsidR="00400DD1" w:rsidRPr="00DD47DF" w:rsidRDefault="00013622" w:rsidP="00F23CDB">
            <w:pPr>
              <w:pStyle w:val="Tabulka"/>
              <w:jc w:val="left"/>
              <w:rPr>
                <w:rFonts w:cs="Calibri"/>
              </w:rPr>
            </w:pPr>
            <w:hyperlink r:id="rId235" w:history="1">
              <w:r w:rsidR="00400DD1" w:rsidRPr="00DD47DF">
                <w:rPr>
                  <w:rStyle w:val="Hypertextovodkaz"/>
                  <w:rFonts w:cs="Calibri"/>
                  <w:bCs/>
                </w:rPr>
                <w:t>http://www.komora.cz/</w:t>
              </w:r>
            </w:hyperlink>
          </w:p>
        </w:tc>
      </w:tr>
      <w:tr w:rsidR="00400DD1" w:rsidRPr="00DD47DF" w14:paraId="18C0B650" w14:textId="77777777">
        <w:trPr>
          <w:trHeight w:val="414"/>
        </w:trPr>
        <w:tc>
          <w:tcPr>
            <w:tcW w:w="2388" w:type="pct"/>
            <w:shd w:val="clear" w:color="auto" w:fill="auto"/>
            <w:vAlign w:val="center"/>
          </w:tcPr>
          <w:p w14:paraId="515E825D" w14:textId="77777777" w:rsidR="00400DD1" w:rsidRPr="00DD47DF" w:rsidRDefault="00400DD1" w:rsidP="00F23CDB">
            <w:pPr>
              <w:pStyle w:val="Tabulka"/>
              <w:jc w:val="left"/>
              <w:rPr>
                <w:rFonts w:cs="Calibri"/>
              </w:rPr>
            </w:pPr>
            <w:r w:rsidRPr="00DD47DF">
              <w:rPr>
                <w:rFonts w:cs="Calibri"/>
              </w:rPr>
              <w:t>Potravinářská komora ČR</w:t>
            </w:r>
          </w:p>
        </w:tc>
        <w:tc>
          <w:tcPr>
            <w:tcW w:w="2612" w:type="pct"/>
            <w:shd w:val="clear" w:color="auto" w:fill="auto"/>
            <w:vAlign w:val="center"/>
          </w:tcPr>
          <w:p w14:paraId="31BC1D67" w14:textId="77777777" w:rsidR="00400DD1" w:rsidRPr="00DD47DF" w:rsidRDefault="00013622" w:rsidP="00F23CDB">
            <w:pPr>
              <w:pStyle w:val="Tabulka"/>
              <w:jc w:val="left"/>
              <w:rPr>
                <w:rFonts w:cs="Calibri"/>
              </w:rPr>
            </w:pPr>
            <w:hyperlink r:id="rId236" w:history="1">
              <w:r w:rsidR="00400DD1" w:rsidRPr="00DD47DF">
                <w:rPr>
                  <w:rStyle w:val="Hypertextovodkaz"/>
                  <w:rFonts w:cs="Calibri"/>
                  <w:bCs/>
                </w:rPr>
                <w:t>http://www.pkcr.cz/</w:t>
              </w:r>
            </w:hyperlink>
            <w:r w:rsidR="00400DD1" w:rsidRPr="00DD47DF">
              <w:rPr>
                <w:rFonts w:cs="Calibri"/>
              </w:rPr>
              <w:t xml:space="preserve"> </w:t>
            </w:r>
          </w:p>
        </w:tc>
      </w:tr>
      <w:tr w:rsidR="00400DD1" w:rsidRPr="00DD47DF" w14:paraId="0C6A0B43" w14:textId="77777777">
        <w:trPr>
          <w:trHeight w:val="414"/>
        </w:trPr>
        <w:tc>
          <w:tcPr>
            <w:tcW w:w="2388" w:type="pct"/>
            <w:shd w:val="clear" w:color="auto" w:fill="auto"/>
            <w:vAlign w:val="center"/>
          </w:tcPr>
          <w:p w14:paraId="341ECFE3" w14:textId="77777777" w:rsidR="00400DD1" w:rsidRPr="00DD47DF" w:rsidRDefault="00400DD1" w:rsidP="00F23CDB">
            <w:pPr>
              <w:pStyle w:val="Tabulka"/>
              <w:jc w:val="left"/>
              <w:rPr>
                <w:rFonts w:cs="Calibri"/>
              </w:rPr>
            </w:pPr>
            <w:r w:rsidRPr="00DD47DF">
              <w:rPr>
                <w:rFonts w:cs="Calibri"/>
              </w:rPr>
              <w:t>Agrární komora ČR</w:t>
            </w:r>
          </w:p>
        </w:tc>
        <w:tc>
          <w:tcPr>
            <w:tcW w:w="2612" w:type="pct"/>
            <w:shd w:val="clear" w:color="auto" w:fill="auto"/>
            <w:vAlign w:val="center"/>
          </w:tcPr>
          <w:p w14:paraId="1D1A137B" w14:textId="77777777" w:rsidR="00400DD1" w:rsidRPr="00DD47DF" w:rsidRDefault="00013622" w:rsidP="00F23CDB">
            <w:pPr>
              <w:pStyle w:val="Tabulka"/>
              <w:jc w:val="left"/>
              <w:rPr>
                <w:rFonts w:cs="Calibri"/>
              </w:rPr>
            </w:pPr>
            <w:hyperlink r:id="rId237" w:history="1">
              <w:r w:rsidR="00400DD1" w:rsidRPr="00DD47DF">
                <w:rPr>
                  <w:rStyle w:val="Hypertextovodkaz"/>
                  <w:rFonts w:cs="Calibri"/>
                  <w:bCs/>
                </w:rPr>
                <w:t>http://www.agrocr.cz/</w:t>
              </w:r>
            </w:hyperlink>
            <w:r w:rsidR="00400DD1" w:rsidRPr="00DD47DF">
              <w:rPr>
                <w:rFonts w:cs="Calibri"/>
              </w:rPr>
              <w:t xml:space="preserve"> </w:t>
            </w:r>
          </w:p>
        </w:tc>
      </w:tr>
      <w:tr w:rsidR="00400DD1" w:rsidRPr="00DD47DF" w14:paraId="408B3714" w14:textId="77777777">
        <w:trPr>
          <w:trHeight w:val="414"/>
        </w:trPr>
        <w:tc>
          <w:tcPr>
            <w:tcW w:w="2388" w:type="pct"/>
            <w:shd w:val="clear" w:color="auto" w:fill="auto"/>
            <w:vAlign w:val="center"/>
          </w:tcPr>
          <w:p w14:paraId="5B3EB7F2" w14:textId="77777777" w:rsidR="00400DD1" w:rsidRPr="00DD47DF" w:rsidRDefault="00400DD1" w:rsidP="00F23CDB">
            <w:pPr>
              <w:pStyle w:val="Tabulka"/>
              <w:jc w:val="left"/>
              <w:rPr>
                <w:rFonts w:cs="Calibri"/>
              </w:rPr>
            </w:pPr>
            <w:r w:rsidRPr="00DD47DF">
              <w:rPr>
                <w:rFonts w:cs="Calibri"/>
              </w:rPr>
              <w:t>Svaz průmyslu a dopravy ČR</w:t>
            </w:r>
          </w:p>
        </w:tc>
        <w:tc>
          <w:tcPr>
            <w:tcW w:w="2612" w:type="pct"/>
            <w:shd w:val="clear" w:color="auto" w:fill="auto"/>
            <w:vAlign w:val="center"/>
          </w:tcPr>
          <w:p w14:paraId="10239802" w14:textId="77777777" w:rsidR="00400DD1" w:rsidRPr="00DD47DF" w:rsidRDefault="00013622" w:rsidP="00F23CDB">
            <w:pPr>
              <w:pStyle w:val="Tabulka"/>
              <w:jc w:val="left"/>
              <w:rPr>
                <w:rFonts w:cs="Calibri"/>
              </w:rPr>
            </w:pPr>
            <w:hyperlink r:id="rId238" w:history="1">
              <w:r w:rsidR="00400DD1" w:rsidRPr="00DD47DF">
                <w:rPr>
                  <w:rStyle w:val="Hypertextovodkaz"/>
                  <w:rFonts w:cs="Calibri"/>
                  <w:bCs/>
                </w:rPr>
                <w:t>http://www.spcr.cz/</w:t>
              </w:r>
            </w:hyperlink>
          </w:p>
        </w:tc>
      </w:tr>
      <w:tr w:rsidR="00400DD1" w:rsidRPr="00DD47DF" w14:paraId="6E314192" w14:textId="77777777">
        <w:trPr>
          <w:trHeight w:val="414"/>
        </w:trPr>
        <w:tc>
          <w:tcPr>
            <w:tcW w:w="2388" w:type="pct"/>
            <w:shd w:val="clear" w:color="auto" w:fill="auto"/>
            <w:vAlign w:val="center"/>
          </w:tcPr>
          <w:p w14:paraId="37CCD681" w14:textId="77777777" w:rsidR="00400DD1" w:rsidRPr="00DD47DF" w:rsidRDefault="00400DD1" w:rsidP="00F23CDB">
            <w:pPr>
              <w:pStyle w:val="Tabulka"/>
              <w:jc w:val="left"/>
              <w:rPr>
                <w:rFonts w:cs="Calibri"/>
              </w:rPr>
            </w:pPr>
            <w:r w:rsidRPr="00DD47DF">
              <w:rPr>
                <w:rFonts w:cs="Calibri"/>
              </w:rPr>
              <w:t>Svaz měst a obcí ČR</w:t>
            </w:r>
          </w:p>
        </w:tc>
        <w:tc>
          <w:tcPr>
            <w:tcW w:w="2612" w:type="pct"/>
            <w:shd w:val="clear" w:color="auto" w:fill="auto"/>
            <w:vAlign w:val="center"/>
          </w:tcPr>
          <w:p w14:paraId="484DDD58" w14:textId="77777777" w:rsidR="00400DD1" w:rsidRPr="00DD47DF" w:rsidRDefault="00013622" w:rsidP="00F23CDB">
            <w:pPr>
              <w:pStyle w:val="Tabulka"/>
              <w:jc w:val="left"/>
              <w:rPr>
                <w:rFonts w:cs="Calibri"/>
              </w:rPr>
            </w:pPr>
            <w:hyperlink r:id="rId239"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03E28316" w14:textId="77777777">
        <w:trPr>
          <w:trHeight w:val="414"/>
        </w:trPr>
        <w:tc>
          <w:tcPr>
            <w:tcW w:w="2388" w:type="pct"/>
            <w:shd w:val="clear" w:color="auto" w:fill="auto"/>
            <w:vAlign w:val="center"/>
          </w:tcPr>
          <w:p w14:paraId="72AD7E9D" w14:textId="77777777" w:rsidR="00400DD1" w:rsidRPr="00DD47DF" w:rsidRDefault="00400DD1" w:rsidP="00F23CDB">
            <w:pPr>
              <w:pStyle w:val="Tabulka"/>
              <w:jc w:val="left"/>
              <w:rPr>
                <w:rFonts w:cs="Calibri"/>
              </w:rPr>
            </w:pPr>
            <w:r w:rsidRPr="00DD47DF">
              <w:rPr>
                <w:rFonts w:cs="Calibri"/>
              </w:rPr>
              <w:t>Svaz průmyslu druhotných surovin</w:t>
            </w:r>
          </w:p>
        </w:tc>
        <w:tc>
          <w:tcPr>
            <w:tcW w:w="2612" w:type="pct"/>
            <w:shd w:val="clear" w:color="auto" w:fill="auto"/>
            <w:vAlign w:val="center"/>
          </w:tcPr>
          <w:p w14:paraId="04DF418D" w14:textId="77777777" w:rsidR="00400DD1" w:rsidRPr="00DD47DF" w:rsidRDefault="00013622" w:rsidP="00F23CDB">
            <w:pPr>
              <w:pStyle w:val="Tabulka"/>
              <w:jc w:val="left"/>
              <w:rPr>
                <w:rFonts w:cs="Calibri"/>
              </w:rPr>
            </w:pPr>
            <w:hyperlink r:id="rId240" w:history="1">
              <w:r w:rsidR="00400DD1" w:rsidRPr="00DD47DF">
                <w:rPr>
                  <w:rStyle w:val="Hypertextovodkaz"/>
                  <w:rFonts w:cs="Calibri"/>
                  <w:bCs/>
                </w:rPr>
                <w:t>http://www.spds.cz/</w:t>
              </w:r>
            </w:hyperlink>
            <w:r w:rsidR="00400DD1" w:rsidRPr="00DD47DF">
              <w:rPr>
                <w:rFonts w:cs="Calibri"/>
              </w:rPr>
              <w:t xml:space="preserve"> </w:t>
            </w:r>
          </w:p>
        </w:tc>
      </w:tr>
      <w:tr w:rsidR="00400DD1" w:rsidRPr="00DD47DF" w14:paraId="6A1EFB23" w14:textId="77777777">
        <w:trPr>
          <w:trHeight w:val="414"/>
        </w:trPr>
        <w:tc>
          <w:tcPr>
            <w:tcW w:w="2388" w:type="pct"/>
            <w:shd w:val="clear" w:color="auto" w:fill="auto"/>
            <w:vAlign w:val="center"/>
          </w:tcPr>
          <w:p w14:paraId="23CB93B3"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12" w:type="pct"/>
            <w:shd w:val="clear" w:color="auto" w:fill="auto"/>
            <w:vAlign w:val="center"/>
          </w:tcPr>
          <w:p w14:paraId="53EDF00D" w14:textId="77777777" w:rsidR="00400DD1" w:rsidRPr="00DD47DF" w:rsidRDefault="00013622" w:rsidP="00F23CDB">
            <w:pPr>
              <w:pStyle w:val="Tabulka"/>
              <w:jc w:val="left"/>
              <w:rPr>
                <w:rFonts w:cs="Calibri"/>
              </w:rPr>
            </w:pPr>
            <w:hyperlink r:id="rId241" w:history="1">
              <w:r w:rsidR="00400DD1" w:rsidRPr="00DD47DF">
                <w:rPr>
                  <w:rStyle w:val="Hypertextovodkaz"/>
                  <w:rFonts w:cs="Calibri"/>
                  <w:bCs/>
                </w:rPr>
                <w:t>http://www.amsp.cz/</w:t>
              </w:r>
            </w:hyperlink>
          </w:p>
        </w:tc>
      </w:tr>
      <w:tr w:rsidR="00400DD1" w:rsidRPr="00DD47DF" w14:paraId="4A1EB68F" w14:textId="77777777">
        <w:trPr>
          <w:trHeight w:val="414"/>
        </w:trPr>
        <w:tc>
          <w:tcPr>
            <w:tcW w:w="2388" w:type="pct"/>
            <w:shd w:val="clear" w:color="auto" w:fill="auto"/>
            <w:vAlign w:val="center"/>
          </w:tcPr>
          <w:p w14:paraId="41955471" w14:textId="77777777" w:rsidR="00400DD1" w:rsidRPr="00DD47DF" w:rsidRDefault="00400DD1" w:rsidP="00F23CDB">
            <w:pPr>
              <w:pStyle w:val="Tabulka"/>
              <w:jc w:val="left"/>
              <w:rPr>
                <w:rFonts w:cs="Calibri"/>
              </w:rPr>
            </w:pPr>
            <w:r w:rsidRPr="00DD47DF">
              <w:rPr>
                <w:rFonts w:cs="Calibri"/>
              </w:rPr>
              <w:t>Nestátní neziskové organizace</w:t>
            </w:r>
          </w:p>
        </w:tc>
        <w:tc>
          <w:tcPr>
            <w:tcW w:w="2612" w:type="pct"/>
            <w:shd w:val="clear" w:color="auto" w:fill="auto"/>
            <w:vAlign w:val="center"/>
          </w:tcPr>
          <w:p w14:paraId="18D54E04" w14:textId="77777777" w:rsidR="00400DD1" w:rsidRPr="00DD47DF" w:rsidRDefault="00013622" w:rsidP="00F23CDB">
            <w:pPr>
              <w:pStyle w:val="Tabulka"/>
              <w:jc w:val="left"/>
              <w:rPr>
                <w:rFonts w:cs="Calibri"/>
              </w:rPr>
            </w:pPr>
            <w:hyperlink r:id="rId242" w:history="1">
              <w:r w:rsidR="00400DD1" w:rsidRPr="00DD47DF">
                <w:rPr>
                  <w:rStyle w:val="Hypertextovodkaz"/>
                  <w:rFonts w:cs="Calibri"/>
                  <w:bCs/>
                </w:rPr>
                <w:t>http://www.asociacenno.cz/</w:t>
              </w:r>
            </w:hyperlink>
          </w:p>
        </w:tc>
      </w:tr>
      <w:tr w:rsidR="00400DD1" w:rsidRPr="00DD47DF" w14:paraId="0A546F61" w14:textId="77777777">
        <w:trPr>
          <w:trHeight w:val="414"/>
        </w:trPr>
        <w:tc>
          <w:tcPr>
            <w:tcW w:w="2388" w:type="pct"/>
            <w:shd w:val="clear" w:color="auto" w:fill="auto"/>
            <w:vAlign w:val="center"/>
          </w:tcPr>
          <w:p w14:paraId="174E7441" w14:textId="77777777" w:rsidR="00400DD1" w:rsidRPr="00DD47DF" w:rsidRDefault="00400DD1" w:rsidP="00F23CDB">
            <w:pPr>
              <w:pStyle w:val="Tabulka"/>
              <w:jc w:val="left"/>
              <w:rPr>
                <w:rFonts w:cs="Calibri"/>
              </w:rPr>
            </w:pPr>
            <w:r w:rsidRPr="00DD47DF">
              <w:rPr>
                <w:rFonts w:cs="Calibri"/>
              </w:rPr>
              <w:t>Asociace dodavatelů tepla a technologií</w:t>
            </w:r>
          </w:p>
        </w:tc>
        <w:tc>
          <w:tcPr>
            <w:tcW w:w="2612" w:type="pct"/>
            <w:shd w:val="clear" w:color="auto" w:fill="auto"/>
            <w:vAlign w:val="center"/>
          </w:tcPr>
          <w:p w14:paraId="37CE8F18" w14:textId="77777777" w:rsidR="00400DD1" w:rsidRPr="00DD47DF" w:rsidRDefault="00013622" w:rsidP="00F23CDB">
            <w:pPr>
              <w:pStyle w:val="Tabulka"/>
              <w:jc w:val="left"/>
              <w:rPr>
                <w:rFonts w:cs="Calibri"/>
              </w:rPr>
            </w:pPr>
            <w:hyperlink r:id="rId243" w:history="1">
              <w:r w:rsidR="00400DD1" w:rsidRPr="00DD47DF">
                <w:rPr>
                  <w:rStyle w:val="Hypertextovodkaz"/>
                  <w:rFonts w:cs="Calibri"/>
                  <w:bCs/>
                </w:rPr>
                <w:t>http://adtt.cz/</w:t>
              </w:r>
            </w:hyperlink>
            <w:r w:rsidR="00400DD1" w:rsidRPr="00DD47DF">
              <w:rPr>
                <w:rFonts w:cs="Calibri"/>
              </w:rPr>
              <w:t xml:space="preserve"> </w:t>
            </w:r>
          </w:p>
        </w:tc>
      </w:tr>
      <w:tr w:rsidR="00400DD1" w:rsidRPr="00DD47DF" w14:paraId="1214F9F5" w14:textId="77777777">
        <w:trPr>
          <w:trHeight w:val="414"/>
        </w:trPr>
        <w:tc>
          <w:tcPr>
            <w:tcW w:w="2388" w:type="pct"/>
            <w:shd w:val="clear" w:color="auto" w:fill="auto"/>
            <w:vAlign w:val="center"/>
          </w:tcPr>
          <w:p w14:paraId="64417FAD" w14:textId="77777777" w:rsidR="00400DD1" w:rsidRPr="00DD47DF" w:rsidRDefault="00400DD1" w:rsidP="00F23CDB">
            <w:pPr>
              <w:pStyle w:val="Tabulka"/>
              <w:jc w:val="left"/>
              <w:rPr>
                <w:rFonts w:cs="Calibri"/>
              </w:rPr>
            </w:pPr>
            <w:r w:rsidRPr="00DD47DF">
              <w:rPr>
                <w:rFonts w:cs="Calibri"/>
              </w:rPr>
              <w:t>Asociace poskytovatelů energetických služeb</w:t>
            </w:r>
          </w:p>
        </w:tc>
        <w:tc>
          <w:tcPr>
            <w:tcW w:w="2612" w:type="pct"/>
            <w:shd w:val="clear" w:color="auto" w:fill="auto"/>
            <w:vAlign w:val="center"/>
          </w:tcPr>
          <w:p w14:paraId="3FCC0CD4" w14:textId="77777777" w:rsidR="00400DD1" w:rsidRPr="00DD47DF" w:rsidRDefault="00013622" w:rsidP="00F23CDB">
            <w:pPr>
              <w:pStyle w:val="Tabulka"/>
              <w:jc w:val="left"/>
              <w:rPr>
                <w:rFonts w:cs="Calibri"/>
              </w:rPr>
            </w:pPr>
            <w:hyperlink r:id="rId244" w:history="1">
              <w:r w:rsidR="00400DD1" w:rsidRPr="00DD47DF">
                <w:rPr>
                  <w:rStyle w:val="Hypertextovodkaz"/>
                  <w:rFonts w:cs="Calibri"/>
                  <w:bCs/>
                </w:rPr>
                <w:t>http://apes.cz/</w:t>
              </w:r>
            </w:hyperlink>
            <w:r w:rsidR="00400DD1" w:rsidRPr="00DD47DF">
              <w:rPr>
                <w:rFonts w:cs="Calibri"/>
              </w:rPr>
              <w:t xml:space="preserve"> </w:t>
            </w:r>
          </w:p>
        </w:tc>
      </w:tr>
      <w:tr w:rsidR="00400DD1" w:rsidRPr="00DD47DF" w14:paraId="737E7771" w14:textId="77777777">
        <w:trPr>
          <w:trHeight w:val="414"/>
        </w:trPr>
        <w:tc>
          <w:tcPr>
            <w:tcW w:w="2388" w:type="pct"/>
            <w:shd w:val="clear" w:color="auto" w:fill="auto"/>
            <w:vAlign w:val="center"/>
          </w:tcPr>
          <w:p w14:paraId="49C5F6C8" w14:textId="77777777" w:rsidR="00400DD1" w:rsidRPr="00DD47DF" w:rsidRDefault="00400DD1" w:rsidP="00F23CDB">
            <w:pPr>
              <w:pStyle w:val="Tabulka"/>
              <w:jc w:val="left"/>
              <w:rPr>
                <w:rFonts w:cs="Calibri"/>
              </w:rPr>
            </w:pPr>
            <w:r w:rsidRPr="00DD47DF">
              <w:rPr>
                <w:rFonts w:cs="Calibri"/>
              </w:rPr>
              <w:t>Asociace pro využití OZE</w:t>
            </w:r>
          </w:p>
        </w:tc>
        <w:tc>
          <w:tcPr>
            <w:tcW w:w="2612" w:type="pct"/>
            <w:shd w:val="clear" w:color="auto" w:fill="auto"/>
            <w:vAlign w:val="center"/>
          </w:tcPr>
          <w:p w14:paraId="4A993B23" w14:textId="77777777" w:rsidR="00400DD1" w:rsidRPr="00DD47DF" w:rsidRDefault="00013622" w:rsidP="00F23CDB">
            <w:pPr>
              <w:pStyle w:val="Tabulka"/>
              <w:jc w:val="left"/>
              <w:rPr>
                <w:rFonts w:cs="Calibri"/>
              </w:rPr>
            </w:pPr>
            <w:hyperlink r:id="rId245" w:history="1">
              <w:r w:rsidR="00400DD1" w:rsidRPr="00DD47DF">
                <w:rPr>
                  <w:rStyle w:val="Hypertextovodkaz"/>
                  <w:rFonts w:cs="Calibri"/>
                  <w:bCs/>
                </w:rPr>
                <w:t>http://www.oze.cz/</w:t>
              </w:r>
            </w:hyperlink>
            <w:r w:rsidR="00400DD1" w:rsidRPr="00DD47DF">
              <w:rPr>
                <w:rFonts w:cs="Calibri"/>
              </w:rPr>
              <w:t xml:space="preserve"> </w:t>
            </w:r>
          </w:p>
        </w:tc>
      </w:tr>
      <w:tr w:rsidR="00400DD1" w:rsidRPr="00DD47DF" w14:paraId="0E8255A7" w14:textId="77777777">
        <w:trPr>
          <w:trHeight w:val="414"/>
        </w:trPr>
        <w:tc>
          <w:tcPr>
            <w:tcW w:w="2388" w:type="pct"/>
            <w:shd w:val="clear" w:color="auto" w:fill="auto"/>
            <w:vAlign w:val="center"/>
          </w:tcPr>
          <w:p w14:paraId="55B92010" w14:textId="77777777" w:rsidR="00400DD1" w:rsidRPr="00DD47DF" w:rsidRDefault="00400DD1" w:rsidP="00F23CDB">
            <w:pPr>
              <w:pStyle w:val="Tabulka"/>
              <w:jc w:val="left"/>
              <w:rPr>
                <w:rFonts w:cs="Calibri"/>
              </w:rPr>
            </w:pPr>
            <w:r w:rsidRPr="00DD47DF">
              <w:rPr>
                <w:rFonts w:cs="Calibri"/>
              </w:rPr>
              <w:t>Asociace pro využití energetických produktů</w:t>
            </w:r>
          </w:p>
        </w:tc>
        <w:tc>
          <w:tcPr>
            <w:tcW w:w="2612" w:type="pct"/>
            <w:shd w:val="clear" w:color="auto" w:fill="auto"/>
            <w:vAlign w:val="center"/>
          </w:tcPr>
          <w:p w14:paraId="3A0FE2F3" w14:textId="77777777" w:rsidR="00400DD1" w:rsidRPr="00DD47DF" w:rsidRDefault="00013622" w:rsidP="00F23CDB">
            <w:pPr>
              <w:pStyle w:val="Tabulka"/>
              <w:jc w:val="left"/>
              <w:rPr>
                <w:rFonts w:cs="Calibri"/>
              </w:rPr>
            </w:pPr>
            <w:hyperlink r:id="rId246" w:history="1">
              <w:r w:rsidR="00400DD1" w:rsidRPr="00DD47DF">
                <w:rPr>
                  <w:rStyle w:val="Hypertextovodkaz"/>
                  <w:rFonts w:cs="Calibri"/>
                  <w:bCs/>
                </w:rPr>
                <w:t>http://www.asvep.cz/</w:t>
              </w:r>
            </w:hyperlink>
            <w:r w:rsidR="00400DD1" w:rsidRPr="00DD47DF">
              <w:rPr>
                <w:rFonts w:cs="Calibri"/>
              </w:rPr>
              <w:t xml:space="preserve"> </w:t>
            </w:r>
          </w:p>
        </w:tc>
      </w:tr>
      <w:tr w:rsidR="00400DD1" w:rsidRPr="00DD47DF" w14:paraId="7E4B1B45" w14:textId="77777777">
        <w:trPr>
          <w:trHeight w:val="414"/>
        </w:trPr>
        <w:tc>
          <w:tcPr>
            <w:tcW w:w="2388" w:type="pct"/>
            <w:shd w:val="clear" w:color="auto" w:fill="auto"/>
            <w:vAlign w:val="center"/>
          </w:tcPr>
          <w:p w14:paraId="391CA52F" w14:textId="77777777" w:rsidR="00400DD1" w:rsidRPr="00DD47DF" w:rsidRDefault="00400DD1" w:rsidP="00F23CDB">
            <w:pPr>
              <w:pStyle w:val="Tabulka"/>
              <w:jc w:val="left"/>
              <w:rPr>
                <w:rFonts w:cs="Calibri"/>
              </w:rPr>
            </w:pPr>
            <w:r w:rsidRPr="00DD47DF">
              <w:rPr>
                <w:rFonts w:cs="Calibri"/>
              </w:rPr>
              <w:lastRenderedPageBreak/>
              <w:t>Národní síť Místních akčních skupin České republiky, o.s.</w:t>
            </w:r>
          </w:p>
        </w:tc>
        <w:tc>
          <w:tcPr>
            <w:tcW w:w="2612" w:type="pct"/>
            <w:shd w:val="clear" w:color="auto" w:fill="auto"/>
            <w:vAlign w:val="center"/>
          </w:tcPr>
          <w:p w14:paraId="1AF9DAC9" w14:textId="77777777" w:rsidR="00400DD1" w:rsidRPr="00DD47DF" w:rsidRDefault="00013622" w:rsidP="00F23CDB">
            <w:pPr>
              <w:pStyle w:val="Tabulka"/>
              <w:jc w:val="left"/>
              <w:rPr>
                <w:rFonts w:cs="Calibri"/>
              </w:rPr>
            </w:pPr>
            <w:hyperlink r:id="rId247" w:history="1">
              <w:r w:rsidR="00400DD1" w:rsidRPr="00DD47DF">
                <w:rPr>
                  <w:rStyle w:val="Hypertextovodkaz"/>
                  <w:rFonts w:cs="Calibri"/>
                  <w:bCs/>
                </w:rPr>
                <w:t>http://nsmascr.cz/o-nas/mistni-akncni-skupiny/</w:t>
              </w:r>
            </w:hyperlink>
          </w:p>
        </w:tc>
      </w:tr>
      <w:tr w:rsidR="00400DD1" w:rsidRPr="00DD47DF" w14:paraId="7C798776" w14:textId="77777777">
        <w:trPr>
          <w:trHeight w:val="414"/>
        </w:trPr>
        <w:tc>
          <w:tcPr>
            <w:tcW w:w="2388" w:type="pct"/>
            <w:shd w:val="clear" w:color="auto" w:fill="auto"/>
            <w:vAlign w:val="center"/>
          </w:tcPr>
          <w:p w14:paraId="2262267F" w14:textId="77777777" w:rsidR="00400DD1" w:rsidRPr="00DD47DF" w:rsidRDefault="00400DD1" w:rsidP="00F23CDB">
            <w:pPr>
              <w:pStyle w:val="Tabulka"/>
              <w:jc w:val="left"/>
              <w:rPr>
                <w:rFonts w:cs="Calibri"/>
              </w:rPr>
            </w:pPr>
            <w:r w:rsidRPr="00DD47DF">
              <w:rPr>
                <w:rFonts w:cs="Calibri"/>
              </w:rPr>
              <w:t>Konfederace zaměstnavatelských a podnikatelských svazů</w:t>
            </w:r>
          </w:p>
        </w:tc>
        <w:tc>
          <w:tcPr>
            <w:tcW w:w="2612" w:type="pct"/>
            <w:shd w:val="clear" w:color="auto" w:fill="auto"/>
            <w:vAlign w:val="center"/>
          </w:tcPr>
          <w:p w14:paraId="2A6B9680" w14:textId="77777777" w:rsidR="00400DD1" w:rsidRPr="00DD47DF" w:rsidRDefault="00013622" w:rsidP="00F23CDB">
            <w:pPr>
              <w:pStyle w:val="Tabulka"/>
              <w:jc w:val="left"/>
              <w:rPr>
                <w:rFonts w:cs="Calibri"/>
              </w:rPr>
            </w:pPr>
            <w:hyperlink r:id="rId248" w:history="1">
              <w:r w:rsidR="00400DD1" w:rsidRPr="00DD47DF">
                <w:rPr>
                  <w:rStyle w:val="Hypertextovodkaz"/>
                  <w:rFonts w:cs="Calibri"/>
                  <w:bCs/>
                </w:rPr>
                <w:t>http://www.kzps.cz/</w:t>
              </w:r>
            </w:hyperlink>
          </w:p>
        </w:tc>
      </w:tr>
      <w:tr w:rsidR="00400DD1" w:rsidRPr="00DD47DF" w14:paraId="34B16636" w14:textId="77777777">
        <w:trPr>
          <w:trHeight w:val="414"/>
        </w:trPr>
        <w:tc>
          <w:tcPr>
            <w:tcW w:w="2388" w:type="pct"/>
            <w:shd w:val="clear" w:color="auto" w:fill="auto"/>
            <w:vAlign w:val="center"/>
          </w:tcPr>
          <w:p w14:paraId="5D4EA756" w14:textId="77777777" w:rsidR="00400DD1" w:rsidRPr="00DD47DF" w:rsidRDefault="00400DD1" w:rsidP="00F23CDB">
            <w:pPr>
              <w:pStyle w:val="Tabulka"/>
              <w:jc w:val="left"/>
              <w:rPr>
                <w:rFonts w:cs="Calibri"/>
              </w:rPr>
            </w:pPr>
            <w:r w:rsidRPr="00DD47DF">
              <w:rPr>
                <w:rFonts w:cs="Calibri"/>
              </w:rPr>
              <w:t>Teplárenské sdružení České republiky</w:t>
            </w:r>
          </w:p>
        </w:tc>
        <w:tc>
          <w:tcPr>
            <w:tcW w:w="2612" w:type="pct"/>
            <w:shd w:val="clear" w:color="auto" w:fill="auto"/>
            <w:vAlign w:val="center"/>
          </w:tcPr>
          <w:p w14:paraId="2D76769E" w14:textId="77777777" w:rsidR="00400DD1" w:rsidRPr="00DD47DF" w:rsidRDefault="00013622" w:rsidP="00F23CDB">
            <w:pPr>
              <w:pStyle w:val="Tabulka"/>
              <w:jc w:val="left"/>
              <w:rPr>
                <w:rFonts w:cs="Calibri"/>
              </w:rPr>
            </w:pPr>
            <w:hyperlink r:id="rId249" w:history="1">
              <w:r w:rsidR="00400DD1" w:rsidRPr="00DD47DF">
                <w:rPr>
                  <w:rStyle w:val="Hypertextovodkaz"/>
                  <w:rFonts w:cs="Calibri"/>
                  <w:bCs/>
                </w:rPr>
                <w:t>http://www.tscr.cz/</w:t>
              </w:r>
            </w:hyperlink>
            <w:r w:rsidR="00400DD1" w:rsidRPr="00DD47DF">
              <w:rPr>
                <w:rFonts w:cs="Calibri"/>
              </w:rPr>
              <w:t xml:space="preserve"> </w:t>
            </w:r>
          </w:p>
        </w:tc>
      </w:tr>
      <w:tr w:rsidR="00400DD1" w:rsidRPr="00DD47DF" w14:paraId="6CE2F06D" w14:textId="77777777">
        <w:trPr>
          <w:trHeight w:val="414"/>
        </w:trPr>
        <w:tc>
          <w:tcPr>
            <w:tcW w:w="2388" w:type="pct"/>
            <w:shd w:val="clear" w:color="auto" w:fill="auto"/>
            <w:vAlign w:val="center"/>
          </w:tcPr>
          <w:p w14:paraId="14AB0527" w14:textId="77777777" w:rsidR="00400DD1" w:rsidRPr="00DD47DF" w:rsidRDefault="00400DD1" w:rsidP="00F23CDB">
            <w:pPr>
              <w:pStyle w:val="Tabulka"/>
              <w:jc w:val="left"/>
              <w:rPr>
                <w:rFonts w:cs="Calibri"/>
              </w:rPr>
            </w:pPr>
            <w:r w:rsidRPr="00DD47DF">
              <w:rPr>
                <w:rFonts w:cs="Calibri"/>
              </w:rPr>
              <w:t>České sdružení regulovaných elektrotechnických společností</w:t>
            </w:r>
          </w:p>
        </w:tc>
        <w:tc>
          <w:tcPr>
            <w:tcW w:w="2612" w:type="pct"/>
            <w:shd w:val="clear" w:color="auto" w:fill="auto"/>
            <w:vAlign w:val="center"/>
          </w:tcPr>
          <w:p w14:paraId="7FF17358" w14:textId="77777777" w:rsidR="00400DD1" w:rsidRPr="00DD47DF" w:rsidRDefault="00013622" w:rsidP="00F23CDB">
            <w:pPr>
              <w:pStyle w:val="Tabulka"/>
              <w:jc w:val="left"/>
              <w:rPr>
                <w:rFonts w:cs="Calibri"/>
              </w:rPr>
            </w:pPr>
            <w:hyperlink r:id="rId250" w:history="1">
              <w:r w:rsidR="00400DD1" w:rsidRPr="00DD47DF">
                <w:rPr>
                  <w:rStyle w:val="Hypertextovodkaz"/>
                  <w:rFonts w:cs="Calibri"/>
                  <w:bCs/>
                </w:rPr>
                <w:t>http://www.csres.cz/</w:t>
              </w:r>
            </w:hyperlink>
            <w:r w:rsidR="00400DD1" w:rsidRPr="00DD47DF">
              <w:rPr>
                <w:rFonts w:cs="Calibri"/>
              </w:rPr>
              <w:t xml:space="preserve"> </w:t>
            </w:r>
          </w:p>
        </w:tc>
      </w:tr>
      <w:tr w:rsidR="00400DD1" w:rsidRPr="00DD47DF" w14:paraId="566F86F9" w14:textId="77777777">
        <w:trPr>
          <w:trHeight w:val="414"/>
        </w:trPr>
        <w:tc>
          <w:tcPr>
            <w:tcW w:w="2388" w:type="pct"/>
            <w:shd w:val="clear" w:color="auto" w:fill="auto"/>
            <w:vAlign w:val="center"/>
          </w:tcPr>
          <w:p w14:paraId="592E705F" w14:textId="77777777" w:rsidR="00400DD1" w:rsidRPr="00DD47DF" w:rsidRDefault="00400DD1" w:rsidP="00F23CDB">
            <w:pPr>
              <w:pStyle w:val="Tabulka"/>
              <w:jc w:val="left"/>
              <w:rPr>
                <w:rFonts w:cs="Calibri"/>
              </w:rPr>
            </w:pPr>
            <w:r w:rsidRPr="00DD47DF">
              <w:rPr>
                <w:rFonts w:cs="Calibri"/>
              </w:rPr>
              <w:t>Šance pro budovy</w:t>
            </w:r>
          </w:p>
        </w:tc>
        <w:tc>
          <w:tcPr>
            <w:tcW w:w="2612" w:type="pct"/>
            <w:shd w:val="clear" w:color="auto" w:fill="auto"/>
            <w:vAlign w:val="center"/>
          </w:tcPr>
          <w:p w14:paraId="6599C034" w14:textId="77777777" w:rsidR="00400DD1" w:rsidRPr="00DD47DF" w:rsidRDefault="00013622" w:rsidP="00F23CDB">
            <w:pPr>
              <w:pStyle w:val="Tabulka"/>
              <w:jc w:val="left"/>
              <w:rPr>
                <w:rFonts w:cs="Calibri"/>
              </w:rPr>
            </w:pPr>
            <w:hyperlink r:id="rId251" w:history="1">
              <w:r w:rsidR="00400DD1" w:rsidRPr="00DD47DF">
                <w:rPr>
                  <w:rStyle w:val="Hypertextovodkaz"/>
                  <w:rFonts w:cs="Calibri"/>
                  <w:bCs/>
                </w:rPr>
                <w:t>http://www.sanceprobudovy.cz/cs.html?start=20</w:t>
              </w:r>
            </w:hyperlink>
            <w:r w:rsidR="00400DD1" w:rsidRPr="00DD47DF">
              <w:rPr>
                <w:rFonts w:cs="Calibri"/>
              </w:rPr>
              <w:t xml:space="preserve"> </w:t>
            </w:r>
          </w:p>
        </w:tc>
      </w:tr>
      <w:tr w:rsidR="00400DD1" w:rsidRPr="00DD47DF" w14:paraId="3A6877EB" w14:textId="77777777">
        <w:trPr>
          <w:trHeight w:val="414"/>
        </w:trPr>
        <w:tc>
          <w:tcPr>
            <w:tcW w:w="2388" w:type="pct"/>
            <w:shd w:val="clear" w:color="auto" w:fill="auto"/>
            <w:vAlign w:val="center"/>
          </w:tcPr>
          <w:p w14:paraId="0F99D082" w14:textId="77777777" w:rsidR="00400DD1" w:rsidRPr="00DD47DF" w:rsidRDefault="00400DD1" w:rsidP="00F23CDB">
            <w:pPr>
              <w:pStyle w:val="Tabulka"/>
              <w:jc w:val="left"/>
              <w:rPr>
                <w:rFonts w:cs="Calibri"/>
              </w:rPr>
            </w:pPr>
            <w:r w:rsidRPr="00DD47DF">
              <w:rPr>
                <w:rFonts w:cs="Calibri"/>
              </w:rPr>
              <w:t>Hlavní město Praha</w:t>
            </w:r>
          </w:p>
        </w:tc>
        <w:tc>
          <w:tcPr>
            <w:tcW w:w="2612" w:type="pct"/>
            <w:shd w:val="clear" w:color="auto" w:fill="auto"/>
            <w:vAlign w:val="center"/>
          </w:tcPr>
          <w:p w14:paraId="1AE0BABC" w14:textId="77777777" w:rsidR="00400DD1" w:rsidRPr="00DD47DF" w:rsidRDefault="00013622" w:rsidP="00F23CDB">
            <w:pPr>
              <w:pStyle w:val="Tabulka"/>
              <w:jc w:val="left"/>
              <w:rPr>
                <w:rFonts w:cs="Calibri"/>
              </w:rPr>
            </w:pPr>
            <w:hyperlink r:id="rId252" w:history="1">
              <w:r w:rsidR="00400DD1" w:rsidRPr="00DD47DF">
                <w:rPr>
                  <w:rStyle w:val="Hypertextovodkaz"/>
                  <w:rFonts w:cs="Calibri"/>
                  <w:bCs/>
                </w:rPr>
                <w:t>http://www.praha.eu/jnp/cz/home/index.html</w:t>
              </w:r>
            </w:hyperlink>
          </w:p>
        </w:tc>
      </w:tr>
    </w:tbl>
    <w:p w14:paraId="54CD3FFF"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DD47DF" w14:paraId="2FBDD518" w14:textId="77777777">
        <w:tc>
          <w:tcPr>
            <w:tcW w:w="5000" w:type="pct"/>
            <w:gridSpan w:val="2"/>
            <w:shd w:val="clear" w:color="auto" w:fill="DBE5F1"/>
            <w:vAlign w:val="center"/>
          </w:tcPr>
          <w:p w14:paraId="611CFA5E"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4 „Rozvoj sítí pro vysokorychlostní přístup k internetu a informačních a komunikačních technologií“</w:t>
            </w:r>
          </w:p>
        </w:tc>
      </w:tr>
      <w:tr w:rsidR="00400DD1" w:rsidRPr="00DD47DF" w14:paraId="0CFA9140" w14:textId="77777777">
        <w:trPr>
          <w:trHeight w:val="414"/>
        </w:trPr>
        <w:tc>
          <w:tcPr>
            <w:tcW w:w="2391" w:type="pct"/>
            <w:shd w:val="clear" w:color="auto" w:fill="auto"/>
            <w:vAlign w:val="center"/>
          </w:tcPr>
          <w:p w14:paraId="20A4D79B" w14:textId="77777777" w:rsidR="00400DD1" w:rsidRPr="00DD47DF" w:rsidRDefault="000E47D9" w:rsidP="00F23CDB">
            <w:pPr>
              <w:pStyle w:val="Tabulka"/>
              <w:jc w:val="left"/>
              <w:rPr>
                <w:rFonts w:cs="Calibri"/>
              </w:rPr>
            </w:pPr>
            <w:r w:rsidRPr="00DD47DF">
              <w:rPr>
                <w:rFonts w:cs="Calibri"/>
              </w:rPr>
              <w:t>Ministerstvo dopravy</w:t>
            </w:r>
          </w:p>
        </w:tc>
        <w:tc>
          <w:tcPr>
            <w:tcW w:w="2609" w:type="pct"/>
            <w:shd w:val="clear" w:color="auto" w:fill="auto"/>
            <w:vAlign w:val="center"/>
          </w:tcPr>
          <w:p w14:paraId="6EF01FA3" w14:textId="77777777" w:rsidR="00400DD1" w:rsidRPr="00DD47DF" w:rsidRDefault="00013622" w:rsidP="00F23CDB">
            <w:pPr>
              <w:pStyle w:val="Tabulka"/>
              <w:jc w:val="left"/>
              <w:rPr>
                <w:rFonts w:cs="Calibri"/>
              </w:rPr>
            </w:pPr>
            <w:hyperlink r:id="rId253" w:history="1">
              <w:r w:rsidR="00400DD1" w:rsidRPr="00DD47DF">
                <w:rPr>
                  <w:rStyle w:val="Hypertextovodkaz"/>
                  <w:rFonts w:cs="Calibri"/>
                  <w:bCs/>
                </w:rPr>
                <w:t>http://www.mdcr.cz/cs/default.htm</w:t>
              </w:r>
            </w:hyperlink>
            <w:r w:rsidR="00400DD1" w:rsidRPr="00DD47DF">
              <w:rPr>
                <w:rFonts w:cs="Calibri"/>
              </w:rPr>
              <w:t xml:space="preserve"> </w:t>
            </w:r>
          </w:p>
        </w:tc>
      </w:tr>
      <w:tr w:rsidR="00400DD1" w:rsidRPr="00DD47DF" w14:paraId="6F5B5B3A" w14:textId="77777777">
        <w:trPr>
          <w:trHeight w:val="414"/>
        </w:trPr>
        <w:tc>
          <w:tcPr>
            <w:tcW w:w="2391" w:type="pct"/>
            <w:shd w:val="clear" w:color="auto" w:fill="auto"/>
            <w:vAlign w:val="center"/>
          </w:tcPr>
          <w:p w14:paraId="03A3006C" w14:textId="77777777" w:rsidR="00400DD1" w:rsidRPr="00DD47DF" w:rsidRDefault="00400DD1" w:rsidP="00F23CDB">
            <w:pPr>
              <w:pStyle w:val="Tabulka"/>
              <w:jc w:val="left"/>
              <w:rPr>
                <w:rFonts w:cs="Calibri"/>
              </w:rPr>
            </w:pPr>
            <w:r w:rsidRPr="00DD47DF">
              <w:rPr>
                <w:rFonts w:cs="Calibri"/>
              </w:rPr>
              <w:t>Svaz průmyslu a dopravy ČR</w:t>
            </w:r>
          </w:p>
        </w:tc>
        <w:tc>
          <w:tcPr>
            <w:tcW w:w="2609" w:type="pct"/>
            <w:shd w:val="clear" w:color="auto" w:fill="auto"/>
            <w:vAlign w:val="center"/>
          </w:tcPr>
          <w:p w14:paraId="1F53DD3E" w14:textId="77777777" w:rsidR="00400DD1" w:rsidRPr="00DD47DF" w:rsidRDefault="00013622" w:rsidP="00F23CDB">
            <w:pPr>
              <w:pStyle w:val="Tabulka"/>
              <w:jc w:val="left"/>
              <w:rPr>
                <w:rFonts w:cs="Calibri"/>
              </w:rPr>
            </w:pPr>
            <w:hyperlink r:id="rId254" w:history="1">
              <w:r w:rsidR="00400DD1" w:rsidRPr="00DD47DF">
                <w:rPr>
                  <w:rStyle w:val="Hypertextovodkaz"/>
                  <w:rFonts w:cs="Calibri"/>
                  <w:bCs/>
                </w:rPr>
                <w:t>http://www.spcr.cz/</w:t>
              </w:r>
            </w:hyperlink>
          </w:p>
        </w:tc>
      </w:tr>
      <w:tr w:rsidR="00400DD1" w:rsidRPr="00DD47DF" w14:paraId="51EA3559" w14:textId="77777777">
        <w:trPr>
          <w:trHeight w:val="414"/>
        </w:trPr>
        <w:tc>
          <w:tcPr>
            <w:tcW w:w="2391" w:type="pct"/>
            <w:shd w:val="clear" w:color="auto" w:fill="auto"/>
            <w:vAlign w:val="center"/>
          </w:tcPr>
          <w:p w14:paraId="1EC7B9C2" w14:textId="77777777" w:rsidR="00400DD1" w:rsidRPr="00DD47DF" w:rsidRDefault="00400DD1" w:rsidP="00F23CDB">
            <w:pPr>
              <w:pStyle w:val="Tabulka"/>
              <w:jc w:val="left"/>
              <w:rPr>
                <w:rFonts w:cs="Calibri"/>
              </w:rPr>
            </w:pPr>
            <w:r w:rsidRPr="00DD47DF">
              <w:rPr>
                <w:rFonts w:cs="Calibri"/>
              </w:rPr>
              <w:t>Svaz měst a obcí ČR</w:t>
            </w:r>
          </w:p>
        </w:tc>
        <w:tc>
          <w:tcPr>
            <w:tcW w:w="2609" w:type="pct"/>
            <w:shd w:val="clear" w:color="auto" w:fill="auto"/>
            <w:vAlign w:val="center"/>
          </w:tcPr>
          <w:p w14:paraId="6F2DFA5A" w14:textId="77777777" w:rsidR="00400DD1" w:rsidRPr="00DD47DF" w:rsidRDefault="00013622" w:rsidP="00F23CDB">
            <w:pPr>
              <w:pStyle w:val="Tabulka"/>
              <w:jc w:val="left"/>
              <w:rPr>
                <w:rFonts w:cs="Calibri"/>
              </w:rPr>
            </w:pPr>
            <w:hyperlink r:id="rId255"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44DC74BB" w14:textId="77777777">
        <w:trPr>
          <w:trHeight w:val="414"/>
        </w:trPr>
        <w:tc>
          <w:tcPr>
            <w:tcW w:w="2391" w:type="pct"/>
            <w:shd w:val="clear" w:color="auto" w:fill="auto"/>
            <w:vAlign w:val="center"/>
          </w:tcPr>
          <w:p w14:paraId="210D6B7B" w14:textId="77777777" w:rsidR="00400DD1" w:rsidRPr="00DD47DF" w:rsidRDefault="00400DD1" w:rsidP="00F23CDB">
            <w:pPr>
              <w:pStyle w:val="Tabulka"/>
              <w:jc w:val="left"/>
              <w:rPr>
                <w:rFonts w:cs="Calibri"/>
              </w:rPr>
            </w:pPr>
            <w:r w:rsidRPr="00DD47DF">
              <w:rPr>
                <w:rFonts w:cs="Calibri"/>
              </w:rPr>
              <w:t>Svaz obchodu a cestovního ruchu</w:t>
            </w:r>
          </w:p>
        </w:tc>
        <w:tc>
          <w:tcPr>
            <w:tcW w:w="2609" w:type="pct"/>
            <w:shd w:val="clear" w:color="auto" w:fill="auto"/>
            <w:vAlign w:val="center"/>
          </w:tcPr>
          <w:p w14:paraId="1AE1007D" w14:textId="77777777" w:rsidR="00400DD1" w:rsidRPr="00DD47DF" w:rsidRDefault="00013622" w:rsidP="00F23CDB">
            <w:pPr>
              <w:pStyle w:val="Tabulka"/>
              <w:jc w:val="left"/>
              <w:rPr>
                <w:rFonts w:cs="Calibri"/>
              </w:rPr>
            </w:pPr>
            <w:hyperlink r:id="rId256" w:history="1">
              <w:r w:rsidR="00400DD1" w:rsidRPr="00DD47DF">
                <w:rPr>
                  <w:rStyle w:val="Hypertextovodkaz"/>
                  <w:rFonts w:cs="Calibri"/>
                  <w:bCs/>
                </w:rPr>
                <w:t>http://www.socr.cz/</w:t>
              </w:r>
            </w:hyperlink>
            <w:r w:rsidR="00400DD1" w:rsidRPr="00DD47DF">
              <w:rPr>
                <w:rFonts w:cs="Calibri"/>
              </w:rPr>
              <w:t xml:space="preserve"> </w:t>
            </w:r>
          </w:p>
        </w:tc>
      </w:tr>
      <w:tr w:rsidR="00400DD1" w:rsidRPr="00DD47DF" w14:paraId="6F762DD9" w14:textId="77777777">
        <w:trPr>
          <w:trHeight w:val="414"/>
        </w:trPr>
        <w:tc>
          <w:tcPr>
            <w:tcW w:w="2391" w:type="pct"/>
            <w:shd w:val="clear" w:color="auto" w:fill="auto"/>
            <w:vAlign w:val="center"/>
          </w:tcPr>
          <w:p w14:paraId="5877020C" w14:textId="77777777" w:rsidR="00400DD1" w:rsidRPr="00DD47DF" w:rsidRDefault="00400DD1" w:rsidP="00F23CDB">
            <w:pPr>
              <w:pStyle w:val="Tabulka"/>
              <w:jc w:val="left"/>
              <w:rPr>
                <w:rFonts w:cs="Calibri"/>
              </w:rPr>
            </w:pPr>
            <w:r w:rsidRPr="00DD47DF">
              <w:rPr>
                <w:rFonts w:cs="Calibri"/>
              </w:rPr>
              <w:t>Asociace malých a středních podniků</w:t>
            </w:r>
          </w:p>
        </w:tc>
        <w:tc>
          <w:tcPr>
            <w:tcW w:w="2609" w:type="pct"/>
            <w:shd w:val="clear" w:color="auto" w:fill="auto"/>
            <w:vAlign w:val="center"/>
          </w:tcPr>
          <w:p w14:paraId="68967793" w14:textId="77777777" w:rsidR="00400DD1" w:rsidRPr="00DD47DF" w:rsidRDefault="00013622" w:rsidP="00F23CDB">
            <w:pPr>
              <w:pStyle w:val="Tabulka"/>
              <w:jc w:val="left"/>
              <w:rPr>
                <w:rFonts w:cs="Calibri"/>
              </w:rPr>
            </w:pPr>
            <w:hyperlink r:id="rId257" w:history="1">
              <w:r w:rsidR="00400DD1" w:rsidRPr="00DD47DF">
                <w:rPr>
                  <w:rStyle w:val="Hypertextovodkaz"/>
                  <w:rFonts w:cs="Calibri"/>
                  <w:bCs/>
                </w:rPr>
                <w:t>http://www.amsp.cz/</w:t>
              </w:r>
            </w:hyperlink>
          </w:p>
        </w:tc>
      </w:tr>
      <w:tr w:rsidR="00400DD1" w:rsidRPr="00DD47DF" w14:paraId="7FB6B854" w14:textId="77777777">
        <w:trPr>
          <w:trHeight w:val="414"/>
        </w:trPr>
        <w:tc>
          <w:tcPr>
            <w:tcW w:w="2391" w:type="pct"/>
            <w:shd w:val="clear" w:color="auto" w:fill="auto"/>
            <w:vAlign w:val="center"/>
          </w:tcPr>
          <w:p w14:paraId="23C9C9CE" w14:textId="77777777" w:rsidR="00400DD1" w:rsidRPr="00DD47DF" w:rsidRDefault="00400DD1" w:rsidP="00F23CDB">
            <w:pPr>
              <w:pStyle w:val="Tabulka"/>
              <w:jc w:val="left"/>
              <w:rPr>
                <w:rFonts w:cs="Calibri"/>
              </w:rPr>
            </w:pPr>
            <w:r w:rsidRPr="00DD47DF">
              <w:rPr>
                <w:rFonts w:cs="Calibri"/>
              </w:rPr>
              <w:t>Nestátní neziskové organizace</w:t>
            </w:r>
          </w:p>
        </w:tc>
        <w:tc>
          <w:tcPr>
            <w:tcW w:w="2609" w:type="pct"/>
            <w:shd w:val="clear" w:color="auto" w:fill="auto"/>
            <w:vAlign w:val="center"/>
          </w:tcPr>
          <w:p w14:paraId="0F4FB3F0" w14:textId="77777777" w:rsidR="00400DD1" w:rsidRPr="00DD47DF" w:rsidRDefault="00013622" w:rsidP="00F23CDB">
            <w:pPr>
              <w:pStyle w:val="Tabulka"/>
              <w:jc w:val="left"/>
              <w:rPr>
                <w:rFonts w:cs="Calibri"/>
              </w:rPr>
            </w:pPr>
            <w:hyperlink r:id="rId258" w:history="1">
              <w:r w:rsidR="00400DD1" w:rsidRPr="00DD47DF">
                <w:rPr>
                  <w:rStyle w:val="Hypertextovodkaz"/>
                  <w:rFonts w:cs="Calibri"/>
                  <w:bCs/>
                </w:rPr>
                <w:t>http://www.asociacenno.cz/</w:t>
              </w:r>
            </w:hyperlink>
          </w:p>
        </w:tc>
      </w:tr>
      <w:tr w:rsidR="00400DD1" w:rsidRPr="00DD47DF" w14:paraId="1C3445D7" w14:textId="77777777">
        <w:trPr>
          <w:trHeight w:val="414"/>
        </w:trPr>
        <w:tc>
          <w:tcPr>
            <w:tcW w:w="2391" w:type="pct"/>
            <w:shd w:val="clear" w:color="auto" w:fill="auto"/>
            <w:vAlign w:val="center"/>
          </w:tcPr>
          <w:p w14:paraId="1FCA6CEC" w14:textId="77777777" w:rsidR="00400DD1" w:rsidRPr="00DD47DF" w:rsidRDefault="00400DD1" w:rsidP="00F23CDB">
            <w:pPr>
              <w:pStyle w:val="Tabulka"/>
              <w:jc w:val="left"/>
              <w:rPr>
                <w:rFonts w:cs="Calibri"/>
              </w:rPr>
            </w:pPr>
            <w:r w:rsidRPr="00DD47DF">
              <w:rPr>
                <w:rFonts w:cs="Calibri"/>
              </w:rPr>
              <w:t>Národní síť Místních akčních skupin České republiky, o.s.</w:t>
            </w:r>
          </w:p>
        </w:tc>
        <w:tc>
          <w:tcPr>
            <w:tcW w:w="2609" w:type="pct"/>
            <w:shd w:val="clear" w:color="auto" w:fill="auto"/>
            <w:vAlign w:val="center"/>
          </w:tcPr>
          <w:p w14:paraId="33C15DB2" w14:textId="77777777" w:rsidR="00400DD1" w:rsidRPr="00DD47DF" w:rsidRDefault="00013622" w:rsidP="00F23CDB">
            <w:pPr>
              <w:pStyle w:val="Tabulka"/>
              <w:jc w:val="left"/>
              <w:rPr>
                <w:rFonts w:cs="Calibri"/>
              </w:rPr>
            </w:pPr>
            <w:hyperlink r:id="rId259" w:history="1">
              <w:r w:rsidR="00400DD1" w:rsidRPr="00DD47DF">
                <w:rPr>
                  <w:rStyle w:val="Hypertextovodkaz"/>
                  <w:rFonts w:cs="Calibri"/>
                  <w:bCs/>
                </w:rPr>
                <w:t>http://nsmascr.cz/o-nas/mistni-akncni-skupiny/</w:t>
              </w:r>
            </w:hyperlink>
          </w:p>
        </w:tc>
      </w:tr>
      <w:tr w:rsidR="00400DD1" w:rsidRPr="00DD47DF" w14:paraId="2B2E26F7" w14:textId="77777777">
        <w:trPr>
          <w:trHeight w:val="414"/>
        </w:trPr>
        <w:tc>
          <w:tcPr>
            <w:tcW w:w="2391" w:type="pct"/>
            <w:shd w:val="clear" w:color="auto" w:fill="auto"/>
            <w:vAlign w:val="center"/>
          </w:tcPr>
          <w:p w14:paraId="1C680A38" w14:textId="77777777" w:rsidR="00400DD1" w:rsidRPr="00DD47DF" w:rsidRDefault="00400DD1" w:rsidP="00F23CDB">
            <w:pPr>
              <w:pStyle w:val="Tabulka"/>
              <w:jc w:val="left"/>
              <w:rPr>
                <w:rFonts w:cs="Calibri"/>
              </w:rPr>
            </w:pPr>
            <w:r w:rsidRPr="00DD47DF">
              <w:rPr>
                <w:rFonts w:cs="Calibri"/>
              </w:rPr>
              <w:t>Český telekomunikační úřad</w:t>
            </w:r>
          </w:p>
        </w:tc>
        <w:tc>
          <w:tcPr>
            <w:tcW w:w="2609" w:type="pct"/>
            <w:shd w:val="clear" w:color="auto" w:fill="auto"/>
            <w:vAlign w:val="center"/>
          </w:tcPr>
          <w:p w14:paraId="5E5CDA43" w14:textId="77777777" w:rsidR="00400DD1" w:rsidRPr="00DD47DF" w:rsidRDefault="00013622" w:rsidP="00F23CDB">
            <w:pPr>
              <w:pStyle w:val="Tabulka"/>
              <w:jc w:val="left"/>
              <w:rPr>
                <w:rFonts w:cs="Calibri"/>
              </w:rPr>
            </w:pPr>
            <w:hyperlink r:id="rId260" w:history="1">
              <w:r w:rsidR="00400DD1" w:rsidRPr="00DD47DF">
                <w:rPr>
                  <w:rStyle w:val="Hypertextovodkaz"/>
                  <w:rFonts w:cs="Calibri"/>
                  <w:bCs/>
                </w:rPr>
                <w:t>http://www.ctu.cz/</w:t>
              </w:r>
            </w:hyperlink>
            <w:r w:rsidR="00400DD1" w:rsidRPr="00DD47DF">
              <w:rPr>
                <w:rFonts w:cs="Calibri"/>
              </w:rPr>
              <w:t xml:space="preserve"> </w:t>
            </w:r>
          </w:p>
        </w:tc>
      </w:tr>
      <w:tr w:rsidR="00400DD1" w:rsidRPr="00DD47DF" w14:paraId="0217C7EC" w14:textId="77777777">
        <w:trPr>
          <w:trHeight w:val="414"/>
        </w:trPr>
        <w:tc>
          <w:tcPr>
            <w:tcW w:w="2391" w:type="pct"/>
            <w:shd w:val="clear" w:color="auto" w:fill="auto"/>
            <w:vAlign w:val="center"/>
          </w:tcPr>
          <w:p w14:paraId="2499976A" w14:textId="77777777" w:rsidR="00400DD1" w:rsidRPr="00DD47DF" w:rsidRDefault="00400DD1" w:rsidP="00F23CDB">
            <w:pPr>
              <w:pStyle w:val="Tabulka"/>
              <w:jc w:val="left"/>
              <w:rPr>
                <w:rFonts w:cs="Calibri"/>
              </w:rPr>
            </w:pPr>
            <w:r w:rsidRPr="00DD47DF">
              <w:rPr>
                <w:rFonts w:cs="Calibri"/>
              </w:rPr>
              <w:t>Vysoká škola ekonomická v Praze</w:t>
            </w:r>
          </w:p>
        </w:tc>
        <w:tc>
          <w:tcPr>
            <w:tcW w:w="2609" w:type="pct"/>
            <w:shd w:val="clear" w:color="auto" w:fill="auto"/>
            <w:vAlign w:val="center"/>
          </w:tcPr>
          <w:p w14:paraId="33529480" w14:textId="77777777" w:rsidR="00400DD1" w:rsidRPr="00DD47DF" w:rsidRDefault="00013622" w:rsidP="00F23CDB">
            <w:pPr>
              <w:pStyle w:val="Tabulka"/>
              <w:jc w:val="left"/>
              <w:rPr>
                <w:rFonts w:cs="Calibri"/>
              </w:rPr>
            </w:pPr>
            <w:hyperlink r:id="rId261" w:history="1">
              <w:r w:rsidR="00400DD1" w:rsidRPr="00DD47DF">
                <w:rPr>
                  <w:rStyle w:val="Hypertextovodkaz"/>
                  <w:rFonts w:cs="Calibri"/>
                  <w:bCs/>
                </w:rPr>
                <w:t>http://www.vse.cz/</w:t>
              </w:r>
            </w:hyperlink>
            <w:r w:rsidR="00400DD1" w:rsidRPr="00DD47DF">
              <w:rPr>
                <w:rFonts w:cs="Calibri"/>
              </w:rPr>
              <w:t xml:space="preserve"> </w:t>
            </w:r>
          </w:p>
        </w:tc>
      </w:tr>
      <w:tr w:rsidR="00400DD1" w:rsidRPr="00DD47DF" w14:paraId="3566CC57" w14:textId="77777777">
        <w:trPr>
          <w:trHeight w:val="414"/>
        </w:trPr>
        <w:tc>
          <w:tcPr>
            <w:tcW w:w="2391" w:type="pct"/>
            <w:shd w:val="clear" w:color="auto" w:fill="auto"/>
            <w:vAlign w:val="center"/>
          </w:tcPr>
          <w:p w14:paraId="655D5EE8" w14:textId="77777777" w:rsidR="00400DD1" w:rsidRPr="00DD47DF" w:rsidRDefault="00400DD1" w:rsidP="00F23CDB">
            <w:pPr>
              <w:pStyle w:val="Tabulka"/>
              <w:jc w:val="left"/>
              <w:rPr>
                <w:rFonts w:cs="Calibri"/>
              </w:rPr>
            </w:pPr>
            <w:r w:rsidRPr="00DD47DF">
              <w:rPr>
                <w:rFonts w:cs="Calibri"/>
              </w:rPr>
              <w:t>Hlavní město Praha</w:t>
            </w:r>
          </w:p>
        </w:tc>
        <w:tc>
          <w:tcPr>
            <w:tcW w:w="2609" w:type="pct"/>
            <w:shd w:val="clear" w:color="auto" w:fill="auto"/>
            <w:vAlign w:val="center"/>
          </w:tcPr>
          <w:p w14:paraId="4A0ED0A3" w14:textId="77777777" w:rsidR="00400DD1" w:rsidRPr="00DD47DF" w:rsidRDefault="00013622" w:rsidP="00F23CDB">
            <w:pPr>
              <w:pStyle w:val="Tabulka"/>
              <w:jc w:val="left"/>
              <w:rPr>
                <w:rFonts w:cs="Calibri"/>
              </w:rPr>
            </w:pPr>
            <w:hyperlink r:id="rId262" w:history="1">
              <w:r w:rsidR="00400DD1" w:rsidRPr="00DD47DF">
                <w:rPr>
                  <w:rStyle w:val="Hypertextovodkaz"/>
                  <w:rFonts w:cs="Calibri"/>
                  <w:bCs/>
                </w:rPr>
                <w:t>http://www.praha.eu/jnp/cz/home/index.html</w:t>
              </w:r>
            </w:hyperlink>
          </w:p>
        </w:tc>
      </w:tr>
    </w:tbl>
    <w:p w14:paraId="43B9F840"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4A1B91E1" w14:textId="77777777">
        <w:trPr>
          <w:trHeight w:val="414"/>
        </w:trPr>
        <w:tc>
          <w:tcPr>
            <w:tcW w:w="5000" w:type="pct"/>
            <w:gridSpan w:val="2"/>
            <w:shd w:val="clear" w:color="auto" w:fill="DBE5F1"/>
            <w:vAlign w:val="center"/>
          </w:tcPr>
          <w:p w14:paraId="50759680"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5 „Příprava finančních nástrojů“</w:t>
            </w:r>
          </w:p>
        </w:tc>
      </w:tr>
      <w:tr w:rsidR="00400DD1" w:rsidRPr="00DD47DF" w14:paraId="13481287" w14:textId="77777777">
        <w:trPr>
          <w:trHeight w:val="414"/>
        </w:trPr>
        <w:tc>
          <w:tcPr>
            <w:tcW w:w="2395" w:type="pct"/>
            <w:shd w:val="clear" w:color="auto" w:fill="auto"/>
            <w:vAlign w:val="center"/>
          </w:tcPr>
          <w:p w14:paraId="1EB8355D" w14:textId="77777777" w:rsidR="00400DD1" w:rsidRPr="00DD47DF" w:rsidRDefault="00400DD1" w:rsidP="00F23CDB">
            <w:pPr>
              <w:pStyle w:val="Tabulka"/>
              <w:jc w:val="left"/>
              <w:rPr>
                <w:rFonts w:cs="Calibri"/>
              </w:rPr>
            </w:pPr>
            <w:r w:rsidRPr="00DD47DF">
              <w:rPr>
                <w:rFonts w:cs="Calibri"/>
              </w:rPr>
              <w:t>Národní ekonomická rada vlády</w:t>
            </w:r>
          </w:p>
        </w:tc>
        <w:tc>
          <w:tcPr>
            <w:tcW w:w="2605" w:type="pct"/>
            <w:shd w:val="clear" w:color="auto" w:fill="auto"/>
            <w:vAlign w:val="center"/>
          </w:tcPr>
          <w:p w14:paraId="1BE3F559" w14:textId="77777777" w:rsidR="00400DD1" w:rsidRPr="00DD47DF" w:rsidRDefault="00013622" w:rsidP="00F23CDB">
            <w:pPr>
              <w:pStyle w:val="Tabulka"/>
              <w:jc w:val="left"/>
              <w:rPr>
                <w:rFonts w:cs="Calibri"/>
              </w:rPr>
            </w:pPr>
            <w:hyperlink r:id="rId263" w:history="1">
              <w:r w:rsidR="00400DD1" w:rsidRPr="00DD47DF">
                <w:rPr>
                  <w:rStyle w:val="Hypertextovodkaz"/>
                  <w:rFonts w:cs="Calibri"/>
                  <w:bCs/>
                </w:rPr>
                <w:t>http://www.vlada.cz/cz/ppov/ekonomicka-rada/narodni-ekonomicka-rada-vlady-51371/</w:t>
              </w:r>
            </w:hyperlink>
            <w:r w:rsidR="00400DD1" w:rsidRPr="00DD47DF">
              <w:rPr>
                <w:rFonts w:cs="Calibri"/>
              </w:rPr>
              <w:t xml:space="preserve"> </w:t>
            </w:r>
          </w:p>
        </w:tc>
      </w:tr>
      <w:tr w:rsidR="00400DD1" w:rsidRPr="00DD47DF" w14:paraId="6F586E87" w14:textId="77777777">
        <w:trPr>
          <w:trHeight w:val="414"/>
        </w:trPr>
        <w:tc>
          <w:tcPr>
            <w:tcW w:w="2395" w:type="pct"/>
            <w:shd w:val="clear" w:color="auto" w:fill="auto"/>
            <w:vAlign w:val="center"/>
          </w:tcPr>
          <w:p w14:paraId="4EFB8B8D" w14:textId="77777777" w:rsidR="00400DD1" w:rsidRPr="00DD47DF" w:rsidRDefault="00400DD1" w:rsidP="00F23CDB">
            <w:pPr>
              <w:pStyle w:val="Tabulka"/>
              <w:jc w:val="left"/>
              <w:rPr>
                <w:rFonts w:cs="Calibri"/>
              </w:rPr>
            </w:pPr>
            <w:r w:rsidRPr="00DD47DF">
              <w:rPr>
                <w:rFonts w:cs="Calibri"/>
              </w:rPr>
              <w:t>Českomoravská záruční a rozvojová banka</w:t>
            </w:r>
          </w:p>
        </w:tc>
        <w:tc>
          <w:tcPr>
            <w:tcW w:w="2605" w:type="pct"/>
            <w:shd w:val="clear" w:color="auto" w:fill="auto"/>
            <w:vAlign w:val="center"/>
          </w:tcPr>
          <w:p w14:paraId="23257724" w14:textId="77777777" w:rsidR="00400DD1" w:rsidRPr="00DD47DF" w:rsidRDefault="00013622" w:rsidP="00F23CDB">
            <w:pPr>
              <w:pStyle w:val="Tabulka"/>
              <w:jc w:val="left"/>
              <w:rPr>
                <w:rFonts w:cs="Calibri"/>
              </w:rPr>
            </w:pPr>
            <w:hyperlink r:id="rId264" w:history="1">
              <w:r w:rsidR="00400DD1" w:rsidRPr="00DD47DF">
                <w:rPr>
                  <w:rStyle w:val="Hypertextovodkaz"/>
                  <w:rFonts w:cs="Calibri"/>
                  <w:bCs/>
                </w:rPr>
                <w:t>http://www.cmzrb.cz/</w:t>
              </w:r>
            </w:hyperlink>
            <w:r w:rsidR="00400DD1" w:rsidRPr="00DD47DF">
              <w:rPr>
                <w:rFonts w:cs="Calibri"/>
              </w:rPr>
              <w:t xml:space="preserve"> </w:t>
            </w:r>
          </w:p>
        </w:tc>
      </w:tr>
      <w:tr w:rsidR="00400DD1" w:rsidRPr="00DD47DF" w14:paraId="2D8E561D" w14:textId="77777777">
        <w:trPr>
          <w:trHeight w:val="414"/>
        </w:trPr>
        <w:tc>
          <w:tcPr>
            <w:tcW w:w="2395" w:type="pct"/>
            <w:shd w:val="clear" w:color="auto" w:fill="auto"/>
            <w:vAlign w:val="center"/>
          </w:tcPr>
          <w:p w14:paraId="2E9511B4" w14:textId="77777777" w:rsidR="00400DD1" w:rsidRPr="00DD47DF" w:rsidRDefault="00400DD1" w:rsidP="00F23CDB">
            <w:pPr>
              <w:pStyle w:val="Tabulka"/>
              <w:jc w:val="left"/>
              <w:rPr>
                <w:rFonts w:cs="Calibri"/>
              </w:rPr>
            </w:pPr>
            <w:r w:rsidRPr="00DD47DF">
              <w:rPr>
                <w:rFonts w:cs="Calibri"/>
              </w:rPr>
              <w:t>Svaz měst a obcí ČR</w:t>
            </w:r>
          </w:p>
        </w:tc>
        <w:tc>
          <w:tcPr>
            <w:tcW w:w="2605" w:type="pct"/>
            <w:shd w:val="clear" w:color="auto" w:fill="auto"/>
            <w:vAlign w:val="center"/>
          </w:tcPr>
          <w:p w14:paraId="27D4E628" w14:textId="77777777" w:rsidR="00400DD1" w:rsidRPr="00DD47DF" w:rsidRDefault="00013622" w:rsidP="00F23CDB">
            <w:pPr>
              <w:pStyle w:val="Tabulka"/>
              <w:jc w:val="left"/>
              <w:rPr>
                <w:rFonts w:cs="Calibri"/>
              </w:rPr>
            </w:pPr>
            <w:hyperlink r:id="rId265"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028C7776" w14:textId="77777777">
        <w:trPr>
          <w:trHeight w:val="414"/>
        </w:trPr>
        <w:tc>
          <w:tcPr>
            <w:tcW w:w="2395" w:type="pct"/>
            <w:shd w:val="clear" w:color="auto" w:fill="auto"/>
            <w:vAlign w:val="center"/>
          </w:tcPr>
          <w:p w14:paraId="488A583F" w14:textId="77777777" w:rsidR="00400DD1" w:rsidRPr="00DD47DF" w:rsidRDefault="00400DD1" w:rsidP="00F23CDB">
            <w:pPr>
              <w:pStyle w:val="Tabulka"/>
              <w:jc w:val="left"/>
              <w:rPr>
                <w:rFonts w:cs="Calibri"/>
              </w:rPr>
            </w:pPr>
            <w:r w:rsidRPr="00DD47DF">
              <w:rPr>
                <w:rFonts w:cs="Calibri"/>
              </w:rPr>
              <w:t>Česká bankovní asociace</w:t>
            </w:r>
          </w:p>
        </w:tc>
        <w:tc>
          <w:tcPr>
            <w:tcW w:w="2605" w:type="pct"/>
            <w:shd w:val="clear" w:color="auto" w:fill="auto"/>
            <w:vAlign w:val="center"/>
          </w:tcPr>
          <w:p w14:paraId="7E684E30" w14:textId="77777777" w:rsidR="00400DD1" w:rsidRPr="00DD47DF" w:rsidRDefault="00013622" w:rsidP="00F23CDB">
            <w:pPr>
              <w:pStyle w:val="Tabulka"/>
              <w:jc w:val="left"/>
              <w:rPr>
                <w:rFonts w:cs="Calibri"/>
              </w:rPr>
            </w:pPr>
            <w:hyperlink r:id="rId266" w:history="1">
              <w:r w:rsidR="00400DD1" w:rsidRPr="00DD47DF">
                <w:rPr>
                  <w:rStyle w:val="Hypertextovodkaz"/>
                  <w:rFonts w:cs="Calibri"/>
                  <w:bCs/>
                </w:rPr>
                <w:t>https://www.czech-ba.cz/</w:t>
              </w:r>
            </w:hyperlink>
            <w:r w:rsidR="00400DD1" w:rsidRPr="00DD47DF">
              <w:rPr>
                <w:rFonts w:cs="Calibri"/>
              </w:rPr>
              <w:t xml:space="preserve"> </w:t>
            </w:r>
          </w:p>
        </w:tc>
      </w:tr>
      <w:tr w:rsidR="002002C5" w:rsidRPr="00DD47DF" w14:paraId="4EF2D6E6" w14:textId="77777777">
        <w:trPr>
          <w:trHeight w:val="414"/>
        </w:trPr>
        <w:tc>
          <w:tcPr>
            <w:tcW w:w="2395" w:type="pct"/>
            <w:shd w:val="clear" w:color="auto" w:fill="auto"/>
            <w:vAlign w:val="center"/>
          </w:tcPr>
          <w:p w14:paraId="61CF8C42" w14:textId="77777777" w:rsidR="002002C5" w:rsidRPr="00DD47DF" w:rsidRDefault="002002C5" w:rsidP="00E7342F">
            <w:pPr>
              <w:pStyle w:val="Tabulka"/>
              <w:jc w:val="left"/>
              <w:rPr>
                <w:rFonts w:cs="Calibri"/>
              </w:rPr>
            </w:pPr>
            <w:r w:rsidRPr="00DD47DF">
              <w:rPr>
                <w:rFonts w:cs="Calibri"/>
              </w:rPr>
              <w:t>Czech Venture Capital &amp; Private Equity Association</w:t>
            </w:r>
          </w:p>
        </w:tc>
        <w:tc>
          <w:tcPr>
            <w:tcW w:w="2605" w:type="pct"/>
            <w:shd w:val="clear" w:color="auto" w:fill="auto"/>
            <w:vAlign w:val="center"/>
          </w:tcPr>
          <w:p w14:paraId="7244A820" w14:textId="77777777" w:rsidR="002002C5" w:rsidRPr="00DD47DF" w:rsidRDefault="00013622" w:rsidP="00E7342F">
            <w:pPr>
              <w:pStyle w:val="Tabulka"/>
              <w:jc w:val="left"/>
              <w:rPr>
                <w:rFonts w:cs="Calibri"/>
              </w:rPr>
            </w:pPr>
            <w:hyperlink r:id="rId267" w:history="1">
              <w:r w:rsidR="002002C5" w:rsidRPr="00DD47DF">
                <w:rPr>
                  <w:rStyle w:val="Hypertextovodkaz"/>
                  <w:rFonts w:cs="Calibri"/>
                </w:rPr>
                <w:t>http://www.cvca.cz</w:t>
              </w:r>
            </w:hyperlink>
          </w:p>
        </w:tc>
      </w:tr>
    </w:tbl>
    <w:p w14:paraId="552B1862" w14:textId="77777777" w:rsidR="00400DD1" w:rsidRPr="00DD47DF"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DD47DF" w14:paraId="255DD70E" w14:textId="77777777">
        <w:trPr>
          <w:trHeight w:val="430"/>
        </w:trPr>
        <w:tc>
          <w:tcPr>
            <w:tcW w:w="5000" w:type="pct"/>
            <w:gridSpan w:val="2"/>
            <w:shd w:val="clear" w:color="auto" w:fill="DBE5F1"/>
            <w:vAlign w:val="center"/>
          </w:tcPr>
          <w:p w14:paraId="715357D7" w14:textId="77777777" w:rsidR="00400DD1" w:rsidRPr="00DD47DF" w:rsidRDefault="00400DD1" w:rsidP="005F4918">
            <w:pPr>
              <w:pStyle w:val="Tabulka"/>
              <w:rPr>
                <w:rFonts w:cs="Calibri"/>
                <w:b/>
              </w:rPr>
            </w:pPr>
            <w:r w:rsidRPr="00DD47DF">
              <w:rPr>
                <w:rFonts w:cs="Calibri"/>
                <w:b/>
              </w:rPr>
              <w:t>PS</w:t>
            </w:r>
            <w:r w:rsidR="005F4918" w:rsidRPr="00DD47DF">
              <w:rPr>
                <w:rFonts w:cs="Calibri"/>
                <w:b/>
              </w:rPr>
              <w:t xml:space="preserve"> </w:t>
            </w:r>
            <w:r w:rsidRPr="00DD47DF">
              <w:rPr>
                <w:rFonts w:cs="Calibri"/>
                <w:b/>
              </w:rPr>
              <w:t>6 „Horizontální“</w:t>
            </w:r>
          </w:p>
        </w:tc>
      </w:tr>
      <w:tr w:rsidR="00400DD1" w:rsidRPr="00DD47DF" w14:paraId="4F63282C" w14:textId="77777777">
        <w:trPr>
          <w:trHeight w:val="414"/>
        </w:trPr>
        <w:tc>
          <w:tcPr>
            <w:tcW w:w="2395" w:type="pct"/>
            <w:shd w:val="clear" w:color="auto" w:fill="auto"/>
            <w:vAlign w:val="center"/>
          </w:tcPr>
          <w:p w14:paraId="1C1008FB" w14:textId="77777777" w:rsidR="00400DD1" w:rsidRPr="00DD47DF" w:rsidRDefault="00400DD1" w:rsidP="00F23CDB">
            <w:pPr>
              <w:pStyle w:val="Tabulka"/>
              <w:jc w:val="left"/>
              <w:rPr>
                <w:rFonts w:cs="Calibri"/>
              </w:rPr>
            </w:pPr>
            <w:r w:rsidRPr="00DD47DF">
              <w:rPr>
                <w:rFonts w:cs="Calibri"/>
              </w:rPr>
              <w:t>M</w:t>
            </w:r>
            <w:r w:rsidR="000E47D9" w:rsidRPr="00DD47DF">
              <w:rPr>
                <w:rFonts w:cs="Calibri"/>
              </w:rPr>
              <w:t>inisterstvo pro místní rozvoj</w:t>
            </w:r>
          </w:p>
        </w:tc>
        <w:tc>
          <w:tcPr>
            <w:tcW w:w="2605" w:type="pct"/>
            <w:shd w:val="clear" w:color="auto" w:fill="auto"/>
            <w:vAlign w:val="center"/>
          </w:tcPr>
          <w:p w14:paraId="2E35574E" w14:textId="77777777" w:rsidR="00400DD1" w:rsidRPr="00DD47DF" w:rsidRDefault="00013622" w:rsidP="00F23CDB">
            <w:pPr>
              <w:pStyle w:val="Tabulka"/>
              <w:jc w:val="left"/>
              <w:rPr>
                <w:rFonts w:cs="Calibri"/>
              </w:rPr>
            </w:pPr>
            <w:hyperlink r:id="rId268" w:history="1">
              <w:r w:rsidR="00400DD1" w:rsidRPr="00DD47DF">
                <w:rPr>
                  <w:rStyle w:val="Hypertextovodkaz"/>
                  <w:rFonts w:cs="Calibri"/>
                  <w:bCs/>
                </w:rPr>
                <w:t>http://www.mmr.cz/cs/Uvodni-strana</w:t>
              </w:r>
            </w:hyperlink>
          </w:p>
        </w:tc>
      </w:tr>
      <w:tr w:rsidR="00400DD1" w:rsidRPr="00DD47DF" w14:paraId="1C2BA598" w14:textId="77777777">
        <w:trPr>
          <w:trHeight w:val="414"/>
        </w:trPr>
        <w:tc>
          <w:tcPr>
            <w:tcW w:w="2395" w:type="pct"/>
            <w:shd w:val="clear" w:color="auto" w:fill="auto"/>
            <w:vAlign w:val="center"/>
          </w:tcPr>
          <w:p w14:paraId="2A08FBD9" w14:textId="77777777" w:rsidR="00400DD1" w:rsidRPr="00DD47DF" w:rsidRDefault="00400DD1" w:rsidP="00F23CDB">
            <w:pPr>
              <w:pStyle w:val="Tabulka"/>
              <w:jc w:val="left"/>
              <w:rPr>
                <w:rFonts w:cs="Calibri"/>
              </w:rPr>
            </w:pPr>
            <w:r w:rsidRPr="00DD47DF">
              <w:rPr>
                <w:rFonts w:cs="Calibri"/>
              </w:rPr>
              <w:lastRenderedPageBreak/>
              <w:t>Svaz měst a obcí ČR</w:t>
            </w:r>
          </w:p>
        </w:tc>
        <w:tc>
          <w:tcPr>
            <w:tcW w:w="2605" w:type="pct"/>
            <w:shd w:val="clear" w:color="auto" w:fill="auto"/>
            <w:vAlign w:val="center"/>
          </w:tcPr>
          <w:p w14:paraId="35B281D5" w14:textId="77777777" w:rsidR="00400DD1" w:rsidRPr="00DD47DF" w:rsidRDefault="00013622" w:rsidP="00F23CDB">
            <w:pPr>
              <w:pStyle w:val="Tabulka"/>
              <w:jc w:val="left"/>
              <w:rPr>
                <w:rFonts w:cs="Calibri"/>
              </w:rPr>
            </w:pPr>
            <w:hyperlink r:id="rId269" w:history="1">
              <w:r w:rsidR="00400DD1" w:rsidRPr="00DD47DF">
                <w:rPr>
                  <w:rStyle w:val="Hypertextovodkaz"/>
                  <w:rFonts w:cs="Calibri"/>
                  <w:bCs/>
                </w:rPr>
                <w:t>http://www.smocr.cz/</w:t>
              </w:r>
            </w:hyperlink>
            <w:r w:rsidR="00400DD1" w:rsidRPr="00DD47DF">
              <w:rPr>
                <w:rFonts w:cs="Calibri"/>
              </w:rPr>
              <w:t xml:space="preserve"> </w:t>
            </w:r>
          </w:p>
        </w:tc>
      </w:tr>
      <w:tr w:rsidR="00400DD1" w:rsidRPr="00DD47DF" w14:paraId="62553FD1" w14:textId="77777777">
        <w:trPr>
          <w:trHeight w:val="414"/>
        </w:trPr>
        <w:tc>
          <w:tcPr>
            <w:tcW w:w="2395" w:type="pct"/>
            <w:shd w:val="clear" w:color="auto" w:fill="auto"/>
            <w:vAlign w:val="center"/>
          </w:tcPr>
          <w:p w14:paraId="517C6A32" w14:textId="77777777" w:rsidR="00400DD1" w:rsidRPr="00DD47DF" w:rsidRDefault="00400DD1" w:rsidP="00F23CDB">
            <w:pPr>
              <w:pStyle w:val="Tabulka"/>
              <w:jc w:val="left"/>
              <w:rPr>
                <w:rFonts w:cs="Calibri"/>
              </w:rPr>
            </w:pPr>
            <w:r w:rsidRPr="00DD47DF">
              <w:rPr>
                <w:rFonts w:cs="Calibri"/>
              </w:rPr>
              <w:t>Česká bankovní asociace</w:t>
            </w:r>
          </w:p>
        </w:tc>
        <w:tc>
          <w:tcPr>
            <w:tcW w:w="2605" w:type="pct"/>
            <w:shd w:val="clear" w:color="auto" w:fill="auto"/>
            <w:vAlign w:val="center"/>
          </w:tcPr>
          <w:p w14:paraId="2D02DFED" w14:textId="77777777" w:rsidR="00400DD1" w:rsidRPr="00DD47DF" w:rsidRDefault="00013622" w:rsidP="00F23CDB">
            <w:pPr>
              <w:pStyle w:val="Tabulka"/>
              <w:jc w:val="left"/>
              <w:rPr>
                <w:rFonts w:cs="Calibri"/>
              </w:rPr>
            </w:pPr>
            <w:hyperlink r:id="rId270" w:history="1">
              <w:r w:rsidR="00184A61" w:rsidRPr="00DD47DF">
                <w:rPr>
                  <w:rStyle w:val="Hypertextovodkaz"/>
                  <w:rFonts w:cs="Calibri"/>
                  <w:bCs/>
                </w:rPr>
                <w:t>https://www.czech-ba.cz/</w:t>
              </w:r>
            </w:hyperlink>
          </w:p>
        </w:tc>
      </w:tr>
      <w:tr w:rsidR="00184A61" w:rsidRPr="00DD47DF" w14:paraId="69A126BD" w14:textId="77777777">
        <w:trPr>
          <w:trHeight w:val="414"/>
        </w:trPr>
        <w:tc>
          <w:tcPr>
            <w:tcW w:w="2395" w:type="pct"/>
            <w:shd w:val="clear" w:color="auto" w:fill="auto"/>
            <w:vAlign w:val="center"/>
          </w:tcPr>
          <w:p w14:paraId="7B7E2205" w14:textId="77777777" w:rsidR="00184A61" w:rsidRPr="00DD47DF" w:rsidRDefault="00184A61" w:rsidP="00F23CDB">
            <w:pPr>
              <w:pStyle w:val="Tabulka"/>
              <w:jc w:val="left"/>
              <w:rPr>
                <w:rFonts w:cs="Calibri"/>
              </w:rPr>
            </w:pPr>
            <w:r w:rsidRPr="00DD47DF">
              <w:rPr>
                <w:rFonts w:cs="Calibri"/>
              </w:rPr>
              <w:t>Českomoravská záruční a rozvojová banka, a.s.</w:t>
            </w:r>
          </w:p>
        </w:tc>
        <w:tc>
          <w:tcPr>
            <w:tcW w:w="2605" w:type="pct"/>
            <w:shd w:val="clear" w:color="auto" w:fill="auto"/>
            <w:vAlign w:val="center"/>
          </w:tcPr>
          <w:p w14:paraId="30EC05A4" w14:textId="77777777" w:rsidR="00184A61" w:rsidRPr="00DD47DF" w:rsidRDefault="00013622" w:rsidP="00F23CDB">
            <w:pPr>
              <w:pStyle w:val="Tabulka"/>
              <w:jc w:val="left"/>
              <w:rPr>
                <w:rFonts w:cs="Calibri"/>
              </w:rPr>
            </w:pPr>
            <w:hyperlink r:id="rId271" w:history="1">
              <w:r w:rsidR="00184A61" w:rsidRPr="00DD47DF">
                <w:rPr>
                  <w:rStyle w:val="Hypertextovodkaz"/>
                  <w:rFonts w:cs="Calibri"/>
                </w:rPr>
                <w:t>http://cmzrb.cz</w:t>
              </w:r>
            </w:hyperlink>
            <w:r w:rsidR="00184A61" w:rsidRPr="00DD47DF">
              <w:rPr>
                <w:rFonts w:cs="Calibri"/>
              </w:rPr>
              <w:t xml:space="preserve"> </w:t>
            </w:r>
          </w:p>
        </w:tc>
      </w:tr>
      <w:bookmarkEnd w:id="151"/>
    </w:tbl>
    <w:p w14:paraId="66580968" w14:textId="77777777" w:rsidR="009B27F6" w:rsidRPr="00DD47DF" w:rsidRDefault="009B27F6" w:rsidP="009B27F6">
      <w:pPr>
        <w:pStyle w:val="Standardntext"/>
      </w:pPr>
    </w:p>
    <w:p w14:paraId="5A6DD86F" w14:textId="77777777" w:rsidR="009B27F6" w:rsidRPr="00DD47DF" w:rsidRDefault="009B27F6" w:rsidP="009B27F6">
      <w:pPr>
        <w:pStyle w:val="Standardntext"/>
      </w:pPr>
    </w:p>
    <w:p w14:paraId="43150B9E" w14:textId="77777777" w:rsidR="00AA042C" w:rsidRPr="00DD47DF" w:rsidRDefault="0084765A" w:rsidP="00E134D0">
      <w:pPr>
        <w:pStyle w:val="Nadpis2"/>
        <w:numPr>
          <w:ilvl w:val="0"/>
          <w:numId w:val="0"/>
        </w:numPr>
        <w:ind w:left="576" w:hanging="576"/>
        <w:rPr>
          <w:rFonts w:cs="Calibri"/>
        </w:rPr>
      </w:pPr>
      <w:bookmarkStart w:id="153" w:name="_Toc129005474"/>
      <w:r w:rsidRPr="00DD47DF">
        <w:rPr>
          <w:rFonts w:cs="Calibri"/>
        </w:rPr>
        <w:t>P</w:t>
      </w:r>
      <w:r w:rsidR="00E134D0" w:rsidRPr="00DD47DF">
        <w:rPr>
          <w:rFonts w:cs="Calibri"/>
        </w:rPr>
        <w:t>ŘÍLOHY</w:t>
      </w:r>
      <w:r w:rsidRPr="00DD47DF">
        <w:rPr>
          <w:rFonts w:cs="Calibri"/>
        </w:rPr>
        <w:t xml:space="preserve"> </w:t>
      </w:r>
      <w:r w:rsidR="00E134D0" w:rsidRPr="00DD47DF">
        <w:rPr>
          <w:rFonts w:cs="Calibri"/>
        </w:rPr>
        <w:t>(nahrány do systému pro elektronickou výměnu dat jako samostatné soubory)</w:t>
      </w:r>
      <w:bookmarkEnd w:id="153"/>
    </w:p>
    <w:p w14:paraId="196B7874" w14:textId="77777777" w:rsidR="007F55D2" w:rsidRPr="00DD47DF" w:rsidRDefault="004D0D1E" w:rsidP="00DA3512">
      <w:pPr>
        <w:pStyle w:val="Standardntext"/>
        <w:numPr>
          <w:ilvl w:val="0"/>
          <w:numId w:val="75"/>
        </w:numPr>
        <w:ind w:left="426"/>
      </w:pPr>
      <w:r w:rsidRPr="00DD47DF">
        <w:t>N</w:t>
      </w:r>
      <w:r w:rsidR="00E134D0" w:rsidRPr="00DD47DF">
        <w:t>ávrh zprávy o hodnocení ex ante a shrnutí (povinné)</w:t>
      </w:r>
    </w:p>
    <w:p w14:paraId="4AF8BBA1" w14:textId="77777777" w:rsidR="003D1B35" w:rsidRPr="00DD47DF" w:rsidRDefault="004D0D1E" w:rsidP="00DA3512">
      <w:pPr>
        <w:pStyle w:val="Standardntext"/>
        <w:numPr>
          <w:ilvl w:val="0"/>
          <w:numId w:val="75"/>
        </w:numPr>
        <w:ind w:left="426"/>
      </w:pPr>
      <w:r w:rsidRPr="00DD47DF">
        <w:t>D</w:t>
      </w:r>
      <w:r w:rsidR="00E134D0" w:rsidRPr="00DD47DF">
        <w:t>okumentace o posouzení použitelnosti a plnění předběžných podmínek (je-li žádoucí)</w:t>
      </w:r>
    </w:p>
    <w:p w14:paraId="4342DFE3" w14:textId="77777777" w:rsidR="003D1B35" w:rsidRPr="00DD47DF" w:rsidRDefault="004D0D1E" w:rsidP="00DA3512">
      <w:pPr>
        <w:pStyle w:val="Standardntext"/>
        <w:numPr>
          <w:ilvl w:val="0"/>
          <w:numId w:val="75"/>
        </w:numPr>
        <w:ind w:left="426"/>
      </w:pPr>
      <w:r w:rsidRPr="00DD47DF">
        <w:t>S</w:t>
      </w:r>
      <w:r w:rsidR="00E134D0" w:rsidRPr="00DD47DF">
        <w:t>hrnutí operačního programu pro veřejnost (je-li žádoucí)</w:t>
      </w:r>
    </w:p>
    <w:p w14:paraId="7793DD7B" w14:textId="77777777" w:rsidR="00681577" w:rsidRPr="00DD47DF" w:rsidRDefault="00681577" w:rsidP="00DA3512">
      <w:pPr>
        <w:pStyle w:val="Standardntext"/>
        <w:numPr>
          <w:ilvl w:val="0"/>
          <w:numId w:val="75"/>
        </w:numPr>
        <w:ind w:left="426"/>
      </w:pPr>
      <w:r w:rsidRPr="00DD47DF">
        <w:t>Stanovisko Ministerstva životního prostředí podle zákona č. 100/2001 Sb., o posuzování vlivů na životní prostředí a o změně některých souvisejících zákonů, k návrhu koncepce „Operační program Podnikání a inovace pro konkurenceschopnost 2014 - 2020“</w:t>
      </w:r>
    </w:p>
    <w:p w14:paraId="7EA4A59A" w14:textId="77777777" w:rsidR="004D0D1E" w:rsidRPr="00DD47DF" w:rsidRDefault="004D0D1E" w:rsidP="004D0D1E">
      <w:pPr>
        <w:pStyle w:val="Standardntext"/>
        <w:ind w:left="66"/>
        <w:rPr>
          <w:b/>
        </w:rPr>
      </w:pPr>
    </w:p>
    <w:p w14:paraId="0D71F0C5" w14:textId="77777777" w:rsidR="004D0D1E" w:rsidRPr="00DD47DF" w:rsidRDefault="004D0D1E" w:rsidP="004D0D1E">
      <w:pPr>
        <w:pStyle w:val="Standardntext"/>
        <w:ind w:left="66"/>
        <w:rPr>
          <w:b/>
        </w:rPr>
      </w:pPr>
      <w:r w:rsidRPr="00DD47DF">
        <w:rPr>
          <w:b/>
        </w:rPr>
        <w:t>Nepovinné přílohy Operačního programu:</w:t>
      </w:r>
    </w:p>
    <w:p w14:paraId="672E77BA" w14:textId="77777777" w:rsidR="00811581" w:rsidRPr="00DD47DF" w:rsidRDefault="00811581" w:rsidP="00DA3512">
      <w:pPr>
        <w:pStyle w:val="Standardntext"/>
        <w:numPr>
          <w:ilvl w:val="0"/>
          <w:numId w:val="74"/>
        </w:numPr>
        <w:ind w:left="426"/>
      </w:pPr>
      <w:r w:rsidRPr="00DD47DF">
        <w:t>Zhodnocení zkušeností z programovacího období 2007-2013</w:t>
      </w:r>
    </w:p>
    <w:p w14:paraId="7CB40351" w14:textId="77777777" w:rsidR="00D3716C" w:rsidRPr="00DD47DF" w:rsidRDefault="00CB48D4" w:rsidP="00DA3512">
      <w:pPr>
        <w:pStyle w:val="Standardntext"/>
        <w:numPr>
          <w:ilvl w:val="0"/>
          <w:numId w:val="74"/>
        </w:numPr>
        <w:ind w:left="426"/>
      </w:pPr>
      <w:r w:rsidRPr="00DD47DF">
        <w:t>Vazba Operačního programu na klíčové strategické dokumenty</w:t>
      </w:r>
    </w:p>
    <w:p w14:paraId="20F03815" w14:textId="77777777" w:rsidR="004D0D1E" w:rsidRPr="00DD47DF" w:rsidRDefault="00436868" w:rsidP="00DA3512">
      <w:pPr>
        <w:pStyle w:val="Standardntext"/>
        <w:numPr>
          <w:ilvl w:val="0"/>
          <w:numId w:val="74"/>
        </w:numPr>
        <w:ind w:left="426"/>
      </w:pPr>
      <w:r w:rsidRPr="00DD47DF">
        <w:t>Základní principy monitorování a vyhodnocování OP PIK</w:t>
      </w:r>
    </w:p>
    <w:p w14:paraId="3AA448A2" w14:textId="77777777" w:rsidR="00941AC0" w:rsidRPr="00DD47DF" w:rsidRDefault="004D0D1E" w:rsidP="00DA3512">
      <w:pPr>
        <w:pStyle w:val="Standardntext"/>
        <w:numPr>
          <w:ilvl w:val="0"/>
          <w:numId w:val="74"/>
        </w:numPr>
        <w:ind w:left="426"/>
      </w:pPr>
      <w:r w:rsidRPr="00DD47DF">
        <w:t>Synergie a komplementarity</w:t>
      </w:r>
    </w:p>
    <w:p w14:paraId="4B8341DF" w14:textId="77777777" w:rsidR="00A92A82" w:rsidRDefault="00A92A82" w:rsidP="00DA3512">
      <w:pPr>
        <w:pStyle w:val="Standardntext"/>
        <w:numPr>
          <w:ilvl w:val="0"/>
          <w:numId w:val="74"/>
        </w:numPr>
        <w:ind w:left="426"/>
      </w:pPr>
      <w:r w:rsidRPr="00DD47DF">
        <w:t>Typové projekty specifického cíle 3.6</w:t>
      </w:r>
    </w:p>
    <w:p w14:paraId="38AC1D5A" w14:textId="40D4873B" w:rsidR="009E0DDE" w:rsidRPr="00DD47DF" w:rsidRDefault="00EC5F4F" w:rsidP="00223029">
      <w:pPr>
        <w:pStyle w:val="Standardntext"/>
        <w:numPr>
          <w:ilvl w:val="0"/>
          <w:numId w:val="74"/>
        </w:numPr>
        <w:ind w:left="426"/>
      </w:pPr>
      <w:r w:rsidRPr="00EC5F4F">
        <w:t>Seznam obcí – podporovaných specifických oblastí, a teritoriální vymezení režimu regionální podpory zaměřeného na cestovní ruch ve specifickém cíli 2.3</w:t>
      </w:r>
    </w:p>
    <w:sectPr w:rsidR="009E0DDE" w:rsidRPr="00DD47DF" w:rsidSect="00A870BF">
      <w:headerReference w:type="default" r:id="rId272"/>
      <w:footerReference w:type="default" r:id="rId273"/>
      <w:pgSz w:w="11906" w:h="16838"/>
      <w:pgMar w:top="1418" w:right="1276" w:bottom="1276"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5BA269" w14:textId="77777777" w:rsidR="00B050B4" w:rsidRDefault="00B050B4" w:rsidP="00F03E3C">
      <w:r>
        <w:separator/>
      </w:r>
    </w:p>
  </w:endnote>
  <w:endnote w:type="continuationSeparator" w:id="0">
    <w:p w14:paraId="0795A6DF" w14:textId="77777777" w:rsidR="00B050B4" w:rsidRDefault="00B050B4" w:rsidP="00F03E3C">
      <w:r>
        <w:continuationSeparator/>
      </w:r>
    </w:p>
  </w:endnote>
  <w:endnote w:type="continuationNotice" w:id="1">
    <w:p w14:paraId="1FF40B78" w14:textId="77777777" w:rsidR="00B050B4" w:rsidRDefault="00B050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488DA" w14:textId="77777777" w:rsidR="00B050B4" w:rsidRDefault="00B050B4" w:rsidP="00297A5A">
    <w:pPr>
      <w:pStyle w:val="Zpat"/>
      <w:tabs>
        <w:tab w:val="clear" w:pos="9072"/>
        <w:tab w:val="left" w:pos="6549"/>
        <w:tab w:val="left" w:pos="7137"/>
        <w:tab w:val="right" w:pos="9212"/>
      </w:tabs>
      <w:jc w:val="left"/>
    </w:pPr>
    <w:r>
      <w:rPr>
        <w:noProof/>
      </w:rPr>
      <w:drawing>
        <wp:anchor distT="0" distB="0" distL="114300" distR="114300" simplePos="0" relativeHeight="251603456" behindDoc="1" locked="0" layoutInCell="1" allowOverlap="0" wp14:anchorId="5032F749" wp14:editId="5EB25391">
          <wp:simplePos x="0" y="0"/>
          <wp:positionH relativeFrom="column">
            <wp:posOffset>4018280</wp:posOffset>
          </wp:positionH>
          <wp:positionV relativeFrom="page">
            <wp:posOffset>9901555</wp:posOffset>
          </wp:positionV>
          <wp:extent cx="1846580" cy="359410"/>
          <wp:effectExtent l="0" t="0" r="1270" b="2540"/>
          <wp:wrapTight wrapText="bothSides">
            <wp:wrapPolygon edited="0">
              <wp:start x="0" y="0"/>
              <wp:lineTo x="0" y="20608"/>
              <wp:lineTo x="21392" y="20608"/>
              <wp:lineTo x="21392" y="0"/>
              <wp:lineTo x="0" y="0"/>
            </wp:wrapPolygon>
          </wp:wrapTight>
          <wp:docPr id="6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tab/>
    </w:r>
    <w:r>
      <w:tab/>
    </w:r>
    <w:r>
      <w:tab/>
    </w:r>
    <w:r>
      <w:tab/>
    </w:r>
    <w:r>
      <w:fldChar w:fldCharType="begin"/>
    </w:r>
    <w:r>
      <w:instrText>PAGE   \* MERGEFORMAT</w:instrText>
    </w:r>
    <w:r>
      <w:fldChar w:fldCharType="separate"/>
    </w:r>
    <w:r>
      <w:rPr>
        <w:noProof/>
      </w:rPr>
      <w:t>3</w:t>
    </w:r>
    <w:r>
      <w:rPr>
        <w:noProof/>
      </w:rPr>
      <w:fldChar w:fldCharType="end"/>
    </w:r>
  </w:p>
  <w:p w14:paraId="58B31292" w14:textId="77777777" w:rsidR="00B050B4" w:rsidRDefault="00B050B4" w:rsidP="0056085D">
    <w:pPr>
      <w:pStyle w:val="Zpat"/>
      <w:tabs>
        <w:tab w:val="left" w:pos="6274"/>
        <w:tab w:val="left" w:pos="6585"/>
        <w:tab w:val="left" w:pos="7515"/>
        <w:tab w:val="left" w:pos="8370"/>
      </w:tabs>
      <w:jc w:val="left"/>
    </w:pPr>
    <w:r>
      <w:tab/>
    </w:r>
    <w:r>
      <w:tab/>
      <w:t xml:space="preserve"> </w:t>
    </w:r>
    <w:r>
      <w:tab/>
    </w:r>
    <w:r>
      <w:tab/>
    </w:r>
    <w:r>
      <w:tab/>
    </w: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F460" w14:textId="77777777" w:rsidR="00B050B4" w:rsidRDefault="00B050B4" w:rsidP="00FA5EE8">
    <w:pPr>
      <w:pStyle w:val="Zpat"/>
      <w:tabs>
        <w:tab w:val="clear" w:pos="9072"/>
      </w:tabs>
      <w:jc w:val="right"/>
    </w:pPr>
    <w:r>
      <w:rPr>
        <w:noProof/>
      </w:rPr>
      <w:drawing>
        <wp:anchor distT="0" distB="0" distL="114300" distR="114300" simplePos="0" relativeHeight="251686400" behindDoc="1" locked="0" layoutInCell="1" allowOverlap="0" wp14:anchorId="3FDB0E12" wp14:editId="3633DA37">
          <wp:simplePos x="0" y="0"/>
          <wp:positionH relativeFrom="column">
            <wp:posOffset>7170420</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4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94</w:t>
    </w:r>
    <w:r>
      <w:rPr>
        <w:noProof/>
      </w:rPr>
      <w:fldChar w:fldCharType="end"/>
    </w:r>
  </w:p>
  <w:p w14:paraId="3FDD0B20"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13E02" w14:textId="77777777" w:rsidR="00B050B4" w:rsidRDefault="00B050B4" w:rsidP="00FA5EE8">
    <w:pPr>
      <w:pStyle w:val="Zpat"/>
      <w:tabs>
        <w:tab w:val="clear" w:pos="9072"/>
      </w:tabs>
      <w:jc w:val="right"/>
    </w:pPr>
    <w:r>
      <w:rPr>
        <w:noProof/>
      </w:rPr>
      <w:drawing>
        <wp:anchor distT="0" distB="0" distL="114300" distR="114300" simplePos="0" relativeHeight="251680256" behindDoc="1" locked="0" layoutInCell="1" allowOverlap="0" wp14:anchorId="5D12D6A3" wp14:editId="3DAB5076">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1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130</w:t>
    </w:r>
    <w:r>
      <w:rPr>
        <w:noProof/>
      </w:rPr>
      <w:fldChar w:fldCharType="end"/>
    </w:r>
  </w:p>
  <w:p w14:paraId="52D4B0E9"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C62A2" w14:textId="77777777" w:rsidR="00B050B4" w:rsidRDefault="00B050B4" w:rsidP="00FA5EE8">
    <w:pPr>
      <w:pStyle w:val="Zpat"/>
      <w:tabs>
        <w:tab w:val="clear" w:pos="9072"/>
      </w:tabs>
      <w:jc w:val="right"/>
    </w:pPr>
    <w:r>
      <w:rPr>
        <w:noProof/>
      </w:rPr>
      <w:drawing>
        <wp:anchor distT="0" distB="0" distL="114300" distR="114300" simplePos="0" relativeHeight="251698688" behindDoc="1" locked="0" layoutInCell="1" allowOverlap="0" wp14:anchorId="62789F48" wp14:editId="603C4879">
          <wp:simplePos x="0" y="0"/>
          <wp:positionH relativeFrom="column">
            <wp:posOffset>7127875</wp:posOffset>
          </wp:positionH>
          <wp:positionV relativeFrom="page">
            <wp:posOffset>6762115</wp:posOffset>
          </wp:positionV>
          <wp:extent cx="1846580" cy="359410"/>
          <wp:effectExtent l="0" t="0" r="1270" b="2540"/>
          <wp:wrapTight wrapText="bothSides">
            <wp:wrapPolygon edited="0">
              <wp:start x="0" y="0"/>
              <wp:lineTo x="0" y="20608"/>
              <wp:lineTo x="21392" y="20608"/>
              <wp:lineTo x="21392" y="0"/>
              <wp:lineTo x="0" y="0"/>
            </wp:wrapPolygon>
          </wp:wrapTight>
          <wp:docPr id="1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133</w:t>
    </w:r>
    <w:r>
      <w:rPr>
        <w:noProof/>
      </w:rPr>
      <w:fldChar w:fldCharType="end"/>
    </w:r>
  </w:p>
  <w:p w14:paraId="37009454"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2ED41" w14:textId="77777777" w:rsidR="00B050B4" w:rsidRDefault="00B050B4" w:rsidP="00FA5EE8">
    <w:pPr>
      <w:pStyle w:val="Zpat"/>
      <w:tabs>
        <w:tab w:val="clear" w:pos="9072"/>
      </w:tabs>
      <w:jc w:val="right"/>
    </w:pPr>
    <w:r>
      <w:rPr>
        <w:noProof/>
      </w:rPr>
      <w:drawing>
        <wp:anchor distT="0" distB="0" distL="114300" distR="114300" simplePos="0" relativeHeight="251696640" behindDoc="1" locked="0" layoutInCell="1" allowOverlap="0" wp14:anchorId="3A0659FA" wp14:editId="152EFCF5">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2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144</w:t>
    </w:r>
    <w:r>
      <w:rPr>
        <w:noProof/>
      </w:rPr>
      <w:fldChar w:fldCharType="end"/>
    </w:r>
  </w:p>
  <w:p w14:paraId="3414B8B2"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E5B25" w14:textId="77777777" w:rsidR="00B050B4" w:rsidRDefault="00B050B4" w:rsidP="00FA5EE8">
    <w:pPr>
      <w:pStyle w:val="Zpat"/>
      <w:tabs>
        <w:tab w:val="clear" w:pos="9072"/>
      </w:tabs>
      <w:jc w:val="right"/>
    </w:pPr>
    <w:r>
      <w:rPr>
        <w:noProof/>
      </w:rPr>
      <w:drawing>
        <wp:anchor distT="0" distB="0" distL="114300" distR="114300" simplePos="0" relativeHeight="251710976" behindDoc="1" locked="0" layoutInCell="1" allowOverlap="0" wp14:anchorId="700DA306" wp14:editId="6E5B41DA">
          <wp:simplePos x="0" y="0"/>
          <wp:positionH relativeFrom="column">
            <wp:posOffset>7127875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2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147</w:t>
    </w:r>
    <w:r>
      <w:rPr>
        <w:noProof/>
      </w:rPr>
      <w:fldChar w:fldCharType="end"/>
    </w:r>
  </w:p>
  <w:p w14:paraId="0D6B399D"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54880" w14:textId="77777777" w:rsidR="00B050B4" w:rsidRDefault="00B050B4" w:rsidP="00FA5EE8">
    <w:pPr>
      <w:pStyle w:val="Zpat"/>
      <w:tabs>
        <w:tab w:val="clear" w:pos="9072"/>
      </w:tabs>
      <w:jc w:val="right"/>
    </w:pPr>
    <w:r>
      <w:rPr>
        <w:noProof/>
      </w:rPr>
      <w:drawing>
        <wp:anchor distT="0" distB="0" distL="114300" distR="114300" simplePos="0" relativeHeight="251708928" behindDoc="1" locked="0" layoutInCell="1" allowOverlap="0" wp14:anchorId="6DA0D538" wp14:editId="7A0B32AF">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155</w:t>
    </w:r>
    <w:r>
      <w:rPr>
        <w:noProof/>
      </w:rPr>
      <w:fldChar w:fldCharType="end"/>
    </w:r>
  </w:p>
  <w:p w14:paraId="103B2973"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FDBE" w14:textId="77777777" w:rsidR="00B050B4" w:rsidRDefault="00B050B4" w:rsidP="00FA5EE8">
    <w:pPr>
      <w:pStyle w:val="Zpat"/>
      <w:tabs>
        <w:tab w:val="clear" w:pos="9072"/>
      </w:tabs>
      <w:jc w:val="right"/>
    </w:pPr>
    <w:r>
      <w:rPr>
        <w:noProof/>
      </w:rPr>
      <w:drawing>
        <wp:anchor distT="0" distB="0" distL="114300" distR="114300" simplePos="0" relativeHeight="251643392" behindDoc="1" locked="0" layoutInCell="1" allowOverlap="0" wp14:anchorId="65917073" wp14:editId="41CCD1E6">
          <wp:simplePos x="0" y="0"/>
          <wp:positionH relativeFrom="column">
            <wp:posOffset>7132955</wp:posOffset>
          </wp:positionH>
          <wp:positionV relativeFrom="page">
            <wp:posOffset>6753860</wp:posOffset>
          </wp:positionV>
          <wp:extent cx="1846580" cy="359410"/>
          <wp:effectExtent l="0" t="0" r="1270" b="2540"/>
          <wp:wrapTight wrapText="bothSides">
            <wp:wrapPolygon edited="0">
              <wp:start x="0" y="0"/>
              <wp:lineTo x="0" y="20608"/>
              <wp:lineTo x="21392" y="20608"/>
              <wp:lineTo x="21392" y="0"/>
              <wp:lineTo x="0" y="0"/>
            </wp:wrapPolygon>
          </wp:wrapTight>
          <wp:docPr id="33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158</w:t>
    </w:r>
    <w:r>
      <w:rPr>
        <w:noProof/>
      </w:rPr>
      <w:fldChar w:fldCharType="end"/>
    </w:r>
  </w:p>
  <w:p w14:paraId="10B81B6C" w14:textId="77777777" w:rsidR="00B050B4" w:rsidRDefault="00B050B4"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45A1B" w14:textId="77777777" w:rsidR="00B050B4" w:rsidRDefault="00B050B4" w:rsidP="00926525">
    <w:pPr>
      <w:pStyle w:val="Zpat"/>
      <w:tabs>
        <w:tab w:val="clear" w:pos="9072"/>
      </w:tabs>
      <w:jc w:val="right"/>
    </w:pPr>
    <w:r>
      <w:rPr>
        <w:noProof/>
      </w:rPr>
      <w:drawing>
        <wp:anchor distT="0" distB="0" distL="114300" distR="114300" simplePos="0" relativeHeight="251654656" behindDoc="1" locked="0" layoutInCell="1" allowOverlap="1" wp14:anchorId="5D1B4F6E" wp14:editId="73B3ECAA">
          <wp:simplePos x="0" y="0"/>
          <wp:positionH relativeFrom="column">
            <wp:posOffset>7133590</wp:posOffset>
          </wp:positionH>
          <wp:positionV relativeFrom="paragraph">
            <wp:posOffset>36195</wp:posOffset>
          </wp:positionV>
          <wp:extent cx="1847850" cy="358775"/>
          <wp:effectExtent l="0" t="0" r="0" b="3175"/>
          <wp:wrapTight wrapText="bothSides">
            <wp:wrapPolygon edited="0">
              <wp:start x="0" y="0"/>
              <wp:lineTo x="0" y="20644"/>
              <wp:lineTo x="21377" y="20644"/>
              <wp:lineTo x="21377" y="0"/>
              <wp:lineTo x="0" y="0"/>
            </wp:wrapPolygon>
          </wp:wrapTight>
          <wp:docPr id="33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58775"/>
                  </a:xfrm>
                  <a:prstGeom prst="rect">
                    <a:avLst/>
                  </a:prstGeom>
                  <a:noFill/>
                  <a:ln>
                    <a:noFill/>
                  </a:ln>
                </pic:spPr>
              </pic:pic>
            </a:graphicData>
          </a:graphic>
        </wp:anchor>
      </w:drawing>
    </w:r>
    <w:r>
      <w:tab/>
    </w:r>
    <w:r>
      <w:tab/>
    </w:r>
    <w:r>
      <w:tab/>
      <w:t xml:space="preserve">   </w:t>
    </w:r>
    <w:r>
      <w:fldChar w:fldCharType="begin"/>
    </w:r>
    <w:r>
      <w:instrText>PAGE   \* MERGEFORMAT</w:instrText>
    </w:r>
    <w:r>
      <w:fldChar w:fldCharType="separate"/>
    </w:r>
    <w:r>
      <w:rPr>
        <w:noProof/>
      </w:rPr>
      <w:t>156</w:t>
    </w:r>
    <w:r>
      <w:rPr>
        <w:noProof/>
      </w:rPr>
      <w:fldChar w:fldCharType="end"/>
    </w:r>
  </w:p>
  <w:p w14:paraId="030193E8" w14:textId="77777777" w:rsidR="00B050B4" w:rsidRDefault="00B050B4" w:rsidP="0022503D">
    <w:pPr>
      <w:pStyle w:val="Zpat"/>
      <w:jc w:val="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28E36" w14:textId="77777777" w:rsidR="00B050B4" w:rsidRDefault="00B050B4" w:rsidP="00FA5EE8">
    <w:pPr>
      <w:pStyle w:val="Zpat"/>
      <w:tabs>
        <w:tab w:val="clear" w:pos="9072"/>
      </w:tabs>
      <w:jc w:val="right"/>
    </w:pPr>
    <w:r>
      <w:rPr>
        <w:noProof/>
      </w:rPr>
      <w:drawing>
        <wp:anchor distT="0" distB="0" distL="114300" distR="114300" simplePos="0" relativeHeight="251645440" behindDoc="1" locked="0" layoutInCell="1" allowOverlap="0" wp14:anchorId="3A67A1AC" wp14:editId="6B7D137A">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3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178</w:t>
    </w:r>
    <w:r>
      <w:rPr>
        <w:noProof/>
      </w:rPr>
      <w:fldChar w:fldCharType="end"/>
    </w:r>
  </w:p>
  <w:p w14:paraId="67867060" w14:textId="77777777" w:rsidR="00B050B4" w:rsidRDefault="00B050B4"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6070E" w14:textId="77777777" w:rsidR="00B050B4" w:rsidRDefault="00B050B4" w:rsidP="00FA5EE8">
    <w:pPr>
      <w:pStyle w:val="Zpat"/>
      <w:tabs>
        <w:tab w:val="clear" w:pos="9072"/>
      </w:tabs>
      <w:jc w:val="right"/>
    </w:pPr>
    <w:r>
      <w:rPr>
        <w:noProof/>
      </w:rPr>
      <w:drawing>
        <wp:anchor distT="0" distB="0" distL="114300" distR="114300" simplePos="0" relativeHeight="251641344" behindDoc="1" locked="0" layoutInCell="1" allowOverlap="0" wp14:anchorId="33EDDD07" wp14:editId="15314DF2">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40"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181</w:t>
    </w:r>
    <w:r>
      <w:rPr>
        <w:noProof/>
      </w:rPr>
      <w:fldChar w:fldCharType="end"/>
    </w:r>
  </w:p>
  <w:p w14:paraId="74298EC8" w14:textId="77777777" w:rsidR="00B050B4" w:rsidRDefault="00B050B4"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3B091" w14:textId="77777777" w:rsidR="00B050B4" w:rsidRPr="00EA68D5" w:rsidRDefault="00B050B4" w:rsidP="00EA68D5">
    <w:pPr>
      <w:pStyle w:val="Zpat"/>
      <w:jc w:val="center"/>
      <w:rPr>
        <w:b/>
        <w:sz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EA0D" w14:textId="77777777" w:rsidR="00B050B4" w:rsidRDefault="00B050B4" w:rsidP="00FA5EE8">
    <w:pPr>
      <w:pStyle w:val="Zpat"/>
      <w:tabs>
        <w:tab w:val="clear" w:pos="9072"/>
      </w:tabs>
      <w:jc w:val="right"/>
    </w:pPr>
    <w:r>
      <w:rPr>
        <w:noProof/>
      </w:rPr>
      <w:drawing>
        <wp:anchor distT="0" distB="0" distL="114300" distR="114300" simplePos="0" relativeHeight="251635200" behindDoc="1" locked="0" layoutInCell="1" allowOverlap="0" wp14:anchorId="244010B9" wp14:editId="24A96527">
          <wp:simplePos x="0" y="0"/>
          <wp:positionH relativeFrom="column">
            <wp:posOffset>7141845</wp:posOffset>
          </wp:positionH>
          <wp:positionV relativeFrom="page">
            <wp:posOffset>6759575</wp:posOffset>
          </wp:positionV>
          <wp:extent cx="1846580" cy="359410"/>
          <wp:effectExtent l="0" t="0" r="1270" b="2540"/>
          <wp:wrapTight wrapText="bothSides">
            <wp:wrapPolygon edited="0">
              <wp:start x="0" y="0"/>
              <wp:lineTo x="0" y="20608"/>
              <wp:lineTo x="21392" y="20608"/>
              <wp:lineTo x="21392" y="0"/>
              <wp:lineTo x="0" y="0"/>
            </wp:wrapPolygon>
          </wp:wrapTight>
          <wp:docPr id="343"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238</w:t>
    </w:r>
    <w:r>
      <w:rPr>
        <w:noProof/>
      </w:rPr>
      <w:fldChar w:fldCharType="end"/>
    </w:r>
  </w:p>
  <w:p w14:paraId="7367AD71" w14:textId="77777777" w:rsidR="00B050B4" w:rsidRDefault="00B050B4"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74DA9" w14:textId="77777777" w:rsidR="00B050B4" w:rsidRDefault="00B050B4" w:rsidP="00A870BF">
    <w:pPr>
      <w:pStyle w:val="Zpat"/>
      <w:tabs>
        <w:tab w:val="clear" w:pos="9072"/>
      </w:tabs>
      <w:jc w:val="right"/>
    </w:pPr>
    <w:r>
      <w:rPr>
        <w:noProof/>
      </w:rPr>
      <w:drawing>
        <wp:anchor distT="0" distB="0" distL="114300" distR="114300" simplePos="0" relativeHeight="251661824" behindDoc="1" locked="0" layoutInCell="1" allowOverlap="0" wp14:anchorId="62C87E48" wp14:editId="0A95AB22">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5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251</w:t>
    </w:r>
    <w:r>
      <w:rPr>
        <w:noProof/>
      </w:rPr>
      <w:fldChar w:fldCharType="end"/>
    </w:r>
  </w:p>
  <w:p w14:paraId="257B15C0" w14:textId="77777777" w:rsidR="00B050B4" w:rsidRPr="00A870BF" w:rsidRDefault="00B050B4" w:rsidP="00A870BF">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DF20" w14:textId="77777777" w:rsidR="00B050B4" w:rsidRDefault="00B050B4" w:rsidP="00FA5EE8">
    <w:pPr>
      <w:pStyle w:val="Zpat"/>
      <w:tabs>
        <w:tab w:val="clear" w:pos="9072"/>
      </w:tabs>
      <w:jc w:val="right"/>
    </w:pPr>
    <w:r>
      <w:rPr>
        <w:noProof/>
      </w:rPr>
      <w:drawing>
        <wp:anchor distT="0" distB="0" distL="114300" distR="114300" simplePos="0" relativeHeight="251618816" behindDoc="1" locked="0" layoutInCell="1" allowOverlap="0" wp14:anchorId="68CB07D0" wp14:editId="5E6ED05F">
          <wp:simplePos x="0" y="0"/>
          <wp:positionH relativeFrom="column">
            <wp:posOffset>4017645</wp:posOffset>
          </wp:positionH>
          <wp:positionV relativeFrom="page">
            <wp:posOffset>9885680</wp:posOffset>
          </wp:positionV>
          <wp:extent cx="1846580" cy="359410"/>
          <wp:effectExtent l="0" t="0" r="1270" b="2540"/>
          <wp:wrapTight wrapText="bothSides">
            <wp:wrapPolygon edited="0">
              <wp:start x="0" y="0"/>
              <wp:lineTo x="0" y="20608"/>
              <wp:lineTo x="21392" y="20608"/>
              <wp:lineTo x="21392" y="0"/>
              <wp:lineTo x="0" y="0"/>
            </wp:wrapPolygon>
          </wp:wrapTight>
          <wp:docPr id="292"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3</w:t>
    </w:r>
    <w:r>
      <w:rPr>
        <w:noProof/>
      </w:rPr>
      <w:fldChar w:fldCharType="end"/>
    </w:r>
  </w:p>
  <w:p w14:paraId="4C2F8ED7" w14:textId="77777777" w:rsidR="00B050B4" w:rsidRDefault="00B050B4"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C2067" w14:textId="77777777" w:rsidR="00B050B4" w:rsidRDefault="00B050B4" w:rsidP="00FA5EE8">
    <w:pPr>
      <w:pStyle w:val="Zpat"/>
      <w:tabs>
        <w:tab w:val="clear" w:pos="9072"/>
      </w:tabs>
      <w:jc w:val="right"/>
    </w:pPr>
    <w:r>
      <w:rPr>
        <w:noProof/>
      </w:rPr>
      <w:drawing>
        <wp:anchor distT="0" distB="0" distL="114300" distR="114300" simplePos="0" relativeHeight="251629056" behindDoc="1" locked="0" layoutInCell="1" allowOverlap="0" wp14:anchorId="0D0519B8" wp14:editId="7EF6FAF1">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295"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48</w:t>
    </w:r>
    <w:r>
      <w:rPr>
        <w:noProof/>
      </w:rPr>
      <w:fldChar w:fldCharType="end"/>
    </w:r>
  </w:p>
  <w:p w14:paraId="5B241431" w14:textId="77777777" w:rsidR="00B050B4" w:rsidRDefault="00B050B4"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640D5" w14:textId="77777777" w:rsidR="00B050B4" w:rsidRDefault="00B050B4" w:rsidP="00FA5EE8">
    <w:pPr>
      <w:pStyle w:val="Zpat"/>
      <w:tabs>
        <w:tab w:val="clear" w:pos="9072"/>
      </w:tabs>
      <w:jc w:val="right"/>
    </w:pPr>
    <w:r>
      <w:rPr>
        <w:noProof/>
      </w:rPr>
      <w:drawing>
        <wp:anchor distT="0" distB="0" distL="114300" distR="114300" simplePos="0" relativeHeight="251622912" behindDoc="1" locked="0" layoutInCell="1" allowOverlap="0" wp14:anchorId="2AE9000E" wp14:editId="17A4C824">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29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51</w:t>
    </w:r>
    <w:r>
      <w:rPr>
        <w:noProof/>
      </w:rPr>
      <w:fldChar w:fldCharType="end"/>
    </w:r>
  </w:p>
  <w:p w14:paraId="4A01EA18" w14:textId="77777777" w:rsidR="00B050B4" w:rsidRDefault="00B050B4"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0DC59" w14:textId="77777777" w:rsidR="00B050B4" w:rsidRDefault="00B050B4" w:rsidP="00FA5EE8">
    <w:pPr>
      <w:pStyle w:val="Zpat"/>
      <w:tabs>
        <w:tab w:val="clear" w:pos="9072"/>
      </w:tabs>
      <w:jc w:val="right"/>
    </w:pPr>
    <w:r>
      <w:rPr>
        <w:noProof/>
      </w:rPr>
      <w:drawing>
        <wp:anchor distT="0" distB="0" distL="114300" distR="114300" simplePos="0" relativeHeight="251620864" behindDoc="1" locked="0" layoutInCell="1" allowOverlap="0" wp14:anchorId="263791F4" wp14:editId="6454B545">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2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55</w:t>
    </w:r>
    <w:r>
      <w:rPr>
        <w:noProof/>
      </w:rPr>
      <w:fldChar w:fldCharType="end"/>
    </w:r>
  </w:p>
  <w:p w14:paraId="02322325" w14:textId="77777777" w:rsidR="00B050B4" w:rsidRDefault="00B050B4"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1F837" w14:textId="77777777" w:rsidR="00B050B4" w:rsidRDefault="00B050B4" w:rsidP="00FA5EE8">
    <w:pPr>
      <w:pStyle w:val="Zpat"/>
      <w:tabs>
        <w:tab w:val="clear" w:pos="9072"/>
      </w:tabs>
      <w:jc w:val="right"/>
    </w:pPr>
    <w:r>
      <w:rPr>
        <w:noProof/>
      </w:rPr>
      <w:drawing>
        <wp:anchor distT="0" distB="0" distL="114300" distR="114300" simplePos="0" relativeHeight="251665920" behindDoc="1" locked="0" layoutInCell="1" allowOverlap="0" wp14:anchorId="3B25B758" wp14:editId="633F1D87">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68</w:t>
    </w:r>
    <w:r>
      <w:rPr>
        <w:noProof/>
      </w:rPr>
      <w:fldChar w:fldCharType="end"/>
    </w:r>
  </w:p>
  <w:p w14:paraId="72AC404D"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F0353" w14:textId="77777777" w:rsidR="00B050B4" w:rsidRDefault="00B050B4" w:rsidP="00FA5EE8">
    <w:pPr>
      <w:pStyle w:val="Zpat"/>
      <w:tabs>
        <w:tab w:val="clear" w:pos="9072"/>
      </w:tabs>
      <w:jc w:val="right"/>
    </w:pPr>
    <w:r>
      <w:rPr>
        <w:noProof/>
      </w:rPr>
      <w:drawing>
        <wp:anchor distT="0" distB="0" distL="114300" distR="114300" simplePos="0" relativeHeight="251667968" behindDoc="1" locked="0" layoutInCell="1" allowOverlap="0" wp14:anchorId="0759D28C" wp14:editId="6258A7B5">
          <wp:simplePos x="0" y="0"/>
          <wp:positionH relativeFrom="column">
            <wp:posOffset>7159625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71</w:t>
    </w:r>
    <w:r>
      <w:rPr>
        <w:noProof/>
      </w:rPr>
      <w:fldChar w:fldCharType="end"/>
    </w:r>
  </w:p>
  <w:p w14:paraId="7D1F70A6"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88F9D" w14:textId="77777777" w:rsidR="00B050B4" w:rsidRDefault="00B050B4" w:rsidP="00FA5EE8">
    <w:pPr>
      <w:pStyle w:val="Zpat"/>
      <w:tabs>
        <w:tab w:val="clear" w:pos="9072"/>
      </w:tabs>
      <w:jc w:val="right"/>
    </w:pPr>
    <w:r>
      <w:rPr>
        <w:noProof/>
      </w:rPr>
      <w:drawing>
        <wp:anchor distT="0" distB="0" distL="114300" distR="114300" simplePos="0" relativeHeight="251670016" behindDoc="1" locked="0" layoutInCell="1" allowOverlap="0" wp14:anchorId="0CE8D970" wp14:editId="2D11FF20">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4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anchor>
      </w:drawing>
    </w:r>
    <w:r>
      <w:fldChar w:fldCharType="begin"/>
    </w:r>
    <w:r>
      <w:instrText>PAGE   \* MERGEFORMAT</w:instrText>
    </w:r>
    <w:r>
      <w:fldChar w:fldCharType="separate"/>
    </w:r>
    <w:r>
      <w:rPr>
        <w:noProof/>
      </w:rPr>
      <w:t>91</w:t>
    </w:r>
    <w:r>
      <w:rPr>
        <w:noProof/>
      </w:rPr>
      <w:fldChar w:fldCharType="end"/>
    </w:r>
  </w:p>
  <w:p w14:paraId="736A5DE9" w14:textId="77777777" w:rsidR="00B050B4" w:rsidRDefault="00B050B4"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01E59" w14:textId="77777777" w:rsidR="00B050B4" w:rsidRDefault="00B050B4" w:rsidP="00F03E3C">
      <w:r>
        <w:separator/>
      </w:r>
    </w:p>
  </w:footnote>
  <w:footnote w:type="continuationSeparator" w:id="0">
    <w:p w14:paraId="1CEB4597" w14:textId="77777777" w:rsidR="00B050B4" w:rsidRDefault="00B050B4" w:rsidP="00F03E3C">
      <w:r>
        <w:continuationSeparator/>
      </w:r>
    </w:p>
  </w:footnote>
  <w:footnote w:type="continuationNotice" w:id="1">
    <w:p w14:paraId="1BBA29E2" w14:textId="77777777" w:rsidR="00B050B4" w:rsidRDefault="00B050B4"/>
  </w:footnote>
  <w:footnote w:id="2">
    <w:p w14:paraId="1031D659" w14:textId="77777777" w:rsidR="00B050B4" w:rsidRPr="00DD47DF" w:rsidRDefault="00B050B4" w:rsidP="0040363A">
      <w:pPr>
        <w:pStyle w:val="Poznmkapodarou"/>
      </w:pPr>
      <w:r w:rsidRPr="00DD47DF">
        <w:rPr>
          <w:rStyle w:val="Znakapoznpodarou"/>
        </w:rPr>
        <w:footnoteRef/>
      </w:r>
      <w:r w:rsidRPr="00DD47DF">
        <w:t xml:space="preserve">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footnote>
  <w:footnote w:id="3">
    <w:p w14:paraId="62F8D49E" w14:textId="77777777" w:rsidR="00B050B4" w:rsidRPr="00DD47DF" w:rsidRDefault="00B050B4" w:rsidP="0040363A">
      <w:pPr>
        <w:pStyle w:val="Poznmkapodarou"/>
      </w:pPr>
      <w:r w:rsidRPr="00DD47DF">
        <w:rPr>
          <w:rStyle w:val="Znakapoznpodarou"/>
        </w:rPr>
        <w:footnoteRef/>
      </w:r>
      <w:r w:rsidRPr="00DD47DF">
        <w:t xml:space="preserve"> Prováděcí nařízení Komise (EU) č. 288/2014 ze dne 25. února 2014.</w:t>
      </w:r>
    </w:p>
  </w:footnote>
  <w:footnote w:id="4">
    <w:p w14:paraId="7F01ABC1" w14:textId="77777777" w:rsidR="00B050B4" w:rsidRPr="00DD47DF" w:rsidRDefault="00B050B4" w:rsidP="0040363A">
      <w:pPr>
        <w:pStyle w:val="Poznmkapodarou"/>
      </w:pPr>
      <w:r w:rsidRPr="00DD47DF">
        <w:rPr>
          <w:rStyle w:val="Znakapoznpodarou"/>
        </w:rPr>
        <w:footnoteRef/>
      </w:r>
      <w:r w:rsidRPr="00DD47DF">
        <w:t xml:space="preserve"> KOM (2010) 2020 ze dne 3. března 2010.</w:t>
      </w:r>
    </w:p>
  </w:footnote>
  <w:footnote w:id="5">
    <w:p w14:paraId="7E26FCB3" w14:textId="77777777" w:rsidR="00B050B4" w:rsidRPr="00DD47DF" w:rsidRDefault="00B050B4" w:rsidP="0040363A">
      <w:pPr>
        <w:pStyle w:val="Poznmkapodarou"/>
      </w:pPr>
      <w:r w:rsidRPr="00DD47DF">
        <w:rPr>
          <w:rStyle w:val="Znakapoznpodarou"/>
        </w:rPr>
        <w:footnoteRef/>
      </w:r>
      <w:r w:rsidRPr="00DD47DF">
        <w:t xml:space="preserve"> Nařízení Evropského parlamentu a Rady (EU) č. 1301/2013 ze dne 17. prosince 2013 o Evropském fondu pro regionální rozvoj, o zvláštních ustanoveních týkajících se cíle Investice pro růst a zaměstnanost a o zrušení nařízení (ES) č. 1080/2006.</w:t>
      </w:r>
    </w:p>
  </w:footnote>
  <w:footnote w:id="6">
    <w:p w14:paraId="38B96D51" w14:textId="77777777" w:rsidR="00B050B4" w:rsidRPr="00DD47DF" w:rsidRDefault="00B050B4" w:rsidP="0040363A">
      <w:pPr>
        <w:pStyle w:val="Poznmkapodarou"/>
      </w:pPr>
      <w:r w:rsidRPr="00DD47DF">
        <w:rPr>
          <w:rStyle w:val="Znakapoznpodarou"/>
        </w:rPr>
        <w:footnoteRef/>
      </w:r>
      <w:r w:rsidRPr="00DD47DF">
        <w:t xml:space="preserve"> Zhodnocení zkušeností z programovacího období 2007-2013 a jejich návaznosti v programovacím období 2014-2020 z hlediska věcného zaměření intervencí je obsaženo v Nepovinné příloze č. 1.</w:t>
      </w:r>
    </w:p>
  </w:footnote>
  <w:footnote w:id="7">
    <w:p w14:paraId="3CA393DE" w14:textId="77777777" w:rsidR="00B050B4" w:rsidRPr="00DD47DF" w:rsidRDefault="00B050B4" w:rsidP="0040363A">
      <w:pPr>
        <w:pStyle w:val="Poznmkapodarou"/>
      </w:pPr>
      <w:r w:rsidRPr="00DD47DF">
        <w:rPr>
          <w:rStyle w:val="Znakapoznpodarou"/>
        </w:rPr>
        <w:footnoteRef/>
      </w:r>
      <w:r w:rsidRPr="00DD47DF">
        <w:t xml:space="preserve"> Tato verze programového dokumentu OP PIK obsahuje v Příloze č. I Závěrečnou zprávu, včetně shrnutí, ex-ante hodnocení programu v souladu s čl. 55 bodem 2 obecného nařízení.   </w:t>
      </w:r>
    </w:p>
  </w:footnote>
  <w:footnote w:id="8">
    <w:p w14:paraId="6A6C8483" w14:textId="77777777" w:rsidR="00B050B4" w:rsidRPr="00DD47DF" w:rsidRDefault="00B050B4" w:rsidP="0040363A">
      <w:pPr>
        <w:pStyle w:val="Poznmkapodarou"/>
        <w:rPr>
          <w:rStyle w:val="Znakapoznpodarou"/>
          <w:vertAlign w:val="baseline"/>
        </w:rPr>
      </w:pPr>
      <w:r w:rsidRPr="00DD47DF">
        <w:rPr>
          <w:rStyle w:val="Znakapoznpodarou"/>
        </w:rPr>
        <w:footnoteRef/>
      </w:r>
      <w:r w:rsidRPr="00DD47DF">
        <w:rPr>
          <w:rStyle w:val="Znakapoznpodarou"/>
          <w:vertAlign w:val="baseline"/>
        </w:rPr>
        <w:t xml:space="preserve"> Nařízení o EFRR, čl. 3.</w:t>
      </w:r>
    </w:p>
  </w:footnote>
  <w:footnote w:id="9">
    <w:p w14:paraId="60247FC3" w14:textId="77777777" w:rsidR="00B050B4" w:rsidRPr="00DD47DF" w:rsidRDefault="00B050B4" w:rsidP="00120476">
      <w:pPr>
        <w:pStyle w:val="Poznmkapodarou"/>
      </w:pPr>
      <w:r w:rsidRPr="00DD47DF">
        <w:rPr>
          <w:rStyle w:val="Znakapoznpodarou"/>
        </w:rPr>
        <w:footnoteRef/>
      </w:r>
      <w:r w:rsidRPr="00DD47DF">
        <w:t xml:space="preserve"> V úrovních 1 až cca 4 podle Klasifikace řádů inovací z hlediska přínosu užitných hodnot.</w:t>
      </w:r>
    </w:p>
  </w:footnote>
  <w:footnote w:id="10">
    <w:p w14:paraId="73464470" w14:textId="77777777" w:rsidR="00B050B4" w:rsidRPr="00DD47DF" w:rsidRDefault="00B050B4" w:rsidP="0040363A">
      <w:pPr>
        <w:pStyle w:val="Poznmkapodarou"/>
      </w:pPr>
      <w:r w:rsidRPr="00DD47DF">
        <w:rPr>
          <w:rStyle w:val="Znakapoznpodarou"/>
        </w:rPr>
        <w:footnoteRef/>
      </w:r>
      <w:r w:rsidRPr="00DD47DF">
        <w:t xml:space="preserve"> Evropský fond pro regionální rozvoj (EFRR), Evropský sociální fond (ESF), Fond soudržnosti (FS), Evropský zemědělský fondu pro rozvoj venkova (EZFRV) a Evropský námořní a rybářské fond (EMFF).</w:t>
      </w:r>
    </w:p>
  </w:footnote>
  <w:footnote w:id="11">
    <w:p w14:paraId="69BC6C67" w14:textId="77777777" w:rsidR="00B050B4" w:rsidRPr="00DD47DF" w:rsidRDefault="00B050B4" w:rsidP="000B0FE7">
      <w:pPr>
        <w:pStyle w:val="Poznmkapodarou"/>
      </w:pPr>
      <w:r w:rsidRPr="00DD47DF">
        <w:rPr>
          <w:rStyle w:val="Znakapoznpodarou"/>
        </w:rPr>
        <w:footnoteRef/>
      </w:r>
      <w:r w:rsidRPr="00DD47DF">
        <w:t xml:space="preserve"> Jedná se o odvětví aplikací, která se odlišují od priorit definovaných z národní úrovně a současně jsou alespoň jedním krajem identifikovány jako oblast jeho inteligentní specializace (viz oddíl 4.2.1.).</w:t>
      </w:r>
    </w:p>
  </w:footnote>
  <w:footnote w:id="12">
    <w:p w14:paraId="7C97A506" w14:textId="77777777" w:rsidR="00B050B4" w:rsidRPr="00DD47DF" w:rsidRDefault="00B050B4" w:rsidP="000B0FE7">
      <w:pPr>
        <w:pStyle w:val="Poznmkapodarou"/>
      </w:pPr>
      <w:r w:rsidRPr="00DD47DF">
        <w:rPr>
          <w:rStyle w:val="Znakapoznpodarou"/>
        </w:rPr>
        <w:footnoteRef/>
      </w:r>
      <w:r w:rsidRPr="00DD47DF">
        <w:t xml:space="preserve"> Jedná se o znalosti v oblasti IT pro nová média, nakladatelství a média, zpracování a práci s digitálním obsahem, a pro audiovizuální tvorbu.</w:t>
      </w:r>
    </w:p>
  </w:footnote>
  <w:footnote w:id="13">
    <w:p w14:paraId="60A2CFD0" w14:textId="77777777" w:rsidR="00B050B4" w:rsidRPr="00DD47DF" w:rsidRDefault="00B050B4" w:rsidP="000B0FE7">
      <w:pPr>
        <w:pStyle w:val="Poznmkapodarou"/>
      </w:pPr>
      <w:r w:rsidRPr="00DD47DF">
        <w:rPr>
          <w:rStyle w:val="Znakapoznpodarou"/>
        </w:rPr>
        <w:footnoteRef/>
      </w:r>
      <w:r w:rsidRPr="00DD47DF">
        <w:t xml:space="preserve"> Jedná se o znalosti v oblasti užitého a průmyslového designu, vizuálních a múzických umění a znalosti a dovednosti v oblasti tradiční i moderní živé kultury s využitím v kulturních průmyslech. </w:t>
      </w:r>
    </w:p>
  </w:footnote>
  <w:footnote w:id="14">
    <w:p w14:paraId="610B497C" w14:textId="77777777" w:rsidR="00B050B4" w:rsidRPr="00DD47DF" w:rsidRDefault="00B050B4" w:rsidP="00782BE3">
      <w:pPr>
        <w:pStyle w:val="Poznmkapodarou"/>
      </w:pPr>
      <w:r w:rsidRPr="00DD47DF">
        <w:rPr>
          <w:rStyle w:val="Znakapoznpodarou"/>
        </w:rPr>
        <w:footnoteRef/>
      </w:r>
      <w:r w:rsidRPr="00DD47DF">
        <w:t xml:space="preserve"> Možnosti využití tepla / vzdálené kogenerace na zemědělských BPS v České republice, zpracovatel NovaEnergo s.r.o., květen 2013</w:t>
      </w:r>
    </w:p>
  </w:footnote>
  <w:footnote w:id="15">
    <w:p w14:paraId="090EFB9B" w14:textId="77777777" w:rsidR="00B050B4" w:rsidRPr="00DD47DF" w:rsidRDefault="00B050B4" w:rsidP="00F260AA">
      <w:pPr>
        <w:pStyle w:val="Poznmkapodarou"/>
      </w:pPr>
      <w:r w:rsidRPr="00DD47DF">
        <w:rPr>
          <w:rStyle w:val="Znakapoznpodarou"/>
        </w:rPr>
        <w:footnoteRef/>
      </w:r>
      <w:r w:rsidRPr="00DD47DF">
        <w:t xml:space="preserve"> Pro každou bioplynovou stanici byly prozkoumány možnosti využití tepla/ vzdálené kogenerace v okruhu 4 km od instalace. Pokud se v takto blízkém okolí stanice vyskytovalo větší sídlo s centrálním zásobováním teplem, větší průmyslový nebo zemědělský podnik/ areál, nebo jiné stavby, ve kterých by bylo možné teplo využívat, pak je do tabulky doplněno „ano“ (existuje možnost využití tepla/ vzdálené kogenerace). V případě, že se v blízkosti BPS vyskytují větší sídla či areály, ale není zcela jisté, zda jsou centrálně zásobeny teplem či zda jsou v provozu (není přístup k podrobnějším datům), pak je do tabulky doplněno „možná“ (není jisté, zda existuje možnost využití tepla/ vzdálené kogenerace, je třeba získat podrobnější data o okolí).</w:t>
      </w:r>
    </w:p>
  </w:footnote>
  <w:footnote w:id="16">
    <w:p w14:paraId="1ED72FD2" w14:textId="77777777" w:rsidR="00B050B4" w:rsidRPr="00DD47DF" w:rsidRDefault="00B050B4" w:rsidP="00F260AA">
      <w:pPr>
        <w:pStyle w:val="Poznmkapodarou"/>
      </w:pPr>
      <w:r w:rsidRPr="00DD47DF">
        <w:rPr>
          <w:rStyle w:val="Znakapoznpodarou"/>
        </w:rPr>
        <w:footnoteRef/>
      </w:r>
      <w:r w:rsidRPr="00DD47DF">
        <w:t xml:space="preserve"> Hodnoty v grafech obsahují data za ČEZ Distribuce a. s.</w:t>
      </w:r>
    </w:p>
  </w:footnote>
  <w:footnote w:id="17">
    <w:p w14:paraId="40523BD8" w14:textId="77777777" w:rsidR="00B050B4" w:rsidRPr="00DD47DF" w:rsidRDefault="00B050B4" w:rsidP="00056DBD">
      <w:pPr>
        <w:pStyle w:val="Textpoznpodarou"/>
      </w:pPr>
      <w:r w:rsidRPr="00DD47DF">
        <w:rPr>
          <w:rStyle w:val="Znakapoznpodarou"/>
        </w:rPr>
        <w:footnoteRef/>
      </w:r>
      <w:r w:rsidRPr="00DD47DF">
        <w:t xml:space="preserve"> Analytická studie na zavádění nízkouhlíkových technologií v rámci ČR pro aktivity zahrnuté v rámci specifického cíle 3.4 OP PIK, ČVUT a spol., říjen 2014.</w:t>
      </w:r>
    </w:p>
  </w:footnote>
  <w:footnote w:id="18">
    <w:p w14:paraId="2DCE9BEC" w14:textId="77777777" w:rsidR="00B050B4" w:rsidRPr="00DD47DF" w:rsidRDefault="00B050B4" w:rsidP="00F260AA">
      <w:pPr>
        <w:pStyle w:val="Poznmkapodarou"/>
      </w:pPr>
      <w:r w:rsidRPr="00DD47DF">
        <w:rPr>
          <w:rStyle w:val="Znakapoznpodarou"/>
        </w:rPr>
        <w:footnoteRef/>
      </w:r>
      <w:r w:rsidRPr="00DD47DF">
        <w:t xml:space="preserve"> Podle Politiky druhotných surovin ČR lze za druhotnou surovinu považovat látky či předměty, které přestaly být odpadem nebo se odpadem nikdy nestaly (tzn. vedlejší produkty) a vstupují do dalšího procesu výroby či využití, s látkou či předmětem se běžně obchoduje a existují její technické charakteristiky jako např. technické a oborové normy, obchodní zvyklosti apod., které umožňují látku či předmět jednoznačně popsat pro potřeby obchodu či technologického procesu. </w:t>
      </w:r>
    </w:p>
  </w:footnote>
  <w:footnote w:id="19">
    <w:p w14:paraId="6A406707" w14:textId="77777777" w:rsidR="00B050B4" w:rsidRPr="00DD47DF" w:rsidRDefault="00B050B4" w:rsidP="00F260AA">
      <w:pPr>
        <w:pStyle w:val="Poznmkapodarou"/>
        <w:rPr>
          <w:rFonts w:ascii="Calibri" w:hAnsi="Calibri"/>
        </w:rPr>
      </w:pPr>
      <w:r w:rsidRPr="00DD47DF">
        <w:rPr>
          <w:rStyle w:val="Znakapoznpodarou"/>
        </w:rPr>
        <w:footnoteRef/>
      </w:r>
      <w:r w:rsidRPr="00DD47DF">
        <w:t xml:space="preserve"> ERÚ, 2010: Cenové rozhodnutí Energetického regulačního úřadu č. 1/2010 ze dne 11. října 2010, k cenám tepelné energie</w:t>
      </w:r>
    </w:p>
  </w:footnote>
  <w:footnote w:id="20">
    <w:p w14:paraId="43BD5D85" w14:textId="77777777" w:rsidR="00B050B4" w:rsidRPr="00DD47DF" w:rsidRDefault="00B050B4" w:rsidP="00F260AA">
      <w:pPr>
        <w:pStyle w:val="Poznmkapodarou"/>
      </w:pPr>
      <w:r w:rsidRPr="00DD47DF">
        <w:rPr>
          <w:rStyle w:val="Znakapoznpodarou"/>
        </w:rPr>
        <w:footnoteRef/>
      </w:r>
      <w:r w:rsidRPr="00DD47DF">
        <w:t xml:space="preserve"> FinTherm Praha - KWH Pipe, a.s., 2013</w:t>
      </w:r>
    </w:p>
  </w:footnote>
  <w:footnote w:id="21">
    <w:p w14:paraId="52B99952" w14:textId="77777777" w:rsidR="00B050B4" w:rsidRPr="00DD47DF" w:rsidRDefault="00B050B4" w:rsidP="00F260AA">
      <w:pPr>
        <w:pStyle w:val="Poznmkapodarou"/>
      </w:pPr>
      <w:r w:rsidRPr="00DD47DF">
        <w:rPr>
          <w:rStyle w:val="Znakapoznpodarou"/>
        </w:rPr>
        <w:footnoteRef/>
      </w:r>
      <w:r w:rsidRPr="00DD47DF">
        <w:t xml:space="preserve"> V rámci ČR je v současnosti provozováno dle ERÚ 1 531,139 km parních rozvodů, přičemž dle odhadů členů Teplárenského sdružení ČR je možné rekonstruovat 2/3 délky existujících parních rozvodů.</w:t>
      </w:r>
    </w:p>
  </w:footnote>
  <w:footnote w:id="22">
    <w:p w14:paraId="353BCF1C" w14:textId="77777777" w:rsidR="00B050B4" w:rsidRPr="00DD47DF" w:rsidRDefault="00B050B4" w:rsidP="00F260AA">
      <w:pPr>
        <w:pStyle w:val="Poznmkapodarou"/>
      </w:pPr>
      <w:r w:rsidRPr="00DD47DF">
        <w:rPr>
          <w:rStyle w:val="Znakapoznpodarou"/>
        </w:rPr>
        <w:footnoteRef/>
      </w:r>
      <w:r w:rsidRPr="00DD47DF">
        <w:t xml:space="preserve"> Průměrná hodnota EU-27 nezahrnuje Chorvatsko.</w:t>
      </w:r>
    </w:p>
  </w:footnote>
  <w:footnote w:id="23">
    <w:p w14:paraId="5285235D" w14:textId="77777777" w:rsidR="00B050B4" w:rsidRPr="00DD47DF" w:rsidRDefault="00B050B4" w:rsidP="00F260AA">
      <w:pPr>
        <w:pStyle w:val="Poznmkapodarou"/>
      </w:pPr>
      <w:r w:rsidRPr="00DD47DF">
        <w:rPr>
          <w:rStyle w:val="Znakapoznpodarou"/>
        </w:rPr>
        <w:footnoteRef/>
      </w:r>
      <w:r w:rsidRPr="00DD47DF">
        <w:t xml:space="preserve"> MPO, 2006: Zpráva o výsledcích analýzy vnitrostátního potenciálu kombinované výroby elektřiny a tepla v České republice podle směrnice 2004/8/ES </w:t>
      </w:r>
    </w:p>
  </w:footnote>
  <w:footnote w:id="24">
    <w:p w14:paraId="58AA777B" w14:textId="77777777" w:rsidR="00B050B4" w:rsidRPr="00DD47DF" w:rsidRDefault="00B050B4" w:rsidP="00F260AA">
      <w:pPr>
        <w:pStyle w:val="Poznmkapodarou"/>
      </w:pPr>
      <w:r w:rsidRPr="00DD47DF">
        <w:rPr>
          <w:rStyle w:val="Znakapoznpodarou"/>
        </w:rPr>
        <w:footnoteRef/>
      </w:r>
      <w:r w:rsidRPr="00DD47DF">
        <w:t xml:space="preserve"> Data Teplárenského sdružení ČR, ORTEP k 1. 1. 2013</w:t>
      </w:r>
    </w:p>
  </w:footnote>
  <w:footnote w:id="25">
    <w:p w14:paraId="1EB69B94" w14:textId="77777777" w:rsidR="00B050B4" w:rsidRPr="00DD47DF" w:rsidRDefault="00B050B4" w:rsidP="00570220">
      <w:pPr>
        <w:pStyle w:val="Poznmkapodarou"/>
      </w:pPr>
      <w:r w:rsidRPr="00DD47DF">
        <w:rPr>
          <w:rStyle w:val="Znakapoznpodarou"/>
        </w:rPr>
        <w:footnoteRef/>
      </w:r>
      <w:r w:rsidRPr="00DD47DF">
        <w:t xml:space="preserve"> ICT sektor je definován jako kombinace ekonomických činností produkujících výrobky a poskytujících služby, jež jsou primárně určeny ke zpracování, komunikaci a distribuci informací elektronickou cestou, včetně jejich zachycení, ukládání, přenosu a zobrazení (OECD, 2007).</w:t>
      </w:r>
    </w:p>
  </w:footnote>
  <w:footnote w:id="26">
    <w:p w14:paraId="5E7B33D6" w14:textId="77777777" w:rsidR="00B050B4" w:rsidRPr="00DD47DF" w:rsidRDefault="00B050B4" w:rsidP="00570220">
      <w:pPr>
        <w:pStyle w:val="Poznmkapodarou"/>
      </w:pPr>
      <w:r w:rsidRPr="00DD47DF">
        <w:rPr>
          <w:rStyle w:val="Znakapoznpodarou"/>
        </w:rPr>
        <w:footnoteRef/>
      </w:r>
      <w:r w:rsidRPr="00DD47DF">
        <w:t xml:space="preserve"> Data převzata převážně z analýzy </w:t>
      </w:r>
      <w:r w:rsidRPr="00DD47DF">
        <w:rPr>
          <w:i/>
        </w:rPr>
        <w:t>Využívání IT v podnicích - výsledky za leden 201</w:t>
      </w:r>
      <w:r w:rsidRPr="00DD47DF">
        <w:t>3, ČSÚ.</w:t>
      </w:r>
    </w:p>
  </w:footnote>
  <w:footnote w:id="27">
    <w:p w14:paraId="378085FD" w14:textId="77777777" w:rsidR="00B050B4" w:rsidRPr="00DD47DF" w:rsidRDefault="00B050B4" w:rsidP="00782BE3">
      <w:pPr>
        <w:pStyle w:val="Poznmkapodarou"/>
      </w:pPr>
      <w:r w:rsidRPr="00DD47DF">
        <w:rPr>
          <w:rStyle w:val="Znakapoznpodarou"/>
        </w:rPr>
        <w:footnoteRef/>
      </w:r>
      <w:r w:rsidRPr="00DD47DF">
        <w:t xml:space="preserve"> Podle definice Národního institutu pro standardy a technologie Ministerstva obchodu Spojených států Amerických je cloud computing model umožňující na vyžádání všudypřítomný pohodlný síťový přístup ke sdíleným zdrojům konfigurovatelného výpočetního výkonu (např. sítě, servery, datová úložiště, aplikace a služby), který může být velmi rychle připraven a dodán s minimálním úsilím a interakcí poskytovatele.</w:t>
      </w:r>
    </w:p>
  </w:footnote>
  <w:footnote w:id="28">
    <w:p w14:paraId="58A10E4E" w14:textId="77777777" w:rsidR="00B050B4" w:rsidRPr="00DD47DF" w:rsidRDefault="00B050B4" w:rsidP="00782BE3">
      <w:pPr>
        <w:pStyle w:val="Poznmkapodarou"/>
      </w:pPr>
      <w:r w:rsidRPr="00DD47DF">
        <w:rPr>
          <w:rStyle w:val="Znakapoznpodarou"/>
        </w:rPr>
        <w:footnoteRef/>
      </w:r>
      <w:r w:rsidRPr="00DD47DF">
        <w:t xml:space="preserve"> Feuerlicht, George, Burkon, Lukáš a Šebesta, Michal. Cloud Computing Adoption: What are the Issues, 2010. http://www.cssi.cz/cssi/system/files/all/si-2011-02p-16-Feuerlicht-Burkon-Sebesta.pdf.</w:t>
      </w:r>
    </w:p>
  </w:footnote>
  <w:footnote w:id="29">
    <w:p w14:paraId="35AEA68B" w14:textId="77777777" w:rsidR="00B050B4" w:rsidRPr="00DD47DF" w:rsidRDefault="00B050B4" w:rsidP="00782BE3">
      <w:pPr>
        <w:pStyle w:val="Poznmkapodarou"/>
      </w:pPr>
      <w:r w:rsidRPr="00DD47DF">
        <w:rPr>
          <w:rStyle w:val="Znakapoznpodarou"/>
        </w:rPr>
        <w:footnoteRef/>
      </w:r>
      <w:r w:rsidRPr="00DD47DF">
        <w:t xml:space="preserve"> </w:t>
      </w:r>
      <w:r w:rsidRPr="00DD47DF">
        <w:rPr>
          <w:bCs/>
          <w:szCs w:val="22"/>
        </w:rPr>
        <w:t>CIO Business World. Google: čeští podnikatelé nevědí, co je cloud. CIO Business World, 2011. http://businessworld.cz/temata?id=2&amp;article=on&amp;article_id=8309&amp;cat=&amp;q=Cloud%20computing&amp;sid=google-cesti-podnikatele-nevedi-co-je-cloud.</w:t>
      </w:r>
    </w:p>
  </w:footnote>
  <w:footnote w:id="30">
    <w:p w14:paraId="08380508" w14:textId="77777777" w:rsidR="00B050B4" w:rsidRPr="00DD47DF" w:rsidRDefault="00B050B4" w:rsidP="00BE7303">
      <w:pPr>
        <w:pStyle w:val="Textpoznpodarou"/>
        <w:spacing w:after="120"/>
      </w:pPr>
      <w:r w:rsidRPr="00DD47DF">
        <w:rPr>
          <w:rStyle w:val="Znakapoznpodarou"/>
        </w:rPr>
        <w:footnoteRef/>
      </w:r>
      <w:r w:rsidRPr="00DD47DF">
        <w:t xml:space="preserve"> Např. „Analýza absorpční kapacity a návrh cílových hodnot indikátorů OP PIK 2014 – 2020“, HaskoningDHV Czech Republic, spol. s r.o. (únor 2014).</w:t>
      </w:r>
    </w:p>
  </w:footnote>
  <w:footnote w:id="31">
    <w:p w14:paraId="6825B1E9" w14:textId="77777777" w:rsidR="00B050B4" w:rsidRPr="00DD47DF" w:rsidRDefault="00B050B4" w:rsidP="00BE7303">
      <w:pPr>
        <w:pStyle w:val="Textpoznpodarou"/>
        <w:spacing w:after="120"/>
      </w:pPr>
      <w:r w:rsidRPr="00DD47DF">
        <w:rPr>
          <w:rStyle w:val="Znakapoznpodarou"/>
        </w:rPr>
        <w:footnoteRef/>
      </w:r>
      <w:r w:rsidRPr="00DD47DF">
        <w:t xml:space="preserve"> Dle čl. 120 bodu 2 písm. a) obecného nařízení.</w:t>
      </w:r>
    </w:p>
  </w:footnote>
  <w:footnote w:id="32">
    <w:p w14:paraId="092725B8" w14:textId="77777777" w:rsidR="00B050B4" w:rsidRPr="00DD47DF" w:rsidRDefault="00B050B4" w:rsidP="00BE7303">
      <w:pPr>
        <w:pStyle w:val="Textpoznpodarou"/>
        <w:spacing w:after="120"/>
      </w:pPr>
      <w:r w:rsidRPr="00DD47DF">
        <w:rPr>
          <w:rStyle w:val="Znakapoznpodarou"/>
        </w:rPr>
        <w:footnoteRef/>
      </w:r>
      <w:r w:rsidRPr="00DD47DF">
        <w:t xml:space="preserve"> Materiál „Pravidla spolufinancování Evropských strukturálních a investičních fondů v programovém období 2014-2020 (MF, červen 2014, kapitola 5.1.6), schválen vládou ČR usnesením č, 583/2014.</w:t>
      </w:r>
    </w:p>
  </w:footnote>
  <w:footnote w:id="33">
    <w:p w14:paraId="3DDEB0CD" w14:textId="77777777" w:rsidR="00B050B4" w:rsidRPr="00DD47DF" w:rsidRDefault="00B050B4">
      <w:pPr>
        <w:pStyle w:val="Textpoznpodarou"/>
      </w:pPr>
      <w:r w:rsidRPr="00DD47DF">
        <w:rPr>
          <w:rStyle w:val="Znakapoznpodarou"/>
        </w:rPr>
        <w:footnoteRef/>
      </w:r>
      <w:r w:rsidRPr="00DD47DF">
        <w:t xml:space="preserve"> Přístup Řídícího orgánu OP PIK k monitoringu je popsán v Nepovinné příloze č. 3. </w:t>
      </w:r>
    </w:p>
  </w:footnote>
  <w:footnote w:id="34">
    <w:p w14:paraId="233181B7" w14:textId="77777777" w:rsidR="00B050B4" w:rsidRPr="00DD47DF" w:rsidRDefault="00B050B4" w:rsidP="00C26C42">
      <w:pPr>
        <w:pStyle w:val="Poznmkapodarou"/>
      </w:pPr>
      <w:r w:rsidRPr="00DD47DF">
        <w:rPr>
          <w:rStyle w:val="Znakapoznpodarou"/>
        </w:rPr>
        <w:footnoteRef/>
      </w:r>
      <w:r w:rsidRPr="00DD47DF">
        <w:t xml:space="preserve"> Jedná se o inovace 5. – 9. řádu dle Klasifikace řádů inovací (dle publikace Inovační podnikání, 2007, dostupné na http://www.aipcr.cz/pdf/publikace_inovacni_podnikani.pdf).</w:t>
      </w:r>
    </w:p>
  </w:footnote>
  <w:footnote w:id="35">
    <w:p w14:paraId="3D4A09C5" w14:textId="77777777" w:rsidR="00B050B4" w:rsidRPr="00DD47DF" w:rsidRDefault="00B050B4">
      <w:pPr>
        <w:pStyle w:val="Textpoznpodarou"/>
      </w:pPr>
      <w:r w:rsidRPr="00DD47DF">
        <w:rPr>
          <w:rStyle w:val="Znakapoznpodarou"/>
        </w:rPr>
        <w:footnoteRef/>
      </w:r>
      <w:r w:rsidRPr="00DD47DF">
        <w:t xml:space="preserve"> V elektronickém systému SFC2014 je uvedena střední hodnota intervalu, tj. 0,71.</w:t>
      </w:r>
    </w:p>
  </w:footnote>
  <w:footnote w:id="36">
    <w:p w14:paraId="5C659E8F" w14:textId="77777777" w:rsidR="00B050B4" w:rsidRPr="00DD47DF" w:rsidRDefault="00B050B4" w:rsidP="007E6815">
      <w:pPr>
        <w:pStyle w:val="Poznmkapodarou"/>
      </w:pPr>
      <w:r w:rsidRPr="00DD47DF">
        <w:rPr>
          <w:rStyle w:val="Znakapoznpodarou"/>
        </w:rPr>
        <w:footnoteRef/>
      </w:r>
      <w:r w:rsidRPr="00DD47DF">
        <w:t xml:space="preserve"> V elektronickém systému SFC2014 je uvedena střední hodnota intervalu, tj. 30,4.</w:t>
      </w:r>
    </w:p>
  </w:footnote>
  <w:footnote w:id="37">
    <w:p w14:paraId="4180C58A" w14:textId="77777777" w:rsidR="00B050B4" w:rsidRPr="00DD47DF" w:rsidRDefault="00B050B4" w:rsidP="00A25CBC">
      <w:pPr>
        <w:pStyle w:val="Poznmkapodarou"/>
      </w:pPr>
      <w:r w:rsidRPr="00DD47DF">
        <w:rPr>
          <w:rStyle w:val="Znakapoznpodarou"/>
        </w:rPr>
        <w:footnoteRef/>
      </w:r>
      <w:r w:rsidRPr="00DD47DF">
        <w:t xml:space="preserve"> Inovací se rozumí implementace nového nebo signifikantně zlepšeného produktu/služby, procesu nebo nové organizační či marketingové metody, přičemž se musí jednat o produkty, procesy a metody, které jsou minimálně nové (či podstatně zlepšené) pro danou firmu. Inovace může vycházet z vlastních vývojových aktivit firmy, nebo může být převzata z jiné organizace (dle Oslo Manual OECD, dostupný na </w:t>
      </w:r>
      <w:hyperlink r:id="rId1" w:history="1">
        <w:r w:rsidRPr="00DD47DF">
          <w:rPr>
            <w:rStyle w:val="Hypertextovodkaz"/>
            <w:color w:val="auto"/>
            <w:u w:val="none"/>
          </w:rPr>
          <w:t>http://www.oecd.org/science/inno/2367580.pdf</w:t>
        </w:r>
      </w:hyperlink>
      <w:r w:rsidRPr="00DD47DF">
        <w:t>).</w:t>
      </w:r>
    </w:p>
  </w:footnote>
  <w:footnote w:id="38">
    <w:p w14:paraId="04272710" w14:textId="77777777" w:rsidR="00B050B4" w:rsidRPr="00DD47DF" w:rsidRDefault="00B050B4" w:rsidP="00A25CBC">
      <w:pPr>
        <w:pStyle w:val="Poznmkapodarou"/>
      </w:pPr>
      <w:r w:rsidRPr="00DD47DF">
        <w:rPr>
          <w:rStyle w:val="Znakapoznpodarou"/>
        </w:rPr>
        <w:footnoteRef/>
      </w:r>
      <w:r w:rsidRPr="00DD47DF">
        <w:t xml:space="preserve"> Ekoinovace je jakákoliv inovace, která generuje efekty žádoucí z hlediska ochrany životního prostředí. Ekoinovace lze vyvíjet a uplatňovat ve službách, technologiích, produktech a systémech řízení.</w:t>
      </w:r>
    </w:p>
  </w:footnote>
  <w:footnote w:id="39">
    <w:p w14:paraId="6D1241D0" w14:textId="77777777" w:rsidR="00B050B4" w:rsidRPr="00DD47DF" w:rsidRDefault="00B050B4" w:rsidP="00A25CBC">
      <w:pPr>
        <w:pStyle w:val="Textpoznpodarou"/>
      </w:pPr>
      <w:r w:rsidRPr="00DD47DF">
        <w:rPr>
          <w:rStyle w:val="Znakapoznpodarou"/>
        </w:rPr>
        <w:footnoteRef/>
      </w:r>
      <w:r w:rsidRPr="00DD47DF">
        <w:t xml:space="preserve"> „Příprava na budoucnost: vývoj společné strategie pro klíčové technologie v EU“ </w:t>
      </w:r>
      <w:r w:rsidRPr="00DD47DF">
        <w:cr/>
        <w:t>http://eur-lex.europa.eu/legal-content/CS/TXT/PDF/?uri=CELEX:52009DC0512&amp;from=EN</w:t>
      </w:r>
    </w:p>
  </w:footnote>
  <w:footnote w:id="40">
    <w:p w14:paraId="7073C0D2" w14:textId="77777777" w:rsidR="00B050B4" w:rsidRPr="00DD47DF" w:rsidRDefault="00B050B4" w:rsidP="00A25CBC">
      <w:pPr>
        <w:pStyle w:val="Poznmkapodarou"/>
      </w:pPr>
      <w:r w:rsidRPr="00DD47DF">
        <w:rPr>
          <w:rStyle w:val="Znakapoznpodarou"/>
        </w:rPr>
        <w:footnoteRef/>
      </w:r>
      <w:r w:rsidRPr="00DD47DF">
        <w:t xml:space="preserve"> Přeshraniční síť Ira-SMEnapř. umožňuje koordinovanou podporu VaV projektů MSP z dvou či více partnerských zemí, přičemž každý řídicí orgán poskytuje podporu subjektu z příslušné programové oblasti za předpokladu, že jsou prokázány pozitivní dopady pro oba regiony. </w:t>
      </w:r>
    </w:p>
  </w:footnote>
  <w:footnote w:id="41">
    <w:p w14:paraId="110CEA4E" w14:textId="77777777" w:rsidR="00B050B4" w:rsidRPr="00DD47DF" w:rsidRDefault="00B050B4" w:rsidP="00A25CBC">
      <w:pPr>
        <w:pStyle w:val="Textpoznpodarou"/>
        <w:spacing w:after="120"/>
      </w:pPr>
      <w:r w:rsidRPr="00DD47DF">
        <w:rPr>
          <w:rStyle w:val="Znakapoznpodarou"/>
        </w:rPr>
        <w:footnoteRef/>
      </w:r>
      <w:r w:rsidRPr="00DD47DF">
        <w:t xml:space="preserve"> Zemědělský podnikatel definovaný zákonem č. 252/1997 Sb., o zemědělství.</w:t>
      </w:r>
    </w:p>
  </w:footnote>
  <w:footnote w:id="42">
    <w:p w14:paraId="37855BB2" w14:textId="77777777" w:rsidR="00B050B4" w:rsidRPr="00DD47DF" w:rsidRDefault="00B050B4" w:rsidP="007E6815">
      <w:pPr>
        <w:pStyle w:val="Poznmkapodarou"/>
      </w:pPr>
      <w:r w:rsidRPr="00DD47DF">
        <w:rPr>
          <w:rStyle w:val="Znakapoznpodarou"/>
        </w:rPr>
        <w:footnoteRef/>
      </w:r>
      <w:r w:rsidRPr="00DD47DF">
        <w:t xml:space="preserve"> V elektronickém systému SFC2014 je uvedena střední hodnota intervalu, tj. 7,0.</w:t>
      </w:r>
    </w:p>
  </w:footnote>
  <w:footnote w:id="43">
    <w:p w14:paraId="121B9FB2" w14:textId="77777777" w:rsidR="00B050B4" w:rsidRPr="00DD47DF" w:rsidRDefault="00B050B4" w:rsidP="00497C7C">
      <w:pPr>
        <w:pStyle w:val="Poznmkapodarou"/>
      </w:pPr>
      <w:r w:rsidRPr="00DD47DF">
        <w:rPr>
          <w:rStyle w:val="Znakapoznpodarou"/>
        </w:rPr>
        <w:footnoteRef/>
      </w:r>
      <w:r w:rsidRPr="00DD47DF">
        <w:t xml:space="preserve"> Pojem sdílená infrastruktura zahrnuje vědeckotechnické parky, včetně podnikatelských inkubátorů a infrastrukturu provozovanou klastry (zejména zařízení a nástroje pro výzkum a vývoj).</w:t>
      </w:r>
    </w:p>
  </w:footnote>
  <w:footnote w:id="44">
    <w:p w14:paraId="48CA35F2" w14:textId="77777777" w:rsidR="00B050B4" w:rsidRPr="00DD47DF" w:rsidRDefault="00B050B4" w:rsidP="00497C7C">
      <w:pPr>
        <w:pStyle w:val="Poznmkapodarou"/>
      </w:pPr>
      <w:r w:rsidRPr="00DD47DF">
        <w:rPr>
          <w:rStyle w:val="Znakapoznpodarou"/>
        </w:rPr>
        <w:footnoteRef/>
      </w:r>
      <w:r w:rsidRPr="00DD47DF">
        <w:t xml:space="preserve"> Motivací MSP bude tedy zejména přístup ke kapacitám a znalostem, které jim chybějí ve vyjmenovaných oblastech a významně ztěžují úspěšnou realizaci inovačních aktivit.  Stěžejním prvkem pro širší využívání služeb bude dostatek kvalitních lidských zdrojů působících v inovační infrastruktuře, které navíc budou disponovat kontakty na další odborníky a výzkumné týmy ve znalostních institucích v ČR i v zahraničí. Motivačním prvkem budou i příklady dobré praxe podniků, které implementovaly nové postupy či aktivity s pomocí již existující a úspěšně fungující inovační infrastruktury.</w:t>
      </w:r>
    </w:p>
  </w:footnote>
  <w:footnote w:id="45">
    <w:p w14:paraId="10846D4B" w14:textId="77777777" w:rsidR="00B050B4" w:rsidRPr="00DD47DF" w:rsidRDefault="00B050B4" w:rsidP="00497C7C">
      <w:pPr>
        <w:pStyle w:val="Poznmkapodarou"/>
      </w:pPr>
      <w:r w:rsidRPr="00DD47DF">
        <w:rPr>
          <w:rStyle w:val="Znakapoznpodarou"/>
        </w:rPr>
        <w:footnoteRef/>
      </w:r>
      <w:r w:rsidRPr="00DD47DF">
        <w:t xml:space="preserve"> Před výstavbou nové sdílené infrastruktury bude vždy prioritizováno její rozšiřování. </w:t>
      </w:r>
      <w:r w:rsidRPr="00DD47DF">
        <w:tab/>
      </w:r>
    </w:p>
  </w:footnote>
  <w:footnote w:id="46">
    <w:p w14:paraId="43618AB2" w14:textId="77777777" w:rsidR="00B050B4" w:rsidRPr="00DD47DF" w:rsidRDefault="00B050B4" w:rsidP="00497C7C">
      <w:pPr>
        <w:pStyle w:val="Poznmkapodarou"/>
      </w:pPr>
      <w:r w:rsidRPr="00DD47DF">
        <w:rPr>
          <w:rStyle w:val="Znakapoznpodarou"/>
        </w:rPr>
        <w:footnoteRef/>
      </w:r>
      <w:r w:rsidRPr="00DD47DF">
        <w:t xml:space="preserve"> Např. zapojením do přeshraniční sítě kolektivního výzkumu CORNET.</w:t>
      </w:r>
    </w:p>
  </w:footnote>
  <w:footnote w:id="47">
    <w:p w14:paraId="1012AE33" w14:textId="77777777" w:rsidR="00B050B4" w:rsidRPr="00DD47DF" w:rsidRDefault="00B050B4" w:rsidP="00497C7C">
      <w:pPr>
        <w:pStyle w:val="Poznmkapodarou"/>
      </w:pPr>
      <w:r w:rsidRPr="00DD47DF">
        <w:rPr>
          <w:rStyle w:val="Znakapoznpodarou"/>
        </w:rPr>
        <w:footnoteRef/>
      </w:r>
      <w:r w:rsidRPr="00DD47DF">
        <w:t xml:space="preserve"> Dle zákona č. 89/2012 Sb., občanský zákoník.</w:t>
      </w:r>
    </w:p>
  </w:footnote>
  <w:footnote w:id="48">
    <w:p w14:paraId="37B1A4B5" w14:textId="15BC6AA5" w:rsidR="00B050B4" w:rsidRPr="00DD47DF" w:rsidRDefault="00B050B4" w:rsidP="00FE0B02">
      <w:pPr>
        <w:pStyle w:val="Poznmkapodarou"/>
        <w:rPr>
          <w:strike/>
        </w:rPr>
      </w:pPr>
      <w:r w:rsidRPr="00DD47DF">
        <w:rPr>
          <w:rStyle w:val="Znakapoznpodarou"/>
        </w:rPr>
        <w:footnoteRef/>
      </w:r>
      <w:r w:rsidRPr="00DD47DF">
        <w:t xml:space="preserve"> </w:t>
      </w:r>
      <w:r w:rsidRPr="008247A4">
        <w:t>Relevantní aktivity velkých podniků budou načítány do odpovídajících kódů intervencí (002, 057). Tyto kódy spadají do podmínky účasti velkých podniků v OP PIK uvedené v kapitole 1.1. Projekty přímé spolupráce velkých podniků s malými a středními podniky v rámci SC1.1 (s kódem intervence 063), projekty velkých podniků, které jsou stoprocentně zaměřeny na životní prostředí (tj. s kódem intervence 065) v rámci SC1.1, a projekty velkých podniků v rámci SC 1.2 (s kódem intervence 063, 059) nespadají do výpočtu velkých podniků v OP PIK.</w:t>
      </w:r>
    </w:p>
  </w:footnote>
  <w:footnote w:id="49">
    <w:p w14:paraId="232A1D88" w14:textId="77777777" w:rsidR="00B050B4" w:rsidRPr="00DD47DF" w:rsidRDefault="00B050B4">
      <w:pPr>
        <w:pStyle w:val="Textpoznpodarou"/>
      </w:pPr>
      <w:r w:rsidRPr="00DD47DF">
        <w:rPr>
          <w:rStyle w:val="Znakapoznpodarou"/>
        </w:rPr>
        <w:footnoteRef/>
      </w:r>
      <w:r w:rsidRPr="00DD47DF">
        <w:t xml:space="preserve"> V elektronickém systému SFC2014 je uvedena střední hodnota intervalu, tj. 56.</w:t>
      </w:r>
    </w:p>
  </w:footnote>
  <w:footnote w:id="50">
    <w:p w14:paraId="21BBB70F" w14:textId="77777777" w:rsidR="00B050B4" w:rsidRPr="00DD47DF" w:rsidRDefault="00B050B4">
      <w:pPr>
        <w:pStyle w:val="Textpoznpodarou"/>
      </w:pPr>
      <w:r w:rsidRPr="00DD47DF">
        <w:rPr>
          <w:rStyle w:val="Znakapoznpodarou"/>
        </w:rPr>
        <w:footnoteRef/>
      </w:r>
      <w:r w:rsidRPr="00DD47DF">
        <w:t xml:space="preserve"> V elektronickém systému SFC2014 je uvedena střední hodnota intervalu, tj. 68,5.</w:t>
      </w:r>
    </w:p>
  </w:footnote>
  <w:footnote w:id="51">
    <w:p w14:paraId="396A8D52" w14:textId="77777777" w:rsidR="00B050B4" w:rsidRPr="00DD47DF" w:rsidRDefault="00B050B4" w:rsidP="001F0C50">
      <w:pPr>
        <w:pStyle w:val="Poznmkapodarou"/>
      </w:pPr>
      <w:r w:rsidRPr="00DD47DF">
        <w:rPr>
          <w:rStyle w:val="Znakapoznpodarou"/>
        </w:rPr>
        <w:footnoteRef/>
      </w:r>
      <w:r w:rsidRPr="00DD47DF">
        <w:t xml:space="preserve"> Jedná se o inovace 1. – 4. řádu dle Klasifikace řádů inovací (dle publikace Inovační podnikání, 2007, dostupné na http://www.aipcr.cz/pdf/publikace_inovacni_podnikani.pdf).</w:t>
      </w:r>
    </w:p>
  </w:footnote>
  <w:footnote w:id="52">
    <w:p w14:paraId="3760CE30" w14:textId="20C4E7AB" w:rsidR="00B050B4" w:rsidRPr="00DD47DF" w:rsidRDefault="00B050B4">
      <w:pPr>
        <w:pStyle w:val="Textpoznpodarou"/>
      </w:pPr>
      <w:r w:rsidRPr="00DD47DF">
        <w:rPr>
          <w:rStyle w:val="Znakapoznpodarou"/>
        </w:rPr>
        <w:footnoteRef/>
      </w:r>
      <w:r w:rsidRPr="00DD47DF">
        <w:t xml:space="preserve"> V elektronickém systému SFC2014 je uvedena střední hodnota intervalu, tj. </w:t>
      </w:r>
      <w:r>
        <w:t>23,05</w:t>
      </w:r>
      <w:r w:rsidRPr="00DD47DF">
        <w:t>.</w:t>
      </w:r>
    </w:p>
  </w:footnote>
  <w:footnote w:id="53">
    <w:p w14:paraId="17D2E7CC" w14:textId="77777777" w:rsidR="00B050B4" w:rsidRPr="00DD47DF" w:rsidRDefault="00B050B4">
      <w:pPr>
        <w:pStyle w:val="Textpoznpodarou"/>
      </w:pPr>
      <w:r w:rsidRPr="00DD47DF">
        <w:rPr>
          <w:rStyle w:val="Znakapoznpodarou"/>
        </w:rPr>
        <w:footnoteRef/>
      </w:r>
      <w:r w:rsidRPr="00DD47DF">
        <w:t xml:space="preserve"> V elektronickém systému SFC2014 je uvedena střední hodnota intervalu, tj. 259 750 000.</w:t>
      </w:r>
    </w:p>
  </w:footnote>
  <w:footnote w:id="54">
    <w:p w14:paraId="2DBF5BA1" w14:textId="77777777" w:rsidR="00B050B4" w:rsidRPr="00DD47DF" w:rsidRDefault="00B050B4">
      <w:pPr>
        <w:pStyle w:val="Textpoznpodarou"/>
      </w:pPr>
      <w:r w:rsidRPr="00DD47DF">
        <w:rPr>
          <w:rStyle w:val="Znakapoznpodarou"/>
        </w:rPr>
        <w:footnoteRef/>
      </w:r>
      <w:r w:rsidRPr="00DD47DF">
        <w:t xml:space="preserve">  Financování i takových nákladů, které jsou obvykle způsobilými náklady pouze v rámci pravidel Evropského sociálního fondu, a to až do výše 10 % prostředků na prioritní osu. Podmínkou pro možnost financování aktivit v rámci křížového financování je nezbytnost těchto aktivit pro dosažení cílů podpořených projektů v tomto specifickém cíli OP PIK a jejich přímá vazba na tyto projekty. </w:t>
      </w:r>
    </w:p>
  </w:footnote>
  <w:footnote w:id="55">
    <w:p w14:paraId="09FF727E" w14:textId="77777777" w:rsidR="00B050B4" w:rsidRPr="00DD47DF" w:rsidRDefault="00B050B4"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56">
    <w:p w14:paraId="27D7F9B5" w14:textId="77777777" w:rsidR="00B050B4" w:rsidRPr="00DD47DF" w:rsidRDefault="00B050B4"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2393557E" w14:textId="77777777" w:rsidR="00B050B4" w:rsidRPr="00DD47DF" w:rsidRDefault="00B050B4"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57">
    <w:p w14:paraId="66439A36" w14:textId="77777777" w:rsidR="00B050B4" w:rsidRPr="00DD47DF" w:rsidRDefault="00B050B4" w:rsidP="008A674D">
      <w:pPr>
        <w:pStyle w:val="Poznmkapodarou"/>
      </w:pPr>
      <w:r w:rsidRPr="00DD47DF">
        <w:rPr>
          <w:rStyle w:val="Znakapoznpodarou"/>
        </w:rPr>
        <w:footnoteRef/>
      </w:r>
      <w:r w:rsidRPr="00DD47DF">
        <w:t xml:space="preserve"> Využití této metody je ovšem zásadně ovlivňováno finančním trhem a tudíž jeho stimulace musí být založena na podrobné analýze finančního sektoru i s ohledem na připravovanou ex ante analýzu FN dle čl. 37 obecného nařízení.</w:t>
      </w:r>
    </w:p>
  </w:footnote>
  <w:footnote w:id="58">
    <w:p w14:paraId="4A8008D8" w14:textId="77777777" w:rsidR="00B050B4" w:rsidRPr="00DD47DF" w:rsidRDefault="00B050B4" w:rsidP="00C61714">
      <w:pPr>
        <w:pStyle w:val="Poznmkapodarou"/>
      </w:pPr>
      <w:r w:rsidRPr="00DD47DF">
        <w:rPr>
          <w:rStyle w:val="Znakapoznpodarou"/>
        </w:rPr>
        <w:footnoteRef/>
      </w:r>
      <w:r w:rsidRPr="00DD47DF">
        <w:t xml:space="preserve"> Cílová hodnota reflektuje predikci hospodářského růstu a s tím spojený růst spotřeby energie.</w:t>
      </w:r>
    </w:p>
  </w:footnote>
  <w:footnote w:id="59">
    <w:p w14:paraId="2CE030A5" w14:textId="77777777" w:rsidR="00B050B4" w:rsidRPr="00DD47DF" w:rsidRDefault="00B050B4" w:rsidP="00C61714">
      <w:pPr>
        <w:pStyle w:val="Poznmkapodarou"/>
      </w:pPr>
      <w:r w:rsidRPr="00DD47DF">
        <w:rPr>
          <w:rStyle w:val="Znakapoznpodarou"/>
        </w:rPr>
        <w:footnoteRef/>
      </w:r>
      <w:r w:rsidRPr="00DD47DF">
        <w:t xml:space="preserve"> Cílová hodnota reflektuje predikci hospodářského růstu a s tím spojený růst spotřeby energie.</w:t>
      </w:r>
    </w:p>
  </w:footnote>
  <w:footnote w:id="60">
    <w:p w14:paraId="60B0A127" w14:textId="77777777" w:rsidR="00B050B4" w:rsidRPr="0006076F" w:rsidRDefault="00B050B4">
      <w:pPr>
        <w:pStyle w:val="Textpoznpodarou"/>
      </w:pPr>
      <w:r>
        <w:rPr>
          <w:rStyle w:val="Znakapoznpodarou"/>
        </w:rPr>
        <w:footnoteRef/>
      </w:r>
      <w:r>
        <w:t xml:space="preserve"> Jedná se o předběžnou hodnotu</w:t>
      </w:r>
      <w:r w:rsidRPr="008A49FA">
        <w:t>.</w:t>
      </w:r>
      <w:r>
        <w:t xml:space="preserve"> Přesný výhled bude znám po dokončení tzv. Národního klimaticko-energetického</w:t>
      </w:r>
      <w:r w:rsidRPr="001F4B3B">
        <w:t xml:space="preserve"> plánů</w:t>
      </w:r>
      <w:r>
        <w:t xml:space="preserve"> za ČR.</w:t>
      </w:r>
    </w:p>
  </w:footnote>
  <w:footnote w:id="61">
    <w:p w14:paraId="2FB6EC2E" w14:textId="77777777" w:rsidR="00B050B4" w:rsidRPr="00DD47DF" w:rsidRDefault="00B050B4"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62">
    <w:p w14:paraId="178F6A12" w14:textId="77777777" w:rsidR="00B050B4" w:rsidRPr="00DD47DF" w:rsidRDefault="00B050B4"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73E4E158" w14:textId="77777777" w:rsidR="00B050B4" w:rsidRPr="00DD47DF" w:rsidRDefault="00B050B4"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63">
    <w:p w14:paraId="34AFE181" w14:textId="77777777" w:rsidR="00B050B4" w:rsidRPr="00DD47DF" w:rsidRDefault="00B050B4" w:rsidP="0068667C">
      <w:pPr>
        <w:pStyle w:val="Poznmkapodarou"/>
      </w:pPr>
      <w:r w:rsidRPr="00DD47DF">
        <w:rPr>
          <w:rStyle w:val="Znakapoznpodarou"/>
        </w:rPr>
        <w:footnoteRef/>
      </w:r>
      <w:r w:rsidRPr="00DD47DF">
        <w:t xml:space="preserve"> Průměrná systémová četnost přerušení dodávky elektrické energie.</w:t>
      </w:r>
    </w:p>
  </w:footnote>
  <w:footnote w:id="64">
    <w:p w14:paraId="5A6AE003" w14:textId="77777777" w:rsidR="00B050B4" w:rsidRPr="00DD47DF" w:rsidRDefault="00B050B4" w:rsidP="00DC16B0">
      <w:pPr>
        <w:pStyle w:val="Poznmkapodarou"/>
      </w:pPr>
      <w:r w:rsidRPr="00DD47DF">
        <w:rPr>
          <w:rStyle w:val="Znakapoznpodarou"/>
        </w:rPr>
        <w:footnoteRef/>
      </w:r>
      <w:r w:rsidRPr="00DD47DF">
        <w:t xml:space="preserve"> V elektronickém systému SFC2014 je uvedena zaokrouhlená hodnota 2,76.</w:t>
      </w:r>
    </w:p>
  </w:footnote>
  <w:footnote w:id="65">
    <w:p w14:paraId="5120BE3D" w14:textId="77777777" w:rsidR="00B050B4" w:rsidRPr="00DD47DF" w:rsidRDefault="00B050B4" w:rsidP="00DC16B0">
      <w:pPr>
        <w:pStyle w:val="Poznmkapodarou"/>
      </w:pPr>
      <w:r w:rsidRPr="00DD47DF">
        <w:rPr>
          <w:rStyle w:val="Znakapoznpodarou"/>
        </w:rPr>
        <w:footnoteRef/>
      </w:r>
      <w:r w:rsidRPr="00DD47DF">
        <w:t xml:space="preserve"> V elektronickém systému SFC2014 je uvedena zaokrouhlená hodnota 1,93.</w:t>
      </w:r>
    </w:p>
  </w:footnote>
  <w:footnote w:id="66">
    <w:p w14:paraId="702EFA42" w14:textId="77777777" w:rsidR="00B050B4" w:rsidRPr="00DD47DF" w:rsidRDefault="00B050B4" w:rsidP="0068667C">
      <w:pPr>
        <w:pStyle w:val="Poznmkapodarou"/>
      </w:pPr>
      <w:r w:rsidRPr="00DD47DF">
        <w:rPr>
          <w:rStyle w:val="Znakapoznpodarou"/>
        </w:rPr>
        <w:footnoteRef/>
      </w:r>
      <w:r w:rsidRPr="00DD47DF">
        <w:t xml:space="preserve"> Průměrná systémová doba trvání přerušení dodávky elektrické energie.</w:t>
      </w:r>
    </w:p>
  </w:footnote>
  <w:footnote w:id="67">
    <w:p w14:paraId="5543967C" w14:textId="77777777" w:rsidR="00B050B4" w:rsidRPr="00DD47DF" w:rsidRDefault="00B050B4" w:rsidP="00157906">
      <w:pPr>
        <w:pStyle w:val="Poznmkapodarou"/>
      </w:pPr>
      <w:r w:rsidRPr="00DD47DF">
        <w:rPr>
          <w:rStyle w:val="Znakapoznpodarou"/>
        </w:rPr>
        <w:footnoteRef/>
      </w:r>
      <w:r w:rsidRPr="00DD47DF">
        <w:t xml:space="preserve"> Snížení celkových ročních emisí suspendovaných částic PM10 a emisí oxidů dusíků, oxidu siřičitého a amoniaku jako výchozích látek pro vznik sekundárních prachových částic v tunách za rok. Hodnota indikátoru se získá součtem celkových ročních emisí PM10 a prekurzorů sekundárních částic v tunách násobených jejich faktorem potenciálu tvorby částic.</w:t>
      </w:r>
    </w:p>
  </w:footnote>
  <w:footnote w:id="68">
    <w:p w14:paraId="1CF0EB17" w14:textId="77777777" w:rsidR="00B050B4" w:rsidRPr="00DD47DF" w:rsidRDefault="00B050B4" w:rsidP="0038435E">
      <w:pPr>
        <w:pStyle w:val="Textpoznpodarou"/>
      </w:pPr>
      <w:r w:rsidRPr="00DD47DF">
        <w:rPr>
          <w:rStyle w:val="Znakapoznpodarou"/>
        </w:rPr>
        <w:footnoteRef/>
      </w:r>
      <w:r w:rsidRPr="00DD47DF">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14:paraId="6177953D" w14:textId="77777777" w:rsidR="00B050B4" w:rsidRPr="00DD47DF" w:rsidRDefault="00B050B4" w:rsidP="0038435E">
      <w:pPr>
        <w:pStyle w:val="Textpoznpodarou"/>
      </w:pPr>
      <w:r w:rsidRPr="00DD47DF">
        <w:t>Jedná se o takové techniky, které zajišťují nejvyšší možnou ochranu životního prostředí a jsou přitom reálně dostupné, tzn. umožňují jejich zavedení v aktuálních technicko - ekonomických podmínkách.</w:t>
      </w:r>
    </w:p>
  </w:footnote>
  <w:footnote w:id="69">
    <w:p w14:paraId="6720D82A" w14:textId="1598C314" w:rsidR="00B050B4" w:rsidRPr="00DD47DF" w:rsidRDefault="00B050B4" w:rsidP="00DE2376">
      <w:pPr>
        <w:pStyle w:val="Poznmkapodarou"/>
      </w:pPr>
      <w:r w:rsidRPr="00DD47DF">
        <w:rPr>
          <w:rStyle w:val="Znakapoznpodarou"/>
        </w:rPr>
        <w:footnoteRef/>
      </w:r>
      <w:r w:rsidRPr="00DD47DF">
        <w:t xml:space="preserve"> </w:t>
      </w:r>
      <w:r w:rsidRPr="008665CA">
        <w:rPr>
          <w:lang w:eastAsia="cs-CZ"/>
        </w:rPr>
        <w:t xml:space="preserve">Relevantní aktivity velkých podniků budou načítány do odpovídajících kódů intervencí, kde je to aplikovatelné (SC3.2: kód 070, SC3.4: kód 003). Pro velké podniky v rámci SC3.1 a SC3.2 (kódy 009, 010, 011 a 012) připadá pouze </w:t>
      </w:r>
      <w:r w:rsidRPr="00417049">
        <w:rPr>
          <w:lang w:eastAsia="cs-CZ"/>
        </w:rPr>
        <w:t>37 318 995</w:t>
      </w:r>
      <w:r w:rsidRPr="008665CA">
        <w:rPr>
          <w:lang w:eastAsia="cs-CZ"/>
        </w:rPr>
        <w:t xml:space="preserve"> EUR, zbylá alokace je jen pro MSP. Tyto hodnoty spadají do podmínky účasti velkých podniků v OP PIK uvedené v kapitole 1.1.</w:t>
      </w:r>
    </w:p>
  </w:footnote>
  <w:footnote w:id="70">
    <w:p w14:paraId="78A79BE8" w14:textId="77777777" w:rsidR="00B050B4" w:rsidRPr="00DD47DF" w:rsidRDefault="00B050B4" w:rsidP="00DC56C8">
      <w:pPr>
        <w:pStyle w:val="Poznmkapodarou"/>
      </w:pPr>
      <w:r w:rsidRPr="00DD47DF">
        <w:rPr>
          <w:rStyle w:val="Znakapoznpodarou"/>
        </w:rPr>
        <w:footnoteRef/>
      </w:r>
      <w:r w:rsidRPr="00DD47DF">
        <w:t xml:space="preserve"> Každým rozšířením vysokorychlostního připojení o dalších 10 % dojde k ročnímu nárůstu HDP per capita o 0,9 až 1,5 % (Czernich et al.: Cesifo Working Paper No. 2861, Ifo Institute for Economic Research, 2009).</w:t>
      </w:r>
    </w:p>
  </w:footnote>
  <w:footnote w:id="71">
    <w:p w14:paraId="511505FF" w14:textId="77777777" w:rsidR="00B050B4" w:rsidRPr="00DD47DF" w:rsidRDefault="00B050B4" w:rsidP="00DC56C8">
      <w:pPr>
        <w:pStyle w:val="Poznmkapodarou"/>
      </w:pPr>
      <w:r w:rsidRPr="00DD47DF">
        <w:rPr>
          <w:rStyle w:val="Znakapoznpodarou"/>
        </w:rPr>
        <w:footnoteRef/>
      </w:r>
      <w:r w:rsidRPr="00DD47DF">
        <w:t xml:space="preserve"> Na každé 1 ztracené pracovní místo vznikne díky vysokorychlostnímu připojení 2,6 nových pracovních míst (McKinsey, 2011, SME survey).</w:t>
      </w:r>
    </w:p>
  </w:footnote>
  <w:footnote w:id="72">
    <w:p w14:paraId="2E93E513" w14:textId="02F17E72" w:rsidR="00B050B4" w:rsidRPr="00DD47DF" w:rsidRDefault="00B050B4" w:rsidP="004F2EB2">
      <w:pPr>
        <w:pStyle w:val="Poznmkapodarou"/>
      </w:pPr>
      <w:r w:rsidRPr="00DD47DF">
        <w:rPr>
          <w:rStyle w:val="Znakapoznpodarou"/>
        </w:rPr>
        <w:footnoteRef/>
      </w:r>
      <w:r w:rsidRPr="00DD47DF">
        <w:t xml:space="preserve"> Rozumí se, že případná podpora do tzv. šedých míst by podléhala notifikačnímu procesu u Evropské komise podle čl. 107 Smlouvy o fungování EU. ČR plně vychází při zpracování této oblasti podpory z dokumentů EK např. „Guide to broadband investment“ nebo „The broadband State aid rules explained“.</w:t>
      </w:r>
    </w:p>
  </w:footnote>
  <w:footnote w:id="73">
    <w:p w14:paraId="7AC7D0C8" w14:textId="77777777" w:rsidR="00B050B4" w:rsidRPr="00DD47DF" w:rsidRDefault="00B050B4">
      <w:pPr>
        <w:pStyle w:val="Textpoznpodarou"/>
      </w:pPr>
      <w:r w:rsidRPr="00DD47DF">
        <w:rPr>
          <w:rStyle w:val="Znakapoznpodarou"/>
        </w:rPr>
        <w:footnoteRef/>
      </w:r>
      <w:r w:rsidRPr="00DD47DF">
        <w:t xml:space="preserve"> V elektronickém systému SFC2014 je uvedena střední hodnota intervalu, tj. 2,4.</w:t>
      </w:r>
    </w:p>
  </w:footnote>
  <w:footnote w:id="74">
    <w:p w14:paraId="7514FCCA" w14:textId="77777777" w:rsidR="00B050B4" w:rsidRPr="00DD47DF" w:rsidRDefault="00B050B4" w:rsidP="00DE2376">
      <w:pPr>
        <w:pStyle w:val="Poznmkapodarou"/>
        <w:rPr>
          <w:strike/>
        </w:rPr>
      </w:pPr>
      <w:r w:rsidRPr="00DD47DF">
        <w:rPr>
          <w:rStyle w:val="Znakapoznpodarou"/>
        </w:rPr>
        <w:footnoteRef/>
      </w:r>
      <w:r w:rsidRPr="00DD47DF">
        <w:t xml:space="preserve"> Relevantní aktivity velkých podniků budou načítány do odpovídajícího kódu intervencí (004). Tento kód spadá do podmínky účasti velkých podniků v OP PIK uvedené v kapitole 1.1.</w:t>
      </w:r>
    </w:p>
  </w:footnote>
  <w:footnote w:id="75">
    <w:p w14:paraId="4132BAE2" w14:textId="77777777" w:rsidR="00B050B4" w:rsidRPr="00DD47DF" w:rsidRDefault="00B050B4" w:rsidP="00BA7741">
      <w:pPr>
        <w:pStyle w:val="Textpoznpodarou"/>
      </w:pPr>
      <w:r w:rsidRPr="00DD47DF">
        <w:rPr>
          <w:rStyle w:val="Znakapoznpodarou"/>
        </w:rPr>
        <w:footnoteRef/>
      </w:r>
      <w:r w:rsidRPr="00DD47DF">
        <w:t xml:space="preserve"> Dostupné na http://www.strukturalni-fondy.cz/cs/Fondy-EU/2014-2020/Metodicke-pokyny/Metodika-rozvoje-lidskych-zdroju.</w:t>
      </w:r>
    </w:p>
  </w:footnote>
  <w:footnote w:id="76">
    <w:p w14:paraId="52384059" w14:textId="77777777" w:rsidR="00B050B4" w:rsidRPr="00DD47DF" w:rsidRDefault="00B050B4" w:rsidP="00157906">
      <w:pPr>
        <w:pStyle w:val="Poznmkapodarou"/>
      </w:pPr>
      <w:r w:rsidRPr="00DD47DF">
        <w:rPr>
          <w:rStyle w:val="Znakapoznpodarou"/>
        </w:rPr>
        <w:footnoteRef/>
      </w:r>
      <w:r w:rsidRPr="00DD47DF">
        <w:t xml:space="preserve"> Údaje vychází z Analýzy administrativní kapacity zpracované Řídícím orgánem OP PIK pro MMR NOK k datu 31. října 2014. Analýza byla vypracována na základě požadavků vyplývajících z usnesení vlády ČR č. 444/2014.</w:t>
      </w:r>
    </w:p>
  </w:footnote>
  <w:footnote w:id="77">
    <w:p w14:paraId="530984C7" w14:textId="77777777" w:rsidR="00B050B4" w:rsidRPr="00DD47DF" w:rsidRDefault="00B050B4" w:rsidP="002C1372">
      <w:pPr>
        <w:pStyle w:val="Poznmkapodarou"/>
      </w:pPr>
      <w:r w:rsidRPr="00DD47DF">
        <w:rPr>
          <w:rStyle w:val="Znakapoznpodarou"/>
        </w:rPr>
        <w:footnoteRef/>
      </w:r>
      <w:r w:rsidRPr="00DD47DF">
        <w:t xml:space="preserve"> Etický kodex členů MV OP PIK je v souladu s Nařízením Komise v přenesené pravomoci (EU) č. 240/2014 o evropském kodexu chování pro partnerskou spolupráci v rámci evropských strukturálních a investičních fondů.</w:t>
      </w:r>
    </w:p>
  </w:footnote>
  <w:footnote w:id="78">
    <w:p w14:paraId="2F379618" w14:textId="77777777" w:rsidR="00B050B4" w:rsidRPr="00DD47DF" w:rsidRDefault="00B050B4" w:rsidP="00CE6DD0">
      <w:pPr>
        <w:pStyle w:val="Poznmkapodarou"/>
      </w:pPr>
      <w:r w:rsidRPr="00DD47DF">
        <w:rPr>
          <w:rStyle w:val="Znakapoznpodarou"/>
        </w:rPr>
        <w:footnoteRef/>
      </w:r>
      <w:r w:rsidRPr="00DD47DF">
        <w:rPr>
          <w:vertAlign w:val="superscript"/>
        </w:rPr>
        <w:t xml:space="preserve"> </w:t>
      </w:r>
      <w:r w:rsidRPr="00DD47DF">
        <w:t>Celková alokace (podpora Unie) ponížená o výkonnostní rezervu.</w:t>
      </w:r>
    </w:p>
  </w:footnote>
  <w:footnote w:id="79">
    <w:p w14:paraId="0285DB5B" w14:textId="77777777" w:rsidR="00B050B4" w:rsidRPr="00DD47DF" w:rsidRDefault="00B050B4" w:rsidP="00720FC6">
      <w:pPr>
        <w:pStyle w:val="Poznmkapodarou"/>
      </w:pPr>
      <w:r w:rsidRPr="00DD47DF">
        <w:rPr>
          <w:rStyle w:val="Znakapoznpodarou"/>
        </w:rPr>
        <w:footnoteRef/>
      </w:r>
      <w:r w:rsidRPr="00DD47DF">
        <w:t xml:space="preserve"> Identifikovaná územní dimenze automaticky neznamená, že všechny projekty realizované v rámci daného specifického cíle budou moci být podpořeny výhradně pouze v daném typu území (s výjimkou specifického cíle 4.1).</w:t>
      </w:r>
    </w:p>
  </w:footnote>
  <w:footnote w:id="80">
    <w:p w14:paraId="643CF438" w14:textId="77777777" w:rsidR="00B050B4" w:rsidRDefault="00B050B4" w:rsidP="002C6857">
      <w:pPr>
        <w:pStyle w:val="Poznmkapodarou"/>
      </w:pPr>
      <w:r w:rsidRPr="009A2220">
        <w:rPr>
          <w:rStyle w:val="Znakapoznpodarou"/>
        </w:rPr>
        <w:footnoteRef/>
      </w:r>
      <w:r w:rsidRPr="009A2220">
        <w:t xml:space="preserve"> OP PIK předpokládá využití ITI pouze v metropolitních oblastech. </w:t>
      </w:r>
      <w:r w:rsidRPr="00DA313F">
        <w:t>Jádry metropolitních oblastí (území s koncentrací nad 300 tis. obyvatel) jsou největší města v České republice (Praha, Brno, Ostrava, Plzeň), včetně jejich funkčního zázemí. Z hlediska koncentrace obyvatelstva jsou určitou částí společných problémů k těmto centrům přiřazeny i oblasti Ústecko – Chomutovské, Olomoucké a Hradecko – Pardubické aglomerace.</w:t>
      </w:r>
    </w:p>
    <w:p w14:paraId="1171F119" w14:textId="77777777" w:rsidR="00B050B4" w:rsidRPr="00B12F9F" w:rsidRDefault="00B050B4" w:rsidP="002C6857">
      <w:pPr>
        <w:pStyle w:val="Poznmkapodarou"/>
      </w:pPr>
      <w:r w:rsidRPr="009A2220">
        <w:t>S využitím ITI nad rámec udržitelného rozvoje měst dle oddílu 4.2 (tabulky č. 20) se v OP PIK nepočítá. Z tohoto důvodu je tabulka č. 21 pro OP PIK nerelevantní.</w:t>
      </w:r>
    </w:p>
  </w:footnote>
  <w:footnote w:id="81">
    <w:p w14:paraId="5B3B1403" w14:textId="77777777" w:rsidR="00B050B4" w:rsidRPr="009A2220" w:rsidRDefault="00B050B4" w:rsidP="002C6857">
      <w:pPr>
        <w:pStyle w:val="Poznmkapodarou"/>
      </w:pPr>
      <w:r w:rsidRPr="009A2220">
        <w:rPr>
          <w:rStyle w:val="Znakapoznpodarou"/>
        </w:rPr>
        <w:footnoteRef/>
      </w:r>
      <w:r w:rsidRPr="009A2220">
        <w:t xml:space="preserve"> Nositelem integrovaného nástroje je odpovědný subjekt, zajišťující ve vymezeném území činnosti za účelem přípravy, schválení, realizace a vyhodnocování integrované strategie. Nositelem ITI bude u monocentrických aglomerací jádrové město, u polycentrických aglomerací bude nositel zvolen na základě dohody mezi partnery.</w:t>
      </w:r>
    </w:p>
  </w:footnote>
  <w:footnote w:id="82">
    <w:p w14:paraId="047B9F52" w14:textId="77777777" w:rsidR="00B050B4" w:rsidRPr="00DD47DF" w:rsidRDefault="00B050B4" w:rsidP="00EA28B0">
      <w:pPr>
        <w:pStyle w:val="Poznmkapodarou"/>
      </w:pPr>
      <w:r w:rsidRPr="00DD47DF">
        <w:rPr>
          <w:rStyle w:val="Znakapoznpodarou"/>
        </w:rPr>
        <w:footnoteRef/>
      </w:r>
      <w:r w:rsidRPr="00DD47DF">
        <w:t xml:space="preserve"> Hodnota průměrné míry nezaměstnanosti ČR je výrazně překročena také v Olomouckém a Karlovarském kraji.</w:t>
      </w:r>
    </w:p>
  </w:footnote>
  <w:footnote w:id="83">
    <w:p w14:paraId="159BB34E" w14:textId="77777777" w:rsidR="00B050B4" w:rsidRPr="00DD47DF" w:rsidRDefault="00B050B4" w:rsidP="00F05C0C">
      <w:pPr>
        <w:pStyle w:val="Poznmkapodarou"/>
      </w:pPr>
      <w:r w:rsidRPr="00DD47DF">
        <w:rPr>
          <w:rStyle w:val="Znakapoznpodarou"/>
        </w:rPr>
        <w:footnoteRef/>
      </w:r>
      <w:r w:rsidRPr="00DD47DF">
        <w:t xml:space="preserve"> Usnesením vlády ČR ze dne 28. listopadu 2012 č. 867 k přípravě programů spolufinancovaných z fondů Společného strategického rámce pro programové období let 2014 až 2020 v podmínkách ČR bylo Ministerstvo průmyslu a obchodu pověřeno řízením OP PIK.</w:t>
      </w:r>
    </w:p>
  </w:footnote>
  <w:footnote w:id="84">
    <w:p w14:paraId="113A78C0" w14:textId="77777777" w:rsidR="00B050B4" w:rsidRDefault="00B050B4">
      <w:pPr>
        <w:pStyle w:val="Textpoznpodarou"/>
      </w:pPr>
      <w:r>
        <w:rPr>
          <w:rStyle w:val="Znakapoznpodarou"/>
        </w:rPr>
        <w:footnoteRef/>
      </w:r>
      <w:r>
        <w:t xml:space="preserve"> Nositelé ITI v roli zprostředkujícího subjektu bez jejich financování z OP PIK.</w:t>
      </w:r>
    </w:p>
  </w:footnote>
  <w:footnote w:id="85">
    <w:p w14:paraId="0B37272F" w14:textId="77777777" w:rsidR="00B050B4" w:rsidRPr="00DD47DF" w:rsidRDefault="00B050B4"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pověřenou výkonem funkce platebního a certifikačního orgánu.</w:t>
      </w:r>
    </w:p>
  </w:footnote>
  <w:footnote w:id="86">
    <w:p w14:paraId="5DE6E9D9" w14:textId="77777777" w:rsidR="00B050B4" w:rsidRPr="00DD47DF" w:rsidRDefault="00B050B4"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 výkonem funkce auditního orgánu.</w:t>
      </w:r>
    </w:p>
  </w:footnote>
  <w:footnote w:id="87">
    <w:p w14:paraId="7EA61760" w14:textId="77777777" w:rsidR="00B050B4" w:rsidRPr="00DD47DF" w:rsidRDefault="00B050B4" w:rsidP="00F05C0C">
      <w:pPr>
        <w:pStyle w:val="Poznmkapodarou"/>
      </w:pPr>
      <w:r w:rsidRPr="00DD47DF">
        <w:rPr>
          <w:rStyle w:val="Znakapoznpodarou"/>
        </w:rPr>
        <w:footnoteRef/>
      </w:r>
      <w:r w:rsidRPr="00DD47DF">
        <w:t xml:space="preserve"> Usnesením vlády ČR ze dne 12. června 2013 č. 448 k Pravidlům řízení a koordinace Dohody o partnerství v programovém období 2014 – 2020 bylo Ministerstvo financí pověřeno výkonem funkce platebního a certifikačního orgánu.</w:t>
      </w:r>
    </w:p>
  </w:footnote>
  <w:footnote w:id="88">
    <w:p w14:paraId="44DBAD25" w14:textId="77777777" w:rsidR="00B050B4" w:rsidRPr="00DD47DF" w:rsidRDefault="00B050B4" w:rsidP="002D7AD5">
      <w:pPr>
        <w:pStyle w:val="Poznmkapodarou"/>
      </w:pPr>
      <w:r w:rsidRPr="00DD47DF">
        <w:rPr>
          <w:rStyle w:val="Znakapoznpodarou"/>
        </w:rPr>
        <w:footnoteRef/>
      </w:r>
      <w:r w:rsidRPr="00DD47DF">
        <w:t xml:space="preserve"> Enterprise Europe Network působí v téměř padesáti zemích světa. V České republice je zastoupena konsorciem jedenácti partnerů koordinovaném Technologickým centrem AV ČR a je financována Evropskou unií z Rámcového programu EU pro konkurenceschopnost a inovace a Ministerstvem průmyslu a obchodu.</w:t>
      </w:r>
    </w:p>
  </w:footnote>
  <w:footnote w:id="89">
    <w:p w14:paraId="3A8E343E" w14:textId="77777777" w:rsidR="00B050B4" w:rsidRPr="00DD47DF" w:rsidRDefault="00B050B4" w:rsidP="005021A2">
      <w:pPr>
        <w:pStyle w:val="Poznmkapodarou"/>
      </w:pPr>
      <w:r w:rsidRPr="00DD47DF">
        <w:rPr>
          <w:rStyle w:val="Znakapoznpodarou"/>
        </w:rPr>
        <w:footnoteRef/>
      </w:r>
      <w:r w:rsidRPr="00DD47DF">
        <w:t xml:space="preserve"> Draft Guidance on Ex Ante Conditionalities for the European Structural and Investment Funds (ESI), 13 February 2014.</w:t>
      </w:r>
    </w:p>
  </w:footnote>
  <w:footnote w:id="90">
    <w:p w14:paraId="7C76F328" w14:textId="77777777" w:rsidR="00B050B4" w:rsidRPr="00DD47DF" w:rsidRDefault="00B050B4" w:rsidP="005021A2">
      <w:pPr>
        <w:pStyle w:val="Poznmkapodarou"/>
      </w:pPr>
      <w:r w:rsidRPr="00DD47DF">
        <w:rPr>
          <w:rStyle w:val="Znakapoznpodarou"/>
        </w:rPr>
        <w:footnoteRef/>
      </w:r>
      <w:r w:rsidRPr="00DD47DF">
        <w:t xml:space="preserve"> Směrnice EP a Rady 2009/28/ES o podpoře využívání energie z obnovitelných zdrojů energie, Směrnice EP  a Rady </w:t>
      </w:r>
      <w:r w:rsidRPr="00DD47DF">
        <w:rPr>
          <w:bCs/>
        </w:rPr>
        <w:t>2010/31/EU</w:t>
      </w:r>
      <w:r w:rsidRPr="00DD47DF">
        <w:t xml:space="preserve"> o energetické náročnosti budov, Směrnice EP a Rady </w:t>
      </w:r>
      <w:r w:rsidRPr="00DD47DF">
        <w:rPr>
          <w:bCs/>
        </w:rPr>
        <w:t>2006/32/ES</w:t>
      </w:r>
      <w:r w:rsidRPr="00DD47DF">
        <w:t xml:space="preserve"> o energetické účinnosti u konečného uživatele a o energetických službách, Směrnice EP a Rady 2012/27/EU o energetické účinnosti. </w:t>
      </w:r>
    </w:p>
  </w:footnote>
  <w:footnote w:id="91">
    <w:p w14:paraId="7A5B2E0E" w14:textId="77777777" w:rsidR="00B050B4" w:rsidRPr="00DD47DF" w:rsidRDefault="00B050B4" w:rsidP="00790A0D">
      <w:pPr>
        <w:pStyle w:val="Poznmkapodarou"/>
        <w:rPr>
          <w:rFonts w:ascii="Calibri" w:hAnsi="Calibri"/>
          <w:b/>
          <w:sz w:val="24"/>
          <w:szCs w:val="24"/>
        </w:rPr>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 Na základě požadavku EK dle připomínky k OP PIK (č. 143) je plné znění naplňování obecných předběžných podmínek v rámci Dohody o partnerství na národní úrovni součástí Přílohy II.</w:t>
      </w:r>
    </w:p>
  </w:footnote>
  <w:footnote w:id="92">
    <w:p w14:paraId="1702B7EA" w14:textId="77777777" w:rsidR="00B050B4" w:rsidRPr="00DD47DF" w:rsidRDefault="00B050B4" w:rsidP="00790A0D">
      <w:pPr>
        <w:pStyle w:val="Poznmkapodarou"/>
      </w:pPr>
      <w:r w:rsidRPr="00DD47DF">
        <w:rPr>
          <w:rStyle w:val="Znakapoznpodarou"/>
        </w:rPr>
        <w:footnoteRef/>
      </w:r>
      <w:r w:rsidRPr="00DD47DF">
        <w:t xml:space="preserve"> Rozhodnutí Rady 2009/26/ES ze dne 26. listopadu 2009 o uzavření Úmluvy Organizace spojených národů o právech osob se zdravotním postižením Evropským společenstvím, Úř. věst. L 23, 27.1.2010, s. 35. </w:t>
      </w:r>
    </w:p>
    <w:p w14:paraId="5E5643FA" w14:textId="77777777" w:rsidR="00B050B4" w:rsidRPr="00DD47DF" w:rsidRDefault="00B050B4" w:rsidP="00790A0D">
      <w:pPr>
        <w:pStyle w:val="Textpoznpodarou"/>
      </w:pPr>
    </w:p>
  </w:footnote>
  <w:footnote w:id="93">
    <w:p w14:paraId="2E7AC1F6" w14:textId="77777777" w:rsidR="00B050B4" w:rsidRPr="00DD47DF" w:rsidRDefault="00B050B4" w:rsidP="00790A0D">
      <w:pPr>
        <w:pStyle w:val="Poznmkapodarou"/>
      </w:pPr>
      <w:r w:rsidRPr="00DD47DF">
        <w:rPr>
          <w:rStyle w:val="Znakapoznpodarou"/>
        </w:rPr>
        <w:footnoteRef/>
      </w:r>
      <w:r w:rsidRPr="00DD47DF">
        <w:t xml:space="preserve"> Směrnice Evropského parlamentu a Rady 2011/92/EU ze dne 13. prosince 2011 o posuzování vlivů některých veřejných a soukromých záměrů na životní prostředí (Úř. věst. L 26, 28.1.2012, s. 1).</w:t>
      </w:r>
    </w:p>
  </w:footnote>
  <w:footnote w:id="94">
    <w:p w14:paraId="366FC2AD" w14:textId="77777777" w:rsidR="00B050B4" w:rsidRPr="00DD47DF" w:rsidRDefault="00B050B4" w:rsidP="00790A0D">
      <w:pPr>
        <w:pStyle w:val="Poznmkapodarou"/>
      </w:pPr>
      <w:r w:rsidRPr="00DD47DF">
        <w:rPr>
          <w:rStyle w:val="Znakapoznpodarou"/>
        </w:rPr>
        <w:footnoteRef/>
      </w:r>
      <w:r w:rsidRPr="00DD47DF">
        <w:t xml:space="preserve"> Směrnice Evropského parlamentu a Rady 2001/42/ES ze dne 27. června 2001 o posuzování vlivů některých plánů a programů na životní prostředí (Úř. věst. L 197, 21.7.2001, s. 30).</w:t>
      </w:r>
    </w:p>
    <w:p w14:paraId="788C252F" w14:textId="77777777" w:rsidR="00B050B4" w:rsidRPr="00DD47DF" w:rsidRDefault="00B050B4" w:rsidP="00790A0D">
      <w:pPr>
        <w:pStyle w:val="Textpoznpodarou"/>
      </w:pPr>
    </w:p>
  </w:footnote>
  <w:footnote w:id="95">
    <w:p w14:paraId="337B8113" w14:textId="77777777" w:rsidR="00B050B4" w:rsidRPr="00DD47DF" w:rsidRDefault="00B050B4" w:rsidP="00790A0D">
      <w:pPr>
        <w:pStyle w:val="Poznmkapodarou"/>
      </w:pPr>
      <w:r w:rsidRPr="00DD47DF">
        <w:rPr>
          <w:rStyle w:val="Znakapoznpodarou"/>
        </w:rPr>
        <w:footnoteRef/>
      </w:r>
      <w:r w:rsidRPr="00DD47DF">
        <w:t xml:space="preserve"> Směrnice Evropského parlamentu a Rady 2010/31/EU ze dne 19. května 2010 o energetické náročnosti budov (Úř. věst. L 153, 18.6.2010, s. 13).</w:t>
      </w:r>
    </w:p>
  </w:footnote>
  <w:footnote w:id="96">
    <w:p w14:paraId="24137944" w14:textId="77777777" w:rsidR="00B050B4" w:rsidRPr="00DD47DF" w:rsidRDefault="00B050B4" w:rsidP="00790A0D">
      <w:pPr>
        <w:pStyle w:val="Poznmkapodarou"/>
      </w:pPr>
      <w:r w:rsidRPr="00DD47DF">
        <w:rPr>
          <w:rStyle w:val="Znakapoznpodarou"/>
        </w:rPr>
        <w:footnoteRef/>
      </w:r>
      <w:r w:rsidRPr="00DD47DF">
        <w:t xml:space="preserve"> Směrnice Evropského parlamentu a Rady 2012/27/EU ze dne 25. října 2012 o energetické účinnosti, o změně směrnic 2009/125/ES a 2010/30/EU a o zrušení směrnic 2004/8/ES a 2006/32/ES (Úř. věst. L 315, 14.11.2012, s. 1). </w:t>
      </w:r>
    </w:p>
  </w:footnote>
  <w:footnote w:id="97">
    <w:p w14:paraId="1A1FE47F" w14:textId="77777777" w:rsidR="00B050B4" w:rsidRPr="00DD47DF" w:rsidRDefault="00B050B4" w:rsidP="00790A0D">
      <w:pPr>
        <w:pStyle w:val="Poznmkapodarou"/>
      </w:pPr>
      <w:r w:rsidRPr="00DD47DF">
        <w:rPr>
          <w:rStyle w:val="Znakapoznpodarou"/>
        </w:rPr>
        <w:footnoteRef/>
      </w:r>
      <w:r w:rsidRPr="00DD47DF">
        <w:t xml:space="preserve"> Směrnice Evropského parlamentu a Rady 2006/32/ES ze dne 5. dubna 2006 o energetické účinnosti u konečného uživatele a o energetických službách a o zrušení směrnice Rady 93/76/EHS (Úř. věst. L 114, 27.4.2006, s. 64). </w:t>
      </w:r>
    </w:p>
  </w:footnote>
  <w:footnote w:id="98">
    <w:p w14:paraId="548D97DB" w14:textId="77777777" w:rsidR="00B050B4" w:rsidRPr="00DD47DF" w:rsidRDefault="00B050B4" w:rsidP="00790A0D">
      <w:pPr>
        <w:pStyle w:val="Poznmkapodarou"/>
      </w:pPr>
      <w:r w:rsidRPr="00DD47DF">
        <w:rPr>
          <w:rStyle w:val="Znakapoznpodarou"/>
        </w:rPr>
        <w:footnoteRef/>
      </w:r>
      <w:r w:rsidRPr="00DD47DF">
        <w:t xml:space="preserve"> Směrnice Evropského parlamentu a Rady 2009/28/ES ze dne 23. dubna 2009 o podpoře využívání energie z obnovitelných zdrojů a o změně a následném zrušení směrnic 2001/77/ES a 2003/30/ES (Úř. věst. L 140, 5.6.2009, s. 16).</w:t>
      </w:r>
    </w:p>
  </w:footnote>
  <w:footnote w:id="99">
    <w:p w14:paraId="57077D7B" w14:textId="77777777" w:rsidR="00B050B4" w:rsidRPr="00DD47DF" w:rsidRDefault="00B050B4" w:rsidP="00790A0D">
      <w:pPr>
        <w:pStyle w:val="Poznmkapodarou"/>
      </w:pPr>
      <w:r w:rsidRPr="00DD47DF">
        <w:rPr>
          <w:rStyle w:val="Znakapoznpodarou"/>
        </w:rPr>
        <w:footnoteRef/>
      </w:r>
      <w:r w:rsidRPr="00DD47DF">
        <w:t xml:space="preserve"> Nařízení Evropského parlamentu a Rady (ES) č. 714/2009 ze dne 13. července 2009 o podmínkách přístupu do sítě pro přeshraniční obchod s elektřinou a o zrušení nařízení (ES) č. 1228/2003 (Úř. věst. L 211, 14.8.2009, s. 15).</w:t>
      </w:r>
    </w:p>
  </w:footnote>
  <w:footnote w:id="100">
    <w:p w14:paraId="5565B81E" w14:textId="77777777" w:rsidR="00B050B4" w:rsidRPr="00DD47DF" w:rsidRDefault="00B050B4" w:rsidP="00790A0D">
      <w:pPr>
        <w:pStyle w:val="Poznmkapodarou"/>
      </w:pPr>
      <w:r w:rsidRPr="00DD47DF">
        <w:rPr>
          <w:rStyle w:val="Znakapoznpodarou"/>
        </w:rPr>
        <w:footnoteRef/>
      </w:r>
      <w:r w:rsidRPr="00DD47DF">
        <w:t xml:space="preserve"> Nařízení Evropského parlamentu a Rady (ES) Č. 715/2009 ze dne 13. července 2009 o podmínkách přístupu k plynárenským přepravním soustavám a o zrušení nařízení (ES) č. 1775/2005 (Úř. věst. L 211, 14.8.2009, s. 36). </w:t>
      </w:r>
    </w:p>
  </w:footnote>
  <w:footnote w:id="101">
    <w:p w14:paraId="3A5527F9" w14:textId="77777777" w:rsidR="00B050B4" w:rsidRPr="00DD47DF" w:rsidRDefault="00B050B4" w:rsidP="00790A0D">
      <w:pPr>
        <w:pStyle w:val="Poznmkapodarou"/>
      </w:pPr>
      <w:r w:rsidRPr="00DD47DF">
        <w:rPr>
          <w:rStyle w:val="Znakapoznpodarou"/>
        </w:rPr>
        <w:footnoteRef/>
      </w:r>
      <w:r w:rsidRPr="00DD47DF">
        <w:t xml:space="preserve"> Nařízení Evropského parlamentu a Rady (EU) č. 347/2013 ze dne 17. dubna 2013, kterým se stanoví hlavní směry pro transevropské energetické sítě a kterým se zrušuje rozhodnutí č. 1364/2006/ES a mění nařízení (ES) č. 713/2009, (ES) č. 714/2009 a (ES) č. 715/2009 (Úř. věst. L 115, 25.4.2013, s. 39).</w:t>
      </w:r>
    </w:p>
  </w:footnote>
  <w:footnote w:id="102">
    <w:p w14:paraId="6FEB4376" w14:textId="77777777" w:rsidR="00B050B4" w:rsidRPr="00DD47DF" w:rsidRDefault="00B050B4" w:rsidP="00790A0D">
      <w:pPr>
        <w:pStyle w:val="Poznmkapodarou"/>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w:t>
      </w:r>
    </w:p>
  </w:footnote>
  <w:footnote w:id="103">
    <w:p w14:paraId="2F87F510" w14:textId="77777777" w:rsidR="00B050B4" w:rsidRPr="00DD47DF" w:rsidRDefault="00B050B4" w:rsidP="006D2F5F">
      <w:pPr>
        <w:pStyle w:val="Poznmkapodarou"/>
      </w:pPr>
      <w:r w:rsidRPr="00DD47DF">
        <w:rPr>
          <w:rStyle w:val="Znakapoznpodarou"/>
        </w:rPr>
        <w:footnoteRef/>
      </w:r>
      <w:r w:rsidRPr="00DD47DF">
        <w:t xml:space="preserve"> S ohledem na limit počtu znaků daný prováděcím nařízením Komise (EU) č. 288/2014 ze dne 25. února 2014 je vysvětlení k vybraným kritériím obsaženo také v Příloze č. II.</w:t>
      </w:r>
    </w:p>
  </w:footnote>
  <w:footnote w:id="104">
    <w:p w14:paraId="0DD12F92" w14:textId="77777777" w:rsidR="00B050B4" w:rsidRPr="00DD47DF" w:rsidRDefault="00B050B4" w:rsidP="006D2F5F">
      <w:pPr>
        <w:pStyle w:val="Poznmkapodarou"/>
      </w:pPr>
      <w:r w:rsidRPr="00DD47DF">
        <w:rPr>
          <w:rStyle w:val="Znakapoznpodarou"/>
        </w:rPr>
        <w:footnoteRef/>
      </w:r>
      <w:r w:rsidRPr="00DD47DF">
        <w:t xml:space="preserve"> Směrnice Evropského parlamentu a Rady 2012/27/EU ze dne 25. října 2012 o energetické účinnosti, o změně směrnic 2009/125/ES a 2010/30/EU a o zrušení směrnic 2004/8/ES a 2006/32/ES (Úř. věst. L 315, 14.11.2012, s. 1). </w:t>
      </w:r>
    </w:p>
  </w:footnote>
  <w:footnote w:id="105">
    <w:p w14:paraId="2D1AB5D4" w14:textId="77777777" w:rsidR="00B050B4" w:rsidRPr="00DD47DF" w:rsidRDefault="00B050B4" w:rsidP="00223D40">
      <w:pPr>
        <w:pStyle w:val="Poznmkapodarou"/>
      </w:pPr>
      <w:r w:rsidRPr="00DD47DF">
        <w:rPr>
          <w:rStyle w:val="Znakapoznpodarou"/>
        </w:rPr>
        <w:footnoteRef/>
      </w:r>
      <w:r w:rsidRPr="00DD47DF">
        <w:t xml:space="preserve"> Vyhodnocení internetové aplikace eAccount pro komunikaci s žadateli a příjemci Operačního programu Podnikání a inovace 2007 – 2013 (zpracovatel Ipsos Tambor, s. r. o., Praha, 2009).</w:t>
      </w:r>
    </w:p>
  </w:footnote>
  <w:footnote w:id="106">
    <w:p w14:paraId="74BE4BEC" w14:textId="77777777" w:rsidR="00B050B4" w:rsidRPr="00DD47DF" w:rsidRDefault="00B050B4" w:rsidP="00223D40">
      <w:pPr>
        <w:pStyle w:val="Poznmkapodarou"/>
      </w:pPr>
      <w:r w:rsidRPr="00DD47DF">
        <w:rPr>
          <w:rStyle w:val="Znakapoznpodarou"/>
        </w:rPr>
        <w:footnoteRef/>
      </w:r>
      <w:r w:rsidRPr="00DD47DF">
        <w:t xml:space="preserve"> Například evaluační studie Analýza efektivnosti čerpání, kvality řízení a procesních postupů Operačního programu Podnikání a inovace, včetně návrhu souboru opatření (zpracovatel eNovation s.r.o, Praha, 2011).</w:t>
      </w:r>
    </w:p>
  </w:footnote>
  <w:footnote w:id="107">
    <w:p w14:paraId="437388A2" w14:textId="77777777" w:rsidR="00B050B4" w:rsidRPr="00DD47DF" w:rsidRDefault="00B050B4" w:rsidP="00223D40">
      <w:pPr>
        <w:pStyle w:val="Poznmkapodarou"/>
      </w:pPr>
      <w:r w:rsidRPr="00DD47DF">
        <w:rPr>
          <w:rStyle w:val="Znakapoznpodarou"/>
        </w:rPr>
        <w:footnoteRef/>
      </w:r>
      <w:r w:rsidRPr="00DD47DF">
        <w:t xml:space="preserve"> Evaluace procesů souvisejících s administrací žádostí o platbu včetně návrhu opatření směřujících ke zvyšování jejich efektivnosti (zpracovatel Deloitte, realizace 2013-2014).</w:t>
      </w:r>
    </w:p>
  </w:footnote>
  <w:footnote w:id="108">
    <w:p w14:paraId="424D77E8" w14:textId="77777777" w:rsidR="00B050B4" w:rsidRDefault="00B050B4" w:rsidP="00223D40">
      <w:pPr>
        <w:pStyle w:val="Textpoznpodarou"/>
      </w:pPr>
      <w:r w:rsidRPr="00DD47DF">
        <w:rPr>
          <w:rStyle w:val="Znakapoznpodarou"/>
        </w:rPr>
        <w:footnoteRef/>
      </w:r>
      <w:r w:rsidRPr="00DD47DF">
        <w:t xml:space="preserve"> Se snižováním administrativní zátěže podnikatelů souvisí rovněž požadavky monitoringu a to zejména v oblasti indikátorů. Více Nepovinná příloha č. 3: Pojetí indikátorů v OP PIK.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6C079" w14:textId="77777777" w:rsidR="00B050B4" w:rsidRDefault="00B050B4" w:rsidP="0022503D">
    <w:pPr>
      <w:pStyle w:val="Zhlav"/>
    </w:pPr>
  </w:p>
  <w:p w14:paraId="52B2D353" w14:textId="77777777" w:rsidR="00B050B4" w:rsidRDefault="00B050B4" w:rsidP="0022503D">
    <w:pPr>
      <w:pStyle w:val="Zhlav"/>
    </w:pPr>
    <w:r>
      <w:rPr>
        <w:noProof/>
      </w:rPr>
      <w:drawing>
        <wp:anchor distT="0" distB="0" distL="114300" distR="114300" simplePos="0" relativeHeight="251602432" behindDoc="0" locked="0" layoutInCell="1" allowOverlap="1" wp14:anchorId="4552EE3D" wp14:editId="66932459">
          <wp:simplePos x="0" y="0"/>
          <wp:positionH relativeFrom="column">
            <wp:posOffset>4554855</wp:posOffset>
          </wp:positionH>
          <wp:positionV relativeFrom="paragraph">
            <wp:posOffset>18415</wp:posOffset>
          </wp:positionV>
          <wp:extent cx="1301115" cy="445770"/>
          <wp:effectExtent l="0" t="0" r="0" b="0"/>
          <wp:wrapNone/>
          <wp:docPr id="7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3161EA40" w14:textId="77777777" w:rsidR="00B050B4" w:rsidRDefault="00B050B4" w:rsidP="009B666C">
    <w:pPr>
      <w:pStyle w:val="Zhlav"/>
    </w:pPr>
    <w:r>
      <w:rPr>
        <w:noProof/>
      </w:rPr>
      <w:drawing>
        <wp:anchor distT="0" distB="0" distL="114300" distR="114300" simplePos="0" relativeHeight="251604480" behindDoc="1" locked="0" layoutInCell="1" allowOverlap="1" wp14:anchorId="6F9F5506" wp14:editId="35E64A04">
          <wp:simplePos x="0" y="0"/>
          <wp:positionH relativeFrom="column">
            <wp:posOffset>-37465</wp:posOffset>
          </wp:positionH>
          <wp:positionV relativeFrom="paragraph">
            <wp:posOffset>-309880</wp:posOffset>
          </wp:positionV>
          <wp:extent cx="1383030" cy="739775"/>
          <wp:effectExtent l="0" t="0" r="7620" b="0"/>
          <wp:wrapNone/>
          <wp:docPr id="7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4645D96" w14:textId="77777777" w:rsidR="00B050B4" w:rsidRDefault="00B050B4" w:rsidP="0022503D">
    <w:pPr>
      <w:pStyle w:val="Zhlav"/>
    </w:pPr>
  </w:p>
  <w:p w14:paraId="69671024" w14:textId="77777777" w:rsidR="00B050B4" w:rsidRDefault="00013622" w:rsidP="0022503D">
    <w:pPr>
      <w:pStyle w:val="Zhlav"/>
    </w:pPr>
    <w:r>
      <w:rPr>
        <w:noProof/>
      </w:rPr>
      <w:pict w14:anchorId="2CFF1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49.2pt;margin-top:298.85pt;width:541pt;height:98.35pt;rotation:315;z-index:-251627008;mso-position-horizontal-relative:margin;mso-position-vertical-relative:margin" o:allowincell="f" fillcolor="silver" stroked="f">
          <v:fill opacity=".5"/>
          <v:textpath style="font-family:&quot;Times New Roman&quot;;font-size:1pt" string="DRAFT MPO"/>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B150C" w14:textId="77777777" w:rsidR="00B050B4" w:rsidRDefault="00B050B4" w:rsidP="0022503D">
    <w:pPr>
      <w:pStyle w:val="Zhlav"/>
    </w:pPr>
  </w:p>
  <w:p w14:paraId="72A323E8" w14:textId="77777777" w:rsidR="00B050B4" w:rsidRDefault="00B050B4" w:rsidP="0022503D">
    <w:pPr>
      <w:pStyle w:val="Zhlav"/>
    </w:pPr>
    <w:r>
      <w:rPr>
        <w:noProof/>
      </w:rPr>
      <w:drawing>
        <wp:anchor distT="0" distB="0" distL="114300" distR="114300" simplePos="0" relativeHeight="251688448" behindDoc="0" locked="0" layoutInCell="1" allowOverlap="1" wp14:anchorId="46D6CE54" wp14:editId="26752852">
          <wp:simplePos x="0" y="0"/>
          <wp:positionH relativeFrom="column">
            <wp:posOffset>7723505</wp:posOffset>
          </wp:positionH>
          <wp:positionV relativeFrom="paragraph">
            <wp:posOffset>18415</wp:posOffset>
          </wp:positionV>
          <wp:extent cx="1301115" cy="445770"/>
          <wp:effectExtent l="0" t="0" r="0" b="0"/>
          <wp:wrapNone/>
          <wp:docPr id="44"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7A55E1C" w14:textId="77777777" w:rsidR="00B050B4" w:rsidRDefault="00B050B4" w:rsidP="009B666C">
    <w:pPr>
      <w:pStyle w:val="Zhlav"/>
    </w:pPr>
    <w:r>
      <w:rPr>
        <w:noProof/>
      </w:rPr>
      <w:drawing>
        <wp:anchor distT="0" distB="0" distL="114300" distR="114300" simplePos="0" relativeHeight="251690496" behindDoc="1" locked="0" layoutInCell="1" allowOverlap="1" wp14:anchorId="1EA4FA87" wp14:editId="7798A661">
          <wp:simplePos x="0" y="0"/>
          <wp:positionH relativeFrom="column">
            <wp:posOffset>-37465</wp:posOffset>
          </wp:positionH>
          <wp:positionV relativeFrom="paragraph">
            <wp:posOffset>-309880</wp:posOffset>
          </wp:positionV>
          <wp:extent cx="1383030" cy="739775"/>
          <wp:effectExtent l="0" t="0" r="7620" b="0"/>
          <wp:wrapNone/>
          <wp:docPr id="4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E18487E" w14:textId="77777777" w:rsidR="00B050B4" w:rsidRDefault="00B050B4" w:rsidP="0022503D">
    <w:pPr>
      <w:pStyle w:val="Zhlav"/>
    </w:pPr>
  </w:p>
  <w:p w14:paraId="24A1C80A" w14:textId="77777777" w:rsidR="00B050B4" w:rsidRDefault="00B050B4" w:rsidP="0022503D">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2158C" w14:textId="77777777" w:rsidR="00B050B4" w:rsidRDefault="00B050B4" w:rsidP="0022503D">
    <w:pPr>
      <w:pStyle w:val="Zhlav"/>
    </w:pPr>
  </w:p>
  <w:p w14:paraId="28E153D5" w14:textId="77777777" w:rsidR="00B050B4" w:rsidRDefault="00B050B4" w:rsidP="0022503D">
    <w:pPr>
      <w:pStyle w:val="Zhlav"/>
    </w:pPr>
    <w:r>
      <w:rPr>
        <w:noProof/>
      </w:rPr>
      <w:drawing>
        <wp:anchor distT="0" distB="0" distL="114300" distR="114300" simplePos="0" relativeHeight="251682304" behindDoc="0" locked="0" layoutInCell="1" allowOverlap="1" wp14:anchorId="0A1FD478" wp14:editId="7E4736EF">
          <wp:simplePos x="0" y="0"/>
          <wp:positionH relativeFrom="column">
            <wp:posOffset>4554855</wp:posOffset>
          </wp:positionH>
          <wp:positionV relativeFrom="paragraph">
            <wp:posOffset>18415</wp:posOffset>
          </wp:positionV>
          <wp:extent cx="1301115" cy="445770"/>
          <wp:effectExtent l="0" t="0" r="0" b="0"/>
          <wp:wrapNone/>
          <wp:docPr id="1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6759E027" w14:textId="77777777" w:rsidR="00B050B4" w:rsidRDefault="00B050B4" w:rsidP="009B666C">
    <w:pPr>
      <w:pStyle w:val="Zhlav"/>
    </w:pPr>
    <w:r>
      <w:rPr>
        <w:noProof/>
      </w:rPr>
      <w:drawing>
        <wp:anchor distT="0" distB="0" distL="114300" distR="114300" simplePos="0" relativeHeight="251684352" behindDoc="1" locked="0" layoutInCell="1" allowOverlap="1" wp14:anchorId="22D5BE06" wp14:editId="0D136F8E">
          <wp:simplePos x="0" y="0"/>
          <wp:positionH relativeFrom="column">
            <wp:posOffset>-37465</wp:posOffset>
          </wp:positionH>
          <wp:positionV relativeFrom="paragraph">
            <wp:posOffset>-309880</wp:posOffset>
          </wp:positionV>
          <wp:extent cx="1383030" cy="739775"/>
          <wp:effectExtent l="0" t="0" r="7620" b="0"/>
          <wp:wrapNone/>
          <wp:docPr id="1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DF926D5" w14:textId="77777777" w:rsidR="00B050B4" w:rsidRDefault="00B050B4" w:rsidP="0022503D">
    <w:pPr>
      <w:pStyle w:val="Zhlav"/>
    </w:pPr>
  </w:p>
  <w:p w14:paraId="5A53C472" w14:textId="77777777" w:rsidR="00B050B4" w:rsidRDefault="00B050B4" w:rsidP="0022503D">
    <w:pPr>
      <w:pStyle w:val="Zhlav"/>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A1561" w14:textId="77777777" w:rsidR="00B050B4" w:rsidRDefault="00B050B4" w:rsidP="0022503D">
    <w:pPr>
      <w:pStyle w:val="Zhlav"/>
    </w:pPr>
  </w:p>
  <w:p w14:paraId="61F30E31" w14:textId="77777777" w:rsidR="00B050B4" w:rsidRDefault="00B050B4" w:rsidP="0022503D">
    <w:pPr>
      <w:pStyle w:val="Zhlav"/>
    </w:pPr>
    <w:r>
      <w:rPr>
        <w:noProof/>
      </w:rPr>
      <w:drawing>
        <wp:anchor distT="0" distB="0" distL="114300" distR="114300" simplePos="0" relativeHeight="251700736" behindDoc="0" locked="0" layoutInCell="1" allowOverlap="1" wp14:anchorId="261F796F" wp14:editId="703A8958">
          <wp:simplePos x="0" y="0"/>
          <wp:positionH relativeFrom="column">
            <wp:posOffset>7680960</wp:posOffset>
          </wp:positionH>
          <wp:positionV relativeFrom="paragraph">
            <wp:posOffset>20320</wp:posOffset>
          </wp:positionV>
          <wp:extent cx="1301115" cy="445770"/>
          <wp:effectExtent l="0" t="0" r="0" b="0"/>
          <wp:wrapNone/>
          <wp:docPr id="13"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47453A1" w14:textId="77777777" w:rsidR="00B050B4" w:rsidRDefault="00B050B4" w:rsidP="009B666C">
    <w:pPr>
      <w:pStyle w:val="Zhlav"/>
    </w:pPr>
    <w:r>
      <w:rPr>
        <w:noProof/>
      </w:rPr>
      <w:drawing>
        <wp:anchor distT="0" distB="0" distL="114300" distR="114300" simplePos="0" relativeHeight="251702784" behindDoc="1" locked="0" layoutInCell="1" allowOverlap="1" wp14:anchorId="41CCE886" wp14:editId="10B3E3F1">
          <wp:simplePos x="0" y="0"/>
          <wp:positionH relativeFrom="column">
            <wp:posOffset>-37465</wp:posOffset>
          </wp:positionH>
          <wp:positionV relativeFrom="paragraph">
            <wp:posOffset>-309880</wp:posOffset>
          </wp:positionV>
          <wp:extent cx="1383030" cy="739775"/>
          <wp:effectExtent l="0" t="0" r="7620" b="0"/>
          <wp:wrapNone/>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DB91B8F" w14:textId="77777777" w:rsidR="00B050B4" w:rsidRDefault="00B050B4" w:rsidP="0022503D">
    <w:pPr>
      <w:pStyle w:val="Zhlav"/>
    </w:pPr>
  </w:p>
  <w:p w14:paraId="01630F26" w14:textId="77777777" w:rsidR="00B050B4" w:rsidRDefault="00B050B4" w:rsidP="0022503D">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706D4" w14:textId="77777777" w:rsidR="00B050B4" w:rsidRDefault="00B050B4" w:rsidP="0022503D">
    <w:pPr>
      <w:pStyle w:val="Zhlav"/>
    </w:pPr>
  </w:p>
  <w:p w14:paraId="0E4DC13E" w14:textId="77777777" w:rsidR="00B050B4" w:rsidRDefault="00B050B4" w:rsidP="0022503D">
    <w:pPr>
      <w:pStyle w:val="Zhlav"/>
    </w:pPr>
    <w:r>
      <w:rPr>
        <w:noProof/>
      </w:rPr>
      <w:drawing>
        <wp:anchor distT="0" distB="0" distL="114300" distR="114300" simplePos="0" relativeHeight="251692544" behindDoc="0" locked="0" layoutInCell="1" allowOverlap="1" wp14:anchorId="746F122B" wp14:editId="03B54571">
          <wp:simplePos x="0" y="0"/>
          <wp:positionH relativeFrom="column">
            <wp:posOffset>4554855</wp:posOffset>
          </wp:positionH>
          <wp:positionV relativeFrom="paragraph">
            <wp:posOffset>18415</wp:posOffset>
          </wp:positionV>
          <wp:extent cx="1301115" cy="445770"/>
          <wp:effectExtent l="0" t="0" r="0" b="0"/>
          <wp:wrapNone/>
          <wp:docPr id="32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7FB3346" w14:textId="77777777" w:rsidR="00B050B4" w:rsidRDefault="00B050B4" w:rsidP="009B666C">
    <w:pPr>
      <w:pStyle w:val="Zhlav"/>
    </w:pPr>
    <w:r>
      <w:rPr>
        <w:noProof/>
      </w:rPr>
      <w:drawing>
        <wp:anchor distT="0" distB="0" distL="114300" distR="114300" simplePos="0" relativeHeight="251694592" behindDoc="1" locked="0" layoutInCell="1" allowOverlap="1" wp14:anchorId="2AEC7D25" wp14:editId="5C35C0B6">
          <wp:simplePos x="0" y="0"/>
          <wp:positionH relativeFrom="column">
            <wp:posOffset>-37465</wp:posOffset>
          </wp:positionH>
          <wp:positionV relativeFrom="paragraph">
            <wp:posOffset>-309880</wp:posOffset>
          </wp:positionV>
          <wp:extent cx="1383030" cy="739775"/>
          <wp:effectExtent l="0" t="0" r="7620" b="0"/>
          <wp:wrapNone/>
          <wp:docPr id="32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5AEAF6C5" w14:textId="77777777" w:rsidR="00B050B4" w:rsidRDefault="00B050B4" w:rsidP="0022503D">
    <w:pPr>
      <w:pStyle w:val="Zhlav"/>
    </w:pPr>
  </w:p>
  <w:p w14:paraId="0309C474" w14:textId="77777777" w:rsidR="00B050B4" w:rsidRDefault="00B050B4" w:rsidP="0022503D">
    <w:pPr>
      <w:pStyle w:val="Zhlav"/>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3BED" w14:textId="77777777" w:rsidR="00B050B4" w:rsidRDefault="00B050B4" w:rsidP="0022503D">
    <w:pPr>
      <w:pStyle w:val="Zhlav"/>
    </w:pPr>
  </w:p>
  <w:p w14:paraId="4ED5C42B" w14:textId="77777777" w:rsidR="00B050B4" w:rsidRDefault="00B050B4" w:rsidP="0022503D">
    <w:pPr>
      <w:pStyle w:val="Zhlav"/>
    </w:pPr>
    <w:r>
      <w:rPr>
        <w:noProof/>
      </w:rPr>
      <w:drawing>
        <wp:anchor distT="0" distB="0" distL="114300" distR="114300" simplePos="0" relativeHeight="251713024" behindDoc="0" locked="0" layoutInCell="1" allowOverlap="1" wp14:anchorId="1896C63C" wp14:editId="46AAF9A0">
          <wp:simplePos x="0" y="0"/>
          <wp:positionH relativeFrom="column">
            <wp:posOffset>7680960</wp:posOffset>
          </wp:positionH>
          <wp:positionV relativeFrom="paragraph">
            <wp:posOffset>18415</wp:posOffset>
          </wp:positionV>
          <wp:extent cx="1301115" cy="445770"/>
          <wp:effectExtent l="0" t="0" r="0" b="0"/>
          <wp:wrapNone/>
          <wp:docPr id="323"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9D393FD" w14:textId="77777777" w:rsidR="00B050B4" w:rsidRDefault="00B050B4" w:rsidP="009B666C">
    <w:pPr>
      <w:pStyle w:val="Zhlav"/>
    </w:pPr>
    <w:r>
      <w:rPr>
        <w:noProof/>
      </w:rPr>
      <w:drawing>
        <wp:anchor distT="0" distB="0" distL="114300" distR="114300" simplePos="0" relativeHeight="251715072" behindDoc="1" locked="0" layoutInCell="1" allowOverlap="1" wp14:anchorId="0532568F" wp14:editId="283758ED">
          <wp:simplePos x="0" y="0"/>
          <wp:positionH relativeFrom="column">
            <wp:posOffset>-37465</wp:posOffset>
          </wp:positionH>
          <wp:positionV relativeFrom="paragraph">
            <wp:posOffset>-309880</wp:posOffset>
          </wp:positionV>
          <wp:extent cx="1383030" cy="739775"/>
          <wp:effectExtent l="0" t="0" r="7620" b="0"/>
          <wp:wrapNone/>
          <wp:docPr id="32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4E1401B" w14:textId="77777777" w:rsidR="00B050B4" w:rsidRDefault="00B050B4" w:rsidP="0022503D">
    <w:pPr>
      <w:pStyle w:val="Zhlav"/>
    </w:pPr>
  </w:p>
  <w:p w14:paraId="10651491" w14:textId="77777777" w:rsidR="00B050B4" w:rsidRDefault="00B050B4" w:rsidP="0022503D">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62F63" w14:textId="77777777" w:rsidR="00B050B4" w:rsidRDefault="00B050B4" w:rsidP="0022503D">
    <w:pPr>
      <w:pStyle w:val="Zhlav"/>
    </w:pPr>
  </w:p>
  <w:p w14:paraId="2F34A176" w14:textId="77777777" w:rsidR="00B050B4" w:rsidRDefault="00B050B4" w:rsidP="0022503D">
    <w:pPr>
      <w:pStyle w:val="Zhlav"/>
    </w:pPr>
    <w:r>
      <w:rPr>
        <w:noProof/>
      </w:rPr>
      <w:drawing>
        <wp:anchor distT="0" distB="0" distL="114300" distR="114300" simplePos="0" relativeHeight="251704832" behindDoc="0" locked="0" layoutInCell="1" allowOverlap="1" wp14:anchorId="28358BE7" wp14:editId="3DFA4C85">
          <wp:simplePos x="0" y="0"/>
          <wp:positionH relativeFrom="column">
            <wp:posOffset>4554855</wp:posOffset>
          </wp:positionH>
          <wp:positionV relativeFrom="paragraph">
            <wp:posOffset>18415</wp:posOffset>
          </wp:positionV>
          <wp:extent cx="1301115" cy="445770"/>
          <wp:effectExtent l="0" t="0" r="0" b="0"/>
          <wp:wrapNone/>
          <wp:docPr id="32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1230410" w14:textId="77777777" w:rsidR="00B050B4" w:rsidRDefault="00B050B4" w:rsidP="009B666C">
    <w:pPr>
      <w:pStyle w:val="Zhlav"/>
    </w:pPr>
    <w:r>
      <w:rPr>
        <w:noProof/>
      </w:rPr>
      <w:drawing>
        <wp:anchor distT="0" distB="0" distL="114300" distR="114300" simplePos="0" relativeHeight="251706880" behindDoc="1" locked="0" layoutInCell="1" allowOverlap="1" wp14:anchorId="529F05F9" wp14:editId="46565BC3">
          <wp:simplePos x="0" y="0"/>
          <wp:positionH relativeFrom="column">
            <wp:posOffset>-37465</wp:posOffset>
          </wp:positionH>
          <wp:positionV relativeFrom="paragraph">
            <wp:posOffset>-309880</wp:posOffset>
          </wp:positionV>
          <wp:extent cx="1383030" cy="739775"/>
          <wp:effectExtent l="0" t="0" r="7620" b="0"/>
          <wp:wrapNone/>
          <wp:docPr id="32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75F8546" w14:textId="77777777" w:rsidR="00B050B4" w:rsidRDefault="00B050B4" w:rsidP="0022503D">
    <w:pPr>
      <w:pStyle w:val="Zhlav"/>
    </w:pPr>
  </w:p>
  <w:p w14:paraId="76888F64" w14:textId="77777777" w:rsidR="00B050B4" w:rsidRDefault="00B050B4" w:rsidP="0022503D">
    <w:pPr>
      <w:pStyle w:val="Zhlav"/>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8AE3D" w14:textId="77777777" w:rsidR="00B050B4" w:rsidRDefault="00B050B4" w:rsidP="0022503D">
    <w:pPr>
      <w:pStyle w:val="Zhlav"/>
    </w:pPr>
  </w:p>
  <w:p w14:paraId="216152A6" w14:textId="77777777" w:rsidR="00B050B4" w:rsidRDefault="00B050B4" w:rsidP="0022503D">
    <w:pPr>
      <w:pStyle w:val="Zhlav"/>
    </w:pPr>
    <w:r>
      <w:rPr>
        <w:noProof/>
      </w:rPr>
      <w:drawing>
        <wp:anchor distT="0" distB="0" distL="114300" distR="114300" simplePos="0" relativeHeight="251651584" behindDoc="0" locked="0" layoutInCell="1" allowOverlap="1" wp14:anchorId="5AA079AC" wp14:editId="1AA46487">
          <wp:simplePos x="0" y="0"/>
          <wp:positionH relativeFrom="column">
            <wp:posOffset>7724775</wp:posOffset>
          </wp:positionH>
          <wp:positionV relativeFrom="paragraph">
            <wp:posOffset>18415</wp:posOffset>
          </wp:positionV>
          <wp:extent cx="1301115" cy="445770"/>
          <wp:effectExtent l="0" t="0" r="0" b="0"/>
          <wp:wrapNone/>
          <wp:docPr id="329"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2DAC60C7" w14:textId="77777777" w:rsidR="00B050B4" w:rsidRDefault="00B050B4" w:rsidP="009B666C">
    <w:pPr>
      <w:pStyle w:val="Zhlav"/>
    </w:pPr>
    <w:r>
      <w:rPr>
        <w:noProof/>
      </w:rPr>
      <w:drawing>
        <wp:anchor distT="0" distB="0" distL="114300" distR="114300" simplePos="0" relativeHeight="251653632" behindDoc="1" locked="0" layoutInCell="1" allowOverlap="1" wp14:anchorId="1C550167" wp14:editId="2FB159BF">
          <wp:simplePos x="0" y="0"/>
          <wp:positionH relativeFrom="column">
            <wp:posOffset>-37465</wp:posOffset>
          </wp:positionH>
          <wp:positionV relativeFrom="paragraph">
            <wp:posOffset>-309880</wp:posOffset>
          </wp:positionV>
          <wp:extent cx="1383030" cy="739775"/>
          <wp:effectExtent l="0" t="0" r="7620" b="0"/>
          <wp:wrapNone/>
          <wp:docPr id="33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9098E28" w14:textId="77777777" w:rsidR="00B050B4" w:rsidRDefault="00B050B4" w:rsidP="0022503D">
    <w:pPr>
      <w:pStyle w:val="Zhlav"/>
    </w:pPr>
  </w:p>
  <w:p w14:paraId="0E9F6289" w14:textId="77777777" w:rsidR="00B050B4" w:rsidRDefault="00B050B4" w:rsidP="0022503D">
    <w:pPr>
      <w:pStyle w:val="Zhlav"/>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79BBC" w14:textId="77777777" w:rsidR="00B050B4" w:rsidRDefault="00B050B4" w:rsidP="00157951">
    <w:pPr>
      <w:pStyle w:val="Zhlav"/>
    </w:pPr>
  </w:p>
  <w:p w14:paraId="379E671F" w14:textId="77777777" w:rsidR="00B050B4" w:rsidRDefault="00B050B4" w:rsidP="00157951">
    <w:pPr>
      <w:pStyle w:val="Zhlav"/>
    </w:pPr>
    <w:r>
      <w:rPr>
        <w:noProof/>
      </w:rPr>
      <w:drawing>
        <wp:anchor distT="0" distB="0" distL="114300" distR="114300" simplePos="0" relativeHeight="251659776" behindDoc="0" locked="0" layoutInCell="1" allowOverlap="1" wp14:anchorId="1EA606D1" wp14:editId="699D3267">
          <wp:simplePos x="0" y="0"/>
          <wp:positionH relativeFrom="column">
            <wp:posOffset>7724775</wp:posOffset>
          </wp:positionH>
          <wp:positionV relativeFrom="paragraph">
            <wp:posOffset>18415</wp:posOffset>
          </wp:positionV>
          <wp:extent cx="1301115" cy="445770"/>
          <wp:effectExtent l="0" t="0" r="0" b="0"/>
          <wp:wrapNone/>
          <wp:docPr id="332"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2E6E95A" w14:textId="77777777" w:rsidR="00B050B4" w:rsidRDefault="00B050B4" w:rsidP="00157951">
    <w:pPr>
      <w:pStyle w:val="Zhlav"/>
    </w:pPr>
    <w:r>
      <w:rPr>
        <w:noProof/>
      </w:rPr>
      <w:drawing>
        <wp:anchor distT="0" distB="0" distL="114300" distR="114300" simplePos="0" relativeHeight="251661824" behindDoc="1" locked="0" layoutInCell="1" allowOverlap="1" wp14:anchorId="23C5785F" wp14:editId="4EA38F0E">
          <wp:simplePos x="0" y="0"/>
          <wp:positionH relativeFrom="column">
            <wp:posOffset>-37465</wp:posOffset>
          </wp:positionH>
          <wp:positionV relativeFrom="paragraph">
            <wp:posOffset>-309880</wp:posOffset>
          </wp:positionV>
          <wp:extent cx="1383030" cy="739775"/>
          <wp:effectExtent l="0" t="0" r="7620" b="0"/>
          <wp:wrapNone/>
          <wp:docPr id="33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F92FA68" w14:textId="77777777" w:rsidR="00B050B4" w:rsidRDefault="00B050B4" w:rsidP="00157951">
    <w:pPr>
      <w:pStyle w:val="Zhlav"/>
    </w:pPr>
  </w:p>
  <w:p w14:paraId="449D6A62" w14:textId="77777777" w:rsidR="00B050B4" w:rsidRPr="009B666C" w:rsidRDefault="00B050B4" w:rsidP="009B666C">
    <w:pPr>
      <w:pStyle w:val="Zhlav"/>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37DAE" w14:textId="77777777" w:rsidR="00B050B4" w:rsidRDefault="00B050B4" w:rsidP="0022503D">
    <w:pPr>
      <w:pStyle w:val="Zhlav"/>
    </w:pPr>
  </w:p>
  <w:p w14:paraId="44994EB5" w14:textId="77777777" w:rsidR="00B050B4" w:rsidRDefault="00B050B4" w:rsidP="0022503D">
    <w:pPr>
      <w:pStyle w:val="Zhlav"/>
    </w:pPr>
    <w:r>
      <w:rPr>
        <w:noProof/>
      </w:rPr>
      <w:drawing>
        <wp:anchor distT="0" distB="0" distL="114300" distR="114300" simplePos="0" relativeHeight="251647488" behindDoc="0" locked="0" layoutInCell="1" allowOverlap="1" wp14:anchorId="08939FD7" wp14:editId="588B3B21">
          <wp:simplePos x="0" y="0"/>
          <wp:positionH relativeFrom="column">
            <wp:posOffset>4554855</wp:posOffset>
          </wp:positionH>
          <wp:positionV relativeFrom="paragraph">
            <wp:posOffset>18415</wp:posOffset>
          </wp:positionV>
          <wp:extent cx="1301115" cy="445770"/>
          <wp:effectExtent l="0" t="0" r="0" b="0"/>
          <wp:wrapNone/>
          <wp:docPr id="33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86D4F11" w14:textId="77777777" w:rsidR="00B050B4" w:rsidRDefault="00B050B4" w:rsidP="009B666C">
    <w:pPr>
      <w:pStyle w:val="Zhlav"/>
    </w:pPr>
    <w:r>
      <w:rPr>
        <w:noProof/>
      </w:rPr>
      <w:drawing>
        <wp:anchor distT="0" distB="0" distL="114300" distR="114300" simplePos="0" relativeHeight="251649536" behindDoc="1" locked="0" layoutInCell="1" allowOverlap="1" wp14:anchorId="7FCC4E59" wp14:editId="7068471D">
          <wp:simplePos x="0" y="0"/>
          <wp:positionH relativeFrom="column">
            <wp:posOffset>-37465</wp:posOffset>
          </wp:positionH>
          <wp:positionV relativeFrom="paragraph">
            <wp:posOffset>-309880</wp:posOffset>
          </wp:positionV>
          <wp:extent cx="1383030" cy="739775"/>
          <wp:effectExtent l="0" t="0" r="7620" b="0"/>
          <wp:wrapNone/>
          <wp:docPr id="33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247F2CCC" w14:textId="77777777" w:rsidR="00B050B4" w:rsidRDefault="00B050B4" w:rsidP="0022503D">
    <w:pPr>
      <w:pStyle w:val="Zhlav"/>
    </w:pPr>
  </w:p>
  <w:p w14:paraId="3DE65DFC" w14:textId="77777777" w:rsidR="00B050B4" w:rsidRDefault="00B050B4" w:rsidP="0022503D">
    <w:pPr>
      <w:pStyle w:val="Zhlav"/>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9E26A" w14:textId="77777777" w:rsidR="00B050B4" w:rsidRDefault="00B050B4" w:rsidP="0022503D">
    <w:pPr>
      <w:pStyle w:val="Zhlav"/>
    </w:pPr>
  </w:p>
  <w:p w14:paraId="1F3FCA70" w14:textId="77777777" w:rsidR="00B050B4" w:rsidRDefault="00B050B4" w:rsidP="0022503D">
    <w:pPr>
      <w:pStyle w:val="Zhlav"/>
    </w:pPr>
    <w:r>
      <w:rPr>
        <w:noProof/>
      </w:rPr>
      <w:drawing>
        <wp:anchor distT="0" distB="0" distL="114300" distR="114300" simplePos="0" relativeHeight="251637248" behindDoc="0" locked="0" layoutInCell="1" allowOverlap="1" wp14:anchorId="31A5991C" wp14:editId="3861178C">
          <wp:simplePos x="0" y="0"/>
          <wp:positionH relativeFrom="column">
            <wp:posOffset>4554855</wp:posOffset>
          </wp:positionH>
          <wp:positionV relativeFrom="paragraph">
            <wp:posOffset>18415</wp:posOffset>
          </wp:positionV>
          <wp:extent cx="1301115" cy="445770"/>
          <wp:effectExtent l="0" t="0" r="0" b="0"/>
          <wp:wrapNone/>
          <wp:docPr id="33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6D45DA90" w14:textId="77777777" w:rsidR="00B050B4" w:rsidRDefault="00B050B4" w:rsidP="009B666C">
    <w:pPr>
      <w:pStyle w:val="Zhlav"/>
    </w:pPr>
    <w:r>
      <w:rPr>
        <w:noProof/>
      </w:rPr>
      <w:drawing>
        <wp:anchor distT="0" distB="0" distL="114300" distR="114300" simplePos="0" relativeHeight="251639296" behindDoc="1" locked="0" layoutInCell="1" allowOverlap="1" wp14:anchorId="57D09200" wp14:editId="7FD122CF">
          <wp:simplePos x="0" y="0"/>
          <wp:positionH relativeFrom="column">
            <wp:posOffset>-37465</wp:posOffset>
          </wp:positionH>
          <wp:positionV relativeFrom="paragraph">
            <wp:posOffset>-309880</wp:posOffset>
          </wp:positionV>
          <wp:extent cx="1383030" cy="739775"/>
          <wp:effectExtent l="0" t="0" r="7620" b="0"/>
          <wp:wrapNone/>
          <wp:docPr id="33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2BDEC924" w14:textId="77777777" w:rsidR="00B050B4" w:rsidRDefault="00B050B4" w:rsidP="0022503D">
    <w:pPr>
      <w:pStyle w:val="Zhlav"/>
    </w:pPr>
  </w:p>
  <w:p w14:paraId="1CD72340" w14:textId="77777777" w:rsidR="00B050B4" w:rsidRDefault="00B050B4" w:rsidP="0022503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48929" w14:textId="77777777" w:rsidR="00B050B4" w:rsidRDefault="00B050B4" w:rsidP="0022503D">
    <w:pPr>
      <w:pStyle w:val="Zhlav"/>
    </w:pPr>
  </w:p>
  <w:p w14:paraId="199EDA5D" w14:textId="77777777" w:rsidR="00B050B4" w:rsidRDefault="00B050B4" w:rsidP="0022503D">
    <w:pPr>
      <w:pStyle w:val="Zhlav"/>
    </w:pPr>
    <w:r>
      <w:rPr>
        <w:noProof/>
      </w:rPr>
      <w:drawing>
        <wp:anchor distT="0" distB="0" distL="114300" distR="114300" simplePos="0" relativeHeight="251600384" behindDoc="0" locked="0" layoutInCell="1" allowOverlap="1" wp14:anchorId="5A98BD6C" wp14:editId="7A3CD2E4">
          <wp:simplePos x="0" y="0"/>
          <wp:positionH relativeFrom="column">
            <wp:posOffset>4531995</wp:posOffset>
          </wp:positionH>
          <wp:positionV relativeFrom="paragraph">
            <wp:posOffset>94615</wp:posOffset>
          </wp:positionV>
          <wp:extent cx="1301115" cy="445770"/>
          <wp:effectExtent l="0" t="0" r="0" b="0"/>
          <wp:wrapNone/>
          <wp:docPr id="68" name="Obrázek 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E2BEDE9" w14:textId="77777777" w:rsidR="00B050B4" w:rsidRDefault="00B050B4" w:rsidP="0022503D">
    <w:pPr>
      <w:pStyle w:val="Zhlav"/>
    </w:pPr>
    <w:r>
      <w:rPr>
        <w:noProof/>
      </w:rPr>
      <w:drawing>
        <wp:anchor distT="0" distB="0" distL="114300" distR="114300" simplePos="0" relativeHeight="251601408" behindDoc="1" locked="0" layoutInCell="1" allowOverlap="1" wp14:anchorId="2E9ABB3A" wp14:editId="0A736047">
          <wp:simplePos x="0" y="0"/>
          <wp:positionH relativeFrom="column">
            <wp:posOffset>-37465</wp:posOffset>
          </wp:positionH>
          <wp:positionV relativeFrom="paragraph">
            <wp:posOffset>-309880</wp:posOffset>
          </wp:positionV>
          <wp:extent cx="1383030" cy="739775"/>
          <wp:effectExtent l="0" t="0" r="7620" b="0"/>
          <wp:wrapNone/>
          <wp:docPr id="6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652F276" w14:textId="77777777" w:rsidR="00B050B4" w:rsidRDefault="00B050B4">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6766E" w14:textId="77777777" w:rsidR="00B050B4" w:rsidRDefault="00B050B4" w:rsidP="0022503D">
    <w:pPr>
      <w:pStyle w:val="Zhlav"/>
    </w:pPr>
  </w:p>
  <w:p w14:paraId="51CA36CC" w14:textId="77777777" w:rsidR="00B050B4" w:rsidRDefault="00B050B4" w:rsidP="0022503D">
    <w:pPr>
      <w:pStyle w:val="Zhlav"/>
    </w:pPr>
    <w:r>
      <w:rPr>
        <w:noProof/>
      </w:rPr>
      <w:drawing>
        <wp:anchor distT="0" distB="0" distL="114300" distR="114300" simplePos="0" relativeHeight="251631104" behindDoc="0" locked="0" layoutInCell="1" allowOverlap="1" wp14:anchorId="437F9C8D" wp14:editId="1F880260">
          <wp:simplePos x="0" y="0"/>
          <wp:positionH relativeFrom="column">
            <wp:posOffset>7689215</wp:posOffset>
          </wp:positionH>
          <wp:positionV relativeFrom="paragraph">
            <wp:posOffset>18415</wp:posOffset>
          </wp:positionV>
          <wp:extent cx="1301115" cy="445770"/>
          <wp:effectExtent l="0" t="0" r="0" b="0"/>
          <wp:wrapNone/>
          <wp:docPr id="34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5A50BF8" w14:textId="77777777" w:rsidR="00B050B4" w:rsidRDefault="00B050B4" w:rsidP="009B666C">
    <w:pPr>
      <w:pStyle w:val="Zhlav"/>
    </w:pPr>
    <w:r>
      <w:rPr>
        <w:noProof/>
      </w:rPr>
      <w:drawing>
        <wp:anchor distT="0" distB="0" distL="114300" distR="114300" simplePos="0" relativeHeight="251633152" behindDoc="1" locked="0" layoutInCell="1" allowOverlap="1" wp14:anchorId="1A3DAB8A" wp14:editId="3FCFDEF6">
          <wp:simplePos x="0" y="0"/>
          <wp:positionH relativeFrom="column">
            <wp:posOffset>-37465</wp:posOffset>
          </wp:positionH>
          <wp:positionV relativeFrom="paragraph">
            <wp:posOffset>-309880</wp:posOffset>
          </wp:positionV>
          <wp:extent cx="1383030" cy="739775"/>
          <wp:effectExtent l="0" t="0" r="7620" b="0"/>
          <wp:wrapNone/>
          <wp:docPr id="3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7C91D75" w14:textId="77777777" w:rsidR="00B050B4" w:rsidRDefault="00B050B4" w:rsidP="0022503D">
    <w:pPr>
      <w:pStyle w:val="Zhlav"/>
    </w:pPr>
  </w:p>
  <w:p w14:paraId="397BEEB7" w14:textId="77777777" w:rsidR="00B050B4" w:rsidRDefault="00B050B4" w:rsidP="0022503D">
    <w:pPr>
      <w:pStyle w:val="Zhlav"/>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33844" w14:textId="77777777" w:rsidR="00B050B4" w:rsidRDefault="00B050B4" w:rsidP="00A870BF">
    <w:pPr>
      <w:pStyle w:val="Zhlav"/>
    </w:pPr>
  </w:p>
  <w:p w14:paraId="7F824ADC" w14:textId="77777777" w:rsidR="00B050B4" w:rsidRDefault="00B050B4" w:rsidP="00A870BF">
    <w:pPr>
      <w:pStyle w:val="Zhlav"/>
    </w:pPr>
    <w:r>
      <w:rPr>
        <w:noProof/>
      </w:rPr>
      <w:drawing>
        <wp:anchor distT="0" distB="0" distL="114300" distR="114300" simplePos="0" relativeHeight="251657728" behindDoc="0" locked="0" layoutInCell="1" allowOverlap="1" wp14:anchorId="2B51135E" wp14:editId="119A3E38">
          <wp:simplePos x="0" y="0"/>
          <wp:positionH relativeFrom="column">
            <wp:posOffset>4554855</wp:posOffset>
          </wp:positionH>
          <wp:positionV relativeFrom="paragraph">
            <wp:posOffset>18415</wp:posOffset>
          </wp:positionV>
          <wp:extent cx="1301115" cy="445770"/>
          <wp:effectExtent l="0" t="0" r="0" b="0"/>
          <wp:wrapNone/>
          <wp:docPr id="49" name="Obrázek 203"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3"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47EE909" w14:textId="77777777" w:rsidR="00B050B4" w:rsidRDefault="00B050B4" w:rsidP="00A870BF">
    <w:pPr>
      <w:pStyle w:val="Zhlav"/>
    </w:pPr>
    <w:r>
      <w:rPr>
        <w:noProof/>
      </w:rPr>
      <w:drawing>
        <wp:anchor distT="0" distB="0" distL="114300" distR="114300" simplePos="0" relativeHeight="251659776" behindDoc="1" locked="0" layoutInCell="1" allowOverlap="1" wp14:anchorId="7CCB8919" wp14:editId="6551B4E5">
          <wp:simplePos x="0" y="0"/>
          <wp:positionH relativeFrom="column">
            <wp:posOffset>-37465</wp:posOffset>
          </wp:positionH>
          <wp:positionV relativeFrom="paragraph">
            <wp:posOffset>-309880</wp:posOffset>
          </wp:positionV>
          <wp:extent cx="1383030" cy="739775"/>
          <wp:effectExtent l="0" t="0" r="7620" b="0"/>
          <wp:wrapNone/>
          <wp:docPr id="5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53BED5B6" w14:textId="77777777" w:rsidR="00B050B4" w:rsidRDefault="00B050B4" w:rsidP="00A870BF">
    <w:pPr>
      <w:pStyle w:val="Zhlav"/>
    </w:pPr>
  </w:p>
  <w:p w14:paraId="5B197FFB" w14:textId="77777777" w:rsidR="00B050B4" w:rsidRPr="00A870BF" w:rsidRDefault="00B050B4" w:rsidP="00A870B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64E58" w14:textId="77777777" w:rsidR="00B050B4" w:rsidRDefault="00B050B4" w:rsidP="0022503D">
    <w:pPr>
      <w:pStyle w:val="Zhlav"/>
    </w:pPr>
  </w:p>
  <w:p w14:paraId="02C8662E" w14:textId="77777777" w:rsidR="00B050B4" w:rsidRDefault="00B050B4" w:rsidP="0022503D">
    <w:pPr>
      <w:pStyle w:val="Zhlav"/>
    </w:pPr>
    <w:r>
      <w:rPr>
        <w:noProof/>
      </w:rPr>
      <w:drawing>
        <wp:anchor distT="0" distB="0" distL="114300" distR="114300" simplePos="0" relativeHeight="251606528" behindDoc="0" locked="0" layoutInCell="1" allowOverlap="1" wp14:anchorId="7CA8F5B6" wp14:editId="0741498E">
          <wp:simplePos x="0" y="0"/>
          <wp:positionH relativeFrom="column">
            <wp:posOffset>4554855</wp:posOffset>
          </wp:positionH>
          <wp:positionV relativeFrom="paragraph">
            <wp:posOffset>18415</wp:posOffset>
          </wp:positionV>
          <wp:extent cx="1301115" cy="445770"/>
          <wp:effectExtent l="0" t="0" r="0" b="0"/>
          <wp:wrapNone/>
          <wp:docPr id="29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5D04AEE0" w14:textId="77777777" w:rsidR="00B050B4" w:rsidRDefault="00B050B4" w:rsidP="009B666C">
    <w:pPr>
      <w:pStyle w:val="Zhlav"/>
    </w:pPr>
    <w:r>
      <w:rPr>
        <w:noProof/>
      </w:rPr>
      <w:drawing>
        <wp:anchor distT="0" distB="0" distL="114300" distR="114300" simplePos="0" relativeHeight="251608576" behindDoc="1" locked="0" layoutInCell="1" allowOverlap="1" wp14:anchorId="599709DF" wp14:editId="6EAF842E">
          <wp:simplePos x="0" y="0"/>
          <wp:positionH relativeFrom="column">
            <wp:posOffset>-37465</wp:posOffset>
          </wp:positionH>
          <wp:positionV relativeFrom="paragraph">
            <wp:posOffset>-309880</wp:posOffset>
          </wp:positionV>
          <wp:extent cx="1383030" cy="739775"/>
          <wp:effectExtent l="0" t="0" r="7620" b="0"/>
          <wp:wrapNone/>
          <wp:docPr id="29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17B5C21D" w14:textId="77777777" w:rsidR="00B050B4" w:rsidRDefault="00B050B4" w:rsidP="0022503D">
    <w:pPr>
      <w:pStyle w:val="Zhlav"/>
    </w:pPr>
  </w:p>
  <w:p w14:paraId="32E48AE2" w14:textId="77777777" w:rsidR="00B050B4" w:rsidRDefault="00B050B4" w:rsidP="0022503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36B4" w14:textId="77777777" w:rsidR="00B050B4" w:rsidRDefault="00B050B4" w:rsidP="0022503D">
    <w:pPr>
      <w:pStyle w:val="Zhlav"/>
    </w:pPr>
  </w:p>
  <w:p w14:paraId="14DA5895" w14:textId="77777777" w:rsidR="00B050B4" w:rsidRDefault="00B050B4" w:rsidP="0022503D">
    <w:pPr>
      <w:pStyle w:val="Zhlav"/>
    </w:pPr>
    <w:r>
      <w:rPr>
        <w:noProof/>
      </w:rPr>
      <w:drawing>
        <wp:anchor distT="0" distB="0" distL="114300" distR="114300" simplePos="0" relativeHeight="251610624" behindDoc="0" locked="0" layoutInCell="1" allowOverlap="1" wp14:anchorId="6CC3D387" wp14:editId="5C3CA97F">
          <wp:simplePos x="0" y="0"/>
          <wp:positionH relativeFrom="column">
            <wp:posOffset>7755255</wp:posOffset>
          </wp:positionH>
          <wp:positionV relativeFrom="paragraph">
            <wp:posOffset>18415</wp:posOffset>
          </wp:positionV>
          <wp:extent cx="1301115" cy="445770"/>
          <wp:effectExtent l="0" t="0" r="0" b="0"/>
          <wp:wrapNone/>
          <wp:docPr id="293" name="Obrázek 14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78500A8" w14:textId="77777777" w:rsidR="00B050B4" w:rsidRDefault="00B050B4" w:rsidP="009B666C">
    <w:pPr>
      <w:pStyle w:val="Zhlav"/>
    </w:pPr>
    <w:r>
      <w:rPr>
        <w:noProof/>
      </w:rPr>
      <w:drawing>
        <wp:anchor distT="0" distB="0" distL="114300" distR="114300" simplePos="0" relativeHeight="251612672" behindDoc="1" locked="0" layoutInCell="1" allowOverlap="1" wp14:anchorId="499DA634" wp14:editId="1E3F56F0">
          <wp:simplePos x="0" y="0"/>
          <wp:positionH relativeFrom="column">
            <wp:posOffset>-37465</wp:posOffset>
          </wp:positionH>
          <wp:positionV relativeFrom="paragraph">
            <wp:posOffset>-309880</wp:posOffset>
          </wp:positionV>
          <wp:extent cx="1383030" cy="739775"/>
          <wp:effectExtent l="0" t="0" r="7620" b="0"/>
          <wp:wrapNone/>
          <wp:docPr id="29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6476ED2B" w14:textId="77777777" w:rsidR="00B050B4" w:rsidRDefault="00B050B4" w:rsidP="0022503D">
    <w:pPr>
      <w:pStyle w:val="Zhlav"/>
    </w:pPr>
  </w:p>
  <w:p w14:paraId="4175770B" w14:textId="77777777" w:rsidR="00B050B4" w:rsidRDefault="00B050B4" w:rsidP="0022503D">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56F0C" w14:textId="77777777" w:rsidR="00B050B4" w:rsidRDefault="00B050B4" w:rsidP="0022503D">
    <w:pPr>
      <w:pStyle w:val="Zhlav"/>
    </w:pPr>
  </w:p>
  <w:p w14:paraId="6751DE13" w14:textId="77777777" w:rsidR="00B050B4" w:rsidRDefault="00B050B4" w:rsidP="0022503D">
    <w:pPr>
      <w:pStyle w:val="Zhlav"/>
    </w:pPr>
    <w:r>
      <w:rPr>
        <w:noProof/>
      </w:rPr>
      <w:drawing>
        <wp:anchor distT="0" distB="0" distL="114300" distR="114300" simplePos="0" relativeHeight="251614720" behindDoc="0" locked="0" layoutInCell="1" allowOverlap="1" wp14:anchorId="19152DA0" wp14:editId="6405F3DF">
          <wp:simplePos x="0" y="0"/>
          <wp:positionH relativeFrom="column">
            <wp:posOffset>4554855</wp:posOffset>
          </wp:positionH>
          <wp:positionV relativeFrom="paragraph">
            <wp:posOffset>18415</wp:posOffset>
          </wp:positionV>
          <wp:extent cx="1301115" cy="445770"/>
          <wp:effectExtent l="0" t="0" r="0" b="0"/>
          <wp:wrapNone/>
          <wp:docPr id="29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4AC15A04" w14:textId="77777777" w:rsidR="00B050B4" w:rsidRDefault="00B050B4" w:rsidP="009B666C">
    <w:pPr>
      <w:pStyle w:val="Zhlav"/>
    </w:pPr>
    <w:r>
      <w:rPr>
        <w:noProof/>
      </w:rPr>
      <w:drawing>
        <wp:anchor distT="0" distB="0" distL="114300" distR="114300" simplePos="0" relativeHeight="251616768" behindDoc="1" locked="0" layoutInCell="1" allowOverlap="1" wp14:anchorId="502EF16B" wp14:editId="5369A9D2">
          <wp:simplePos x="0" y="0"/>
          <wp:positionH relativeFrom="column">
            <wp:posOffset>-37465</wp:posOffset>
          </wp:positionH>
          <wp:positionV relativeFrom="paragraph">
            <wp:posOffset>-309880</wp:posOffset>
          </wp:positionV>
          <wp:extent cx="1383030" cy="739775"/>
          <wp:effectExtent l="0" t="0" r="7620" b="0"/>
          <wp:wrapNone/>
          <wp:docPr id="29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76A7207E" w14:textId="77777777" w:rsidR="00B050B4" w:rsidRDefault="00B050B4" w:rsidP="0022503D">
    <w:pPr>
      <w:pStyle w:val="Zhlav"/>
    </w:pPr>
  </w:p>
  <w:p w14:paraId="04968833" w14:textId="77777777" w:rsidR="00B050B4" w:rsidRDefault="00B050B4" w:rsidP="0022503D">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B416B" w14:textId="77777777" w:rsidR="00B050B4" w:rsidRDefault="00B050B4" w:rsidP="0022503D">
    <w:pPr>
      <w:pStyle w:val="Zhlav"/>
    </w:pPr>
  </w:p>
  <w:p w14:paraId="1F89AC4B" w14:textId="77777777" w:rsidR="00B050B4" w:rsidRDefault="00B050B4" w:rsidP="0022503D">
    <w:pPr>
      <w:pStyle w:val="Zhlav"/>
    </w:pPr>
    <w:r>
      <w:rPr>
        <w:noProof/>
      </w:rPr>
      <w:drawing>
        <wp:anchor distT="0" distB="0" distL="114300" distR="114300" simplePos="0" relativeHeight="251624960" behindDoc="0" locked="0" layoutInCell="1" allowOverlap="1" wp14:anchorId="5DE59AFC" wp14:editId="279EC14E">
          <wp:simplePos x="0" y="0"/>
          <wp:positionH relativeFrom="column">
            <wp:posOffset>7698105</wp:posOffset>
          </wp:positionH>
          <wp:positionV relativeFrom="paragraph">
            <wp:posOffset>18415</wp:posOffset>
          </wp:positionV>
          <wp:extent cx="1301115" cy="445770"/>
          <wp:effectExtent l="0" t="0" r="0" b="0"/>
          <wp:wrapNone/>
          <wp:docPr id="2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7FA38DFD" w14:textId="77777777" w:rsidR="00B050B4" w:rsidRDefault="00B050B4" w:rsidP="009B666C">
    <w:pPr>
      <w:pStyle w:val="Zhlav"/>
    </w:pPr>
    <w:r>
      <w:rPr>
        <w:noProof/>
      </w:rPr>
      <w:drawing>
        <wp:anchor distT="0" distB="0" distL="114300" distR="114300" simplePos="0" relativeHeight="251627008" behindDoc="1" locked="0" layoutInCell="1" allowOverlap="1" wp14:anchorId="21D8B9BC" wp14:editId="106A97F8">
          <wp:simplePos x="0" y="0"/>
          <wp:positionH relativeFrom="column">
            <wp:posOffset>-37465</wp:posOffset>
          </wp:positionH>
          <wp:positionV relativeFrom="paragraph">
            <wp:posOffset>-309880</wp:posOffset>
          </wp:positionV>
          <wp:extent cx="1383030" cy="739775"/>
          <wp:effectExtent l="0" t="0" r="7620" b="0"/>
          <wp:wrapNone/>
          <wp:docPr id="2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408B0D75" w14:textId="77777777" w:rsidR="00B050B4" w:rsidRDefault="00B050B4" w:rsidP="0022503D">
    <w:pPr>
      <w:pStyle w:val="Zhlav"/>
    </w:pPr>
  </w:p>
  <w:p w14:paraId="319026BC" w14:textId="77777777" w:rsidR="00B050B4" w:rsidRDefault="00B050B4" w:rsidP="0022503D">
    <w:pPr>
      <w:pStyle w:val="Zhlav"/>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4178E" w14:textId="77777777" w:rsidR="00B050B4" w:rsidRDefault="00B050B4" w:rsidP="0022503D">
    <w:pPr>
      <w:pStyle w:val="Zhlav"/>
    </w:pPr>
  </w:p>
  <w:p w14:paraId="40985EC1" w14:textId="77777777" w:rsidR="00B050B4" w:rsidRDefault="00B050B4" w:rsidP="0022503D">
    <w:pPr>
      <w:pStyle w:val="Zhlav"/>
    </w:pPr>
    <w:r>
      <w:rPr>
        <w:noProof/>
      </w:rPr>
      <w:drawing>
        <wp:anchor distT="0" distB="0" distL="114300" distR="114300" simplePos="0" relativeHeight="251657728" behindDoc="0" locked="0" layoutInCell="1" allowOverlap="1" wp14:anchorId="086E3C01" wp14:editId="20BB1067">
          <wp:simplePos x="0" y="0"/>
          <wp:positionH relativeFrom="column">
            <wp:posOffset>4554855</wp:posOffset>
          </wp:positionH>
          <wp:positionV relativeFrom="paragraph">
            <wp:posOffset>18415</wp:posOffset>
          </wp:positionV>
          <wp:extent cx="1301115" cy="445770"/>
          <wp:effectExtent l="0" t="0" r="0" b="0"/>
          <wp:wrapNone/>
          <wp:docPr id="2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3077E67C" w14:textId="77777777" w:rsidR="00B050B4" w:rsidRDefault="00B050B4" w:rsidP="009B666C">
    <w:pPr>
      <w:pStyle w:val="Zhlav"/>
    </w:pPr>
    <w:r>
      <w:rPr>
        <w:noProof/>
      </w:rPr>
      <w:drawing>
        <wp:anchor distT="0" distB="0" distL="114300" distR="114300" simplePos="0" relativeHeight="251663872" behindDoc="1" locked="0" layoutInCell="1" allowOverlap="1" wp14:anchorId="1EEC37FE" wp14:editId="43710E51">
          <wp:simplePos x="0" y="0"/>
          <wp:positionH relativeFrom="column">
            <wp:posOffset>-37465</wp:posOffset>
          </wp:positionH>
          <wp:positionV relativeFrom="paragraph">
            <wp:posOffset>-309880</wp:posOffset>
          </wp:positionV>
          <wp:extent cx="1383030" cy="739775"/>
          <wp:effectExtent l="0" t="0" r="7620" b="0"/>
          <wp:wrapNone/>
          <wp:docPr id="2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2D201C3" w14:textId="77777777" w:rsidR="00B050B4" w:rsidRDefault="00B050B4" w:rsidP="0022503D">
    <w:pPr>
      <w:pStyle w:val="Zhlav"/>
    </w:pPr>
  </w:p>
  <w:p w14:paraId="4D9A39BB" w14:textId="77777777" w:rsidR="00B050B4" w:rsidRDefault="00B050B4" w:rsidP="0022503D">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522DB" w14:textId="77777777" w:rsidR="00B050B4" w:rsidRDefault="00B050B4" w:rsidP="0022503D">
    <w:pPr>
      <w:pStyle w:val="Zhlav"/>
    </w:pPr>
  </w:p>
  <w:p w14:paraId="3096E70E" w14:textId="77777777" w:rsidR="00B050B4" w:rsidRDefault="00B050B4" w:rsidP="0022503D">
    <w:pPr>
      <w:pStyle w:val="Zhlav"/>
    </w:pPr>
    <w:r>
      <w:rPr>
        <w:noProof/>
      </w:rPr>
      <w:drawing>
        <wp:anchor distT="0" distB="0" distL="114300" distR="114300" simplePos="0" relativeHeight="251672064" behindDoc="0" locked="0" layoutInCell="1" allowOverlap="1" wp14:anchorId="2255AEE2" wp14:editId="075CB7A9">
          <wp:simplePos x="0" y="0"/>
          <wp:positionH relativeFrom="column">
            <wp:posOffset>7712710</wp:posOffset>
          </wp:positionH>
          <wp:positionV relativeFrom="paragraph">
            <wp:posOffset>20320</wp:posOffset>
          </wp:positionV>
          <wp:extent cx="1301115" cy="445770"/>
          <wp:effectExtent l="0" t="0" r="0" b="0"/>
          <wp:wrapNone/>
          <wp:docPr id="3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282AC01B" w14:textId="77777777" w:rsidR="00B050B4" w:rsidRDefault="00B050B4" w:rsidP="009B666C">
    <w:pPr>
      <w:pStyle w:val="Zhlav"/>
    </w:pPr>
    <w:r>
      <w:rPr>
        <w:noProof/>
      </w:rPr>
      <w:drawing>
        <wp:anchor distT="0" distB="0" distL="114300" distR="114300" simplePos="0" relativeHeight="251674112" behindDoc="1" locked="0" layoutInCell="1" allowOverlap="1" wp14:anchorId="6F23D55B" wp14:editId="0AFE8C4A">
          <wp:simplePos x="0" y="0"/>
          <wp:positionH relativeFrom="column">
            <wp:posOffset>-37465</wp:posOffset>
          </wp:positionH>
          <wp:positionV relativeFrom="paragraph">
            <wp:posOffset>-309880</wp:posOffset>
          </wp:positionV>
          <wp:extent cx="1383030" cy="739775"/>
          <wp:effectExtent l="0" t="0" r="7620" b="0"/>
          <wp:wrapNone/>
          <wp:docPr id="3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0B18923F" w14:textId="77777777" w:rsidR="00B050B4" w:rsidRDefault="00B050B4" w:rsidP="0022503D">
    <w:pPr>
      <w:pStyle w:val="Zhlav"/>
    </w:pPr>
  </w:p>
  <w:p w14:paraId="48AF2479" w14:textId="77777777" w:rsidR="00B050B4" w:rsidRDefault="00B050B4" w:rsidP="0022503D">
    <w:pPr>
      <w:pStyle w:val="Zhlav"/>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425E7" w14:textId="77777777" w:rsidR="00B050B4" w:rsidRDefault="00B050B4" w:rsidP="0022503D">
    <w:pPr>
      <w:pStyle w:val="Zhlav"/>
    </w:pPr>
  </w:p>
  <w:p w14:paraId="14AEC71E" w14:textId="77777777" w:rsidR="00B050B4" w:rsidRDefault="00B050B4" w:rsidP="0022503D">
    <w:pPr>
      <w:pStyle w:val="Zhlav"/>
    </w:pPr>
    <w:r>
      <w:rPr>
        <w:noProof/>
      </w:rPr>
      <w:drawing>
        <wp:anchor distT="0" distB="0" distL="114300" distR="114300" simplePos="0" relativeHeight="251676160" behindDoc="0" locked="0" layoutInCell="1" allowOverlap="1" wp14:anchorId="37D402C5" wp14:editId="7E26A6C3">
          <wp:simplePos x="0" y="0"/>
          <wp:positionH relativeFrom="column">
            <wp:posOffset>4554855</wp:posOffset>
          </wp:positionH>
          <wp:positionV relativeFrom="paragraph">
            <wp:posOffset>18415</wp:posOffset>
          </wp:positionV>
          <wp:extent cx="1301115" cy="445770"/>
          <wp:effectExtent l="0" t="0" r="0" b="0"/>
          <wp:wrapNone/>
          <wp:docPr id="4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anchor>
      </w:drawing>
    </w:r>
  </w:p>
  <w:p w14:paraId="10198638" w14:textId="77777777" w:rsidR="00B050B4" w:rsidRDefault="00B050B4" w:rsidP="009B666C">
    <w:pPr>
      <w:pStyle w:val="Zhlav"/>
    </w:pPr>
    <w:r>
      <w:rPr>
        <w:noProof/>
      </w:rPr>
      <w:drawing>
        <wp:anchor distT="0" distB="0" distL="114300" distR="114300" simplePos="0" relativeHeight="251678208" behindDoc="1" locked="0" layoutInCell="1" allowOverlap="1" wp14:anchorId="1D5C5304" wp14:editId="2BD88924">
          <wp:simplePos x="0" y="0"/>
          <wp:positionH relativeFrom="column">
            <wp:posOffset>-37465</wp:posOffset>
          </wp:positionH>
          <wp:positionV relativeFrom="paragraph">
            <wp:posOffset>-309880</wp:posOffset>
          </wp:positionV>
          <wp:extent cx="1383030" cy="739775"/>
          <wp:effectExtent l="0" t="0" r="7620" b="0"/>
          <wp:wrapNone/>
          <wp:docPr id="4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anchor>
      </w:drawing>
    </w:r>
    <w:r>
      <w:tab/>
    </w:r>
    <w:r>
      <w:tab/>
    </w:r>
  </w:p>
  <w:p w14:paraId="3E3ECE49" w14:textId="77777777" w:rsidR="00B050B4" w:rsidRDefault="00B050B4" w:rsidP="0022503D">
    <w:pPr>
      <w:pStyle w:val="Zhlav"/>
    </w:pPr>
  </w:p>
  <w:p w14:paraId="0A7CAC5A" w14:textId="77777777" w:rsidR="00B050B4" w:rsidRDefault="00B050B4" w:rsidP="0022503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0C374E"/>
    <w:lvl w:ilvl="0">
      <w:start w:val="1"/>
      <w:numFmt w:val="bullet"/>
      <w:pStyle w:val="TabNad"/>
      <w:lvlText w:val=""/>
      <w:lvlJc w:val="left"/>
      <w:pPr>
        <w:tabs>
          <w:tab w:val="num" w:pos="360"/>
        </w:tabs>
        <w:ind w:left="360" w:hanging="360"/>
      </w:pPr>
      <w:rPr>
        <w:rFonts w:ascii="Symbol" w:hAnsi="Symbol" w:cs="Symbol" w:hint="default"/>
      </w:rPr>
    </w:lvl>
  </w:abstractNum>
  <w:abstractNum w:abstractNumId="1" w15:restartNumberingAfterBreak="0">
    <w:nsid w:val="008B05E6"/>
    <w:multiLevelType w:val="multilevel"/>
    <w:tmpl w:val="20E0A8D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0A730E7"/>
    <w:multiLevelType w:val="hybridMultilevel"/>
    <w:tmpl w:val="72E08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0BF5244"/>
    <w:multiLevelType w:val="hybridMultilevel"/>
    <w:tmpl w:val="6BE6C3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4253674"/>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EC4B78"/>
    <w:multiLevelType w:val="hybridMultilevel"/>
    <w:tmpl w:val="06126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681069"/>
    <w:multiLevelType w:val="hybridMultilevel"/>
    <w:tmpl w:val="A80AF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D83EE2"/>
    <w:multiLevelType w:val="hybridMultilevel"/>
    <w:tmpl w:val="D6B0E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970F9F"/>
    <w:multiLevelType w:val="hybridMultilevel"/>
    <w:tmpl w:val="AE3EEC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4E12502"/>
    <w:multiLevelType w:val="hybridMultilevel"/>
    <w:tmpl w:val="A41EA4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68B06A0"/>
    <w:multiLevelType w:val="multilevel"/>
    <w:tmpl w:val="9612AF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6D7601C"/>
    <w:multiLevelType w:val="hybridMultilevel"/>
    <w:tmpl w:val="A0CE9F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6C352F"/>
    <w:multiLevelType w:val="hybridMultilevel"/>
    <w:tmpl w:val="128AB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79F67F0"/>
    <w:multiLevelType w:val="hybridMultilevel"/>
    <w:tmpl w:val="76BECBC2"/>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4" w15:restartNumberingAfterBreak="0">
    <w:nsid w:val="18B20F28"/>
    <w:multiLevelType w:val="hybridMultilevel"/>
    <w:tmpl w:val="4C42F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A137BAC"/>
    <w:multiLevelType w:val="hybridMultilevel"/>
    <w:tmpl w:val="A86EE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A3E6FD0"/>
    <w:multiLevelType w:val="hybridMultilevel"/>
    <w:tmpl w:val="CBACFCBA"/>
    <w:lvl w:ilvl="0" w:tplc="D152CFBA">
      <w:start w:val="1"/>
      <w:numFmt w:val="lowerLetter"/>
      <w:lvlText w:val="%1)"/>
      <w:lvlJc w:val="left"/>
      <w:pPr>
        <w:ind w:left="1770"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17" w15:restartNumberingAfterBreak="0">
    <w:nsid w:val="1B3E5598"/>
    <w:multiLevelType w:val="multilevel"/>
    <w:tmpl w:val="B2CE1168"/>
    <w:lvl w:ilvl="0">
      <w:start w:val="1"/>
      <w:numFmt w:val="upperLetter"/>
      <w:pStyle w:val="kapitola2A"/>
      <w:lvlText w:val="2.%1"/>
      <w:lvlJc w:val="left"/>
      <w:pPr>
        <w:ind w:left="432" w:hanging="432"/>
      </w:pPr>
      <w:rPr>
        <w:rFonts w:ascii="Calibri" w:hAnsi="Calibri" w:hint="default"/>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1BA36D34"/>
    <w:multiLevelType w:val="hybridMultilevel"/>
    <w:tmpl w:val="66E263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CFC2CAF"/>
    <w:multiLevelType w:val="hybridMultilevel"/>
    <w:tmpl w:val="03E6F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D9A618A"/>
    <w:multiLevelType w:val="hybridMultilevel"/>
    <w:tmpl w:val="811CB0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ED03BD1"/>
    <w:multiLevelType w:val="multilevel"/>
    <w:tmpl w:val="19D8BE0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F193060"/>
    <w:multiLevelType w:val="multilevel"/>
    <w:tmpl w:val="00C8317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FEA1A9D"/>
    <w:multiLevelType w:val="hybridMultilevel"/>
    <w:tmpl w:val="8162F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2CB0A85"/>
    <w:multiLevelType w:val="hybridMultilevel"/>
    <w:tmpl w:val="6ABE9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4A928ED"/>
    <w:multiLevelType w:val="multilevel"/>
    <w:tmpl w:val="D1623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6362730"/>
    <w:multiLevelType w:val="hybridMultilevel"/>
    <w:tmpl w:val="1632E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7E525BE"/>
    <w:multiLevelType w:val="hybridMultilevel"/>
    <w:tmpl w:val="3258CE82"/>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29D92BBD"/>
    <w:multiLevelType w:val="hybridMultilevel"/>
    <w:tmpl w:val="577202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A3620A8"/>
    <w:multiLevelType w:val="multilevel"/>
    <w:tmpl w:val="7CE25252"/>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CC07699"/>
    <w:multiLevelType w:val="multilevel"/>
    <w:tmpl w:val="621E7B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2F7545D7"/>
    <w:multiLevelType w:val="multilevel"/>
    <w:tmpl w:val="B0B6CC1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0555BB7"/>
    <w:multiLevelType w:val="multilevel"/>
    <w:tmpl w:val="19D8BE0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0CE199F"/>
    <w:multiLevelType w:val="multilevel"/>
    <w:tmpl w:val="A622FE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7"/>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12223B1"/>
    <w:multiLevelType w:val="multilevel"/>
    <w:tmpl w:val="DA023246"/>
    <w:lvl w:ilvl="0">
      <w:start w:val="1"/>
      <w:numFmt w:val="decimal"/>
      <w:pStyle w:val="Nadpis1"/>
      <w:lvlText w:val="ODDÍL %1"/>
      <w:lvlJc w:val="left"/>
      <w:pPr>
        <w:ind w:left="716" w:hanging="432"/>
      </w:pPr>
      <w:rPr>
        <w:rFonts w:hint="default"/>
        <w:spacing w:val="20"/>
        <w:sz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A.2.%4"/>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5" w15:restartNumberingAfterBreak="0">
    <w:nsid w:val="31874933"/>
    <w:multiLevelType w:val="hybridMultilevel"/>
    <w:tmpl w:val="95E877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19D0170"/>
    <w:multiLevelType w:val="hybridMultilevel"/>
    <w:tmpl w:val="7E061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3403176C"/>
    <w:multiLevelType w:val="multilevel"/>
    <w:tmpl w:val="1FC4186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34E45574"/>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57F1338"/>
    <w:multiLevelType w:val="hybridMultilevel"/>
    <w:tmpl w:val="0A42F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59F4C4D"/>
    <w:multiLevelType w:val="multilevel"/>
    <w:tmpl w:val="997838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38863BE4"/>
    <w:multiLevelType w:val="multilevel"/>
    <w:tmpl w:val="437444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6"/>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39AE0397"/>
    <w:multiLevelType w:val="hybridMultilevel"/>
    <w:tmpl w:val="8B56C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9E700EE"/>
    <w:multiLevelType w:val="hybridMultilevel"/>
    <w:tmpl w:val="36AE237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3B142540"/>
    <w:multiLevelType w:val="hybridMultilevel"/>
    <w:tmpl w:val="27CE8772"/>
    <w:lvl w:ilvl="0" w:tplc="DF3A60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46" w15:restartNumberingAfterBreak="0">
    <w:nsid w:val="3BB12A95"/>
    <w:multiLevelType w:val="hybridMultilevel"/>
    <w:tmpl w:val="89143154"/>
    <w:lvl w:ilvl="0" w:tplc="04050011">
      <w:start w:val="1"/>
      <w:numFmt w:val="decimal"/>
      <w:lvlText w:val="%1)"/>
      <w:lvlJc w:val="left"/>
      <w:pPr>
        <w:ind w:left="720" w:hanging="360"/>
      </w:pPr>
    </w:lvl>
    <w:lvl w:ilvl="1" w:tplc="DF3A60AE">
      <w:numFmt w:val="bullet"/>
      <w:lvlText w:val="•"/>
      <w:lvlJc w:val="left"/>
      <w:pPr>
        <w:ind w:left="1785" w:hanging="705"/>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3DB4652B"/>
    <w:multiLevelType w:val="hybridMultilevel"/>
    <w:tmpl w:val="D4D45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414819B7"/>
    <w:multiLevelType w:val="hybridMultilevel"/>
    <w:tmpl w:val="68C6D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2265BFB"/>
    <w:multiLevelType w:val="multilevel"/>
    <w:tmpl w:val="CDA23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42770BBC"/>
    <w:multiLevelType w:val="multilevel"/>
    <w:tmpl w:val="65CEFECA"/>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2C12092"/>
    <w:multiLevelType w:val="hybridMultilevel"/>
    <w:tmpl w:val="78C21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46C143B"/>
    <w:multiLevelType w:val="hybridMultilevel"/>
    <w:tmpl w:val="9F1096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4AB1CA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15:restartNumberingAfterBreak="0">
    <w:nsid w:val="463A4FC4"/>
    <w:multiLevelType w:val="hybridMultilevel"/>
    <w:tmpl w:val="C338C9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47165FAE"/>
    <w:multiLevelType w:val="hybridMultilevel"/>
    <w:tmpl w:val="A4E46A6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94931A5"/>
    <w:multiLevelType w:val="multilevel"/>
    <w:tmpl w:val="CEE4812E"/>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4A474A5E"/>
    <w:multiLevelType w:val="multilevel"/>
    <w:tmpl w:val="C29420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4A5C7CB1"/>
    <w:multiLevelType w:val="multilevel"/>
    <w:tmpl w:val="93C2E0C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15:restartNumberingAfterBreak="0">
    <w:nsid w:val="4B5F3A7E"/>
    <w:multiLevelType w:val="hybridMultilevel"/>
    <w:tmpl w:val="657A5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B9D7FB2"/>
    <w:multiLevelType w:val="hybridMultilevel"/>
    <w:tmpl w:val="599291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CC56787"/>
    <w:multiLevelType w:val="hybridMultilevel"/>
    <w:tmpl w:val="0388D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EBE07BD"/>
    <w:multiLevelType w:val="hybridMultilevel"/>
    <w:tmpl w:val="392E0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F1E0072"/>
    <w:multiLevelType w:val="hybridMultilevel"/>
    <w:tmpl w:val="617E8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0B16A0D"/>
    <w:multiLevelType w:val="hybridMultilevel"/>
    <w:tmpl w:val="98544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0CE3722"/>
    <w:multiLevelType w:val="hybridMultilevel"/>
    <w:tmpl w:val="A89CD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10209BC"/>
    <w:multiLevelType w:val="hybridMultilevel"/>
    <w:tmpl w:val="4FF87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3D96E2E"/>
    <w:multiLevelType w:val="hybridMultilevel"/>
    <w:tmpl w:val="051097A2"/>
    <w:lvl w:ilvl="0" w:tplc="4878A128">
      <w:start w:val="2"/>
      <w:numFmt w:val="lowerLetter"/>
      <w:lvlText w:val="%1)"/>
      <w:lvlJc w:val="left"/>
      <w:pPr>
        <w:ind w:left="1636" w:hanging="360"/>
      </w:pPr>
      <w:rPr>
        <w:rFonts w:hint="default"/>
      </w:rPr>
    </w:lvl>
    <w:lvl w:ilvl="1" w:tplc="04050019" w:tentative="1">
      <w:start w:val="1"/>
      <w:numFmt w:val="lowerLetter"/>
      <w:lvlText w:val="%2."/>
      <w:lvlJc w:val="left"/>
      <w:pPr>
        <w:ind w:left="2490" w:hanging="360"/>
      </w:pPr>
    </w:lvl>
    <w:lvl w:ilvl="2" w:tplc="0405001B" w:tentative="1">
      <w:start w:val="1"/>
      <w:numFmt w:val="lowerRoman"/>
      <w:lvlText w:val="%3."/>
      <w:lvlJc w:val="right"/>
      <w:pPr>
        <w:ind w:left="3210" w:hanging="180"/>
      </w:pPr>
    </w:lvl>
    <w:lvl w:ilvl="3" w:tplc="0405000F" w:tentative="1">
      <w:start w:val="1"/>
      <w:numFmt w:val="decimal"/>
      <w:lvlText w:val="%4."/>
      <w:lvlJc w:val="left"/>
      <w:pPr>
        <w:ind w:left="3930" w:hanging="360"/>
      </w:pPr>
    </w:lvl>
    <w:lvl w:ilvl="4" w:tplc="04050019" w:tentative="1">
      <w:start w:val="1"/>
      <w:numFmt w:val="lowerLetter"/>
      <w:lvlText w:val="%5."/>
      <w:lvlJc w:val="left"/>
      <w:pPr>
        <w:ind w:left="4650" w:hanging="360"/>
      </w:pPr>
    </w:lvl>
    <w:lvl w:ilvl="5" w:tplc="0405001B" w:tentative="1">
      <w:start w:val="1"/>
      <w:numFmt w:val="lowerRoman"/>
      <w:lvlText w:val="%6."/>
      <w:lvlJc w:val="right"/>
      <w:pPr>
        <w:ind w:left="5370" w:hanging="180"/>
      </w:pPr>
    </w:lvl>
    <w:lvl w:ilvl="6" w:tplc="0405000F" w:tentative="1">
      <w:start w:val="1"/>
      <w:numFmt w:val="decimal"/>
      <w:lvlText w:val="%7."/>
      <w:lvlJc w:val="left"/>
      <w:pPr>
        <w:ind w:left="6090" w:hanging="360"/>
      </w:pPr>
    </w:lvl>
    <w:lvl w:ilvl="7" w:tplc="04050019" w:tentative="1">
      <w:start w:val="1"/>
      <w:numFmt w:val="lowerLetter"/>
      <w:lvlText w:val="%8."/>
      <w:lvlJc w:val="left"/>
      <w:pPr>
        <w:ind w:left="6810" w:hanging="360"/>
      </w:pPr>
    </w:lvl>
    <w:lvl w:ilvl="8" w:tplc="0405001B" w:tentative="1">
      <w:start w:val="1"/>
      <w:numFmt w:val="lowerRoman"/>
      <w:lvlText w:val="%9."/>
      <w:lvlJc w:val="right"/>
      <w:pPr>
        <w:ind w:left="7530" w:hanging="180"/>
      </w:pPr>
    </w:lvl>
  </w:abstractNum>
  <w:abstractNum w:abstractNumId="68" w15:restartNumberingAfterBreak="0">
    <w:nsid w:val="54FC17C7"/>
    <w:multiLevelType w:val="hybridMultilevel"/>
    <w:tmpl w:val="6108CBF2"/>
    <w:lvl w:ilvl="0" w:tplc="04050001">
      <w:start w:val="1"/>
      <w:numFmt w:val="bullet"/>
      <w:lvlText w:val=""/>
      <w:lvlJc w:val="left"/>
      <w:pPr>
        <w:ind w:left="360" w:hanging="360"/>
      </w:pPr>
      <w:rPr>
        <w:rFonts w:ascii="Symbol" w:hAnsi="Symbol" w:hint="default"/>
      </w:rPr>
    </w:lvl>
    <w:lvl w:ilvl="1" w:tplc="DC624C30" w:tentative="1">
      <w:start w:val="1"/>
      <w:numFmt w:val="bullet"/>
      <w:lvlText w:val="o"/>
      <w:lvlJc w:val="left"/>
      <w:pPr>
        <w:ind w:left="1440" w:hanging="360"/>
      </w:pPr>
      <w:rPr>
        <w:rFonts w:ascii="Courier New" w:hAnsi="Courier New" w:hint="default"/>
      </w:rPr>
    </w:lvl>
    <w:lvl w:ilvl="2" w:tplc="49ACE1E6" w:tentative="1">
      <w:start w:val="1"/>
      <w:numFmt w:val="bullet"/>
      <w:lvlText w:val=""/>
      <w:lvlJc w:val="left"/>
      <w:pPr>
        <w:ind w:left="2160" w:hanging="360"/>
      </w:pPr>
      <w:rPr>
        <w:rFonts w:ascii="Wingdings" w:hAnsi="Wingdings" w:hint="default"/>
      </w:rPr>
    </w:lvl>
    <w:lvl w:ilvl="3" w:tplc="EC02C5AA" w:tentative="1">
      <w:start w:val="1"/>
      <w:numFmt w:val="bullet"/>
      <w:lvlText w:val=""/>
      <w:lvlJc w:val="left"/>
      <w:pPr>
        <w:ind w:left="2880" w:hanging="360"/>
      </w:pPr>
      <w:rPr>
        <w:rFonts w:ascii="Symbol" w:hAnsi="Symbol" w:hint="default"/>
      </w:rPr>
    </w:lvl>
    <w:lvl w:ilvl="4" w:tplc="B5E210D8" w:tentative="1">
      <w:start w:val="1"/>
      <w:numFmt w:val="bullet"/>
      <w:lvlText w:val="o"/>
      <w:lvlJc w:val="left"/>
      <w:pPr>
        <w:ind w:left="3600" w:hanging="360"/>
      </w:pPr>
      <w:rPr>
        <w:rFonts w:ascii="Courier New" w:hAnsi="Courier New" w:hint="default"/>
      </w:rPr>
    </w:lvl>
    <w:lvl w:ilvl="5" w:tplc="A4CEE5E4" w:tentative="1">
      <w:start w:val="1"/>
      <w:numFmt w:val="bullet"/>
      <w:lvlText w:val=""/>
      <w:lvlJc w:val="left"/>
      <w:pPr>
        <w:ind w:left="4320" w:hanging="360"/>
      </w:pPr>
      <w:rPr>
        <w:rFonts w:ascii="Wingdings" w:hAnsi="Wingdings" w:hint="default"/>
      </w:rPr>
    </w:lvl>
    <w:lvl w:ilvl="6" w:tplc="E6F01072" w:tentative="1">
      <w:start w:val="1"/>
      <w:numFmt w:val="bullet"/>
      <w:lvlText w:val=""/>
      <w:lvlJc w:val="left"/>
      <w:pPr>
        <w:ind w:left="5040" w:hanging="360"/>
      </w:pPr>
      <w:rPr>
        <w:rFonts w:ascii="Symbol" w:hAnsi="Symbol" w:hint="default"/>
      </w:rPr>
    </w:lvl>
    <w:lvl w:ilvl="7" w:tplc="5FFA7AA6" w:tentative="1">
      <w:start w:val="1"/>
      <w:numFmt w:val="bullet"/>
      <w:lvlText w:val="o"/>
      <w:lvlJc w:val="left"/>
      <w:pPr>
        <w:ind w:left="5760" w:hanging="360"/>
      </w:pPr>
      <w:rPr>
        <w:rFonts w:ascii="Courier New" w:hAnsi="Courier New" w:hint="default"/>
      </w:rPr>
    </w:lvl>
    <w:lvl w:ilvl="8" w:tplc="A49C9CF2" w:tentative="1">
      <w:start w:val="1"/>
      <w:numFmt w:val="bullet"/>
      <w:lvlText w:val=""/>
      <w:lvlJc w:val="left"/>
      <w:pPr>
        <w:ind w:left="6480" w:hanging="360"/>
      </w:pPr>
      <w:rPr>
        <w:rFonts w:ascii="Wingdings" w:hAnsi="Wingdings" w:hint="default"/>
      </w:rPr>
    </w:lvl>
  </w:abstractNum>
  <w:abstractNum w:abstractNumId="69" w15:restartNumberingAfterBreak="0">
    <w:nsid w:val="55532A80"/>
    <w:multiLevelType w:val="hybridMultilevel"/>
    <w:tmpl w:val="5ABAFA7C"/>
    <w:lvl w:ilvl="0" w:tplc="0A863A4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5BB30EB"/>
    <w:multiLevelType w:val="hybridMultilevel"/>
    <w:tmpl w:val="75F47E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564F5AD7"/>
    <w:multiLevelType w:val="hybridMultilevel"/>
    <w:tmpl w:val="6A781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65B27D3"/>
    <w:multiLevelType w:val="hybridMultilevel"/>
    <w:tmpl w:val="1B10775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84C25C6"/>
    <w:multiLevelType w:val="hybridMultilevel"/>
    <w:tmpl w:val="0AD4A4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15:restartNumberingAfterBreak="0">
    <w:nsid w:val="58AC1817"/>
    <w:multiLevelType w:val="hybridMultilevel"/>
    <w:tmpl w:val="9D148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8FA427D"/>
    <w:multiLevelType w:val="multilevel"/>
    <w:tmpl w:val="B9687EC0"/>
    <w:lvl w:ilvl="0">
      <w:start w:val="5"/>
      <w:numFmt w:val="decimal"/>
      <w:lvlText w:val="%1."/>
      <w:lvlJc w:val="left"/>
      <w:pPr>
        <w:ind w:left="540" w:hanging="540"/>
      </w:pPr>
      <w:rPr>
        <w:rFonts w:hint="default"/>
      </w:rPr>
    </w:lvl>
    <w:lvl w:ilvl="1">
      <w:start w:val="1"/>
      <w:numFmt w:val="decimal"/>
      <w:pStyle w:val="NadpisNOK2"/>
      <w:lvlText w:val="%1.%2."/>
      <w:lvlJc w:val="left"/>
      <w:pPr>
        <w:ind w:left="1425" w:hanging="720"/>
      </w:pPr>
      <w:rPr>
        <w:rFonts w:hint="default"/>
      </w:rPr>
    </w:lvl>
    <w:lvl w:ilvl="2">
      <w:start w:val="1"/>
      <w:numFmt w:val="decimal"/>
      <w:lvlText w:val="%1.%2.%3."/>
      <w:lvlJc w:val="left"/>
      <w:pPr>
        <w:ind w:left="2490" w:hanging="1080"/>
      </w:pPr>
      <w:rPr>
        <w:rFonts w:hint="default"/>
      </w:rPr>
    </w:lvl>
    <w:lvl w:ilvl="3">
      <w:start w:val="1"/>
      <w:numFmt w:val="decimal"/>
      <w:lvlText w:val="%1.%2.%3.%4."/>
      <w:lvlJc w:val="left"/>
      <w:pPr>
        <w:ind w:left="3555" w:hanging="144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390" w:hanging="2160"/>
      </w:pPr>
      <w:rPr>
        <w:rFonts w:hint="default"/>
      </w:rPr>
    </w:lvl>
    <w:lvl w:ilvl="7">
      <w:start w:val="1"/>
      <w:numFmt w:val="decimal"/>
      <w:lvlText w:val="%1.%2.%3.%4.%5.%6.%7.%8."/>
      <w:lvlJc w:val="left"/>
      <w:pPr>
        <w:ind w:left="7455" w:hanging="2520"/>
      </w:pPr>
      <w:rPr>
        <w:rFonts w:hint="default"/>
      </w:rPr>
    </w:lvl>
    <w:lvl w:ilvl="8">
      <w:start w:val="1"/>
      <w:numFmt w:val="decimal"/>
      <w:lvlText w:val="%1.%2.%3.%4.%5.%6.%7.%8.%9."/>
      <w:lvlJc w:val="left"/>
      <w:pPr>
        <w:ind w:left="8160" w:hanging="2520"/>
      </w:pPr>
      <w:rPr>
        <w:rFonts w:hint="default"/>
      </w:rPr>
    </w:lvl>
  </w:abstractNum>
  <w:abstractNum w:abstractNumId="76" w15:restartNumberingAfterBreak="0">
    <w:nsid w:val="5C4F027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5CDD5062"/>
    <w:multiLevelType w:val="hybridMultilevel"/>
    <w:tmpl w:val="24A63C50"/>
    <w:lvl w:ilvl="0" w:tplc="487897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5DC05E64"/>
    <w:multiLevelType w:val="multilevel"/>
    <w:tmpl w:val="31A4C69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5DFC6137"/>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5F8124C6"/>
    <w:multiLevelType w:val="multilevel"/>
    <w:tmpl w:val="CBF88B9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615C4D99"/>
    <w:multiLevelType w:val="hybridMultilevel"/>
    <w:tmpl w:val="3DDA53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1D60F3A"/>
    <w:multiLevelType w:val="hybridMultilevel"/>
    <w:tmpl w:val="1520C76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620A6C9B"/>
    <w:multiLevelType w:val="hybridMultilevel"/>
    <w:tmpl w:val="6B2E5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2884433"/>
    <w:multiLevelType w:val="hybridMultilevel"/>
    <w:tmpl w:val="43545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2EA7A0F"/>
    <w:multiLevelType w:val="multilevel"/>
    <w:tmpl w:val="C4EAE37A"/>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2.B.%3"/>
      <w:lvlJc w:val="left"/>
      <w:pPr>
        <w:ind w:left="1146" w:hanging="720"/>
      </w:pPr>
      <w:rPr>
        <w:rFonts w:ascii="Calibri" w:hAnsi="Calibri" w:hint="default"/>
        <w:sz w:val="24"/>
      </w:rPr>
    </w:lvl>
    <w:lvl w:ilvl="3">
      <w:start w:val="1"/>
      <w:numFmt w:val="decimal"/>
      <w:lvlText w:val="%1.%2.%3.%4"/>
      <w:lvlJc w:val="left"/>
      <w:pPr>
        <w:ind w:left="864" w:hanging="864"/>
      </w:pPr>
      <w:rPr>
        <w:rFonts w:hint="default"/>
      </w:rPr>
    </w:lvl>
    <w:lvl w:ilvl="4">
      <w:start w:val="1"/>
      <w:numFmt w:val="decimal"/>
      <w:lvlText w:val="%1.A.2.%4"/>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6" w15:restartNumberingAfterBreak="0">
    <w:nsid w:val="63FE4FF7"/>
    <w:multiLevelType w:val="hybridMultilevel"/>
    <w:tmpl w:val="DE200F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646A0FCF"/>
    <w:multiLevelType w:val="hybridMultilevel"/>
    <w:tmpl w:val="2A766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4875DAB"/>
    <w:multiLevelType w:val="hybridMultilevel"/>
    <w:tmpl w:val="6A8CF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90" w15:restartNumberingAfterBreak="0">
    <w:nsid w:val="680C5655"/>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680E1DB2"/>
    <w:multiLevelType w:val="hybridMultilevel"/>
    <w:tmpl w:val="DF066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8794823"/>
    <w:multiLevelType w:val="hybridMultilevel"/>
    <w:tmpl w:val="469EA7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9523396"/>
    <w:multiLevelType w:val="hybridMultilevel"/>
    <w:tmpl w:val="9AB20A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6AD825F8"/>
    <w:multiLevelType w:val="multilevel"/>
    <w:tmpl w:val="A356B81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6C5B2851"/>
    <w:multiLevelType w:val="hybridMultilevel"/>
    <w:tmpl w:val="C3BA35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6D1A4167"/>
    <w:multiLevelType w:val="multilevel"/>
    <w:tmpl w:val="E7FC52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7003720F"/>
    <w:multiLevelType w:val="hybridMultilevel"/>
    <w:tmpl w:val="0BBA4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1AE7B29"/>
    <w:multiLevelType w:val="multilevel"/>
    <w:tmpl w:val="6D3E42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729871BF"/>
    <w:multiLevelType w:val="multilevel"/>
    <w:tmpl w:val="4078CD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0" w15:restartNumberingAfterBreak="0">
    <w:nsid w:val="73833FDB"/>
    <w:multiLevelType w:val="multilevel"/>
    <w:tmpl w:val="DB502ACC"/>
    <w:styleLink w:val="Styl1"/>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5.1"/>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1" w15:restartNumberingAfterBreak="0">
    <w:nsid w:val="744A7944"/>
    <w:multiLevelType w:val="hybridMultilevel"/>
    <w:tmpl w:val="0D609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50341EB"/>
    <w:multiLevelType w:val="hybridMultilevel"/>
    <w:tmpl w:val="20467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51C0887"/>
    <w:multiLevelType w:val="hybridMultilevel"/>
    <w:tmpl w:val="71FA2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5A351D9"/>
    <w:multiLevelType w:val="multilevel"/>
    <w:tmpl w:val="93EC5F5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6"/>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5" w15:restartNumberingAfterBreak="0">
    <w:nsid w:val="76B015B5"/>
    <w:multiLevelType w:val="hybridMultilevel"/>
    <w:tmpl w:val="D834E31C"/>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76EF0867"/>
    <w:multiLevelType w:val="hybridMultilevel"/>
    <w:tmpl w:val="F8F46760"/>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78B04E74"/>
    <w:multiLevelType w:val="hybridMultilevel"/>
    <w:tmpl w:val="57B40C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78E11E05"/>
    <w:multiLevelType w:val="multilevel"/>
    <w:tmpl w:val="955692B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15:restartNumberingAfterBreak="0">
    <w:nsid w:val="79784929"/>
    <w:multiLevelType w:val="hybridMultilevel"/>
    <w:tmpl w:val="DB0C09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79D074D9"/>
    <w:multiLevelType w:val="hybridMultilevel"/>
    <w:tmpl w:val="EACC4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A642EA6"/>
    <w:multiLevelType w:val="hybridMultilevel"/>
    <w:tmpl w:val="F1AAD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7A684AE4"/>
    <w:multiLevelType w:val="hybridMultilevel"/>
    <w:tmpl w:val="8548C322"/>
    <w:lvl w:ilvl="0" w:tplc="9C969FCA">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3" w15:restartNumberingAfterBreak="0">
    <w:nsid w:val="7A8C0EDB"/>
    <w:multiLevelType w:val="multilevel"/>
    <w:tmpl w:val="63AE8D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15:restartNumberingAfterBreak="0">
    <w:nsid w:val="7B9C54AB"/>
    <w:multiLevelType w:val="multilevel"/>
    <w:tmpl w:val="9072E0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5" w15:restartNumberingAfterBreak="0">
    <w:nsid w:val="7D587767"/>
    <w:multiLevelType w:val="hybridMultilevel"/>
    <w:tmpl w:val="0B505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7FE00DF2"/>
    <w:multiLevelType w:val="hybridMultilevel"/>
    <w:tmpl w:val="6792E65A"/>
    <w:lvl w:ilvl="0" w:tplc="7696D498">
      <w:start w:val="1"/>
      <w:numFmt w:val="upperRoman"/>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75"/>
  </w:num>
  <w:num w:numId="3">
    <w:abstractNumId w:val="0"/>
  </w:num>
  <w:num w:numId="4">
    <w:abstractNumId w:val="111"/>
  </w:num>
  <w:num w:numId="5">
    <w:abstractNumId w:val="89"/>
  </w:num>
  <w:num w:numId="6">
    <w:abstractNumId w:val="54"/>
  </w:num>
  <w:num w:numId="7">
    <w:abstractNumId w:val="39"/>
  </w:num>
  <w:num w:numId="8">
    <w:abstractNumId w:val="6"/>
  </w:num>
  <w:num w:numId="9">
    <w:abstractNumId w:val="17"/>
  </w:num>
  <w:num w:numId="10">
    <w:abstractNumId w:val="76"/>
  </w:num>
  <w:num w:numId="11">
    <w:abstractNumId w:val="22"/>
  </w:num>
  <w:num w:numId="12">
    <w:abstractNumId w:val="85"/>
  </w:num>
  <w:num w:numId="13">
    <w:abstractNumId w:val="29"/>
  </w:num>
  <w:num w:numId="14">
    <w:abstractNumId w:val="100"/>
  </w:num>
  <w:num w:numId="15">
    <w:abstractNumId w:val="90"/>
  </w:num>
  <w:num w:numId="16">
    <w:abstractNumId w:val="94"/>
  </w:num>
  <w:num w:numId="17">
    <w:abstractNumId w:val="53"/>
  </w:num>
  <w:num w:numId="18">
    <w:abstractNumId w:val="80"/>
  </w:num>
  <w:num w:numId="19">
    <w:abstractNumId w:val="37"/>
  </w:num>
  <w:num w:numId="20">
    <w:abstractNumId w:val="21"/>
  </w:num>
  <w:num w:numId="21">
    <w:abstractNumId w:val="50"/>
  </w:num>
  <w:num w:numId="22">
    <w:abstractNumId w:val="78"/>
  </w:num>
  <w:num w:numId="23">
    <w:abstractNumId w:val="58"/>
  </w:num>
  <w:num w:numId="24">
    <w:abstractNumId w:val="4"/>
  </w:num>
  <w:num w:numId="25">
    <w:abstractNumId w:val="38"/>
  </w:num>
  <w:num w:numId="26">
    <w:abstractNumId w:val="31"/>
  </w:num>
  <w:num w:numId="27">
    <w:abstractNumId w:val="56"/>
  </w:num>
  <w:num w:numId="28">
    <w:abstractNumId w:val="92"/>
  </w:num>
  <w:num w:numId="29">
    <w:abstractNumId w:val="7"/>
  </w:num>
  <w:num w:numId="30">
    <w:abstractNumId w:val="77"/>
  </w:num>
  <w:num w:numId="31">
    <w:abstractNumId w:val="35"/>
  </w:num>
  <w:num w:numId="32">
    <w:abstractNumId w:val="107"/>
  </w:num>
  <w:num w:numId="33">
    <w:abstractNumId w:val="46"/>
  </w:num>
  <w:num w:numId="34">
    <w:abstractNumId w:val="109"/>
  </w:num>
  <w:num w:numId="35">
    <w:abstractNumId w:val="105"/>
  </w:num>
  <w:num w:numId="36">
    <w:abstractNumId w:val="82"/>
  </w:num>
  <w:num w:numId="37">
    <w:abstractNumId w:val="74"/>
  </w:num>
  <w:num w:numId="38">
    <w:abstractNumId w:val="2"/>
  </w:num>
  <w:num w:numId="39">
    <w:abstractNumId w:val="26"/>
  </w:num>
  <w:num w:numId="40">
    <w:abstractNumId w:val="84"/>
  </w:num>
  <w:num w:numId="41">
    <w:abstractNumId w:val="65"/>
  </w:num>
  <w:num w:numId="42">
    <w:abstractNumId w:val="3"/>
  </w:num>
  <w:num w:numId="43">
    <w:abstractNumId w:val="103"/>
  </w:num>
  <w:num w:numId="44">
    <w:abstractNumId w:val="55"/>
  </w:num>
  <w:num w:numId="45">
    <w:abstractNumId w:val="24"/>
  </w:num>
  <w:num w:numId="46">
    <w:abstractNumId w:val="110"/>
  </w:num>
  <w:num w:numId="47">
    <w:abstractNumId w:val="51"/>
  </w:num>
  <w:num w:numId="48">
    <w:abstractNumId w:val="15"/>
  </w:num>
  <w:num w:numId="49">
    <w:abstractNumId w:val="62"/>
  </w:num>
  <w:num w:numId="50">
    <w:abstractNumId w:val="64"/>
  </w:num>
  <w:num w:numId="51">
    <w:abstractNumId w:val="102"/>
  </w:num>
  <w:num w:numId="52">
    <w:abstractNumId w:val="47"/>
  </w:num>
  <w:num w:numId="53">
    <w:abstractNumId w:val="36"/>
  </w:num>
  <w:num w:numId="54">
    <w:abstractNumId w:val="42"/>
  </w:num>
  <w:num w:numId="55">
    <w:abstractNumId w:val="91"/>
  </w:num>
  <w:num w:numId="56">
    <w:abstractNumId w:val="5"/>
  </w:num>
  <w:num w:numId="57">
    <w:abstractNumId w:val="88"/>
  </w:num>
  <w:num w:numId="58">
    <w:abstractNumId w:val="45"/>
  </w:num>
  <w:num w:numId="59">
    <w:abstractNumId w:val="61"/>
  </w:num>
  <w:num w:numId="60">
    <w:abstractNumId w:val="63"/>
  </w:num>
  <w:num w:numId="61">
    <w:abstractNumId w:val="52"/>
  </w:num>
  <w:num w:numId="62">
    <w:abstractNumId w:val="114"/>
  </w:num>
  <w:num w:numId="63">
    <w:abstractNumId w:val="98"/>
  </w:num>
  <w:num w:numId="64">
    <w:abstractNumId w:val="30"/>
  </w:num>
  <w:num w:numId="65">
    <w:abstractNumId w:val="25"/>
  </w:num>
  <w:num w:numId="66">
    <w:abstractNumId w:val="96"/>
  </w:num>
  <w:num w:numId="67">
    <w:abstractNumId w:val="57"/>
  </w:num>
  <w:num w:numId="68">
    <w:abstractNumId w:val="113"/>
  </w:num>
  <w:num w:numId="69">
    <w:abstractNumId w:val="10"/>
  </w:num>
  <w:num w:numId="70">
    <w:abstractNumId w:val="99"/>
  </w:num>
  <w:num w:numId="71">
    <w:abstractNumId w:val="79"/>
  </w:num>
  <w:num w:numId="72">
    <w:abstractNumId w:val="11"/>
  </w:num>
  <w:num w:numId="73">
    <w:abstractNumId w:val="86"/>
  </w:num>
  <w:num w:numId="74">
    <w:abstractNumId w:val="13"/>
  </w:num>
  <w:num w:numId="75">
    <w:abstractNumId w:val="116"/>
  </w:num>
  <w:num w:numId="76">
    <w:abstractNumId w:val="101"/>
  </w:num>
  <w:num w:numId="77">
    <w:abstractNumId w:val="70"/>
  </w:num>
  <w:num w:numId="78">
    <w:abstractNumId w:val="72"/>
  </w:num>
  <w:num w:numId="79">
    <w:abstractNumId w:val="95"/>
  </w:num>
  <w:num w:numId="80">
    <w:abstractNumId w:val="44"/>
  </w:num>
  <w:num w:numId="81">
    <w:abstractNumId w:val="23"/>
  </w:num>
  <w:num w:numId="82">
    <w:abstractNumId w:val="14"/>
  </w:num>
  <w:num w:numId="83">
    <w:abstractNumId w:val="59"/>
  </w:num>
  <w:num w:numId="84">
    <w:abstractNumId w:val="115"/>
  </w:num>
  <w:num w:numId="85">
    <w:abstractNumId w:val="87"/>
  </w:num>
  <w:num w:numId="86">
    <w:abstractNumId w:val="12"/>
  </w:num>
  <w:num w:numId="87">
    <w:abstractNumId w:val="71"/>
  </w:num>
  <w:num w:numId="88">
    <w:abstractNumId w:val="60"/>
  </w:num>
  <w:num w:numId="89">
    <w:abstractNumId w:val="83"/>
  </w:num>
  <w:num w:numId="90">
    <w:abstractNumId w:val="48"/>
  </w:num>
  <w:num w:numId="91">
    <w:abstractNumId w:val="66"/>
  </w:num>
  <w:num w:numId="92">
    <w:abstractNumId w:val="68"/>
  </w:num>
  <w:num w:numId="93">
    <w:abstractNumId w:val="81"/>
  </w:num>
  <w:num w:numId="94">
    <w:abstractNumId w:val="9"/>
  </w:num>
  <w:num w:numId="95">
    <w:abstractNumId w:val="106"/>
  </w:num>
  <w:num w:numId="96">
    <w:abstractNumId w:val="28"/>
  </w:num>
  <w:num w:numId="97">
    <w:abstractNumId w:val="97"/>
  </w:num>
  <w:num w:numId="98">
    <w:abstractNumId w:val="20"/>
  </w:num>
  <w:num w:numId="99">
    <w:abstractNumId w:val="93"/>
  </w:num>
  <w:num w:numId="100">
    <w:abstractNumId w:val="69"/>
  </w:num>
  <w:num w:numId="101">
    <w:abstractNumId w:val="43"/>
  </w:num>
  <w:num w:numId="102">
    <w:abstractNumId w:val="8"/>
  </w:num>
  <w:num w:numId="103">
    <w:abstractNumId w:val="49"/>
  </w:num>
  <w:num w:numId="10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
  </w:num>
  <w:num w:numId="123">
    <w:abstractNumId w:val="73"/>
  </w:num>
  <w:num w:numId="124">
    <w:abstractNumId w:val="112"/>
  </w:num>
  <w:num w:numId="125">
    <w:abstractNumId w:val="18"/>
  </w:num>
  <w:num w:numId="126">
    <w:abstractNumId w:val="27"/>
  </w:num>
  <w:num w:numId="127">
    <w:abstractNumId w:val="41"/>
  </w:num>
  <w:num w:numId="128">
    <w:abstractNumId w:val="108"/>
  </w:num>
  <w:num w:numId="129">
    <w:abstractNumId w:val="1"/>
  </w:num>
  <w:num w:numId="130">
    <w:abstractNumId w:val="40"/>
  </w:num>
  <w:num w:numId="131">
    <w:abstractNumId w:val="104"/>
  </w:num>
  <w:num w:numId="132">
    <w:abstractNumId w:val="32"/>
  </w:num>
  <w:num w:numId="133">
    <w:abstractNumId w:val="33"/>
  </w:num>
  <w:num w:numId="134">
    <w:abstractNumId w:val="67"/>
  </w:num>
  <w:num w:numId="135">
    <w:abstractNumId w:val="1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GrammaticalError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0D6A"/>
    <w:rsid w:val="00000B35"/>
    <w:rsid w:val="0000126A"/>
    <w:rsid w:val="00001B77"/>
    <w:rsid w:val="00001B83"/>
    <w:rsid w:val="00001CCB"/>
    <w:rsid w:val="00002031"/>
    <w:rsid w:val="00002278"/>
    <w:rsid w:val="000022FB"/>
    <w:rsid w:val="000023FB"/>
    <w:rsid w:val="000024F7"/>
    <w:rsid w:val="00002F3E"/>
    <w:rsid w:val="0000319F"/>
    <w:rsid w:val="0000352F"/>
    <w:rsid w:val="00003615"/>
    <w:rsid w:val="00003E04"/>
    <w:rsid w:val="00003F40"/>
    <w:rsid w:val="0000407E"/>
    <w:rsid w:val="000043B4"/>
    <w:rsid w:val="000045C5"/>
    <w:rsid w:val="00004B11"/>
    <w:rsid w:val="00004BD4"/>
    <w:rsid w:val="00004CEF"/>
    <w:rsid w:val="00005B5A"/>
    <w:rsid w:val="00006015"/>
    <w:rsid w:val="000063DD"/>
    <w:rsid w:val="0000679D"/>
    <w:rsid w:val="00006AD5"/>
    <w:rsid w:val="0000733C"/>
    <w:rsid w:val="000075B7"/>
    <w:rsid w:val="00007987"/>
    <w:rsid w:val="00007BC1"/>
    <w:rsid w:val="00007D50"/>
    <w:rsid w:val="000117ED"/>
    <w:rsid w:val="00011EE8"/>
    <w:rsid w:val="000123E0"/>
    <w:rsid w:val="000124DB"/>
    <w:rsid w:val="00012F9F"/>
    <w:rsid w:val="00013622"/>
    <w:rsid w:val="00014522"/>
    <w:rsid w:val="00014F0D"/>
    <w:rsid w:val="00014FFD"/>
    <w:rsid w:val="00015039"/>
    <w:rsid w:val="000154E7"/>
    <w:rsid w:val="000155D3"/>
    <w:rsid w:val="000155F5"/>
    <w:rsid w:val="00015717"/>
    <w:rsid w:val="0001583E"/>
    <w:rsid w:val="00015AFA"/>
    <w:rsid w:val="000162CE"/>
    <w:rsid w:val="000163B1"/>
    <w:rsid w:val="00016480"/>
    <w:rsid w:val="0001714A"/>
    <w:rsid w:val="00017522"/>
    <w:rsid w:val="00017692"/>
    <w:rsid w:val="00017891"/>
    <w:rsid w:val="00017D76"/>
    <w:rsid w:val="0002004E"/>
    <w:rsid w:val="00020185"/>
    <w:rsid w:val="000201D0"/>
    <w:rsid w:val="0002026F"/>
    <w:rsid w:val="00020BD2"/>
    <w:rsid w:val="000210E5"/>
    <w:rsid w:val="00021295"/>
    <w:rsid w:val="00021736"/>
    <w:rsid w:val="00021A50"/>
    <w:rsid w:val="000220B9"/>
    <w:rsid w:val="0002217B"/>
    <w:rsid w:val="000221D9"/>
    <w:rsid w:val="00022228"/>
    <w:rsid w:val="0002282F"/>
    <w:rsid w:val="00022856"/>
    <w:rsid w:val="00022D48"/>
    <w:rsid w:val="0002304E"/>
    <w:rsid w:val="00023054"/>
    <w:rsid w:val="000239E7"/>
    <w:rsid w:val="00024687"/>
    <w:rsid w:val="000246E7"/>
    <w:rsid w:val="00024756"/>
    <w:rsid w:val="00024A9F"/>
    <w:rsid w:val="00024C51"/>
    <w:rsid w:val="00024E53"/>
    <w:rsid w:val="00025DD4"/>
    <w:rsid w:val="00025F9C"/>
    <w:rsid w:val="0002617B"/>
    <w:rsid w:val="000265A3"/>
    <w:rsid w:val="00026B1C"/>
    <w:rsid w:val="00026B72"/>
    <w:rsid w:val="00026C63"/>
    <w:rsid w:val="00027768"/>
    <w:rsid w:val="00027C34"/>
    <w:rsid w:val="000305E7"/>
    <w:rsid w:val="000305FB"/>
    <w:rsid w:val="00030CAB"/>
    <w:rsid w:val="000317E0"/>
    <w:rsid w:val="00031ABA"/>
    <w:rsid w:val="00032047"/>
    <w:rsid w:val="00032697"/>
    <w:rsid w:val="000343A0"/>
    <w:rsid w:val="00034EA7"/>
    <w:rsid w:val="0003571F"/>
    <w:rsid w:val="00035BDD"/>
    <w:rsid w:val="00036843"/>
    <w:rsid w:val="00036F2B"/>
    <w:rsid w:val="00037221"/>
    <w:rsid w:val="000373F5"/>
    <w:rsid w:val="000374FF"/>
    <w:rsid w:val="00037695"/>
    <w:rsid w:val="000377D7"/>
    <w:rsid w:val="00037A49"/>
    <w:rsid w:val="00037BFE"/>
    <w:rsid w:val="00040122"/>
    <w:rsid w:val="00040910"/>
    <w:rsid w:val="00040D22"/>
    <w:rsid w:val="0004155F"/>
    <w:rsid w:val="0004197D"/>
    <w:rsid w:val="0004199E"/>
    <w:rsid w:val="0004333B"/>
    <w:rsid w:val="00043343"/>
    <w:rsid w:val="000435CB"/>
    <w:rsid w:val="00043818"/>
    <w:rsid w:val="0004418E"/>
    <w:rsid w:val="00044470"/>
    <w:rsid w:val="0004496A"/>
    <w:rsid w:val="00045164"/>
    <w:rsid w:val="0004568E"/>
    <w:rsid w:val="00045A18"/>
    <w:rsid w:val="0004681B"/>
    <w:rsid w:val="00046D4B"/>
    <w:rsid w:val="00046F11"/>
    <w:rsid w:val="00047389"/>
    <w:rsid w:val="00047773"/>
    <w:rsid w:val="00047AD7"/>
    <w:rsid w:val="00047CEE"/>
    <w:rsid w:val="00047CFA"/>
    <w:rsid w:val="00047EF5"/>
    <w:rsid w:val="000506D1"/>
    <w:rsid w:val="000508E1"/>
    <w:rsid w:val="00050A91"/>
    <w:rsid w:val="00050E1B"/>
    <w:rsid w:val="000512B5"/>
    <w:rsid w:val="00051B77"/>
    <w:rsid w:val="000521C7"/>
    <w:rsid w:val="0005230A"/>
    <w:rsid w:val="00052713"/>
    <w:rsid w:val="000529F1"/>
    <w:rsid w:val="000534DA"/>
    <w:rsid w:val="0005361C"/>
    <w:rsid w:val="0005408E"/>
    <w:rsid w:val="00054159"/>
    <w:rsid w:val="00054C4A"/>
    <w:rsid w:val="00055143"/>
    <w:rsid w:val="000554D1"/>
    <w:rsid w:val="000558FE"/>
    <w:rsid w:val="00055AD8"/>
    <w:rsid w:val="00055EAE"/>
    <w:rsid w:val="000561F7"/>
    <w:rsid w:val="00056D4E"/>
    <w:rsid w:val="00056DBD"/>
    <w:rsid w:val="00057203"/>
    <w:rsid w:val="0005724B"/>
    <w:rsid w:val="0005731D"/>
    <w:rsid w:val="0005757C"/>
    <w:rsid w:val="00057840"/>
    <w:rsid w:val="00057987"/>
    <w:rsid w:val="000603C7"/>
    <w:rsid w:val="00060CF3"/>
    <w:rsid w:val="0006102D"/>
    <w:rsid w:val="000610C4"/>
    <w:rsid w:val="00061251"/>
    <w:rsid w:val="000620DB"/>
    <w:rsid w:val="00062403"/>
    <w:rsid w:val="00062C8D"/>
    <w:rsid w:val="00062F25"/>
    <w:rsid w:val="00063487"/>
    <w:rsid w:val="000634EB"/>
    <w:rsid w:val="00063F06"/>
    <w:rsid w:val="000640D3"/>
    <w:rsid w:val="000646C0"/>
    <w:rsid w:val="000646CF"/>
    <w:rsid w:val="00064717"/>
    <w:rsid w:val="00064816"/>
    <w:rsid w:val="00064C48"/>
    <w:rsid w:val="0006505D"/>
    <w:rsid w:val="00065476"/>
    <w:rsid w:val="000657E8"/>
    <w:rsid w:val="00065A87"/>
    <w:rsid w:val="00066396"/>
    <w:rsid w:val="00066E6B"/>
    <w:rsid w:val="00066FAA"/>
    <w:rsid w:val="000672B4"/>
    <w:rsid w:val="00067702"/>
    <w:rsid w:val="000677D5"/>
    <w:rsid w:val="00067982"/>
    <w:rsid w:val="00067B17"/>
    <w:rsid w:val="00067BAC"/>
    <w:rsid w:val="00067FC5"/>
    <w:rsid w:val="000702FD"/>
    <w:rsid w:val="000704CD"/>
    <w:rsid w:val="000704E9"/>
    <w:rsid w:val="0007086E"/>
    <w:rsid w:val="00070AC6"/>
    <w:rsid w:val="00070ADC"/>
    <w:rsid w:val="00070B86"/>
    <w:rsid w:val="00070EE7"/>
    <w:rsid w:val="0007115B"/>
    <w:rsid w:val="0007268F"/>
    <w:rsid w:val="00072816"/>
    <w:rsid w:val="00072934"/>
    <w:rsid w:val="00072C64"/>
    <w:rsid w:val="000733A8"/>
    <w:rsid w:val="00073A01"/>
    <w:rsid w:val="00073FF7"/>
    <w:rsid w:val="0007453C"/>
    <w:rsid w:val="000749B1"/>
    <w:rsid w:val="00075073"/>
    <w:rsid w:val="0007513C"/>
    <w:rsid w:val="0007562B"/>
    <w:rsid w:val="000757E9"/>
    <w:rsid w:val="000758EC"/>
    <w:rsid w:val="00075D3F"/>
    <w:rsid w:val="00075EFA"/>
    <w:rsid w:val="00076001"/>
    <w:rsid w:val="00076A2E"/>
    <w:rsid w:val="00076B84"/>
    <w:rsid w:val="00076B8A"/>
    <w:rsid w:val="00076DD3"/>
    <w:rsid w:val="00076EC0"/>
    <w:rsid w:val="00077249"/>
    <w:rsid w:val="000778D6"/>
    <w:rsid w:val="00080743"/>
    <w:rsid w:val="00080B8E"/>
    <w:rsid w:val="00080C36"/>
    <w:rsid w:val="00080D6C"/>
    <w:rsid w:val="00081051"/>
    <w:rsid w:val="0008116F"/>
    <w:rsid w:val="0008119B"/>
    <w:rsid w:val="000816D8"/>
    <w:rsid w:val="000817E2"/>
    <w:rsid w:val="00081A31"/>
    <w:rsid w:val="00081C0D"/>
    <w:rsid w:val="00081C97"/>
    <w:rsid w:val="0008205E"/>
    <w:rsid w:val="000820AA"/>
    <w:rsid w:val="00082BCC"/>
    <w:rsid w:val="0008303A"/>
    <w:rsid w:val="000835C2"/>
    <w:rsid w:val="00083BD0"/>
    <w:rsid w:val="00084401"/>
    <w:rsid w:val="000844DE"/>
    <w:rsid w:val="00084B33"/>
    <w:rsid w:val="00084ED8"/>
    <w:rsid w:val="00085D12"/>
    <w:rsid w:val="00085F13"/>
    <w:rsid w:val="00086437"/>
    <w:rsid w:val="0008678F"/>
    <w:rsid w:val="0008693C"/>
    <w:rsid w:val="00086CE2"/>
    <w:rsid w:val="000876CC"/>
    <w:rsid w:val="00087CE7"/>
    <w:rsid w:val="00087F25"/>
    <w:rsid w:val="00090786"/>
    <w:rsid w:val="0009134D"/>
    <w:rsid w:val="000917BA"/>
    <w:rsid w:val="00091860"/>
    <w:rsid w:val="00091C87"/>
    <w:rsid w:val="00092326"/>
    <w:rsid w:val="000928F9"/>
    <w:rsid w:val="00093116"/>
    <w:rsid w:val="00093576"/>
    <w:rsid w:val="000946E5"/>
    <w:rsid w:val="00094846"/>
    <w:rsid w:val="000948E6"/>
    <w:rsid w:val="00095133"/>
    <w:rsid w:val="0009521C"/>
    <w:rsid w:val="00095B63"/>
    <w:rsid w:val="000961BF"/>
    <w:rsid w:val="0009669C"/>
    <w:rsid w:val="000966EC"/>
    <w:rsid w:val="00096AA0"/>
    <w:rsid w:val="00096C52"/>
    <w:rsid w:val="000978F9"/>
    <w:rsid w:val="000979A5"/>
    <w:rsid w:val="00097C27"/>
    <w:rsid w:val="00097D48"/>
    <w:rsid w:val="00097DAB"/>
    <w:rsid w:val="000A02E8"/>
    <w:rsid w:val="000A073D"/>
    <w:rsid w:val="000A08C6"/>
    <w:rsid w:val="000A09AB"/>
    <w:rsid w:val="000A0ABC"/>
    <w:rsid w:val="000A143B"/>
    <w:rsid w:val="000A1CC0"/>
    <w:rsid w:val="000A2034"/>
    <w:rsid w:val="000A2CE5"/>
    <w:rsid w:val="000A2EB4"/>
    <w:rsid w:val="000A3436"/>
    <w:rsid w:val="000A3524"/>
    <w:rsid w:val="000A375D"/>
    <w:rsid w:val="000A3C70"/>
    <w:rsid w:val="000A3D0F"/>
    <w:rsid w:val="000A405A"/>
    <w:rsid w:val="000A44AF"/>
    <w:rsid w:val="000A54B7"/>
    <w:rsid w:val="000A6378"/>
    <w:rsid w:val="000A667D"/>
    <w:rsid w:val="000A67A8"/>
    <w:rsid w:val="000A6951"/>
    <w:rsid w:val="000A6AA7"/>
    <w:rsid w:val="000A72AA"/>
    <w:rsid w:val="000A787B"/>
    <w:rsid w:val="000A7B53"/>
    <w:rsid w:val="000A7F81"/>
    <w:rsid w:val="000B0FE7"/>
    <w:rsid w:val="000B104A"/>
    <w:rsid w:val="000B12B7"/>
    <w:rsid w:val="000B1647"/>
    <w:rsid w:val="000B16DC"/>
    <w:rsid w:val="000B1709"/>
    <w:rsid w:val="000B181D"/>
    <w:rsid w:val="000B1CBB"/>
    <w:rsid w:val="000B20CD"/>
    <w:rsid w:val="000B2315"/>
    <w:rsid w:val="000B2527"/>
    <w:rsid w:val="000B2B3F"/>
    <w:rsid w:val="000B2C1F"/>
    <w:rsid w:val="000B2F79"/>
    <w:rsid w:val="000B2FC9"/>
    <w:rsid w:val="000B34E4"/>
    <w:rsid w:val="000B426C"/>
    <w:rsid w:val="000B47C0"/>
    <w:rsid w:val="000B48D3"/>
    <w:rsid w:val="000B4A51"/>
    <w:rsid w:val="000B4ABE"/>
    <w:rsid w:val="000B53DB"/>
    <w:rsid w:val="000B5A68"/>
    <w:rsid w:val="000B5A8D"/>
    <w:rsid w:val="000B5AFD"/>
    <w:rsid w:val="000B6107"/>
    <w:rsid w:val="000B63A4"/>
    <w:rsid w:val="000B73E1"/>
    <w:rsid w:val="000B7605"/>
    <w:rsid w:val="000B7670"/>
    <w:rsid w:val="000C080E"/>
    <w:rsid w:val="000C0C35"/>
    <w:rsid w:val="000C1224"/>
    <w:rsid w:val="000C182F"/>
    <w:rsid w:val="000C1859"/>
    <w:rsid w:val="000C19F4"/>
    <w:rsid w:val="000C1B34"/>
    <w:rsid w:val="000C1DA2"/>
    <w:rsid w:val="000C1E8A"/>
    <w:rsid w:val="000C2D9D"/>
    <w:rsid w:val="000C301C"/>
    <w:rsid w:val="000C3371"/>
    <w:rsid w:val="000C37B9"/>
    <w:rsid w:val="000C3F14"/>
    <w:rsid w:val="000C444D"/>
    <w:rsid w:val="000C44FC"/>
    <w:rsid w:val="000C45D5"/>
    <w:rsid w:val="000C4C8E"/>
    <w:rsid w:val="000C5A23"/>
    <w:rsid w:val="000C5A5B"/>
    <w:rsid w:val="000C5A8D"/>
    <w:rsid w:val="000C5CD5"/>
    <w:rsid w:val="000C6224"/>
    <w:rsid w:val="000C6469"/>
    <w:rsid w:val="000C6576"/>
    <w:rsid w:val="000C6BEF"/>
    <w:rsid w:val="000C6C38"/>
    <w:rsid w:val="000C6CA8"/>
    <w:rsid w:val="000C6CF5"/>
    <w:rsid w:val="000C6E9C"/>
    <w:rsid w:val="000C6EF2"/>
    <w:rsid w:val="000C759B"/>
    <w:rsid w:val="000C75DD"/>
    <w:rsid w:val="000C79FC"/>
    <w:rsid w:val="000C7B9A"/>
    <w:rsid w:val="000C7DEA"/>
    <w:rsid w:val="000C7DFC"/>
    <w:rsid w:val="000C7ED1"/>
    <w:rsid w:val="000D07F6"/>
    <w:rsid w:val="000D11AD"/>
    <w:rsid w:val="000D1307"/>
    <w:rsid w:val="000D138F"/>
    <w:rsid w:val="000D1505"/>
    <w:rsid w:val="000D1668"/>
    <w:rsid w:val="000D1F5D"/>
    <w:rsid w:val="000D201D"/>
    <w:rsid w:val="000D28F9"/>
    <w:rsid w:val="000D2E9F"/>
    <w:rsid w:val="000D30CB"/>
    <w:rsid w:val="000D45A3"/>
    <w:rsid w:val="000D4CE0"/>
    <w:rsid w:val="000D4D60"/>
    <w:rsid w:val="000D4E8C"/>
    <w:rsid w:val="000D542C"/>
    <w:rsid w:val="000D5493"/>
    <w:rsid w:val="000D5649"/>
    <w:rsid w:val="000D5686"/>
    <w:rsid w:val="000D5D46"/>
    <w:rsid w:val="000D6113"/>
    <w:rsid w:val="000D6224"/>
    <w:rsid w:val="000D6F78"/>
    <w:rsid w:val="000D70DC"/>
    <w:rsid w:val="000D7209"/>
    <w:rsid w:val="000D738D"/>
    <w:rsid w:val="000D74C5"/>
    <w:rsid w:val="000E015D"/>
    <w:rsid w:val="000E0629"/>
    <w:rsid w:val="000E0E9B"/>
    <w:rsid w:val="000E0F9B"/>
    <w:rsid w:val="000E1211"/>
    <w:rsid w:val="000E1824"/>
    <w:rsid w:val="000E1A9C"/>
    <w:rsid w:val="000E22AD"/>
    <w:rsid w:val="000E27D9"/>
    <w:rsid w:val="000E2818"/>
    <w:rsid w:val="000E2AD0"/>
    <w:rsid w:val="000E346C"/>
    <w:rsid w:val="000E34B1"/>
    <w:rsid w:val="000E35F2"/>
    <w:rsid w:val="000E3FBB"/>
    <w:rsid w:val="000E42C6"/>
    <w:rsid w:val="000E47D9"/>
    <w:rsid w:val="000E4AB2"/>
    <w:rsid w:val="000E4FD0"/>
    <w:rsid w:val="000E5BB7"/>
    <w:rsid w:val="000E5CD5"/>
    <w:rsid w:val="000E5EB4"/>
    <w:rsid w:val="000E634D"/>
    <w:rsid w:val="000E6955"/>
    <w:rsid w:val="000E6B68"/>
    <w:rsid w:val="000E6C1E"/>
    <w:rsid w:val="000E6D8B"/>
    <w:rsid w:val="000E6E04"/>
    <w:rsid w:val="000E6F0A"/>
    <w:rsid w:val="000E72CD"/>
    <w:rsid w:val="000E79E7"/>
    <w:rsid w:val="000E7F90"/>
    <w:rsid w:val="000E7FBB"/>
    <w:rsid w:val="000F04A4"/>
    <w:rsid w:val="000F10C4"/>
    <w:rsid w:val="000F17C5"/>
    <w:rsid w:val="000F1DFD"/>
    <w:rsid w:val="000F2282"/>
    <w:rsid w:val="000F239F"/>
    <w:rsid w:val="000F24E4"/>
    <w:rsid w:val="000F25D1"/>
    <w:rsid w:val="000F27C1"/>
    <w:rsid w:val="000F2A5B"/>
    <w:rsid w:val="000F2C45"/>
    <w:rsid w:val="000F32C8"/>
    <w:rsid w:val="000F374B"/>
    <w:rsid w:val="000F38A4"/>
    <w:rsid w:val="000F3A2E"/>
    <w:rsid w:val="000F3ADD"/>
    <w:rsid w:val="000F423E"/>
    <w:rsid w:val="000F4B86"/>
    <w:rsid w:val="000F4D05"/>
    <w:rsid w:val="000F4D69"/>
    <w:rsid w:val="000F4F4C"/>
    <w:rsid w:val="000F5C52"/>
    <w:rsid w:val="000F6567"/>
    <w:rsid w:val="000F66F5"/>
    <w:rsid w:val="000F754C"/>
    <w:rsid w:val="000F7680"/>
    <w:rsid w:val="000F778E"/>
    <w:rsid w:val="000F7A57"/>
    <w:rsid w:val="000F7B0A"/>
    <w:rsid w:val="00100005"/>
    <w:rsid w:val="00100C90"/>
    <w:rsid w:val="00100E48"/>
    <w:rsid w:val="00100E54"/>
    <w:rsid w:val="0010102C"/>
    <w:rsid w:val="001011C8"/>
    <w:rsid w:val="001011D6"/>
    <w:rsid w:val="00101594"/>
    <w:rsid w:val="00101C09"/>
    <w:rsid w:val="00101D0A"/>
    <w:rsid w:val="00101D4E"/>
    <w:rsid w:val="00101DBB"/>
    <w:rsid w:val="0010210A"/>
    <w:rsid w:val="00102336"/>
    <w:rsid w:val="001023BC"/>
    <w:rsid w:val="001028DE"/>
    <w:rsid w:val="0010295B"/>
    <w:rsid w:val="001034C1"/>
    <w:rsid w:val="00104286"/>
    <w:rsid w:val="001049C5"/>
    <w:rsid w:val="00104BB5"/>
    <w:rsid w:val="00104C0C"/>
    <w:rsid w:val="00104D86"/>
    <w:rsid w:val="001059FF"/>
    <w:rsid w:val="00105F19"/>
    <w:rsid w:val="001062D3"/>
    <w:rsid w:val="00106CD2"/>
    <w:rsid w:val="00106DA7"/>
    <w:rsid w:val="00106E12"/>
    <w:rsid w:val="00107255"/>
    <w:rsid w:val="001102B3"/>
    <w:rsid w:val="00110890"/>
    <w:rsid w:val="00110D95"/>
    <w:rsid w:val="00111415"/>
    <w:rsid w:val="001118FB"/>
    <w:rsid w:val="001122AC"/>
    <w:rsid w:val="00112C3A"/>
    <w:rsid w:val="00112D3A"/>
    <w:rsid w:val="00113025"/>
    <w:rsid w:val="00113861"/>
    <w:rsid w:val="00113E40"/>
    <w:rsid w:val="00113F8F"/>
    <w:rsid w:val="00114021"/>
    <w:rsid w:val="00114156"/>
    <w:rsid w:val="00115568"/>
    <w:rsid w:val="0011565A"/>
    <w:rsid w:val="00115A81"/>
    <w:rsid w:val="00115F25"/>
    <w:rsid w:val="00116A3E"/>
    <w:rsid w:val="001174FF"/>
    <w:rsid w:val="0011760E"/>
    <w:rsid w:val="00117847"/>
    <w:rsid w:val="0012001C"/>
    <w:rsid w:val="00120476"/>
    <w:rsid w:val="00120489"/>
    <w:rsid w:val="00120744"/>
    <w:rsid w:val="00120AA3"/>
    <w:rsid w:val="00120BBD"/>
    <w:rsid w:val="00120EC2"/>
    <w:rsid w:val="00121309"/>
    <w:rsid w:val="0012167C"/>
    <w:rsid w:val="00121E41"/>
    <w:rsid w:val="00122D80"/>
    <w:rsid w:val="00122F44"/>
    <w:rsid w:val="001231B7"/>
    <w:rsid w:val="001234B6"/>
    <w:rsid w:val="0012396B"/>
    <w:rsid w:val="00123FFA"/>
    <w:rsid w:val="00124401"/>
    <w:rsid w:val="0012443D"/>
    <w:rsid w:val="001245C0"/>
    <w:rsid w:val="001245E3"/>
    <w:rsid w:val="001246F3"/>
    <w:rsid w:val="00124EA5"/>
    <w:rsid w:val="00125ED9"/>
    <w:rsid w:val="00126408"/>
    <w:rsid w:val="001268AD"/>
    <w:rsid w:val="00126942"/>
    <w:rsid w:val="001269C3"/>
    <w:rsid w:val="00127237"/>
    <w:rsid w:val="00127389"/>
    <w:rsid w:val="00127537"/>
    <w:rsid w:val="00127560"/>
    <w:rsid w:val="00130002"/>
    <w:rsid w:val="00130027"/>
    <w:rsid w:val="001305B4"/>
    <w:rsid w:val="00130AA3"/>
    <w:rsid w:val="00130CEA"/>
    <w:rsid w:val="001315A2"/>
    <w:rsid w:val="0013174D"/>
    <w:rsid w:val="00131FD8"/>
    <w:rsid w:val="001328A4"/>
    <w:rsid w:val="00132E15"/>
    <w:rsid w:val="0013369E"/>
    <w:rsid w:val="001337BB"/>
    <w:rsid w:val="00133DC7"/>
    <w:rsid w:val="00134015"/>
    <w:rsid w:val="001341FC"/>
    <w:rsid w:val="0013430E"/>
    <w:rsid w:val="001346EF"/>
    <w:rsid w:val="00134C91"/>
    <w:rsid w:val="00134EEA"/>
    <w:rsid w:val="001366EB"/>
    <w:rsid w:val="00136D1D"/>
    <w:rsid w:val="0013744F"/>
    <w:rsid w:val="00137E93"/>
    <w:rsid w:val="00137ED7"/>
    <w:rsid w:val="00140845"/>
    <w:rsid w:val="001413CE"/>
    <w:rsid w:val="00141410"/>
    <w:rsid w:val="001416DD"/>
    <w:rsid w:val="00141981"/>
    <w:rsid w:val="001419C6"/>
    <w:rsid w:val="00141D6D"/>
    <w:rsid w:val="00142414"/>
    <w:rsid w:val="00142A82"/>
    <w:rsid w:val="00142C11"/>
    <w:rsid w:val="001437DD"/>
    <w:rsid w:val="001440BC"/>
    <w:rsid w:val="00144E13"/>
    <w:rsid w:val="0014564F"/>
    <w:rsid w:val="001461C1"/>
    <w:rsid w:val="001461F3"/>
    <w:rsid w:val="001465DB"/>
    <w:rsid w:val="00146977"/>
    <w:rsid w:val="00146DC1"/>
    <w:rsid w:val="00146E3D"/>
    <w:rsid w:val="00147D28"/>
    <w:rsid w:val="00147EE2"/>
    <w:rsid w:val="00150199"/>
    <w:rsid w:val="00150310"/>
    <w:rsid w:val="00150B70"/>
    <w:rsid w:val="00151666"/>
    <w:rsid w:val="0015170B"/>
    <w:rsid w:val="00151831"/>
    <w:rsid w:val="001518AF"/>
    <w:rsid w:val="00152841"/>
    <w:rsid w:val="0015299B"/>
    <w:rsid w:val="00152A0D"/>
    <w:rsid w:val="00152FBD"/>
    <w:rsid w:val="00153021"/>
    <w:rsid w:val="00153492"/>
    <w:rsid w:val="0015381D"/>
    <w:rsid w:val="00153975"/>
    <w:rsid w:val="00153E93"/>
    <w:rsid w:val="00153F2D"/>
    <w:rsid w:val="00153F63"/>
    <w:rsid w:val="0015444C"/>
    <w:rsid w:val="00154A8F"/>
    <w:rsid w:val="0015513D"/>
    <w:rsid w:val="00155505"/>
    <w:rsid w:val="0015560B"/>
    <w:rsid w:val="00155981"/>
    <w:rsid w:val="00155C63"/>
    <w:rsid w:val="00155F36"/>
    <w:rsid w:val="001560D3"/>
    <w:rsid w:val="0015648D"/>
    <w:rsid w:val="0015657B"/>
    <w:rsid w:val="00156EE9"/>
    <w:rsid w:val="001571E7"/>
    <w:rsid w:val="001571F0"/>
    <w:rsid w:val="0015733D"/>
    <w:rsid w:val="00157629"/>
    <w:rsid w:val="00157906"/>
    <w:rsid w:val="00157951"/>
    <w:rsid w:val="00157ABA"/>
    <w:rsid w:val="00157DC6"/>
    <w:rsid w:val="001600FB"/>
    <w:rsid w:val="0016073A"/>
    <w:rsid w:val="00160E34"/>
    <w:rsid w:val="00160E8B"/>
    <w:rsid w:val="001610AF"/>
    <w:rsid w:val="00161EFA"/>
    <w:rsid w:val="0016271E"/>
    <w:rsid w:val="001636E5"/>
    <w:rsid w:val="00163F12"/>
    <w:rsid w:val="00164320"/>
    <w:rsid w:val="0016443B"/>
    <w:rsid w:val="001648B3"/>
    <w:rsid w:val="00164AF0"/>
    <w:rsid w:val="00165003"/>
    <w:rsid w:val="001652D9"/>
    <w:rsid w:val="0016532E"/>
    <w:rsid w:val="001653A7"/>
    <w:rsid w:val="00165558"/>
    <w:rsid w:val="00165B3C"/>
    <w:rsid w:val="00165E6D"/>
    <w:rsid w:val="0016601A"/>
    <w:rsid w:val="00166264"/>
    <w:rsid w:val="0016639B"/>
    <w:rsid w:val="00166446"/>
    <w:rsid w:val="0016670E"/>
    <w:rsid w:val="001668E3"/>
    <w:rsid w:val="001669BE"/>
    <w:rsid w:val="00166CC2"/>
    <w:rsid w:val="00167303"/>
    <w:rsid w:val="00170A59"/>
    <w:rsid w:val="00170BBA"/>
    <w:rsid w:val="00170DAF"/>
    <w:rsid w:val="00171578"/>
    <w:rsid w:val="0017188B"/>
    <w:rsid w:val="00171A1D"/>
    <w:rsid w:val="0017225A"/>
    <w:rsid w:val="0017264F"/>
    <w:rsid w:val="001726BD"/>
    <w:rsid w:val="001727A3"/>
    <w:rsid w:val="00173037"/>
    <w:rsid w:val="00173176"/>
    <w:rsid w:val="001731F7"/>
    <w:rsid w:val="0017344D"/>
    <w:rsid w:val="00173523"/>
    <w:rsid w:val="00173BCB"/>
    <w:rsid w:val="00173C0E"/>
    <w:rsid w:val="00173C7A"/>
    <w:rsid w:val="00173FEB"/>
    <w:rsid w:val="00174180"/>
    <w:rsid w:val="00174D53"/>
    <w:rsid w:val="00175029"/>
    <w:rsid w:val="0017524E"/>
    <w:rsid w:val="0017527B"/>
    <w:rsid w:val="00176615"/>
    <w:rsid w:val="001768FD"/>
    <w:rsid w:val="00176C32"/>
    <w:rsid w:val="001770C6"/>
    <w:rsid w:val="00177462"/>
    <w:rsid w:val="001779BC"/>
    <w:rsid w:val="00177CDA"/>
    <w:rsid w:val="00177ED5"/>
    <w:rsid w:val="00180561"/>
    <w:rsid w:val="00180DD6"/>
    <w:rsid w:val="00181442"/>
    <w:rsid w:val="00181683"/>
    <w:rsid w:val="00181944"/>
    <w:rsid w:val="00181F41"/>
    <w:rsid w:val="00182623"/>
    <w:rsid w:val="00182C5E"/>
    <w:rsid w:val="00182F6A"/>
    <w:rsid w:val="0018368F"/>
    <w:rsid w:val="001836A5"/>
    <w:rsid w:val="001839E9"/>
    <w:rsid w:val="00183E7A"/>
    <w:rsid w:val="00184133"/>
    <w:rsid w:val="00184371"/>
    <w:rsid w:val="00184391"/>
    <w:rsid w:val="00184621"/>
    <w:rsid w:val="00184A61"/>
    <w:rsid w:val="0018500E"/>
    <w:rsid w:val="001861DB"/>
    <w:rsid w:val="00186718"/>
    <w:rsid w:val="0018675F"/>
    <w:rsid w:val="00186B37"/>
    <w:rsid w:val="00186D10"/>
    <w:rsid w:val="00187044"/>
    <w:rsid w:val="001871BE"/>
    <w:rsid w:val="00187282"/>
    <w:rsid w:val="00187DDD"/>
    <w:rsid w:val="00187F8D"/>
    <w:rsid w:val="001900F1"/>
    <w:rsid w:val="0019094C"/>
    <w:rsid w:val="0019115B"/>
    <w:rsid w:val="001911D7"/>
    <w:rsid w:val="00191DFF"/>
    <w:rsid w:val="001925CB"/>
    <w:rsid w:val="00192F36"/>
    <w:rsid w:val="00192FBA"/>
    <w:rsid w:val="00193331"/>
    <w:rsid w:val="00193742"/>
    <w:rsid w:val="001937D2"/>
    <w:rsid w:val="00193874"/>
    <w:rsid w:val="00194157"/>
    <w:rsid w:val="00194795"/>
    <w:rsid w:val="00194BA2"/>
    <w:rsid w:val="00194C25"/>
    <w:rsid w:val="0019543E"/>
    <w:rsid w:val="00195DD6"/>
    <w:rsid w:val="00195FEB"/>
    <w:rsid w:val="001963EC"/>
    <w:rsid w:val="00196574"/>
    <w:rsid w:val="001966C8"/>
    <w:rsid w:val="001971A0"/>
    <w:rsid w:val="00197326"/>
    <w:rsid w:val="001978B7"/>
    <w:rsid w:val="00197903"/>
    <w:rsid w:val="001A011A"/>
    <w:rsid w:val="001A0B14"/>
    <w:rsid w:val="001A189B"/>
    <w:rsid w:val="001A199D"/>
    <w:rsid w:val="001A1CDC"/>
    <w:rsid w:val="001A215B"/>
    <w:rsid w:val="001A228C"/>
    <w:rsid w:val="001A27FC"/>
    <w:rsid w:val="001A289D"/>
    <w:rsid w:val="001A30AA"/>
    <w:rsid w:val="001A3181"/>
    <w:rsid w:val="001A32C7"/>
    <w:rsid w:val="001A349C"/>
    <w:rsid w:val="001A3904"/>
    <w:rsid w:val="001A41D0"/>
    <w:rsid w:val="001A4B94"/>
    <w:rsid w:val="001A4C8F"/>
    <w:rsid w:val="001A4D0A"/>
    <w:rsid w:val="001A4D18"/>
    <w:rsid w:val="001A4EFB"/>
    <w:rsid w:val="001A588E"/>
    <w:rsid w:val="001A5C2A"/>
    <w:rsid w:val="001A665D"/>
    <w:rsid w:val="001A6CC0"/>
    <w:rsid w:val="001A6DEF"/>
    <w:rsid w:val="001A72F2"/>
    <w:rsid w:val="001A794C"/>
    <w:rsid w:val="001A79F7"/>
    <w:rsid w:val="001A7A00"/>
    <w:rsid w:val="001A7CB8"/>
    <w:rsid w:val="001B0128"/>
    <w:rsid w:val="001B0574"/>
    <w:rsid w:val="001B092B"/>
    <w:rsid w:val="001B0B94"/>
    <w:rsid w:val="001B0F8C"/>
    <w:rsid w:val="001B1B22"/>
    <w:rsid w:val="001B1C2C"/>
    <w:rsid w:val="001B1FD9"/>
    <w:rsid w:val="001B21B6"/>
    <w:rsid w:val="001B2D77"/>
    <w:rsid w:val="001B2DC3"/>
    <w:rsid w:val="001B2E5C"/>
    <w:rsid w:val="001B2EF1"/>
    <w:rsid w:val="001B36DC"/>
    <w:rsid w:val="001B38DF"/>
    <w:rsid w:val="001B39F3"/>
    <w:rsid w:val="001B40CE"/>
    <w:rsid w:val="001B46B6"/>
    <w:rsid w:val="001B4E71"/>
    <w:rsid w:val="001B557B"/>
    <w:rsid w:val="001B5F7D"/>
    <w:rsid w:val="001B6CE1"/>
    <w:rsid w:val="001B6F7C"/>
    <w:rsid w:val="001B7120"/>
    <w:rsid w:val="001B7590"/>
    <w:rsid w:val="001B7C6F"/>
    <w:rsid w:val="001C0209"/>
    <w:rsid w:val="001C0964"/>
    <w:rsid w:val="001C0A76"/>
    <w:rsid w:val="001C0D32"/>
    <w:rsid w:val="001C0D6A"/>
    <w:rsid w:val="001C1209"/>
    <w:rsid w:val="001C1B2C"/>
    <w:rsid w:val="001C1BC3"/>
    <w:rsid w:val="001C1D3F"/>
    <w:rsid w:val="001C1D41"/>
    <w:rsid w:val="001C1F65"/>
    <w:rsid w:val="001C2A07"/>
    <w:rsid w:val="001C3462"/>
    <w:rsid w:val="001C36DE"/>
    <w:rsid w:val="001C38E4"/>
    <w:rsid w:val="001C3DC6"/>
    <w:rsid w:val="001C4308"/>
    <w:rsid w:val="001C47EE"/>
    <w:rsid w:val="001C4C18"/>
    <w:rsid w:val="001C4D93"/>
    <w:rsid w:val="001C51E1"/>
    <w:rsid w:val="001C5297"/>
    <w:rsid w:val="001C52A9"/>
    <w:rsid w:val="001C5CBF"/>
    <w:rsid w:val="001C6116"/>
    <w:rsid w:val="001C66E1"/>
    <w:rsid w:val="001C7069"/>
    <w:rsid w:val="001C7166"/>
    <w:rsid w:val="001C77FE"/>
    <w:rsid w:val="001C79FC"/>
    <w:rsid w:val="001D05BE"/>
    <w:rsid w:val="001D0934"/>
    <w:rsid w:val="001D0CAF"/>
    <w:rsid w:val="001D1607"/>
    <w:rsid w:val="001D16BA"/>
    <w:rsid w:val="001D1D3C"/>
    <w:rsid w:val="001D2299"/>
    <w:rsid w:val="001D27DD"/>
    <w:rsid w:val="001D2CCD"/>
    <w:rsid w:val="001D2D40"/>
    <w:rsid w:val="001D33A3"/>
    <w:rsid w:val="001D35B1"/>
    <w:rsid w:val="001D3A37"/>
    <w:rsid w:val="001D3C18"/>
    <w:rsid w:val="001D3C89"/>
    <w:rsid w:val="001D421B"/>
    <w:rsid w:val="001D4563"/>
    <w:rsid w:val="001D4583"/>
    <w:rsid w:val="001D4923"/>
    <w:rsid w:val="001D58DB"/>
    <w:rsid w:val="001D5D0B"/>
    <w:rsid w:val="001D6C62"/>
    <w:rsid w:val="001D726E"/>
    <w:rsid w:val="001D75BA"/>
    <w:rsid w:val="001D7A35"/>
    <w:rsid w:val="001D7C5F"/>
    <w:rsid w:val="001D7D9F"/>
    <w:rsid w:val="001D7E3C"/>
    <w:rsid w:val="001D7E6E"/>
    <w:rsid w:val="001E054A"/>
    <w:rsid w:val="001E0697"/>
    <w:rsid w:val="001E07AD"/>
    <w:rsid w:val="001E08D2"/>
    <w:rsid w:val="001E0AA2"/>
    <w:rsid w:val="001E0EAC"/>
    <w:rsid w:val="001E1054"/>
    <w:rsid w:val="001E12B2"/>
    <w:rsid w:val="001E1351"/>
    <w:rsid w:val="001E1457"/>
    <w:rsid w:val="001E2583"/>
    <w:rsid w:val="001E2C6F"/>
    <w:rsid w:val="001E312C"/>
    <w:rsid w:val="001E4258"/>
    <w:rsid w:val="001E5658"/>
    <w:rsid w:val="001E5D42"/>
    <w:rsid w:val="001E5FB8"/>
    <w:rsid w:val="001E6D3B"/>
    <w:rsid w:val="001E6E59"/>
    <w:rsid w:val="001E7456"/>
    <w:rsid w:val="001F045D"/>
    <w:rsid w:val="001F0603"/>
    <w:rsid w:val="001F0C50"/>
    <w:rsid w:val="001F0D74"/>
    <w:rsid w:val="001F0DB6"/>
    <w:rsid w:val="001F1EF5"/>
    <w:rsid w:val="001F1F32"/>
    <w:rsid w:val="001F235F"/>
    <w:rsid w:val="001F250D"/>
    <w:rsid w:val="001F2A61"/>
    <w:rsid w:val="001F2ADD"/>
    <w:rsid w:val="001F2BBC"/>
    <w:rsid w:val="001F2DED"/>
    <w:rsid w:val="001F30BF"/>
    <w:rsid w:val="001F3224"/>
    <w:rsid w:val="001F3695"/>
    <w:rsid w:val="001F3B71"/>
    <w:rsid w:val="001F412C"/>
    <w:rsid w:val="001F4416"/>
    <w:rsid w:val="001F446C"/>
    <w:rsid w:val="001F4473"/>
    <w:rsid w:val="001F4588"/>
    <w:rsid w:val="001F45D4"/>
    <w:rsid w:val="001F4842"/>
    <w:rsid w:val="001F4E35"/>
    <w:rsid w:val="001F5742"/>
    <w:rsid w:val="001F59E8"/>
    <w:rsid w:val="001F66E4"/>
    <w:rsid w:val="001F6899"/>
    <w:rsid w:val="001F7140"/>
    <w:rsid w:val="001F7361"/>
    <w:rsid w:val="001F7B00"/>
    <w:rsid w:val="001F7CAF"/>
    <w:rsid w:val="001F7DE9"/>
    <w:rsid w:val="001F7F98"/>
    <w:rsid w:val="002000A9"/>
    <w:rsid w:val="002002C5"/>
    <w:rsid w:val="0020038E"/>
    <w:rsid w:val="0020056B"/>
    <w:rsid w:val="002006FA"/>
    <w:rsid w:val="0020084D"/>
    <w:rsid w:val="00201994"/>
    <w:rsid w:val="00201AEE"/>
    <w:rsid w:val="002027FB"/>
    <w:rsid w:val="0020280D"/>
    <w:rsid w:val="00203552"/>
    <w:rsid w:val="0020357B"/>
    <w:rsid w:val="002038C1"/>
    <w:rsid w:val="002039A5"/>
    <w:rsid w:val="00203D70"/>
    <w:rsid w:val="00203E28"/>
    <w:rsid w:val="00204F5D"/>
    <w:rsid w:val="00205224"/>
    <w:rsid w:val="0020550B"/>
    <w:rsid w:val="00205584"/>
    <w:rsid w:val="00205757"/>
    <w:rsid w:val="00205BB2"/>
    <w:rsid w:val="00206051"/>
    <w:rsid w:val="00206150"/>
    <w:rsid w:val="0020636D"/>
    <w:rsid w:val="00206375"/>
    <w:rsid w:val="00206584"/>
    <w:rsid w:val="00207357"/>
    <w:rsid w:val="00207481"/>
    <w:rsid w:val="0020777C"/>
    <w:rsid w:val="00207B03"/>
    <w:rsid w:val="00210104"/>
    <w:rsid w:val="002102A0"/>
    <w:rsid w:val="00210411"/>
    <w:rsid w:val="002104FB"/>
    <w:rsid w:val="0021052F"/>
    <w:rsid w:val="00210E9A"/>
    <w:rsid w:val="00211207"/>
    <w:rsid w:val="00211678"/>
    <w:rsid w:val="00211E95"/>
    <w:rsid w:val="00211F8E"/>
    <w:rsid w:val="00212457"/>
    <w:rsid w:val="002124D7"/>
    <w:rsid w:val="002125A4"/>
    <w:rsid w:val="0021280B"/>
    <w:rsid w:val="00212B65"/>
    <w:rsid w:val="002135EE"/>
    <w:rsid w:val="002135F1"/>
    <w:rsid w:val="00213A26"/>
    <w:rsid w:val="00213AA3"/>
    <w:rsid w:val="00213B3B"/>
    <w:rsid w:val="002147E6"/>
    <w:rsid w:val="002149B3"/>
    <w:rsid w:val="00214CA7"/>
    <w:rsid w:val="002153F2"/>
    <w:rsid w:val="00215C54"/>
    <w:rsid w:val="00215F9A"/>
    <w:rsid w:val="002163C8"/>
    <w:rsid w:val="00216426"/>
    <w:rsid w:val="002165AD"/>
    <w:rsid w:val="002167F1"/>
    <w:rsid w:val="002171D3"/>
    <w:rsid w:val="0021723E"/>
    <w:rsid w:val="00217549"/>
    <w:rsid w:val="00217E0C"/>
    <w:rsid w:val="0022028B"/>
    <w:rsid w:val="0022094D"/>
    <w:rsid w:val="00220C58"/>
    <w:rsid w:val="00220F0B"/>
    <w:rsid w:val="00220F73"/>
    <w:rsid w:val="002212FA"/>
    <w:rsid w:val="002215FC"/>
    <w:rsid w:val="00221632"/>
    <w:rsid w:val="0022180F"/>
    <w:rsid w:val="00221E40"/>
    <w:rsid w:val="00221FD6"/>
    <w:rsid w:val="00223029"/>
    <w:rsid w:val="00223250"/>
    <w:rsid w:val="0022325B"/>
    <w:rsid w:val="0022384B"/>
    <w:rsid w:val="00223884"/>
    <w:rsid w:val="00223936"/>
    <w:rsid w:val="00223A60"/>
    <w:rsid w:val="00223D40"/>
    <w:rsid w:val="00223E2B"/>
    <w:rsid w:val="0022503D"/>
    <w:rsid w:val="00225109"/>
    <w:rsid w:val="002252D2"/>
    <w:rsid w:val="002253C7"/>
    <w:rsid w:val="002256CD"/>
    <w:rsid w:val="00225806"/>
    <w:rsid w:val="002262CF"/>
    <w:rsid w:val="00226516"/>
    <w:rsid w:val="0022698D"/>
    <w:rsid w:val="00226BC2"/>
    <w:rsid w:val="00226CB2"/>
    <w:rsid w:val="002274F1"/>
    <w:rsid w:val="0023153A"/>
    <w:rsid w:val="002316F1"/>
    <w:rsid w:val="00231AE8"/>
    <w:rsid w:val="00231B6C"/>
    <w:rsid w:val="00232534"/>
    <w:rsid w:val="00232DA1"/>
    <w:rsid w:val="0023359B"/>
    <w:rsid w:val="00233AD1"/>
    <w:rsid w:val="00233E65"/>
    <w:rsid w:val="0023454C"/>
    <w:rsid w:val="00234B59"/>
    <w:rsid w:val="0023509E"/>
    <w:rsid w:val="002356D6"/>
    <w:rsid w:val="00235E7F"/>
    <w:rsid w:val="002363E7"/>
    <w:rsid w:val="0023642B"/>
    <w:rsid w:val="002368C8"/>
    <w:rsid w:val="0023733C"/>
    <w:rsid w:val="002379A9"/>
    <w:rsid w:val="002379E9"/>
    <w:rsid w:val="00237BC6"/>
    <w:rsid w:val="00237C89"/>
    <w:rsid w:val="00237E81"/>
    <w:rsid w:val="0024089E"/>
    <w:rsid w:val="00240F89"/>
    <w:rsid w:val="002418E5"/>
    <w:rsid w:val="00241C4A"/>
    <w:rsid w:val="00241CA3"/>
    <w:rsid w:val="00242229"/>
    <w:rsid w:val="00242256"/>
    <w:rsid w:val="00242541"/>
    <w:rsid w:val="00242935"/>
    <w:rsid w:val="002429E5"/>
    <w:rsid w:val="00242B78"/>
    <w:rsid w:val="00242E72"/>
    <w:rsid w:val="002439D2"/>
    <w:rsid w:val="00243B68"/>
    <w:rsid w:val="002449A8"/>
    <w:rsid w:val="00244C79"/>
    <w:rsid w:val="00245787"/>
    <w:rsid w:val="00245C0E"/>
    <w:rsid w:val="002464E2"/>
    <w:rsid w:val="00246AA5"/>
    <w:rsid w:val="00246B5E"/>
    <w:rsid w:val="002471EA"/>
    <w:rsid w:val="002474C1"/>
    <w:rsid w:val="00247BAE"/>
    <w:rsid w:val="00247D8E"/>
    <w:rsid w:val="00247F68"/>
    <w:rsid w:val="00250A5D"/>
    <w:rsid w:val="002512AA"/>
    <w:rsid w:val="0025142D"/>
    <w:rsid w:val="002514A8"/>
    <w:rsid w:val="00251525"/>
    <w:rsid w:val="00251879"/>
    <w:rsid w:val="00251F30"/>
    <w:rsid w:val="00252D4F"/>
    <w:rsid w:val="00253374"/>
    <w:rsid w:val="00253CE7"/>
    <w:rsid w:val="0025434D"/>
    <w:rsid w:val="00254765"/>
    <w:rsid w:val="00254C42"/>
    <w:rsid w:val="00254E1C"/>
    <w:rsid w:val="0025513A"/>
    <w:rsid w:val="002556A0"/>
    <w:rsid w:val="00255940"/>
    <w:rsid w:val="00256111"/>
    <w:rsid w:val="00256510"/>
    <w:rsid w:val="0025663C"/>
    <w:rsid w:val="0025697F"/>
    <w:rsid w:val="002572F4"/>
    <w:rsid w:val="0025731A"/>
    <w:rsid w:val="00260981"/>
    <w:rsid w:val="00260D88"/>
    <w:rsid w:val="00260EA3"/>
    <w:rsid w:val="0026132C"/>
    <w:rsid w:val="00261E1D"/>
    <w:rsid w:val="00261F8F"/>
    <w:rsid w:val="002621EE"/>
    <w:rsid w:val="00262898"/>
    <w:rsid w:val="00262E26"/>
    <w:rsid w:val="002638C2"/>
    <w:rsid w:val="00263964"/>
    <w:rsid w:val="00263E78"/>
    <w:rsid w:val="002641C7"/>
    <w:rsid w:val="00264514"/>
    <w:rsid w:val="00264662"/>
    <w:rsid w:val="00264672"/>
    <w:rsid w:val="00264A0F"/>
    <w:rsid w:val="00264A34"/>
    <w:rsid w:val="002651EC"/>
    <w:rsid w:val="002653FC"/>
    <w:rsid w:val="002656B0"/>
    <w:rsid w:val="00266FE4"/>
    <w:rsid w:val="00267430"/>
    <w:rsid w:val="002676EF"/>
    <w:rsid w:val="0027012B"/>
    <w:rsid w:val="002702C1"/>
    <w:rsid w:val="00270682"/>
    <w:rsid w:val="0027070C"/>
    <w:rsid w:val="00270924"/>
    <w:rsid w:val="002709C9"/>
    <w:rsid w:val="002709CA"/>
    <w:rsid w:val="00270C11"/>
    <w:rsid w:val="00270C7E"/>
    <w:rsid w:val="00270F5F"/>
    <w:rsid w:val="00271197"/>
    <w:rsid w:val="002716D1"/>
    <w:rsid w:val="00271748"/>
    <w:rsid w:val="0027176B"/>
    <w:rsid w:val="00271B83"/>
    <w:rsid w:val="00272120"/>
    <w:rsid w:val="0027274C"/>
    <w:rsid w:val="00272AE4"/>
    <w:rsid w:val="00272B7D"/>
    <w:rsid w:val="00272F74"/>
    <w:rsid w:val="002730C3"/>
    <w:rsid w:val="00273228"/>
    <w:rsid w:val="002736EF"/>
    <w:rsid w:val="002737A7"/>
    <w:rsid w:val="00273B02"/>
    <w:rsid w:val="00273CF8"/>
    <w:rsid w:val="00274100"/>
    <w:rsid w:val="002743DB"/>
    <w:rsid w:val="002748C8"/>
    <w:rsid w:val="00275058"/>
    <w:rsid w:val="002756E7"/>
    <w:rsid w:val="0027577E"/>
    <w:rsid w:val="00276B99"/>
    <w:rsid w:val="00276BAE"/>
    <w:rsid w:val="00276C6E"/>
    <w:rsid w:val="00276C89"/>
    <w:rsid w:val="00277182"/>
    <w:rsid w:val="002771D5"/>
    <w:rsid w:val="00280384"/>
    <w:rsid w:val="002803F9"/>
    <w:rsid w:val="00280786"/>
    <w:rsid w:val="002809C4"/>
    <w:rsid w:val="00280B5E"/>
    <w:rsid w:val="0028147E"/>
    <w:rsid w:val="00281F90"/>
    <w:rsid w:val="00282822"/>
    <w:rsid w:val="00282974"/>
    <w:rsid w:val="00282A6A"/>
    <w:rsid w:val="00282C68"/>
    <w:rsid w:val="00282CC6"/>
    <w:rsid w:val="00282CE4"/>
    <w:rsid w:val="00282D54"/>
    <w:rsid w:val="00282E60"/>
    <w:rsid w:val="002832C1"/>
    <w:rsid w:val="002840F9"/>
    <w:rsid w:val="0028449B"/>
    <w:rsid w:val="00284818"/>
    <w:rsid w:val="00284975"/>
    <w:rsid w:val="00284F9E"/>
    <w:rsid w:val="002855B1"/>
    <w:rsid w:val="00285BA0"/>
    <w:rsid w:val="00285DCF"/>
    <w:rsid w:val="002862A9"/>
    <w:rsid w:val="0028650B"/>
    <w:rsid w:val="0028670D"/>
    <w:rsid w:val="00287658"/>
    <w:rsid w:val="00287B23"/>
    <w:rsid w:val="00287CB4"/>
    <w:rsid w:val="00290041"/>
    <w:rsid w:val="002900B4"/>
    <w:rsid w:val="00290359"/>
    <w:rsid w:val="002908E2"/>
    <w:rsid w:val="0029120E"/>
    <w:rsid w:val="002917F8"/>
    <w:rsid w:val="00291940"/>
    <w:rsid w:val="00291E79"/>
    <w:rsid w:val="002921B0"/>
    <w:rsid w:val="00292374"/>
    <w:rsid w:val="0029278B"/>
    <w:rsid w:val="002929CF"/>
    <w:rsid w:val="00292B8D"/>
    <w:rsid w:val="002930EA"/>
    <w:rsid w:val="002933AA"/>
    <w:rsid w:val="00293671"/>
    <w:rsid w:val="00293715"/>
    <w:rsid w:val="002942F5"/>
    <w:rsid w:val="00294529"/>
    <w:rsid w:val="00294766"/>
    <w:rsid w:val="00294BD5"/>
    <w:rsid w:val="00294C9C"/>
    <w:rsid w:val="00295517"/>
    <w:rsid w:val="00295566"/>
    <w:rsid w:val="00295899"/>
    <w:rsid w:val="00295FCA"/>
    <w:rsid w:val="00296837"/>
    <w:rsid w:val="00296C69"/>
    <w:rsid w:val="0029795B"/>
    <w:rsid w:val="00297A5A"/>
    <w:rsid w:val="002A004F"/>
    <w:rsid w:val="002A0841"/>
    <w:rsid w:val="002A0A52"/>
    <w:rsid w:val="002A0FA2"/>
    <w:rsid w:val="002A1059"/>
    <w:rsid w:val="002A10E0"/>
    <w:rsid w:val="002A142C"/>
    <w:rsid w:val="002A1792"/>
    <w:rsid w:val="002A1E7C"/>
    <w:rsid w:val="002A222E"/>
    <w:rsid w:val="002A3493"/>
    <w:rsid w:val="002A38E2"/>
    <w:rsid w:val="002A3BA8"/>
    <w:rsid w:val="002A3D51"/>
    <w:rsid w:val="002A3D6F"/>
    <w:rsid w:val="002A46AD"/>
    <w:rsid w:val="002A4D1D"/>
    <w:rsid w:val="002A5159"/>
    <w:rsid w:val="002A5257"/>
    <w:rsid w:val="002A530F"/>
    <w:rsid w:val="002A55DA"/>
    <w:rsid w:val="002A573B"/>
    <w:rsid w:val="002A5D41"/>
    <w:rsid w:val="002A5DE8"/>
    <w:rsid w:val="002A61B2"/>
    <w:rsid w:val="002A6C87"/>
    <w:rsid w:val="002A71BE"/>
    <w:rsid w:val="002A7237"/>
    <w:rsid w:val="002A72A0"/>
    <w:rsid w:val="002A76F2"/>
    <w:rsid w:val="002A7774"/>
    <w:rsid w:val="002A7D79"/>
    <w:rsid w:val="002B0AB0"/>
    <w:rsid w:val="002B0AB9"/>
    <w:rsid w:val="002B0D4F"/>
    <w:rsid w:val="002B15A3"/>
    <w:rsid w:val="002B1BEA"/>
    <w:rsid w:val="002B1E49"/>
    <w:rsid w:val="002B25D9"/>
    <w:rsid w:val="002B2836"/>
    <w:rsid w:val="002B32E7"/>
    <w:rsid w:val="002B35EE"/>
    <w:rsid w:val="002B3D4A"/>
    <w:rsid w:val="002B3F69"/>
    <w:rsid w:val="002B4288"/>
    <w:rsid w:val="002B47EA"/>
    <w:rsid w:val="002B4A3A"/>
    <w:rsid w:val="002B5024"/>
    <w:rsid w:val="002B5411"/>
    <w:rsid w:val="002B62DD"/>
    <w:rsid w:val="002B6D7C"/>
    <w:rsid w:val="002B7391"/>
    <w:rsid w:val="002B7C06"/>
    <w:rsid w:val="002C07FB"/>
    <w:rsid w:val="002C0B9C"/>
    <w:rsid w:val="002C0D5A"/>
    <w:rsid w:val="002C1023"/>
    <w:rsid w:val="002C1372"/>
    <w:rsid w:val="002C15B3"/>
    <w:rsid w:val="002C2DDC"/>
    <w:rsid w:val="002C3404"/>
    <w:rsid w:val="002C3C3B"/>
    <w:rsid w:val="002C42B5"/>
    <w:rsid w:val="002C4358"/>
    <w:rsid w:val="002C4477"/>
    <w:rsid w:val="002C4AD1"/>
    <w:rsid w:val="002C4DA9"/>
    <w:rsid w:val="002C4F7B"/>
    <w:rsid w:val="002C4FCB"/>
    <w:rsid w:val="002C5541"/>
    <w:rsid w:val="002C57BA"/>
    <w:rsid w:val="002C5F35"/>
    <w:rsid w:val="002C5F83"/>
    <w:rsid w:val="002C6227"/>
    <w:rsid w:val="002C63ED"/>
    <w:rsid w:val="002C6857"/>
    <w:rsid w:val="002C72B3"/>
    <w:rsid w:val="002C7C18"/>
    <w:rsid w:val="002C7FDD"/>
    <w:rsid w:val="002D013D"/>
    <w:rsid w:val="002D0157"/>
    <w:rsid w:val="002D0399"/>
    <w:rsid w:val="002D125C"/>
    <w:rsid w:val="002D1A9A"/>
    <w:rsid w:val="002D1B8D"/>
    <w:rsid w:val="002D2F2D"/>
    <w:rsid w:val="002D312B"/>
    <w:rsid w:val="002D340B"/>
    <w:rsid w:val="002D35BA"/>
    <w:rsid w:val="002D36E9"/>
    <w:rsid w:val="002D42D7"/>
    <w:rsid w:val="002D4CC1"/>
    <w:rsid w:val="002D4D69"/>
    <w:rsid w:val="002D5206"/>
    <w:rsid w:val="002D5EA4"/>
    <w:rsid w:val="002D5F98"/>
    <w:rsid w:val="002D6088"/>
    <w:rsid w:val="002D60A4"/>
    <w:rsid w:val="002D66D6"/>
    <w:rsid w:val="002D6A05"/>
    <w:rsid w:val="002D6BE5"/>
    <w:rsid w:val="002D6D64"/>
    <w:rsid w:val="002D7AC6"/>
    <w:rsid w:val="002D7AD5"/>
    <w:rsid w:val="002E0473"/>
    <w:rsid w:val="002E05B7"/>
    <w:rsid w:val="002E0DA0"/>
    <w:rsid w:val="002E0DC8"/>
    <w:rsid w:val="002E0E7A"/>
    <w:rsid w:val="002E0EA9"/>
    <w:rsid w:val="002E176F"/>
    <w:rsid w:val="002E1C78"/>
    <w:rsid w:val="002E1CB2"/>
    <w:rsid w:val="002E1FCF"/>
    <w:rsid w:val="002E24EB"/>
    <w:rsid w:val="002E2718"/>
    <w:rsid w:val="002E27F7"/>
    <w:rsid w:val="002E2DCD"/>
    <w:rsid w:val="002E2FA8"/>
    <w:rsid w:val="002E36B7"/>
    <w:rsid w:val="002E3DBF"/>
    <w:rsid w:val="002E3E02"/>
    <w:rsid w:val="002E4100"/>
    <w:rsid w:val="002E41FF"/>
    <w:rsid w:val="002E46E2"/>
    <w:rsid w:val="002E4794"/>
    <w:rsid w:val="002E4CA7"/>
    <w:rsid w:val="002E4E3F"/>
    <w:rsid w:val="002E523E"/>
    <w:rsid w:val="002E55F9"/>
    <w:rsid w:val="002E5AC8"/>
    <w:rsid w:val="002E5B8A"/>
    <w:rsid w:val="002E6737"/>
    <w:rsid w:val="002E6DE5"/>
    <w:rsid w:val="002E75FF"/>
    <w:rsid w:val="002E77D4"/>
    <w:rsid w:val="002F092C"/>
    <w:rsid w:val="002F1844"/>
    <w:rsid w:val="002F1C31"/>
    <w:rsid w:val="002F2192"/>
    <w:rsid w:val="002F23E5"/>
    <w:rsid w:val="002F2718"/>
    <w:rsid w:val="002F282B"/>
    <w:rsid w:val="002F2D15"/>
    <w:rsid w:val="002F4154"/>
    <w:rsid w:val="002F47BD"/>
    <w:rsid w:val="002F562B"/>
    <w:rsid w:val="002F5A67"/>
    <w:rsid w:val="002F5DB8"/>
    <w:rsid w:val="002F5FB0"/>
    <w:rsid w:val="002F63A9"/>
    <w:rsid w:val="002F673D"/>
    <w:rsid w:val="002F6873"/>
    <w:rsid w:val="002F6CB3"/>
    <w:rsid w:val="002F70BB"/>
    <w:rsid w:val="002F7F4F"/>
    <w:rsid w:val="00300004"/>
    <w:rsid w:val="00300283"/>
    <w:rsid w:val="00300C77"/>
    <w:rsid w:val="00300D64"/>
    <w:rsid w:val="0030164D"/>
    <w:rsid w:val="003018F9"/>
    <w:rsid w:val="00301B17"/>
    <w:rsid w:val="00302333"/>
    <w:rsid w:val="003027A0"/>
    <w:rsid w:val="00303A7E"/>
    <w:rsid w:val="00303FC9"/>
    <w:rsid w:val="0030405B"/>
    <w:rsid w:val="0030421A"/>
    <w:rsid w:val="0030490E"/>
    <w:rsid w:val="00304A4E"/>
    <w:rsid w:val="00304B5E"/>
    <w:rsid w:val="00305A9C"/>
    <w:rsid w:val="00305ABE"/>
    <w:rsid w:val="00305C77"/>
    <w:rsid w:val="00305CD5"/>
    <w:rsid w:val="00307448"/>
    <w:rsid w:val="00307C8A"/>
    <w:rsid w:val="00310096"/>
    <w:rsid w:val="00310A87"/>
    <w:rsid w:val="00310D5D"/>
    <w:rsid w:val="00310E00"/>
    <w:rsid w:val="00310E56"/>
    <w:rsid w:val="0031231B"/>
    <w:rsid w:val="003127F5"/>
    <w:rsid w:val="003128E1"/>
    <w:rsid w:val="00312A51"/>
    <w:rsid w:val="00313601"/>
    <w:rsid w:val="00313D7F"/>
    <w:rsid w:val="00314D81"/>
    <w:rsid w:val="00314F05"/>
    <w:rsid w:val="00315376"/>
    <w:rsid w:val="00315690"/>
    <w:rsid w:val="00316F4F"/>
    <w:rsid w:val="0031762F"/>
    <w:rsid w:val="0031799A"/>
    <w:rsid w:val="0032023E"/>
    <w:rsid w:val="00320279"/>
    <w:rsid w:val="0032030E"/>
    <w:rsid w:val="00320472"/>
    <w:rsid w:val="00320B4B"/>
    <w:rsid w:val="00320CEA"/>
    <w:rsid w:val="00320FE6"/>
    <w:rsid w:val="003210B0"/>
    <w:rsid w:val="00321454"/>
    <w:rsid w:val="003215B7"/>
    <w:rsid w:val="003218B1"/>
    <w:rsid w:val="00321D92"/>
    <w:rsid w:val="00321EB3"/>
    <w:rsid w:val="00322C22"/>
    <w:rsid w:val="00322DED"/>
    <w:rsid w:val="0032362B"/>
    <w:rsid w:val="003237BA"/>
    <w:rsid w:val="00323B67"/>
    <w:rsid w:val="00323D1C"/>
    <w:rsid w:val="00323F9E"/>
    <w:rsid w:val="00324171"/>
    <w:rsid w:val="00324715"/>
    <w:rsid w:val="003252E1"/>
    <w:rsid w:val="00325B55"/>
    <w:rsid w:val="003261C8"/>
    <w:rsid w:val="0032622C"/>
    <w:rsid w:val="0032680C"/>
    <w:rsid w:val="00326986"/>
    <w:rsid w:val="00330E3C"/>
    <w:rsid w:val="00331099"/>
    <w:rsid w:val="00331672"/>
    <w:rsid w:val="0033186D"/>
    <w:rsid w:val="00332048"/>
    <w:rsid w:val="00332A3E"/>
    <w:rsid w:val="00332CC5"/>
    <w:rsid w:val="0033301D"/>
    <w:rsid w:val="00333BB8"/>
    <w:rsid w:val="00333EB2"/>
    <w:rsid w:val="00333F6E"/>
    <w:rsid w:val="00334342"/>
    <w:rsid w:val="003343DA"/>
    <w:rsid w:val="0033467C"/>
    <w:rsid w:val="00334B68"/>
    <w:rsid w:val="00334B73"/>
    <w:rsid w:val="00334BD2"/>
    <w:rsid w:val="00334C3B"/>
    <w:rsid w:val="00334D91"/>
    <w:rsid w:val="00335024"/>
    <w:rsid w:val="00335A15"/>
    <w:rsid w:val="00336829"/>
    <w:rsid w:val="00336F76"/>
    <w:rsid w:val="00337030"/>
    <w:rsid w:val="003375F5"/>
    <w:rsid w:val="00337F2C"/>
    <w:rsid w:val="00337F43"/>
    <w:rsid w:val="003400B2"/>
    <w:rsid w:val="003401A9"/>
    <w:rsid w:val="00340828"/>
    <w:rsid w:val="00340B8B"/>
    <w:rsid w:val="00340EC4"/>
    <w:rsid w:val="003412FC"/>
    <w:rsid w:val="00341678"/>
    <w:rsid w:val="00341717"/>
    <w:rsid w:val="003418FF"/>
    <w:rsid w:val="00341E86"/>
    <w:rsid w:val="003427EC"/>
    <w:rsid w:val="00342AA5"/>
    <w:rsid w:val="00342C2D"/>
    <w:rsid w:val="00342C68"/>
    <w:rsid w:val="00343256"/>
    <w:rsid w:val="00343596"/>
    <w:rsid w:val="003435B9"/>
    <w:rsid w:val="003435F1"/>
    <w:rsid w:val="0034365E"/>
    <w:rsid w:val="00343822"/>
    <w:rsid w:val="00343AD6"/>
    <w:rsid w:val="0034429B"/>
    <w:rsid w:val="00344427"/>
    <w:rsid w:val="00344AEB"/>
    <w:rsid w:val="00344F90"/>
    <w:rsid w:val="0034513C"/>
    <w:rsid w:val="00345717"/>
    <w:rsid w:val="003461EE"/>
    <w:rsid w:val="0034657F"/>
    <w:rsid w:val="00346C12"/>
    <w:rsid w:val="00346E3A"/>
    <w:rsid w:val="00346EF4"/>
    <w:rsid w:val="00346FC8"/>
    <w:rsid w:val="0034716C"/>
    <w:rsid w:val="00347454"/>
    <w:rsid w:val="00347984"/>
    <w:rsid w:val="003479A6"/>
    <w:rsid w:val="0035052F"/>
    <w:rsid w:val="00350755"/>
    <w:rsid w:val="0035086B"/>
    <w:rsid w:val="003508A9"/>
    <w:rsid w:val="0035095A"/>
    <w:rsid w:val="00350F5A"/>
    <w:rsid w:val="0035138D"/>
    <w:rsid w:val="0035189B"/>
    <w:rsid w:val="00351AB8"/>
    <w:rsid w:val="00351C2F"/>
    <w:rsid w:val="00351DE5"/>
    <w:rsid w:val="00351DF7"/>
    <w:rsid w:val="00351EAC"/>
    <w:rsid w:val="00351F2F"/>
    <w:rsid w:val="003520F2"/>
    <w:rsid w:val="00352703"/>
    <w:rsid w:val="0035272A"/>
    <w:rsid w:val="003536D2"/>
    <w:rsid w:val="00353E50"/>
    <w:rsid w:val="00353FEE"/>
    <w:rsid w:val="00354027"/>
    <w:rsid w:val="00354B17"/>
    <w:rsid w:val="00354BE1"/>
    <w:rsid w:val="00354EE8"/>
    <w:rsid w:val="00355A47"/>
    <w:rsid w:val="00355C62"/>
    <w:rsid w:val="00355CBB"/>
    <w:rsid w:val="00356127"/>
    <w:rsid w:val="003568A9"/>
    <w:rsid w:val="003569E6"/>
    <w:rsid w:val="00356BE6"/>
    <w:rsid w:val="00357531"/>
    <w:rsid w:val="00357B33"/>
    <w:rsid w:val="0036010B"/>
    <w:rsid w:val="003605A8"/>
    <w:rsid w:val="00360BED"/>
    <w:rsid w:val="00360DFE"/>
    <w:rsid w:val="00360EB9"/>
    <w:rsid w:val="00360F4A"/>
    <w:rsid w:val="00361345"/>
    <w:rsid w:val="00361807"/>
    <w:rsid w:val="00361B89"/>
    <w:rsid w:val="0036276B"/>
    <w:rsid w:val="00362781"/>
    <w:rsid w:val="003633E4"/>
    <w:rsid w:val="00363809"/>
    <w:rsid w:val="00364290"/>
    <w:rsid w:val="003642FC"/>
    <w:rsid w:val="0036460A"/>
    <w:rsid w:val="00364700"/>
    <w:rsid w:val="0036474D"/>
    <w:rsid w:val="00364A62"/>
    <w:rsid w:val="00364A97"/>
    <w:rsid w:val="00364CAA"/>
    <w:rsid w:val="00365885"/>
    <w:rsid w:val="00365DE1"/>
    <w:rsid w:val="00365E60"/>
    <w:rsid w:val="0036610F"/>
    <w:rsid w:val="003669F4"/>
    <w:rsid w:val="00366E8D"/>
    <w:rsid w:val="00366EEE"/>
    <w:rsid w:val="00367218"/>
    <w:rsid w:val="00370384"/>
    <w:rsid w:val="00370461"/>
    <w:rsid w:val="0037051E"/>
    <w:rsid w:val="00370AC0"/>
    <w:rsid w:val="0037131F"/>
    <w:rsid w:val="0037165E"/>
    <w:rsid w:val="0037245E"/>
    <w:rsid w:val="003729D1"/>
    <w:rsid w:val="00372E27"/>
    <w:rsid w:val="00373206"/>
    <w:rsid w:val="003736F7"/>
    <w:rsid w:val="00373F94"/>
    <w:rsid w:val="00374449"/>
    <w:rsid w:val="00374B2F"/>
    <w:rsid w:val="00374BD9"/>
    <w:rsid w:val="00374E75"/>
    <w:rsid w:val="0037504E"/>
    <w:rsid w:val="003752F8"/>
    <w:rsid w:val="00376385"/>
    <w:rsid w:val="003767D9"/>
    <w:rsid w:val="0037684D"/>
    <w:rsid w:val="00376A25"/>
    <w:rsid w:val="00377988"/>
    <w:rsid w:val="00377E31"/>
    <w:rsid w:val="00380EC9"/>
    <w:rsid w:val="00380F31"/>
    <w:rsid w:val="00380FE9"/>
    <w:rsid w:val="00381155"/>
    <w:rsid w:val="003815F6"/>
    <w:rsid w:val="00381B75"/>
    <w:rsid w:val="00381DA0"/>
    <w:rsid w:val="00381F10"/>
    <w:rsid w:val="0038204C"/>
    <w:rsid w:val="0038231E"/>
    <w:rsid w:val="00382E89"/>
    <w:rsid w:val="00383382"/>
    <w:rsid w:val="0038384A"/>
    <w:rsid w:val="0038386F"/>
    <w:rsid w:val="0038435E"/>
    <w:rsid w:val="00384B1E"/>
    <w:rsid w:val="003858C4"/>
    <w:rsid w:val="00385D89"/>
    <w:rsid w:val="00385E18"/>
    <w:rsid w:val="0038738E"/>
    <w:rsid w:val="00387A88"/>
    <w:rsid w:val="00390313"/>
    <w:rsid w:val="00390877"/>
    <w:rsid w:val="00390A8C"/>
    <w:rsid w:val="00390B56"/>
    <w:rsid w:val="00390E21"/>
    <w:rsid w:val="00391928"/>
    <w:rsid w:val="00391B39"/>
    <w:rsid w:val="00391E4B"/>
    <w:rsid w:val="003929E7"/>
    <w:rsid w:val="00392BCA"/>
    <w:rsid w:val="00392D2A"/>
    <w:rsid w:val="00392DB7"/>
    <w:rsid w:val="0039342A"/>
    <w:rsid w:val="003937C9"/>
    <w:rsid w:val="00393ED4"/>
    <w:rsid w:val="003944CB"/>
    <w:rsid w:val="00394685"/>
    <w:rsid w:val="003951CA"/>
    <w:rsid w:val="003952AE"/>
    <w:rsid w:val="003957A5"/>
    <w:rsid w:val="003959C5"/>
    <w:rsid w:val="00395B50"/>
    <w:rsid w:val="003960CD"/>
    <w:rsid w:val="00396141"/>
    <w:rsid w:val="00396DB9"/>
    <w:rsid w:val="00397070"/>
    <w:rsid w:val="003974AE"/>
    <w:rsid w:val="00397992"/>
    <w:rsid w:val="00397A01"/>
    <w:rsid w:val="00397CF4"/>
    <w:rsid w:val="00397D72"/>
    <w:rsid w:val="00397DE0"/>
    <w:rsid w:val="003A01C6"/>
    <w:rsid w:val="003A03E8"/>
    <w:rsid w:val="003A0CCD"/>
    <w:rsid w:val="003A0DEC"/>
    <w:rsid w:val="003A169B"/>
    <w:rsid w:val="003A1914"/>
    <w:rsid w:val="003A1A84"/>
    <w:rsid w:val="003A1E28"/>
    <w:rsid w:val="003A20B6"/>
    <w:rsid w:val="003A21FC"/>
    <w:rsid w:val="003A22CC"/>
    <w:rsid w:val="003A239A"/>
    <w:rsid w:val="003A26FE"/>
    <w:rsid w:val="003A37B4"/>
    <w:rsid w:val="003A3E8E"/>
    <w:rsid w:val="003A51E0"/>
    <w:rsid w:val="003A58B4"/>
    <w:rsid w:val="003A5BAE"/>
    <w:rsid w:val="003A60FC"/>
    <w:rsid w:val="003A6D9C"/>
    <w:rsid w:val="003A6FFF"/>
    <w:rsid w:val="003A7558"/>
    <w:rsid w:val="003A76F0"/>
    <w:rsid w:val="003B0448"/>
    <w:rsid w:val="003B050D"/>
    <w:rsid w:val="003B05CA"/>
    <w:rsid w:val="003B096F"/>
    <w:rsid w:val="003B1989"/>
    <w:rsid w:val="003B1CB5"/>
    <w:rsid w:val="003B1E54"/>
    <w:rsid w:val="003B277C"/>
    <w:rsid w:val="003B2A3E"/>
    <w:rsid w:val="003B2A7B"/>
    <w:rsid w:val="003B2E44"/>
    <w:rsid w:val="003B3BC3"/>
    <w:rsid w:val="003B3F84"/>
    <w:rsid w:val="003B4048"/>
    <w:rsid w:val="003B47AF"/>
    <w:rsid w:val="003B497B"/>
    <w:rsid w:val="003B4AD3"/>
    <w:rsid w:val="003B4B86"/>
    <w:rsid w:val="003B508B"/>
    <w:rsid w:val="003B55CB"/>
    <w:rsid w:val="003B60A0"/>
    <w:rsid w:val="003B639C"/>
    <w:rsid w:val="003B6570"/>
    <w:rsid w:val="003B6929"/>
    <w:rsid w:val="003B795C"/>
    <w:rsid w:val="003B7DC0"/>
    <w:rsid w:val="003C0399"/>
    <w:rsid w:val="003C071F"/>
    <w:rsid w:val="003C12DD"/>
    <w:rsid w:val="003C13C7"/>
    <w:rsid w:val="003C28C9"/>
    <w:rsid w:val="003C2AF9"/>
    <w:rsid w:val="003C2D69"/>
    <w:rsid w:val="003C318B"/>
    <w:rsid w:val="003C32E3"/>
    <w:rsid w:val="003C34BF"/>
    <w:rsid w:val="003C433A"/>
    <w:rsid w:val="003C4CDB"/>
    <w:rsid w:val="003C5B5D"/>
    <w:rsid w:val="003C5F88"/>
    <w:rsid w:val="003C64C0"/>
    <w:rsid w:val="003C7897"/>
    <w:rsid w:val="003C796E"/>
    <w:rsid w:val="003C7B93"/>
    <w:rsid w:val="003D0221"/>
    <w:rsid w:val="003D0A72"/>
    <w:rsid w:val="003D0DB9"/>
    <w:rsid w:val="003D138D"/>
    <w:rsid w:val="003D1519"/>
    <w:rsid w:val="003D1937"/>
    <w:rsid w:val="003D1B35"/>
    <w:rsid w:val="003D1BB3"/>
    <w:rsid w:val="003D2182"/>
    <w:rsid w:val="003D2733"/>
    <w:rsid w:val="003D28C7"/>
    <w:rsid w:val="003D2AA6"/>
    <w:rsid w:val="003D2CBE"/>
    <w:rsid w:val="003D2CDE"/>
    <w:rsid w:val="003D3341"/>
    <w:rsid w:val="003D33BE"/>
    <w:rsid w:val="003D3A17"/>
    <w:rsid w:val="003D4179"/>
    <w:rsid w:val="003D4480"/>
    <w:rsid w:val="003D44F0"/>
    <w:rsid w:val="003D48FC"/>
    <w:rsid w:val="003D49D0"/>
    <w:rsid w:val="003D4AEC"/>
    <w:rsid w:val="003D4D3F"/>
    <w:rsid w:val="003D545A"/>
    <w:rsid w:val="003D5681"/>
    <w:rsid w:val="003D5CED"/>
    <w:rsid w:val="003D5F61"/>
    <w:rsid w:val="003D640D"/>
    <w:rsid w:val="003D6566"/>
    <w:rsid w:val="003D6734"/>
    <w:rsid w:val="003D6763"/>
    <w:rsid w:val="003D6A85"/>
    <w:rsid w:val="003D7163"/>
    <w:rsid w:val="003D7853"/>
    <w:rsid w:val="003D7BAA"/>
    <w:rsid w:val="003E0063"/>
    <w:rsid w:val="003E0A86"/>
    <w:rsid w:val="003E0C03"/>
    <w:rsid w:val="003E0F8E"/>
    <w:rsid w:val="003E0FC9"/>
    <w:rsid w:val="003E1029"/>
    <w:rsid w:val="003E10D3"/>
    <w:rsid w:val="003E1311"/>
    <w:rsid w:val="003E14D5"/>
    <w:rsid w:val="003E187B"/>
    <w:rsid w:val="003E189B"/>
    <w:rsid w:val="003E1F87"/>
    <w:rsid w:val="003E2285"/>
    <w:rsid w:val="003E2410"/>
    <w:rsid w:val="003E294F"/>
    <w:rsid w:val="003E2E14"/>
    <w:rsid w:val="003E2EB0"/>
    <w:rsid w:val="003E2F37"/>
    <w:rsid w:val="003E3110"/>
    <w:rsid w:val="003E3234"/>
    <w:rsid w:val="003E384D"/>
    <w:rsid w:val="003E3C99"/>
    <w:rsid w:val="003E3D99"/>
    <w:rsid w:val="003E3F4C"/>
    <w:rsid w:val="003E401D"/>
    <w:rsid w:val="003E4153"/>
    <w:rsid w:val="003E4416"/>
    <w:rsid w:val="003E4701"/>
    <w:rsid w:val="003E4B85"/>
    <w:rsid w:val="003E56BD"/>
    <w:rsid w:val="003E5CF9"/>
    <w:rsid w:val="003E6376"/>
    <w:rsid w:val="003E654D"/>
    <w:rsid w:val="003E6744"/>
    <w:rsid w:val="003E6766"/>
    <w:rsid w:val="003E6BDD"/>
    <w:rsid w:val="003E6C79"/>
    <w:rsid w:val="003E7575"/>
    <w:rsid w:val="003E773C"/>
    <w:rsid w:val="003E7776"/>
    <w:rsid w:val="003E7A5B"/>
    <w:rsid w:val="003E7AE6"/>
    <w:rsid w:val="003F0354"/>
    <w:rsid w:val="003F0442"/>
    <w:rsid w:val="003F0907"/>
    <w:rsid w:val="003F0D38"/>
    <w:rsid w:val="003F0D5C"/>
    <w:rsid w:val="003F1172"/>
    <w:rsid w:val="003F1378"/>
    <w:rsid w:val="003F155C"/>
    <w:rsid w:val="003F1589"/>
    <w:rsid w:val="003F16D3"/>
    <w:rsid w:val="003F181C"/>
    <w:rsid w:val="003F1E47"/>
    <w:rsid w:val="003F2186"/>
    <w:rsid w:val="003F2CA2"/>
    <w:rsid w:val="003F2E99"/>
    <w:rsid w:val="003F2F6A"/>
    <w:rsid w:val="003F3A26"/>
    <w:rsid w:val="003F4488"/>
    <w:rsid w:val="003F489F"/>
    <w:rsid w:val="003F5232"/>
    <w:rsid w:val="003F52E6"/>
    <w:rsid w:val="003F5933"/>
    <w:rsid w:val="003F5937"/>
    <w:rsid w:val="003F59D2"/>
    <w:rsid w:val="003F61B1"/>
    <w:rsid w:val="003F6ABF"/>
    <w:rsid w:val="003F6EA6"/>
    <w:rsid w:val="003F73E7"/>
    <w:rsid w:val="003F7559"/>
    <w:rsid w:val="004002EE"/>
    <w:rsid w:val="00400319"/>
    <w:rsid w:val="00400435"/>
    <w:rsid w:val="00400C11"/>
    <w:rsid w:val="00400DD1"/>
    <w:rsid w:val="00401064"/>
    <w:rsid w:val="004012BC"/>
    <w:rsid w:val="004014B2"/>
    <w:rsid w:val="004015EF"/>
    <w:rsid w:val="00401EC9"/>
    <w:rsid w:val="004032A6"/>
    <w:rsid w:val="0040363A"/>
    <w:rsid w:val="004038F0"/>
    <w:rsid w:val="004038FF"/>
    <w:rsid w:val="004039A2"/>
    <w:rsid w:val="00403BC4"/>
    <w:rsid w:val="004044A1"/>
    <w:rsid w:val="004047C8"/>
    <w:rsid w:val="0040489E"/>
    <w:rsid w:val="0040523A"/>
    <w:rsid w:val="004052CF"/>
    <w:rsid w:val="00405487"/>
    <w:rsid w:val="00406206"/>
    <w:rsid w:val="00407489"/>
    <w:rsid w:val="00407815"/>
    <w:rsid w:val="00407D0C"/>
    <w:rsid w:val="004104AA"/>
    <w:rsid w:val="00410CCF"/>
    <w:rsid w:val="00411440"/>
    <w:rsid w:val="0041144F"/>
    <w:rsid w:val="00411C31"/>
    <w:rsid w:val="00411CCA"/>
    <w:rsid w:val="00411D73"/>
    <w:rsid w:val="0041207F"/>
    <w:rsid w:val="004120E1"/>
    <w:rsid w:val="004126CC"/>
    <w:rsid w:val="00413F69"/>
    <w:rsid w:val="0041411E"/>
    <w:rsid w:val="00414568"/>
    <w:rsid w:val="00414DB4"/>
    <w:rsid w:val="00415712"/>
    <w:rsid w:val="00415776"/>
    <w:rsid w:val="00415811"/>
    <w:rsid w:val="00415837"/>
    <w:rsid w:val="0041588A"/>
    <w:rsid w:val="004159A8"/>
    <w:rsid w:val="00416445"/>
    <w:rsid w:val="0041657E"/>
    <w:rsid w:val="004166BF"/>
    <w:rsid w:val="0041692A"/>
    <w:rsid w:val="00416952"/>
    <w:rsid w:val="00417049"/>
    <w:rsid w:val="004170ED"/>
    <w:rsid w:val="00417D92"/>
    <w:rsid w:val="00417D94"/>
    <w:rsid w:val="004200AA"/>
    <w:rsid w:val="00420132"/>
    <w:rsid w:val="0042083D"/>
    <w:rsid w:val="00420F28"/>
    <w:rsid w:val="004229B0"/>
    <w:rsid w:val="00423A56"/>
    <w:rsid w:val="00423F80"/>
    <w:rsid w:val="00424089"/>
    <w:rsid w:val="00424382"/>
    <w:rsid w:val="004246D0"/>
    <w:rsid w:val="004247FC"/>
    <w:rsid w:val="0042487A"/>
    <w:rsid w:val="004251CE"/>
    <w:rsid w:val="0042545A"/>
    <w:rsid w:val="004256EE"/>
    <w:rsid w:val="00425A9D"/>
    <w:rsid w:val="00426119"/>
    <w:rsid w:val="00426AC6"/>
    <w:rsid w:val="00427723"/>
    <w:rsid w:val="00427993"/>
    <w:rsid w:val="00427C5D"/>
    <w:rsid w:val="00427FAF"/>
    <w:rsid w:val="0043010F"/>
    <w:rsid w:val="004301ED"/>
    <w:rsid w:val="004302D1"/>
    <w:rsid w:val="004304A0"/>
    <w:rsid w:val="004307E4"/>
    <w:rsid w:val="00430ED6"/>
    <w:rsid w:val="00431068"/>
    <w:rsid w:val="004311B6"/>
    <w:rsid w:val="004316EB"/>
    <w:rsid w:val="004316FF"/>
    <w:rsid w:val="004329A3"/>
    <w:rsid w:val="00432F1F"/>
    <w:rsid w:val="0043362E"/>
    <w:rsid w:val="00433A6C"/>
    <w:rsid w:val="00433BD4"/>
    <w:rsid w:val="00433F40"/>
    <w:rsid w:val="00434475"/>
    <w:rsid w:val="0043450D"/>
    <w:rsid w:val="004346A9"/>
    <w:rsid w:val="004350CB"/>
    <w:rsid w:val="00435275"/>
    <w:rsid w:val="004354F2"/>
    <w:rsid w:val="00435528"/>
    <w:rsid w:val="004357EB"/>
    <w:rsid w:val="004358FC"/>
    <w:rsid w:val="00435AB7"/>
    <w:rsid w:val="00436095"/>
    <w:rsid w:val="004360D5"/>
    <w:rsid w:val="004366E3"/>
    <w:rsid w:val="00436849"/>
    <w:rsid w:val="00436868"/>
    <w:rsid w:val="00436AB1"/>
    <w:rsid w:val="00436FDF"/>
    <w:rsid w:val="00437534"/>
    <w:rsid w:val="00437632"/>
    <w:rsid w:val="00437671"/>
    <w:rsid w:val="00437751"/>
    <w:rsid w:val="004378C5"/>
    <w:rsid w:val="0044014F"/>
    <w:rsid w:val="00440257"/>
    <w:rsid w:val="00441488"/>
    <w:rsid w:val="00441D67"/>
    <w:rsid w:val="0044213E"/>
    <w:rsid w:val="0044254C"/>
    <w:rsid w:val="00442BFC"/>
    <w:rsid w:val="00443385"/>
    <w:rsid w:val="004433ED"/>
    <w:rsid w:val="004436DA"/>
    <w:rsid w:val="00443ACA"/>
    <w:rsid w:val="00444063"/>
    <w:rsid w:val="004443C7"/>
    <w:rsid w:val="004445C2"/>
    <w:rsid w:val="00444A32"/>
    <w:rsid w:val="00444BED"/>
    <w:rsid w:val="00445A35"/>
    <w:rsid w:val="00445C95"/>
    <w:rsid w:val="00445D4B"/>
    <w:rsid w:val="004460E9"/>
    <w:rsid w:val="0044640B"/>
    <w:rsid w:val="00446466"/>
    <w:rsid w:val="00446534"/>
    <w:rsid w:val="004472EF"/>
    <w:rsid w:val="0045030C"/>
    <w:rsid w:val="00450475"/>
    <w:rsid w:val="00450588"/>
    <w:rsid w:val="0045099F"/>
    <w:rsid w:val="00450C8F"/>
    <w:rsid w:val="00450E29"/>
    <w:rsid w:val="00452083"/>
    <w:rsid w:val="00453006"/>
    <w:rsid w:val="00453052"/>
    <w:rsid w:val="004534E1"/>
    <w:rsid w:val="004561EC"/>
    <w:rsid w:val="004564C3"/>
    <w:rsid w:val="00456806"/>
    <w:rsid w:val="00456A2D"/>
    <w:rsid w:val="00456ABD"/>
    <w:rsid w:val="00457706"/>
    <w:rsid w:val="004578DA"/>
    <w:rsid w:val="00457AB8"/>
    <w:rsid w:val="00457BD9"/>
    <w:rsid w:val="00457EF9"/>
    <w:rsid w:val="004611C2"/>
    <w:rsid w:val="0046167E"/>
    <w:rsid w:val="004617F2"/>
    <w:rsid w:val="00461B6C"/>
    <w:rsid w:val="00461BF2"/>
    <w:rsid w:val="004621F2"/>
    <w:rsid w:val="00462A6A"/>
    <w:rsid w:val="00462BFA"/>
    <w:rsid w:val="00463683"/>
    <w:rsid w:val="004636E2"/>
    <w:rsid w:val="00463F47"/>
    <w:rsid w:val="0046425C"/>
    <w:rsid w:val="00464941"/>
    <w:rsid w:val="00464B2C"/>
    <w:rsid w:val="00464D09"/>
    <w:rsid w:val="004651CE"/>
    <w:rsid w:val="0046575C"/>
    <w:rsid w:val="0046592C"/>
    <w:rsid w:val="00465A3B"/>
    <w:rsid w:val="00465C6C"/>
    <w:rsid w:val="00465E51"/>
    <w:rsid w:val="00466CFC"/>
    <w:rsid w:val="00467118"/>
    <w:rsid w:val="00467562"/>
    <w:rsid w:val="00467BD2"/>
    <w:rsid w:val="00467D73"/>
    <w:rsid w:val="00470974"/>
    <w:rsid w:val="00470A54"/>
    <w:rsid w:val="00471031"/>
    <w:rsid w:val="00471055"/>
    <w:rsid w:val="0047160E"/>
    <w:rsid w:val="0047168F"/>
    <w:rsid w:val="004723D4"/>
    <w:rsid w:val="00472C60"/>
    <w:rsid w:val="00472E04"/>
    <w:rsid w:val="004731D0"/>
    <w:rsid w:val="00473446"/>
    <w:rsid w:val="004738B8"/>
    <w:rsid w:val="00473AE1"/>
    <w:rsid w:val="0047406C"/>
    <w:rsid w:val="0047425B"/>
    <w:rsid w:val="00474A37"/>
    <w:rsid w:val="00474A73"/>
    <w:rsid w:val="00475C28"/>
    <w:rsid w:val="00475D39"/>
    <w:rsid w:val="00476967"/>
    <w:rsid w:val="00476F18"/>
    <w:rsid w:val="0047764E"/>
    <w:rsid w:val="00480383"/>
    <w:rsid w:val="0048212D"/>
    <w:rsid w:val="004826FD"/>
    <w:rsid w:val="00482990"/>
    <w:rsid w:val="00482A26"/>
    <w:rsid w:val="00483234"/>
    <w:rsid w:val="0048329A"/>
    <w:rsid w:val="00483D70"/>
    <w:rsid w:val="00484DBF"/>
    <w:rsid w:val="00485D01"/>
    <w:rsid w:val="00485DA3"/>
    <w:rsid w:val="0048615E"/>
    <w:rsid w:val="004862A0"/>
    <w:rsid w:val="004865AC"/>
    <w:rsid w:val="00487365"/>
    <w:rsid w:val="00487897"/>
    <w:rsid w:val="00487A2D"/>
    <w:rsid w:val="0049001E"/>
    <w:rsid w:val="00490178"/>
    <w:rsid w:val="004905C4"/>
    <w:rsid w:val="004909F6"/>
    <w:rsid w:val="00490FAF"/>
    <w:rsid w:val="004917E9"/>
    <w:rsid w:val="00491A90"/>
    <w:rsid w:val="00491AA4"/>
    <w:rsid w:val="00491B66"/>
    <w:rsid w:val="00492022"/>
    <w:rsid w:val="0049211A"/>
    <w:rsid w:val="0049216C"/>
    <w:rsid w:val="0049251C"/>
    <w:rsid w:val="0049262D"/>
    <w:rsid w:val="00492FDB"/>
    <w:rsid w:val="0049315C"/>
    <w:rsid w:val="00493265"/>
    <w:rsid w:val="004934FF"/>
    <w:rsid w:val="0049370C"/>
    <w:rsid w:val="00493710"/>
    <w:rsid w:val="004940AD"/>
    <w:rsid w:val="0049432A"/>
    <w:rsid w:val="0049441C"/>
    <w:rsid w:val="00494C00"/>
    <w:rsid w:val="00495275"/>
    <w:rsid w:val="0049529E"/>
    <w:rsid w:val="00495B3E"/>
    <w:rsid w:val="00495D74"/>
    <w:rsid w:val="004963B9"/>
    <w:rsid w:val="00496E86"/>
    <w:rsid w:val="004970A7"/>
    <w:rsid w:val="004977E8"/>
    <w:rsid w:val="00497BFE"/>
    <w:rsid w:val="00497C7C"/>
    <w:rsid w:val="004A002A"/>
    <w:rsid w:val="004A17B3"/>
    <w:rsid w:val="004A18A3"/>
    <w:rsid w:val="004A1CD5"/>
    <w:rsid w:val="004A1E6D"/>
    <w:rsid w:val="004A27CA"/>
    <w:rsid w:val="004A282B"/>
    <w:rsid w:val="004A3257"/>
    <w:rsid w:val="004A326E"/>
    <w:rsid w:val="004A3ABC"/>
    <w:rsid w:val="004A3B8E"/>
    <w:rsid w:val="004A3D52"/>
    <w:rsid w:val="004A432E"/>
    <w:rsid w:val="004A4923"/>
    <w:rsid w:val="004A4F9F"/>
    <w:rsid w:val="004A4FE5"/>
    <w:rsid w:val="004A515E"/>
    <w:rsid w:val="004A5635"/>
    <w:rsid w:val="004A6DD1"/>
    <w:rsid w:val="004A7124"/>
    <w:rsid w:val="004A73A4"/>
    <w:rsid w:val="004A756B"/>
    <w:rsid w:val="004B0854"/>
    <w:rsid w:val="004B0D2A"/>
    <w:rsid w:val="004B0D33"/>
    <w:rsid w:val="004B1419"/>
    <w:rsid w:val="004B1504"/>
    <w:rsid w:val="004B1F9C"/>
    <w:rsid w:val="004B2602"/>
    <w:rsid w:val="004B29DA"/>
    <w:rsid w:val="004B2B4D"/>
    <w:rsid w:val="004B2D7D"/>
    <w:rsid w:val="004B2E22"/>
    <w:rsid w:val="004B2EFF"/>
    <w:rsid w:val="004B321F"/>
    <w:rsid w:val="004B32F6"/>
    <w:rsid w:val="004B33B9"/>
    <w:rsid w:val="004B3A91"/>
    <w:rsid w:val="004B3C30"/>
    <w:rsid w:val="004B428B"/>
    <w:rsid w:val="004B4505"/>
    <w:rsid w:val="004B4B82"/>
    <w:rsid w:val="004B5246"/>
    <w:rsid w:val="004B5317"/>
    <w:rsid w:val="004B5801"/>
    <w:rsid w:val="004B58FE"/>
    <w:rsid w:val="004B5A6C"/>
    <w:rsid w:val="004B5A97"/>
    <w:rsid w:val="004B6319"/>
    <w:rsid w:val="004B6609"/>
    <w:rsid w:val="004B69A2"/>
    <w:rsid w:val="004B7028"/>
    <w:rsid w:val="004B70A9"/>
    <w:rsid w:val="004B7860"/>
    <w:rsid w:val="004B787D"/>
    <w:rsid w:val="004B7DB1"/>
    <w:rsid w:val="004B7F38"/>
    <w:rsid w:val="004C042F"/>
    <w:rsid w:val="004C08A9"/>
    <w:rsid w:val="004C09A9"/>
    <w:rsid w:val="004C1307"/>
    <w:rsid w:val="004C1932"/>
    <w:rsid w:val="004C1B90"/>
    <w:rsid w:val="004C2491"/>
    <w:rsid w:val="004C2A8C"/>
    <w:rsid w:val="004C2EE3"/>
    <w:rsid w:val="004C345F"/>
    <w:rsid w:val="004C3774"/>
    <w:rsid w:val="004C4C46"/>
    <w:rsid w:val="004C520B"/>
    <w:rsid w:val="004C53C6"/>
    <w:rsid w:val="004C54D5"/>
    <w:rsid w:val="004C5E78"/>
    <w:rsid w:val="004C6151"/>
    <w:rsid w:val="004C6162"/>
    <w:rsid w:val="004C6A3D"/>
    <w:rsid w:val="004C6C8E"/>
    <w:rsid w:val="004C7346"/>
    <w:rsid w:val="004C7793"/>
    <w:rsid w:val="004C7E7D"/>
    <w:rsid w:val="004D0CBC"/>
    <w:rsid w:val="004D0D1E"/>
    <w:rsid w:val="004D11CA"/>
    <w:rsid w:val="004D174B"/>
    <w:rsid w:val="004D17BF"/>
    <w:rsid w:val="004D1A04"/>
    <w:rsid w:val="004D1CA1"/>
    <w:rsid w:val="004D1FD6"/>
    <w:rsid w:val="004D2579"/>
    <w:rsid w:val="004D277D"/>
    <w:rsid w:val="004D34CD"/>
    <w:rsid w:val="004D3935"/>
    <w:rsid w:val="004D39C5"/>
    <w:rsid w:val="004D3D6E"/>
    <w:rsid w:val="004D3EA2"/>
    <w:rsid w:val="004D4373"/>
    <w:rsid w:val="004D45D3"/>
    <w:rsid w:val="004D4838"/>
    <w:rsid w:val="004D488E"/>
    <w:rsid w:val="004D5050"/>
    <w:rsid w:val="004D5120"/>
    <w:rsid w:val="004D52A1"/>
    <w:rsid w:val="004D5AB4"/>
    <w:rsid w:val="004D6238"/>
    <w:rsid w:val="004D6272"/>
    <w:rsid w:val="004D6C83"/>
    <w:rsid w:val="004D6E40"/>
    <w:rsid w:val="004D733F"/>
    <w:rsid w:val="004D74A2"/>
    <w:rsid w:val="004D7D09"/>
    <w:rsid w:val="004D7EA4"/>
    <w:rsid w:val="004E0100"/>
    <w:rsid w:val="004E0C3C"/>
    <w:rsid w:val="004E0F70"/>
    <w:rsid w:val="004E17AA"/>
    <w:rsid w:val="004E1AED"/>
    <w:rsid w:val="004E1B49"/>
    <w:rsid w:val="004E1D61"/>
    <w:rsid w:val="004E218D"/>
    <w:rsid w:val="004E2679"/>
    <w:rsid w:val="004E30E2"/>
    <w:rsid w:val="004E3102"/>
    <w:rsid w:val="004E3FEA"/>
    <w:rsid w:val="004E409B"/>
    <w:rsid w:val="004E4383"/>
    <w:rsid w:val="004E43E2"/>
    <w:rsid w:val="004E4870"/>
    <w:rsid w:val="004E4E46"/>
    <w:rsid w:val="004E4E99"/>
    <w:rsid w:val="004E53EA"/>
    <w:rsid w:val="004E589F"/>
    <w:rsid w:val="004E5B78"/>
    <w:rsid w:val="004E62F2"/>
    <w:rsid w:val="004E6583"/>
    <w:rsid w:val="004E658D"/>
    <w:rsid w:val="004E680E"/>
    <w:rsid w:val="004E68E5"/>
    <w:rsid w:val="004E6AF6"/>
    <w:rsid w:val="004E6DD3"/>
    <w:rsid w:val="004E7005"/>
    <w:rsid w:val="004E7165"/>
    <w:rsid w:val="004F07E6"/>
    <w:rsid w:val="004F0927"/>
    <w:rsid w:val="004F0CCA"/>
    <w:rsid w:val="004F1254"/>
    <w:rsid w:val="004F17FE"/>
    <w:rsid w:val="004F1820"/>
    <w:rsid w:val="004F18BF"/>
    <w:rsid w:val="004F2013"/>
    <w:rsid w:val="004F250E"/>
    <w:rsid w:val="004F27E6"/>
    <w:rsid w:val="004F28B3"/>
    <w:rsid w:val="004F2C68"/>
    <w:rsid w:val="004F2E78"/>
    <w:rsid w:val="004F2EB2"/>
    <w:rsid w:val="004F3191"/>
    <w:rsid w:val="004F368A"/>
    <w:rsid w:val="004F385C"/>
    <w:rsid w:val="004F385E"/>
    <w:rsid w:val="004F4097"/>
    <w:rsid w:val="004F438F"/>
    <w:rsid w:val="004F4533"/>
    <w:rsid w:val="004F45C9"/>
    <w:rsid w:val="004F4735"/>
    <w:rsid w:val="004F4A29"/>
    <w:rsid w:val="004F5267"/>
    <w:rsid w:val="004F5C3D"/>
    <w:rsid w:val="004F5ECB"/>
    <w:rsid w:val="004F6C73"/>
    <w:rsid w:val="004F6E04"/>
    <w:rsid w:val="004F7FFA"/>
    <w:rsid w:val="00500850"/>
    <w:rsid w:val="00500D0E"/>
    <w:rsid w:val="005017B4"/>
    <w:rsid w:val="0050189A"/>
    <w:rsid w:val="00501978"/>
    <w:rsid w:val="00501D54"/>
    <w:rsid w:val="00501DC8"/>
    <w:rsid w:val="00502079"/>
    <w:rsid w:val="005021A2"/>
    <w:rsid w:val="005025A1"/>
    <w:rsid w:val="00502BCE"/>
    <w:rsid w:val="00502C2B"/>
    <w:rsid w:val="0050318D"/>
    <w:rsid w:val="0050426F"/>
    <w:rsid w:val="0050432A"/>
    <w:rsid w:val="005047B6"/>
    <w:rsid w:val="00504C3F"/>
    <w:rsid w:val="00504D07"/>
    <w:rsid w:val="00504EB8"/>
    <w:rsid w:val="00505570"/>
    <w:rsid w:val="0050596D"/>
    <w:rsid w:val="005059CC"/>
    <w:rsid w:val="00505C00"/>
    <w:rsid w:val="00505C81"/>
    <w:rsid w:val="00505E76"/>
    <w:rsid w:val="00505F15"/>
    <w:rsid w:val="00506285"/>
    <w:rsid w:val="005062AC"/>
    <w:rsid w:val="00506650"/>
    <w:rsid w:val="005066D6"/>
    <w:rsid w:val="00506734"/>
    <w:rsid w:val="00506B31"/>
    <w:rsid w:val="00507324"/>
    <w:rsid w:val="00507A3D"/>
    <w:rsid w:val="005101F4"/>
    <w:rsid w:val="005102BB"/>
    <w:rsid w:val="00510368"/>
    <w:rsid w:val="005106AB"/>
    <w:rsid w:val="00510783"/>
    <w:rsid w:val="00510F3B"/>
    <w:rsid w:val="00511660"/>
    <w:rsid w:val="00512316"/>
    <w:rsid w:val="00512747"/>
    <w:rsid w:val="00512B9C"/>
    <w:rsid w:val="005137F3"/>
    <w:rsid w:val="00514066"/>
    <w:rsid w:val="00514AFF"/>
    <w:rsid w:val="00514FEC"/>
    <w:rsid w:val="005154A8"/>
    <w:rsid w:val="00515F19"/>
    <w:rsid w:val="0051614E"/>
    <w:rsid w:val="00516566"/>
    <w:rsid w:val="00516928"/>
    <w:rsid w:val="00516E97"/>
    <w:rsid w:val="005172DD"/>
    <w:rsid w:val="0051756E"/>
    <w:rsid w:val="00517CAB"/>
    <w:rsid w:val="00520343"/>
    <w:rsid w:val="005206C3"/>
    <w:rsid w:val="00520841"/>
    <w:rsid w:val="0052128C"/>
    <w:rsid w:val="005218DA"/>
    <w:rsid w:val="00521C2B"/>
    <w:rsid w:val="00521DCF"/>
    <w:rsid w:val="0052262E"/>
    <w:rsid w:val="00522651"/>
    <w:rsid w:val="00522A58"/>
    <w:rsid w:val="00522F02"/>
    <w:rsid w:val="005231E2"/>
    <w:rsid w:val="005234FA"/>
    <w:rsid w:val="0052377B"/>
    <w:rsid w:val="005237DD"/>
    <w:rsid w:val="00523FA3"/>
    <w:rsid w:val="00524396"/>
    <w:rsid w:val="00524406"/>
    <w:rsid w:val="00524E40"/>
    <w:rsid w:val="00525113"/>
    <w:rsid w:val="00525611"/>
    <w:rsid w:val="00525F07"/>
    <w:rsid w:val="005265AF"/>
    <w:rsid w:val="005266FD"/>
    <w:rsid w:val="00526991"/>
    <w:rsid w:val="00526C60"/>
    <w:rsid w:val="00526D4C"/>
    <w:rsid w:val="00526F51"/>
    <w:rsid w:val="00527055"/>
    <w:rsid w:val="0052716E"/>
    <w:rsid w:val="00527292"/>
    <w:rsid w:val="005272B2"/>
    <w:rsid w:val="005272BB"/>
    <w:rsid w:val="005275B9"/>
    <w:rsid w:val="005275CF"/>
    <w:rsid w:val="0052766E"/>
    <w:rsid w:val="00527A16"/>
    <w:rsid w:val="00527A4C"/>
    <w:rsid w:val="00527C0A"/>
    <w:rsid w:val="00527C1A"/>
    <w:rsid w:val="00527C4C"/>
    <w:rsid w:val="00530623"/>
    <w:rsid w:val="00530742"/>
    <w:rsid w:val="0053148E"/>
    <w:rsid w:val="00531694"/>
    <w:rsid w:val="00531D61"/>
    <w:rsid w:val="0053261C"/>
    <w:rsid w:val="00532945"/>
    <w:rsid w:val="00532A12"/>
    <w:rsid w:val="0053372F"/>
    <w:rsid w:val="00533F45"/>
    <w:rsid w:val="005340DB"/>
    <w:rsid w:val="00534189"/>
    <w:rsid w:val="0053488F"/>
    <w:rsid w:val="00534AAC"/>
    <w:rsid w:val="005351D5"/>
    <w:rsid w:val="005355DA"/>
    <w:rsid w:val="005357FB"/>
    <w:rsid w:val="0053585B"/>
    <w:rsid w:val="005359A1"/>
    <w:rsid w:val="00535A78"/>
    <w:rsid w:val="00535AB5"/>
    <w:rsid w:val="00535C97"/>
    <w:rsid w:val="00535FC5"/>
    <w:rsid w:val="00536034"/>
    <w:rsid w:val="005362CD"/>
    <w:rsid w:val="005365DF"/>
    <w:rsid w:val="00536678"/>
    <w:rsid w:val="00536688"/>
    <w:rsid w:val="005367C0"/>
    <w:rsid w:val="005367FE"/>
    <w:rsid w:val="005368EE"/>
    <w:rsid w:val="00536909"/>
    <w:rsid w:val="0053703C"/>
    <w:rsid w:val="005378FD"/>
    <w:rsid w:val="00537A98"/>
    <w:rsid w:val="00537B82"/>
    <w:rsid w:val="00537D8D"/>
    <w:rsid w:val="005407AC"/>
    <w:rsid w:val="00541240"/>
    <w:rsid w:val="0054178C"/>
    <w:rsid w:val="00541B33"/>
    <w:rsid w:val="00541E85"/>
    <w:rsid w:val="0054260A"/>
    <w:rsid w:val="005429E8"/>
    <w:rsid w:val="00542E17"/>
    <w:rsid w:val="00543559"/>
    <w:rsid w:val="0054394C"/>
    <w:rsid w:val="005441D5"/>
    <w:rsid w:val="0054421D"/>
    <w:rsid w:val="005443BA"/>
    <w:rsid w:val="005444BD"/>
    <w:rsid w:val="00544683"/>
    <w:rsid w:val="005447D8"/>
    <w:rsid w:val="00544985"/>
    <w:rsid w:val="00544CBA"/>
    <w:rsid w:val="00544D78"/>
    <w:rsid w:val="00545498"/>
    <w:rsid w:val="00545BCC"/>
    <w:rsid w:val="00546318"/>
    <w:rsid w:val="0054632C"/>
    <w:rsid w:val="00546AE4"/>
    <w:rsid w:val="00546C66"/>
    <w:rsid w:val="00546E46"/>
    <w:rsid w:val="00547205"/>
    <w:rsid w:val="005473E3"/>
    <w:rsid w:val="005474B5"/>
    <w:rsid w:val="005475F2"/>
    <w:rsid w:val="005479FC"/>
    <w:rsid w:val="00547B2C"/>
    <w:rsid w:val="00547E02"/>
    <w:rsid w:val="0055104A"/>
    <w:rsid w:val="005516F5"/>
    <w:rsid w:val="005516F9"/>
    <w:rsid w:val="00552023"/>
    <w:rsid w:val="005520E5"/>
    <w:rsid w:val="005522AA"/>
    <w:rsid w:val="005530D1"/>
    <w:rsid w:val="005531AA"/>
    <w:rsid w:val="00553D88"/>
    <w:rsid w:val="00553F65"/>
    <w:rsid w:val="005548CC"/>
    <w:rsid w:val="005549FF"/>
    <w:rsid w:val="00554C27"/>
    <w:rsid w:val="00554ED3"/>
    <w:rsid w:val="005553E9"/>
    <w:rsid w:val="00555BA7"/>
    <w:rsid w:val="00555FDF"/>
    <w:rsid w:val="00556342"/>
    <w:rsid w:val="00556501"/>
    <w:rsid w:val="005566D0"/>
    <w:rsid w:val="005566D2"/>
    <w:rsid w:val="005567F7"/>
    <w:rsid w:val="00556800"/>
    <w:rsid w:val="00556AA0"/>
    <w:rsid w:val="005572A3"/>
    <w:rsid w:val="00557339"/>
    <w:rsid w:val="00557467"/>
    <w:rsid w:val="00560655"/>
    <w:rsid w:val="00560710"/>
    <w:rsid w:val="0056085D"/>
    <w:rsid w:val="00560904"/>
    <w:rsid w:val="00561EAA"/>
    <w:rsid w:val="0056242B"/>
    <w:rsid w:val="00562643"/>
    <w:rsid w:val="00562EFE"/>
    <w:rsid w:val="00563D07"/>
    <w:rsid w:val="005644D4"/>
    <w:rsid w:val="00564523"/>
    <w:rsid w:val="005646AC"/>
    <w:rsid w:val="005646B0"/>
    <w:rsid w:val="00564750"/>
    <w:rsid w:val="005653CC"/>
    <w:rsid w:val="005656C2"/>
    <w:rsid w:val="0056661C"/>
    <w:rsid w:val="00566935"/>
    <w:rsid w:val="00566C41"/>
    <w:rsid w:val="00566D94"/>
    <w:rsid w:val="00567A8D"/>
    <w:rsid w:val="00567CB4"/>
    <w:rsid w:val="00570220"/>
    <w:rsid w:val="005702C4"/>
    <w:rsid w:val="005702C5"/>
    <w:rsid w:val="005704F8"/>
    <w:rsid w:val="00570773"/>
    <w:rsid w:val="00570E7E"/>
    <w:rsid w:val="005710EE"/>
    <w:rsid w:val="00571956"/>
    <w:rsid w:val="005721AA"/>
    <w:rsid w:val="00572870"/>
    <w:rsid w:val="00572B69"/>
    <w:rsid w:val="0057331F"/>
    <w:rsid w:val="00573942"/>
    <w:rsid w:val="005739BE"/>
    <w:rsid w:val="00573C9E"/>
    <w:rsid w:val="005742CF"/>
    <w:rsid w:val="005746C1"/>
    <w:rsid w:val="00574821"/>
    <w:rsid w:val="00574840"/>
    <w:rsid w:val="005748E0"/>
    <w:rsid w:val="00574DB1"/>
    <w:rsid w:val="00574E65"/>
    <w:rsid w:val="005756B7"/>
    <w:rsid w:val="005759C2"/>
    <w:rsid w:val="00575FB3"/>
    <w:rsid w:val="005765D6"/>
    <w:rsid w:val="005765F1"/>
    <w:rsid w:val="00577026"/>
    <w:rsid w:val="005775DA"/>
    <w:rsid w:val="00577711"/>
    <w:rsid w:val="00577869"/>
    <w:rsid w:val="00580034"/>
    <w:rsid w:val="005802ED"/>
    <w:rsid w:val="0058033A"/>
    <w:rsid w:val="00580655"/>
    <w:rsid w:val="00580FCF"/>
    <w:rsid w:val="00581110"/>
    <w:rsid w:val="00581332"/>
    <w:rsid w:val="005820D7"/>
    <w:rsid w:val="005821F5"/>
    <w:rsid w:val="005823A6"/>
    <w:rsid w:val="00582535"/>
    <w:rsid w:val="00582D48"/>
    <w:rsid w:val="0058304C"/>
    <w:rsid w:val="00583219"/>
    <w:rsid w:val="00583865"/>
    <w:rsid w:val="00583B2C"/>
    <w:rsid w:val="00583C10"/>
    <w:rsid w:val="00583E19"/>
    <w:rsid w:val="0058402E"/>
    <w:rsid w:val="00584311"/>
    <w:rsid w:val="00584363"/>
    <w:rsid w:val="0058445F"/>
    <w:rsid w:val="0058467B"/>
    <w:rsid w:val="005856E9"/>
    <w:rsid w:val="00585918"/>
    <w:rsid w:val="0058598F"/>
    <w:rsid w:val="00586901"/>
    <w:rsid w:val="00586B85"/>
    <w:rsid w:val="00586CEE"/>
    <w:rsid w:val="005873D6"/>
    <w:rsid w:val="00587A0C"/>
    <w:rsid w:val="00587C0E"/>
    <w:rsid w:val="00587C2D"/>
    <w:rsid w:val="00587D1D"/>
    <w:rsid w:val="00587DF3"/>
    <w:rsid w:val="00587FB1"/>
    <w:rsid w:val="00590139"/>
    <w:rsid w:val="00590B07"/>
    <w:rsid w:val="00590B3B"/>
    <w:rsid w:val="00590CE4"/>
    <w:rsid w:val="00591ED4"/>
    <w:rsid w:val="0059287E"/>
    <w:rsid w:val="00592BFC"/>
    <w:rsid w:val="00592DAB"/>
    <w:rsid w:val="00592ED7"/>
    <w:rsid w:val="00593154"/>
    <w:rsid w:val="00593157"/>
    <w:rsid w:val="0059377A"/>
    <w:rsid w:val="00593839"/>
    <w:rsid w:val="00593B21"/>
    <w:rsid w:val="00594AC7"/>
    <w:rsid w:val="00594BD9"/>
    <w:rsid w:val="00594FC4"/>
    <w:rsid w:val="00595011"/>
    <w:rsid w:val="005952B2"/>
    <w:rsid w:val="005955E0"/>
    <w:rsid w:val="005956B1"/>
    <w:rsid w:val="00595887"/>
    <w:rsid w:val="00595CF3"/>
    <w:rsid w:val="00596062"/>
    <w:rsid w:val="005970E5"/>
    <w:rsid w:val="00597708"/>
    <w:rsid w:val="005978E6"/>
    <w:rsid w:val="00597E55"/>
    <w:rsid w:val="005A0240"/>
    <w:rsid w:val="005A082C"/>
    <w:rsid w:val="005A09CF"/>
    <w:rsid w:val="005A0B97"/>
    <w:rsid w:val="005A1BCF"/>
    <w:rsid w:val="005A1D8D"/>
    <w:rsid w:val="005A20B4"/>
    <w:rsid w:val="005A27CF"/>
    <w:rsid w:val="005A2D48"/>
    <w:rsid w:val="005A31AC"/>
    <w:rsid w:val="005A383F"/>
    <w:rsid w:val="005A3907"/>
    <w:rsid w:val="005A3C1C"/>
    <w:rsid w:val="005A3DC9"/>
    <w:rsid w:val="005A40EE"/>
    <w:rsid w:val="005A41AA"/>
    <w:rsid w:val="005A474B"/>
    <w:rsid w:val="005A4C4F"/>
    <w:rsid w:val="005A4C8E"/>
    <w:rsid w:val="005A5CFF"/>
    <w:rsid w:val="005A5DEE"/>
    <w:rsid w:val="005A5E1A"/>
    <w:rsid w:val="005A64A9"/>
    <w:rsid w:val="005A6B88"/>
    <w:rsid w:val="005A765B"/>
    <w:rsid w:val="005B01DB"/>
    <w:rsid w:val="005B07DB"/>
    <w:rsid w:val="005B0F57"/>
    <w:rsid w:val="005B0FF9"/>
    <w:rsid w:val="005B16BC"/>
    <w:rsid w:val="005B16F0"/>
    <w:rsid w:val="005B1A3E"/>
    <w:rsid w:val="005B2284"/>
    <w:rsid w:val="005B37F7"/>
    <w:rsid w:val="005B4115"/>
    <w:rsid w:val="005B457C"/>
    <w:rsid w:val="005B4863"/>
    <w:rsid w:val="005B495A"/>
    <w:rsid w:val="005B550A"/>
    <w:rsid w:val="005B5EB6"/>
    <w:rsid w:val="005B5EFF"/>
    <w:rsid w:val="005B60F1"/>
    <w:rsid w:val="005B65A9"/>
    <w:rsid w:val="005B6E3E"/>
    <w:rsid w:val="005B730F"/>
    <w:rsid w:val="005B7415"/>
    <w:rsid w:val="005B7AE8"/>
    <w:rsid w:val="005B7E25"/>
    <w:rsid w:val="005C0606"/>
    <w:rsid w:val="005C07FA"/>
    <w:rsid w:val="005C13C8"/>
    <w:rsid w:val="005C17DA"/>
    <w:rsid w:val="005C1834"/>
    <w:rsid w:val="005C1BA7"/>
    <w:rsid w:val="005C2034"/>
    <w:rsid w:val="005C31CB"/>
    <w:rsid w:val="005C3574"/>
    <w:rsid w:val="005C372A"/>
    <w:rsid w:val="005C4BA0"/>
    <w:rsid w:val="005C4F88"/>
    <w:rsid w:val="005C553D"/>
    <w:rsid w:val="005C561C"/>
    <w:rsid w:val="005C57E3"/>
    <w:rsid w:val="005C6502"/>
    <w:rsid w:val="005C6726"/>
    <w:rsid w:val="005C689F"/>
    <w:rsid w:val="005C6946"/>
    <w:rsid w:val="005C6C53"/>
    <w:rsid w:val="005C702E"/>
    <w:rsid w:val="005C7153"/>
    <w:rsid w:val="005C71BD"/>
    <w:rsid w:val="005C7313"/>
    <w:rsid w:val="005C7949"/>
    <w:rsid w:val="005C7984"/>
    <w:rsid w:val="005D026E"/>
    <w:rsid w:val="005D0EAA"/>
    <w:rsid w:val="005D0ED6"/>
    <w:rsid w:val="005D178C"/>
    <w:rsid w:val="005D1DCA"/>
    <w:rsid w:val="005D2396"/>
    <w:rsid w:val="005D2AC3"/>
    <w:rsid w:val="005D2B0E"/>
    <w:rsid w:val="005D2C44"/>
    <w:rsid w:val="005D2CB2"/>
    <w:rsid w:val="005D3071"/>
    <w:rsid w:val="005D3A36"/>
    <w:rsid w:val="005D3E2A"/>
    <w:rsid w:val="005D4217"/>
    <w:rsid w:val="005D43A4"/>
    <w:rsid w:val="005D5BAC"/>
    <w:rsid w:val="005D5EB8"/>
    <w:rsid w:val="005D61CE"/>
    <w:rsid w:val="005D67DD"/>
    <w:rsid w:val="005D6A0A"/>
    <w:rsid w:val="005D7031"/>
    <w:rsid w:val="005D718B"/>
    <w:rsid w:val="005D726E"/>
    <w:rsid w:val="005D7A81"/>
    <w:rsid w:val="005E0073"/>
    <w:rsid w:val="005E0361"/>
    <w:rsid w:val="005E041E"/>
    <w:rsid w:val="005E0458"/>
    <w:rsid w:val="005E09C3"/>
    <w:rsid w:val="005E0C42"/>
    <w:rsid w:val="005E0DCA"/>
    <w:rsid w:val="005E12AF"/>
    <w:rsid w:val="005E130E"/>
    <w:rsid w:val="005E250B"/>
    <w:rsid w:val="005E2721"/>
    <w:rsid w:val="005E2BA9"/>
    <w:rsid w:val="005E33BD"/>
    <w:rsid w:val="005E3597"/>
    <w:rsid w:val="005E370A"/>
    <w:rsid w:val="005E45B6"/>
    <w:rsid w:val="005E5720"/>
    <w:rsid w:val="005E5C02"/>
    <w:rsid w:val="005E6B29"/>
    <w:rsid w:val="005E6F75"/>
    <w:rsid w:val="005E720F"/>
    <w:rsid w:val="005E78ED"/>
    <w:rsid w:val="005E7A41"/>
    <w:rsid w:val="005E7DC1"/>
    <w:rsid w:val="005F09E4"/>
    <w:rsid w:val="005F12F3"/>
    <w:rsid w:val="005F1729"/>
    <w:rsid w:val="005F1A5A"/>
    <w:rsid w:val="005F2634"/>
    <w:rsid w:val="005F2E5E"/>
    <w:rsid w:val="005F3733"/>
    <w:rsid w:val="005F3782"/>
    <w:rsid w:val="005F43D3"/>
    <w:rsid w:val="005F43DF"/>
    <w:rsid w:val="005F4735"/>
    <w:rsid w:val="005F4781"/>
    <w:rsid w:val="005F4918"/>
    <w:rsid w:val="005F49F6"/>
    <w:rsid w:val="005F4AE9"/>
    <w:rsid w:val="005F5593"/>
    <w:rsid w:val="005F561C"/>
    <w:rsid w:val="005F5D7B"/>
    <w:rsid w:val="005F5F0A"/>
    <w:rsid w:val="005F6001"/>
    <w:rsid w:val="005F61B3"/>
    <w:rsid w:val="005F65A2"/>
    <w:rsid w:val="005F66E5"/>
    <w:rsid w:val="005F688B"/>
    <w:rsid w:val="005F6D63"/>
    <w:rsid w:val="005F73F8"/>
    <w:rsid w:val="005F7472"/>
    <w:rsid w:val="005F74B6"/>
    <w:rsid w:val="005F769E"/>
    <w:rsid w:val="005F78B9"/>
    <w:rsid w:val="005F7B8D"/>
    <w:rsid w:val="005F7F3F"/>
    <w:rsid w:val="00600274"/>
    <w:rsid w:val="00600B37"/>
    <w:rsid w:val="00600E4E"/>
    <w:rsid w:val="0060140E"/>
    <w:rsid w:val="00601CB4"/>
    <w:rsid w:val="0060277F"/>
    <w:rsid w:val="006035B0"/>
    <w:rsid w:val="0060388A"/>
    <w:rsid w:val="006038B8"/>
    <w:rsid w:val="00603A36"/>
    <w:rsid w:val="00603C1E"/>
    <w:rsid w:val="00604263"/>
    <w:rsid w:val="0060450B"/>
    <w:rsid w:val="00606523"/>
    <w:rsid w:val="00606577"/>
    <w:rsid w:val="006065A2"/>
    <w:rsid w:val="006067ED"/>
    <w:rsid w:val="00606989"/>
    <w:rsid w:val="00607254"/>
    <w:rsid w:val="006073B8"/>
    <w:rsid w:val="00607521"/>
    <w:rsid w:val="00607A06"/>
    <w:rsid w:val="006101CE"/>
    <w:rsid w:val="006103E6"/>
    <w:rsid w:val="00610693"/>
    <w:rsid w:val="00610E01"/>
    <w:rsid w:val="0061119C"/>
    <w:rsid w:val="00611498"/>
    <w:rsid w:val="00611C97"/>
    <w:rsid w:val="006121DE"/>
    <w:rsid w:val="0061298E"/>
    <w:rsid w:val="00612FBE"/>
    <w:rsid w:val="00613184"/>
    <w:rsid w:val="00613AB8"/>
    <w:rsid w:val="00613F43"/>
    <w:rsid w:val="00614F6E"/>
    <w:rsid w:val="006155A8"/>
    <w:rsid w:val="006155F9"/>
    <w:rsid w:val="00615C34"/>
    <w:rsid w:val="00616148"/>
    <w:rsid w:val="0061630C"/>
    <w:rsid w:val="006169F9"/>
    <w:rsid w:val="00616A34"/>
    <w:rsid w:val="00616ED9"/>
    <w:rsid w:val="00617790"/>
    <w:rsid w:val="00617B7C"/>
    <w:rsid w:val="00620030"/>
    <w:rsid w:val="0062043C"/>
    <w:rsid w:val="006205C5"/>
    <w:rsid w:val="00620C3A"/>
    <w:rsid w:val="00621109"/>
    <w:rsid w:val="0062150E"/>
    <w:rsid w:val="00621AB1"/>
    <w:rsid w:val="006222F9"/>
    <w:rsid w:val="00622430"/>
    <w:rsid w:val="00622C4A"/>
    <w:rsid w:val="00623013"/>
    <w:rsid w:val="00623AD4"/>
    <w:rsid w:val="00623F64"/>
    <w:rsid w:val="00624179"/>
    <w:rsid w:val="006246C3"/>
    <w:rsid w:val="00624855"/>
    <w:rsid w:val="006248E8"/>
    <w:rsid w:val="00624911"/>
    <w:rsid w:val="00624F1F"/>
    <w:rsid w:val="0062540E"/>
    <w:rsid w:val="00625632"/>
    <w:rsid w:val="00625E0C"/>
    <w:rsid w:val="00626192"/>
    <w:rsid w:val="00626574"/>
    <w:rsid w:val="00626646"/>
    <w:rsid w:val="00626DF9"/>
    <w:rsid w:val="006271CC"/>
    <w:rsid w:val="00627385"/>
    <w:rsid w:val="0062777F"/>
    <w:rsid w:val="00627958"/>
    <w:rsid w:val="00627EE8"/>
    <w:rsid w:val="00627F71"/>
    <w:rsid w:val="00631387"/>
    <w:rsid w:val="00631A48"/>
    <w:rsid w:val="00631F6C"/>
    <w:rsid w:val="0063236A"/>
    <w:rsid w:val="0063253C"/>
    <w:rsid w:val="0063295F"/>
    <w:rsid w:val="006329E9"/>
    <w:rsid w:val="00632A07"/>
    <w:rsid w:val="00632C00"/>
    <w:rsid w:val="006334E4"/>
    <w:rsid w:val="0063418D"/>
    <w:rsid w:val="00634541"/>
    <w:rsid w:val="00634B2D"/>
    <w:rsid w:val="00634DCF"/>
    <w:rsid w:val="00634F4E"/>
    <w:rsid w:val="00635695"/>
    <w:rsid w:val="0063579F"/>
    <w:rsid w:val="00635954"/>
    <w:rsid w:val="00635CCF"/>
    <w:rsid w:val="00635DFA"/>
    <w:rsid w:val="00636AE4"/>
    <w:rsid w:val="00636BAA"/>
    <w:rsid w:val="00637642"/>
    <w:rsid w:val="006378DA"/>
    <w:rsid w:val="00637CF8"/>
    <w:rsid w:val="00637F69"/>
    <w:rsid w:val="0064012D"/>
    <w:rsid w:val="00640467"/>
    <w:rsid w:val="00640A3F"/>
    <w:rsid w:val="00640AF5"/>
    <w:rsid w:val="00640C61"/>
    <w:rsid w:val="006419EF"/>
    <w:rsid w:val="00641EA3"/>
    <w:rsid w:val="00641F65"/>
    <w:rsid w:val="00641FA4"/>
    <w:rsid w:val="006420D6"/>
    <w:rsid w:val="00642180"/>
    <w:rsid w:val="00642438"/>
    <w:rsid w:val="006429CD"/>
    <w:rsid w:val="00642A20"/>
    <w:rsid w:val="00642E01"/>
    <w:rsid w:val="00643205"/>
    <w:rsid w:val="00643331"/>
    <w:rsid w:val="00643C23"/>
    <w:rsid w:val="006446E0"/>
    <w:rsid w:val="00644BC8"/>
    <w:rsid w:val="006453D4"/>
    <w:rsid w:val="006458AF"/>
    <w:rsid w:val="00645B90"/>
    <w:rsid w:val="00645DFE"/>
    <w:rsid w:val="00645E52"/>
    <w:rsid w:val="00645F77"/>
    <w:rsid w:val="00646297"/>
    <w:rsid w:val="006466F4"/>
    <w:rsid w:val="00646DF8"/>
    <w:rsid w:val="006478D2"/>
    <w:rsid w:val="00647C1D"/>
    <w:rsid w:val="00647F3A"/>
    <w:rsid w:val="006504B0"/>
    <w:rsid w:val="00650A04"/>
    <w:rsid w:val="00650A99"/>
    <w:rsid w:val="00650DC1"/>
    <w:rsid w:val="00651018"/>
    <w:rsid w:val="0065162E"/>
    <w:rsid w:val="0065179B"/>
    <w:rsid w:val="00651ED4"/>
    <w:rsid w:val="00652335"/>
    <w:rsid w:val="006525D0"/>
    <w:rsid w:val="0065292F"/>
    <w:rsid w:val="00652AA4"/>
    <w:rsid w:val="00652AAB"/>
    <w:rsid w:val="0065318C"/>
    <w:rsid w:val="006531AE"/>
    <w:rsid w:val="006531D2"/>
    <w:rsid w:val="00653654"/>
    <w:rsid w:val="00653A6A"/>
    <w:rsid w:val="00653DEE"/>
    <w:rsid w:val="00654113"/>
    <w:rsid w:val="00654375"/>
    <w:rsid w:val="006545F1"/>
    <w:rsid w:val="0065467A"/>
    <w:rsid w:val="0065476E"/>
    <w:rsid w:val="00654B13"/>
    <w:rsid w:val="00654C5F"/>
    <w:rsid w:val="006552AD"/>
    <w:rsid w:val="006553AB"/>
    <w:rsid w:val="006554C4"/>
    <w:rsid w:val="00655537"/>
    <w:rsid w:val="006559FF"/>
    <w:rsid w:val="00655DC1"/>
    <w:rsid w:val="00656249"/>
    <w:rsid w:val="00656592"/>
    <w:rsid w:val="006568FC"/>
    <w:rsid w:val="006572AF"/>
    <w:rsid w:val="00657F1B"/>
    <w:rsid w:val="0066024C"/>
    <w:rsid w:val="00661200"/>
    <w:rsid w:val="006615DA"/>
    <w:rsid w:val="006620F4"/>
    <w:rsid w:val="006633A5"/>
    <w:rsid w:val="0066347A"/>
    <w:rsid w:val="006634D2"/>
    <w:rsid w:val="0066370C"/>
    <w:rsid w:val="00664719"/>
    <w:rsid w:val="00664D06"/>
    <w:rsid w:val="00664FC5"/>
    <w:rsid w:val="00665BF2"/>
    <w:rsid w:val="00665D52"/>
    <w:rsid w:val="006661F8"/>
    <w:rsid w:val="00666536"/>
    <w:rsid w:val="00666B5D"/>
    <w:rsid w:val="00666B70"/>
    <w:rsid w:val="00666C11"/>
    <w:rsid w:val="00666C81"/>
    <w:rsid w:val="00667493"/>
    <w:rsid w:val="0066758D"/>
    <w:rsid w:val="00667EDC"/>
    <w:rsid w:val="0067008A"/>
    <w:rsid w:val="0067013A"/>
    <w:rsid w:val="006707E9"/>
    <w:rsid w:val="0067095D"/>
    <w:rsid w:val="00670A1C"/>
    <w:rsid w:val="00670C97"/>
    <w:rsid w:val="00671261"/>
    <w:rsid w:val="00671B9B"/>
    <w:rsid w:val="00671F0E"/>
    <w:rsid w:val="006724B2"/>
    <w:rsid w:val="0067250B"/>
    <w:rsid w:val="00672F46"/>
    <w:rsid w:val="00672F5A"/>
    <w:rsid w:val="006731F2"/>
    <w:rsid w:val="00673465"/>
    <w:rsid w:val="00673672"/>
    <w:rsid w:val="006739EE"/>
    <w:rsid w:val="006749C0"/>
    <w:rsid w:val="00674E89"/>
    <w:rsid w:val="0067546B"/>
    <w:rsid w:val="00675BC0"/>
    <w:rsid w:val="00675C00"/>
    <w:rsid w:val="0067650F"/>
    <w:rsid w:val="00676955"/>
    <w:rsid w:val="00676A10"/>
    <w:rsid w:val="00676B15"/>
    <w:rsid w:val="00676B8B"/>
    <w:rsid w:val="00676C59"/>
    <w:rsid w:val="00676C68"/>
    <w:rsid w:val="00677215"/>
    <w:rsid w:val="00677BC0"/>
    <w:rsid w:val="00677C81"/>
    <w:rsid w:val="00677F53"/>
    <w:rsid w:val="0068016C"/>
    <w:rsid w:val="0068032B"/>
    <w:rsid w:val="006812AA"/>
    <w:rsid w:val="00681577"/>
    <w:rsid w:val="0068173F"/>
    <w:rsid w:val="0068226F"/>
    <w:rsid w:val="006825FF"/>
    <w:rsid w:val="006826E3"/>
    <w:rsid w:val="00682A1E"/>
    <w:rsid w:val="00682DD9"/>
    <w:rsid w:val="00683730"/>
    <w:rsid w:val="00683E91"/>
    <w:rsid w:val="006840A6"/>
    <w:rsid w:val="00684289"/>
    <w:rsid w:val="00684DB9"/>
    <w:rsid w:val="00684DC4"/>
    <w:rsid w:val="00684FC1"/>
    <w:rsid w:val="006850F6"/>
    <w:rsid w:val="006851A8"/>
    <w:rsid w:val="006851AA"/>
    <w:rsid w:val="006853C5"/>
    <w:rsid w:val="0068570A"/>
    <w:rsid w:val="00685DCD"/>
    <w:rsid w:val="00686099"/>
    <w:rsid w:val="00686589"/>
    <w:rsid w:val="0068667C"/>
    <w:rsid w:val="00686722"/>
    <w:rsid w:val="00686830"/>
    <w:rsid w:val="00686E64"/>
    <w:rsid w:val="00686E8A"/>
    <w:rsid w:val="00686FF6"/>
    <w:rsid w:val="00687183"/>
    <w:rsid w:val="00687D43"/>
    <w:rsid w:val="006900CD"/>
    <w:rsid w:val="00690CE6"/>
    <w:rsid w:val="00693151"/>
    <w:rsid w:val="00693229"/>
    <w:rsid w:val="00693B57"/>
    <w:rsid w:val="00693CA0"/>
    <w:rsid w:val="00693FA8"/>
    <w:rsid w:val="00694248"/>
    <w:rsid w:val="0069482B"/>
    <w:rsid w:val="006955F0"/>
    <w:rsid w:val="006A0400"/>
    <w:rsid w:val="006A0677"/>
    <w:rsid w:val="006A09AD"/>
    <w:rsid w:val="006A127B"/>
    <w:rsid w:val="006A14BF"/>
    <w:rsid w:val="006A17B4"/>
    <w:rsid w:val="006A2A56"/>
    <w:rsid w:val="006A2D8F"/>
    <w:rsid w:val="006A2DAC"/>
    <w:rsid w:val="006A2F20"/>
    <w:rsid w:val="006A3907"/>
    <w:rsid w:val="006A474A"/>
    <w:rsid w:val="006A4943"/>
    <w:rsid w:val="006A4BC7"/>
    <w:rsid w:val="006A5B6E"/>
    <w:rsid w:val="006A5D3E"/>
    <w:rsid w:val="006A5E19"/>
    <w:rsid w:val="006A5E3C"/>
    <w:rsid w:val="006A5FCC"/>
    <w:rsid w:val="006A6414"/>
    <w:rsid w:val="006A7068"/>
    <w:rsid w:val="006A7841"/>
    <w:rsid w:val="006B007C"/>
    <w:rsid w:val="006B0099"/>
    <w:rsid w:val="006B0187"/>
    <w:rsid w:val="006B0B77"/>
    <w:rsid w:val="006B0BF0"/>
    <w:rsid w:val="006B0C46"/>
    <w:rsid w:val="006B1039"/>
    <w:rsid w:val="006B12A1"/>
    <w:rsid w:val="006B1324"/>
    <w:rsid w:val="006B1736"/>
    <w:rsid w:val="006B198F"/>
    <w:rsid w:val="006B1B3E"/>
    <w:rsid w:val="006B284B"/>
    <w:rsid w:val="006B30B6"/>
    <w:rsid w:val="006B31B5"/>
    <w:rsid w:val="006B3259"/>
    <w:rsid w:val="006B36F6"/>
    <w:rsid w:val="006B3A43"/>
    <w:rsid w:val="006B3B6A"/>
    <w:rsid w:val="006B41A8"/>
    <w:rsid w:val="006B45EE"/>
    <w:rsid w:val="006B4793"/>
    <w:rsid w:val="006B4B30"/>
    <w:rsid w:val="006B4E74"/>
    <w:rsid w:val="006B529E"/>
    <w:rsid w:val="006B55DC"/>
    <w:rsid w:val="006B56BD"/>
    <w:rsid w:val="006B5ABC"/>
    <w:rsid w:val="006B5CEA"/>
    <w:rsid w:val="006B5F01"/>
    <w:rsid w:val="006B6307"/>
    <w:rsid w:val="006B6624"/>
    <w:rsid w:val="006B67E0"/>
    <w:rsid w:val="006B691E"/>
    <w:rsid w:val="006B6FA5"/>
    <w:rsid w:val="006B70C1"/>
    <w:rsid w:val="006B7402"/>
    <w:rsid w:val="006B7890"/>
    <w:rsid w:val="006B7AB3"/>
    <w:rsid w:val="006C00B8"/>
    <w:rsid w:val="006C05E1"/>
    <w:rsid w:val="006C0BF1"/>
    <w:rsid w:val="006C10CF"/>
    <w:rsid w:val="006C1350"/>
    <w:rsid w:val="006C17A1"/>
    <w:rsid w:val="006C18DB"/>
    <w:rsid w:val="006C1F43"/>
    <w:rsid w:val="006C1F69"/>
    <w:rsid w:val="006C2049"/>
    <w:rsid w:val="006C2096"/>
    <w:rsid w:val="006C2361"/>
    <w:rsid w:val="006C2664"/>
    <w:rsid w:val="006C26E7"/>
    <w:rsid w:val="006C272E"/>
    <w:rsid w:val="006C27F1"/>
    <w:rsid w:val="006C2E7C"/>
    <w:rsid w:val="006C3009"/>
    <w:rsid w:val="006C33E6"/>
    <w:rsid w:val="006C37FE"/>
    <w:rsid w:val="006C3903"/>
    <w:rsid w:val="006C3B3D"/>
    <w:rsid w:val="006C3D90"/>
    <w:rsid w:val="006C3F12"/>
    <w:rsid w:val="006C3F85"/>
    <w:rsid w:val="006C401B"/>
    <w:rsid w:val="006C4199"/>
    <w:rsid w:val="006C4E34"/>
    <w:rsid w:val="006C50F5"/>
    <w:rsid w:val="006C5178"/>
    <w:rsid w:val="006C59FF"/>
    <w:rsid w:val="006C5E3B"/>
    <w:rsid w:val="006C5FA0"/>
    <w:rsid w:val="006C634D"/>
    <w:rsid w:val="006C64E3"/>
    <w:rsid w:val="006C6EC1"/>
    <w:rsid w:val="006C7113"/>
    <w:rsid w:val="006C7221"/>
    <w:rsid w:val="006C73DF"/>
    <w:rsid w:val="006C7592"/>
    <w:rsid w:val="006D000D"/>
    <w:rsid w:val="006D08D8"/>
    <w:rsid w:val="006D0B6D"/>
    <w:rsid w:val="006D0B8B"/>
    <w:rsid w:val="006D0DEC"/>
    <w:rsid w:val="006D13A1"/>
    <w:rsid w:val="006D140C"/>
    <w:rsid w:val="006D148E"/>
    <w:rsid w:val="006D168E"/>
    <w:rsid w:val="006D1774"/>
    <w:rsid w:val="006D1839"/>
    <w:rsid w:val="006D193A"/>
    <w:rsid w:val="006D1D4D"/>
    <w:rsid w:val="006D1D59"/>
    <w:rsid w:val="006D2630"/>
    <w:rsid w:val="006D2940"/>
    <w:rsid w:val="006D2C35"/>
    <w:rsid w:val="006D2F5F"/>
    <w:rsid w:val="006D3187"/>
    <w:rsid w:val="006D376C"/>
    <w:rsid w:val="006D3D67"/>
    <w:rsid w:val="006D44D3"/>
    <w:rsid w:val="006D4D88"/>
    <w:rsid w:val="006D55D4"/>
    <w:rsid w:val="006D5926"/>
    <w:rsid w:val="006D65F1"/>
    <w:rsid w:val="006D68F6"/>
    <w:rsid w:val="006D7824"/>
    <w:rsid w:val="006D7DBE"/>
    <w:rsid w:val="006D7F75"/>
    <w:rsid w:val="006E0058"/>
    <w:rsid w:val="006E086A"/>
    <w:rsid w:val="006E0874"/>
    <w:rsid w:val="006E0C32"/>
    <w:rsid w:val="006E14F6"/>
    <w:rsid w:val="006E18B4"/>
    <w:rsid w:val="006E18BD"/>
    <w:rsid w:val="006E19EB"/>
    <w:rsid w:val="006E1D20"/>
    <w:rsid w:val="006E2389"/>
    <w:rsid w:val="006E28F5"/>
    <w:rsid w:val="006E2961"/>
    <w:rsid w:val="006E2C53"/>
    <w:rsid w:val="006E3542"/>
    <w:rsid w:val="006E35FB"/>
    <w:rsid w:val="006E3639"/>
    <w:rsid w:val="006E4304"/>
    <w:rsid w:val="006E4DCE"/>
    <w:rsid w:val="006E4E18"/>
    <w:rsid w:val="006E556D"/>
    <w:rsid w:val="006E55DA"/>
    <w:rsid w:val="006E5A0A"/>
    <w:rsid w:val="006E5A85"/>
    <w:rsid w:val="006E5AB3"/>
    <w:rsid w:val="006E5BDD"/>
    <w:rsid w:val="006E6323"/>
    <w:rsid w:val="006E6581"/>
    <w:rsid w:val="006E695D"/>
    <w:rsid w:val="006E7921"/>
    <w:rsid w:val="006E7D09"/>
    <w:rsid w:val="006F0492"/>
    <w:rsid w:val="006F0A84"/>
    <w:rsid w:val="006F0D33"/>
    <w:rsid w:val="006F0E4D"/>
    <w:rsid w:val="006F0E58"/>
    <w:rsid w:val="006F1161"/>
    <w:rsid w:val="006F1FD6"/>
    <w:rsid w:val="006F258E"/>
    <w:rsid w:val="006F29B1"/>
    <w:rsid w:val="006F2F2A"/>
    <w:rsid w:val="006F31E3"/>
    <w:rsid w:val="006F359A"/>
    <w:rsid w:val="006F3601"/>
    <w:rsid w:val="006F3DF3"/>
    <w:rsid w:val="006F4590"/>
    <w:rsid w:val="006F58B4"/>
    <w:rsid w:val="006F5CA2"/>
    <w:rsid w:val="006F5F29"/>
    <w:rsid w:val="006F6560"/>
    <w:rsid w:val="006F6BE8"/>
    <w:rsid w:val="006F7785"/>
    <w:rsid w:val="006F7966"/>
    <w:rsid w:val="007001C9"/>
    <w:rsid w:val="007003FD"/>
    <w:rsid w:val="007005A2"/>
    <w:rsid w:val="00700AC9"/>
    <w:rsid w:val="00700B4C"/>
    <w:rsid w:val="00700BC9"/>
    <w:rsid w:val="00700EE6"/>
    <w:rsid w:val="00701032"/>
    <w:rsid w:val="0070103E"/>
    <w:rsid w:val="0070166B"/>
    <w:rsid w:val="007018A0"/>
    <w:rsid w:val="00701CA2"/>
    <w:rsid w:val="00701D44"/>
    <w:rsid w:val="00702500"/>
    <w:rsid w:val="007025C5"/>
    <w:rsid w:val="007034D8"/>
    <w:rsid w:val="00703630"/>
    <w:rsid w:val="00704234"/>
    <w:rsid w:val="00704459"/>
    <w:rsid w:val="00704637"/>
    <w:rsid w:val="00704750"/>
    <w:rsid w:val="007047FC"/>
    <w:rsid w:val="00704997"/>
    <w:rsid w:val="007049DD"/>
    <w:rsid w:val="00705069"/>
    <w:rsid w:val="00705479"/>
    <w:rsid w:val="00705A8E"/>
    <w:rsid w:val="00706740"/>
    <w:rsid w:val="00706A57"/>
    <w:rsid w:val="00706AA1"/>
    <w:rsid w:val="00710A2E"/>
    <w:rsid w:val="00710CBB"/>
    <w:rsid w:val="00710D23"/>
    <w:rsid w:val="00710D33"/>
    <w:rsid w:val="00711111"/>
    <w:rsid w:val="00711219"/>
    <w:rsid w:val="00711B4C"/>
    <w:rsid w:val="00712D3C"/>
    <w:rsid w:val="00712D4B"/>
    <w:rsid w:val="00712D59"/>
    <w:rsid w:val="00712EE8"/>
    <w:rsid w:val="007130F6"/>
    <w:rsid w:val="00713149"/>
    <w:rsid w:val="00713701"/>
    <w:rsid w:val="00714270"/>
    <w:rsid w:val="007145F6"/>
    <w:rsid w:val="007146A7"/>
    <w:rsid w:val="0071498B"/>
    <w:rsid w:val="00714EBE"/>
    <w:rsid w:val="007153E0"/>
    <w:rsid w:val="00715578"/>
    <w:rsid w:val="0071595D"/>
    <w:rsid w:val="00715E45"/>
    <w:rsid w:val="00716821"/>
    <w:rsid w:val="00716E6F"/>
    <w:rsid w:val="007173FC"/>
    <w:rsid w:val="00717990"/>
    <w:rsid w:val="00717FAB"/>
    <w:rsid w:val="00720FC6"/>
    <w:rsid w:val="00720FD1"/>
    <w:rsid w:val="00721EE4"/>
    <w:rsid w:val="0072215B"/>
    <w:rsid w:val="00722D7B"/>
    <w:rsid w:val="00722E2A"/>
    <w:rsid w:val="00722EC8"/>
    <w:rsid w:val="00722F74"/>
    <w:rsid w:val="007232D4"/>
    <w:rsid w:val="007232DA"/>
    <w:rsid w:val="00723AC4"/>
    <w:rsid w:val="00723E37"/>
    <w:rsid w:val="00723FE7"/>
    <w:rsid w:val="0072468D"/>
    <w:rsid w:val="00724A93"/>
    <w:rsid w:val="00724BEA"/>
    <w:rsid w:val="00725789"/>
    <w:rsid w:val="0072643F"/>
    <w:rsid w:val="007265F0"/>
    <w:rsid w:val="0072695D"/>
    <w:rsid w:val="00727202"/>
    <w:rsid w:val="00727231"/>
    <w:rsid w:val="007274C3"/>
    <w:rsid w:val="00727734"/>
    <w:rsid w:val="00727C15"/>
    <w:rsid w:val="00727CCA"/>
    <w:rsid w:val="00727D37"/>
    <w:rsid w:val="007300F9"/>
    <w:rsid w:val="0073018C"/>
    <w:rsid w:val="007304C2"/>
    <w:rsid w:val="0073092F"/>
    <w:rsid w:val="00730B13"/>
    <w:rsid w:val="0073167C"/>
    <w:rsid w:val="00731AE2"/>
    <w:rsid w:val="00731DD8"/>
    <w:rsid w:val="00732320"/>
    <w:rsid w:val="0073238C"/>
    <w:rsid w:val="00732D89"/>
    <w:rsid w:val="00733A8A"/>
    <w:rsid w:val="00733A95"/>
    <w:rsid w:val="00733CF5"/>
    <w:rsid w:val="00734C9D"/>
    <w:rsid w:val="00735014"/>
    <w:rsid w:val="0073569C"/>
    <w:rsid w:val="00735782"/>
    <w:rsid w:val="007359FB"/>
    <w:rsid w:val="007360C2"/>
    <w:rsid w:val="007368E6"/>
    <w:rsid w:val="00736B31"/>
    <w:rsid w:val="00736B68"/>
    <w:rsid w:val="007408D9"/>
    <w:rsid w:val="00740953"/>
    <w:rsid w:val="00740BF8"/>
    <w:rsid w:val="0074104A"/>
    <w:rsid w:val="007414AD"/>
    <w:rsid w:val="00741565"/>
    <w:rsid w:val="007419E7"/>
    <w:rsid w:val="00741EF6"/>
    <w:rsid w:val="0074208D"/>
    <w:rsid w:val="0074256D"/>
    <w:rsid w:val="0074273A"/>
    <w:rsid w:val="00742CC0"/>
    <w:rsid w:val="00742ECE"/>
    <w:rsid w:val="007433A3"/>
    <w:rsid w:val="00743EBF"/>
    <w:rsid w:val="00745191"/>
    <w:rsid w:val="0074560D"/>
    <w:rsid w:val="00745916"/>
    <w:rsid w:val="007459FF"/>
    <w:rsid w:val="00745ADC"/>
    <w:rsid w:val="007467CB"/>
    <w:rsid w:val="00746B38"/>
    <w:rsid w:val="007475FF"/>
    <w:rsid w:val="00747BB7"/>
    <w:rsid w:val="0075135C"/>
    <w:rsid w:val="007513C1"/>
    <w:rsid w:val="00751418"/>
    <w:rsid w:val="00751953"/>
    <w:rsid w:val="00751ACD"/>
    <w:rsid w:val="0075217F"/>
    <w:rsid w:val="00752339"/>
    <w:rsid w:val="007523D6"/>
    <w:rsid w:val="00752DD2"/>
    <w:rsid w:val="00752E36"/>
    <w:rsid w:val="00753B7F"/>
    <w:rsid w:val="00754072"/>
    <w:rsid w:val="0075459A"/>
    <w:rsid w:val="00754B1E"/>
    <w:rsid w:val="007550DD"/>
    <w:rsid w:val="00755C72"/>
    <w:rsid w:val="00755C7E"/>
    <w:rsid w:val="00756158"/>
    <w:rsid w:val="00756229"/>
    <w:rsid w:val="00756318"/>
    <w:rsid w:val="00756568"/>
    <w:rsid w:val="0075656A"/>
    <w:rsid w:val="007568AB"/>
    <w:rsid w:val="00756A97"/>
    <w:rsid w:val="00756C99"/>
    <w:rsid w:val="007572B3"/>
    <w:rsid w:val="007575BF"/>
    <w:rsid w:val="00757916"/>
    <w:rsid w:val="00757F45"/>
    <w:rsid w:val="00760850"/>
    <w:rsid w:val="00760884"/>
    <w:rsid w:val="00760A9B"/>
    <w:rsid w:val="00760B0B"/>
    <w:rsid w:val="00760F8F"/>
    <w:rsid w:val="00761352"/>
    <w:rsid w:val="0076176D"/>
    <w:rsid w:val="007618EB"/>
    <w:rsid w:val="00761E6F"/>
    <w:rsid w:val="00762515"/>
    <w:rsid w:val="007625EA"/>
    <w:rsid w:val="00762C1B"/>
    <w:rsid w:val="00762E3C"/>
    <w:rsid w:val="0076319D"/>
    <w:rsid w:val="0076346A"/>
    <w:rsid w:val="007635A2"/>
    <w:rsid w:val="0076364D"/>
    <w:rsid w:val="007637B3"/>
    <w:rsid w:val="007638ED"/>
    <w:rsid w:val="00763D95"/>
    <w:rsid w:val="00763F4D"/>
    <w:rsid w:val="00764394"/>
    <w:rsid w:val="00764502"/>
    <w:rsid w:val="00764AC0"/>
    <w:rsid w:val="00764F94"/>
    <w:rsid w:val="007679F7"/>
    <w:rsid w:val="00767EEA"/>
    <w:rsid w:val="0077063C"/>
    <w:rsid w:val="00770B82"/>
    <w:rsid w:val="00770F4B"/>
    <w:rsid w:val="00771056"/>
    <w:rsid w:val="00771376"/>
    <w:rsid w:val="00771951"/>
    <w:rsid w:val="00771A39"/>
    <w:rsid w:val="00771C05"/>
    <w:rsid w:val="00771E47"/>
    <w:rsid w:val="00772444"/>
    <w:rsid w:val="00773626"/>
    <w:rsid w:val="00773F1E"/>
    <w:rsid w:val="00773FB8"/>
    <w:rsid w:val="0077441E"/>
    <w:rsid w:val="007744E0"/>
    <w:rsid w:val="00774539"/>
    <w:rsid w:val="00774584"/>
    <w:rsid w:val="007747FD"/>
    <w:rsid w:val="00774A13"/>
    <w:rsid w:val="00774CCD"/>
    <w:rsid w:val="0077549C"/>
    <w:rsid w:val="0077553D"/>
    <w:rsid w:val="00775795"/>
    <w:rsid w:val="00775822"/>
    <w:rsid w:val="00775E69"/>
    <w:rsid w:val="007768F1"/>
    <w:rsid w:val="007808D6"/>
    <w:rsid w:val="00780FD3"/>
    <w:rsid w:val="007810B6"/>
    <w:rsid w:val="0078124A"/>
    <w:rsid w:val="00781A90"/>
    <w:rsid w:val="00781B41"/>
    <w:rsid w:val="00782067"/>
    <w:rsid w:val="00782086"/>
    <w:rsid w:val="00782365"/>
    <w:rsid w:val="00782BE3"/>
    <w:rsid w:val="00783114"/>
    <w:rsid w:val="00783AD0"/>
    <w:rsid w:val="00783C22"/>
    <w:rsid w:val="00783EE0"/>
    <w:rsid w:val="007841E3"/>
    <w:rsid w:val="00784526"/>
    <w:rsid w:val="0078470C"/>
    <w:rsid w:val="007847B1"/>
    <w:rsid w:val="0078486E"/>
    <w:rsid w:val="00784B26"/>
    <w:rsid w:val="00784E02"/>
    <w:rsid w:val="00785460"/>
    <w:rsid w:val="00786A58"/>
    <w:rsid w:val="00786F1A"/>
    <w:rsid w:val="0078719A"/>
    <w:rsid w:val="00787406"/>
    <w:rsid w:val="0078753D"/>
    <w:rsid w:val="00787790"/>
    <w:rsid w:val="00787800"/>
    <w:rsid w:val="00787BBF"/>
    <w:rsid w:val="00787E39"/>
    <w:rsid w:val="0079010C"/>
    <w:rsid w:val="00790150"/>
    <w:rsid w:val="0079024E"/>
    <w:rsid w:val="00790493"/>
    <w:rsid w:val="00790A0D"/>
    <w:rsid w:val="00790C94"/>
    <w:rsid w:val="0079192F"/>
    <w:rsid w:val="00791943"/>
    <w:rsid w:val="00791C72"/>
    <w:rsid w:val="00792317"/>
    <w:rsid w:val="00792328"/>
    <w:rsid w:val="00792861"/>
    <w:rsid w:val="00793229"/>
    <w:rsid w:val="0079334B"/>
    <w:rsid w:val="00793FDC"/>
    <w:rsid w:val="007940BA"/>
    <w:rsid w:val="00794B1F"/>
    <w:rsid w:val="00794BE8"/>
    <w:rsid w:val="007954D2"/>
    <w:rsid w:val="007957E8"/>
    <w:rsid w:val="00795EB8"/>
    <w:rsid w:val="00795F79"/>
    <w:rsid w:val="0079609A"/>
    <w:rsid w:val="00796127"/>
    <w:rsid w:val="007963A4"/>
    <w:rsid w:val="00796685"/>
    <w:rsid w:val="0079721E"/>
    <w:rsid w:val="0079793C"/>
    <w:rsid w:val="00797AE1"/>
    <w:rsid w:val="007A0304"/>
    <w:rsid w:val="007A094C"/>
    <w:rsid w:val="007A0988"/>
    <w:rsid w:val="007A0BCD"/>
    <w:rsid w:val="007A0DE1"/>
    <w:rsid w:val="007A1261"/>
    <w:rsid w:val="007A1429"/>
    <w:rsid w:val="007A18B1"/>
    <w:rsid w:val="007A25CF"/>
    <w:rsid w:val="007A26D1"/>
    <w:rsid w:val="007A32C8"/>
    <w:rsid w:val="007A32E6"/>
    <w:rsid w:val="007A336D"/>
    <w:rsid w:val="007A357A"/>
    <w:rsid w:val="007A37E5"/>
    <w:rsid w:val="007A414C"/>
    <w:rsid w:val="007A451D"/>
    <w:rsid w:val="007A45F6"/>
    <w:rsid w:val="007A4F30"/>
    <w:rsid w:val="007A4F55"/>
    <w:rsid w:val="007A5135"/>
    <w:rsid w:val="007A54A2"/>
    <w:rsid w:val="007A59E1"/>
    <w:rsid w:val="007A5A61"/>
    <w:rsid w:val="007A6725"/>
    <w:rsid w:val="007A6873"/>
    <w:rsid w:val="007A697F"/>
    <w:rsid w:val="007A74A6"/>
    <w:rsid w:val="007A7549"/>
    <w:rsid w:val="007A778A"/>
    <w:rsid w:val="007A793C"/>
    <w:rsid w:val="007A79DD"/>
    <w:rsid w:val="007B0072"/>
    <w:rsid w:val="007B07F2"/>
    <w:rsid w:val="007B09D4"/>
    <w:rsid w:val="007B16C7"/>
    <w:rsid w:val="007B1CC6"/>
    <w:rsid w:val="007B1DAF"/>
    <w:rsid w:val="007B1F50"/>
    <w:rsid w:val="007B2031"/>
    <w:rsid w:val="007B21A9"/>
    <w:rsid w:val="007B234F"/>
    <w:rsid w:val="007B2515"/>
    <w:rsid w:val="007B2535"/>
    <w:rsid w:val="007B2AA6"/>
    <w:rsid w:val="007B2E3D"/>
    <w:rsid w:val="007B3483"/>
    <w:rsid w:val="007B391E"/>
    <w:rsid w:val="007B3A57"/>
    <w:rsid w:val="007B4221"/>
    <w:rsid w:val="007B4354"/>
    <w:rsid w:val="007B4977"/>
    <w:rsid w:val="007B5013"/>
    <w:rsid w:val="007B5203"/>
    <w:rsid w:val="007B683F"/>
    <w:rsid w:val="007B72CC"/>
    <w:rsid w:val="007B75D3"/>
    <w:rsid w:val="007B7EF7"/>
    <w:rsid w:val="007C02C6"/>
    <w:rsid w:val="007C04E3"/>
    <w:rsid w:val="007C0A99"/>
    <w:rsid w:val="007C0DE2"/>
    <w:rsid w:val="007C0FCD"/>
    <w:rsid w:val="007C134F"/>
    <w:rsid w:val="007C194B"/>
    <w:rsid w:val="007C1BD3"/>
    <w:rsid w:val="007C1FF4"/>
    <w:rsid w:val="007C2124"/>
    <w:rsid w:val="007C21CB"/>
    <w:rsid w:val="007C2785"/>
    <w:rsid w:val="007C2897"/>
    <w:rsid w:val="007C3506"/>
    <w:rsid w:val="007C3741"/>
    <w:rsid w:val="007C4259"/>
    <w:rsid w:val="007C42BF"/>
    <w:rsid w:val="007C48EE"/>
    <w:rsid w:val="007C4C8E"/>
    <w:rsid w:val="007C5EF8"/>
    <w:rsid w:val="007C65C1"/>
    <w:rsid w:val="007C6B14"/>
    <w:rsid w:val="007C71E6"/>
    <w:rsid w:val="007C740C"/>
    <w:rsid w:val="007D0179"/>
    <w:rsid w:val="007D02F2"/>
    <w:rsid w:val="007D05E8"/>
    <w:rsid w:val="007D0917"/>
    <w:rsid w:val="007D0B58"/>
    <w:rsid w:val="007D0CBF"/>
    <w:rsid w:val="007D0E83"/>
    <w:rsid w:val="007D0E8E"/>
    <w:rsid w:val="007D1007"/>
    <w:rsid w:val="007D14ED"/>
    <w:rsid w:val="007D179F"/>
    <w:rsid w:val="007D1CED"/>
    <w:rsid w:val="007D1D56"/>
    <w:rsid w:val="007D2005"/>
    <w:rsid w:val="007D20BD"/>
    <w:rsid w:val="007D2BCB"/>
    <w:rsid w:val="007D2C42"/>
    <w:rsid w:val="007D2CA4"/>
    <w:rsid w:val="007D3914"/>
    <w:rsid w:val="007D3CCE"/>
    <w:rsid w:val="007D439D"/>
    <w:rsid w:val="007D4A07"/>
    <w:rsid w:val="007D502C"/>
    <w:rsid w:val="007D5585"/>
    <w:rsid w:val="007D5FD2"/>
    <w:rsid w:val="007D615E"/>
    <w:rsid w:val="007D6298"/>
    <w:rsid w:val="007D70B5"/>
    <w:rsid w:val="007D7309"/>
    <w:rsid w:val="007D7444"/>
    <w:rsid w:val="007D7CAF"/>
    <w:rsid w:val="007D7EDD"/>
    <w:rsid w:val="007E06F1"/>
    <w:rsid w:val="007E09E1"/>
    <w:rsid w:val="007E152B"/>
    <w:rsid w:val="007E239F"/>
    <w:rsid w:val="007E2BB8"/>
    <w:rsid w:val="007E2C9E"/>
    <w:rsid w:val="007E355B"/>
    <w:rsid w:val="007E3732"/>
    <w:rsid w:val="007E38FF"/>
    <w:rsid w:val="007E40DB"/>
    <w:rsid w:val="007E444D"/>
    <w:rsid w:val="007E50E0"/>
    <w:rsid w:val="007E50FF"/>
    <w:rsid w:val="007E5166"/>
    <w:rsid w:val="007E5195"/>
    <w:rsid w:val="007E5278"/>
    <w:rsid w:val="007E566C"/>
    <w:rsid w:val="007E5763"/>
    <w:rsid w:val="007E578A"/>
    <w:rsid w:val="007E5845"/>
    <w:rsid w:val="007E5BD0"/>
    <w:rsid w:val="007E646A"/>
    <w:rsid w:val="007E6584"/>
    <w:rsid w:val="007E6815"/>
    <w:rsid w:val="007E7041"/>
    <w:rsid w:val="007E70E9"/>
    <w:rsid w:val="007E739F"/>
    <w:rsid w:val="007E77AA"/>
    <w:rsid w:val="007E7AC8"/>
    <w:rsid w:val="007E7F4D"/>
    <w:rsid w:val="007F002C"/>
    <w:rsid w:val="007F021A"/>
    <w:rsid w:val="007F0646"/>
    <w:rsid w:val="007F122B"/>
    <w:rsid w:val="007F125E"/>
    <w:rsid w:val="007F169C"/>
    <w:rsid w:val="007F1CD3"/>
    <w:rsid w:val="007F29F6"/>
    <w:rsid w:val="007F2F60"/>
    <w:rsid w:val="007F3712"/>
    <w:rsid w:val="007F38CC"/>
    <w:rsid w:val="007F47BC"/>
    <w:rsid w:val="007F5159"/>
    <w:rsid w:val="007F5300"/>
    <w:rsid w:val="007F55D2"/>
    <w:rsid w:val="007F56A1"/>
    <w:rsid w:val="007F5DFF"/>
    <w:rsid w:val="007F61BF"/>
    <w:rsid w:val="007F749C"/>
    <w:rsid w:val="007F7C7F"/>
    <w:rsid w:val="007F7F81"/>
    <w:rsid w:val="007F7FE1"/>
    <w:rsid w:val="008000BE"/>
    <w:rsid w:val="00800418"/>
    <w:rsid w:val="0080069F"/>
    <w:rsid w:val="00801070"/>
    <w:rsid w:val="008010E1"/>
    <w:rsid w:val="00801987"/>
    <w:rsid w:val="00801F27"/>
    <w:rsid w:val="00802191"/>
    <w:rsid w:val="008022FA"/>
    <w:rsid w:val="008024F6"/>
    <w:rsid w:val="00802639"/>
    <w:rsid w:val="00802850"/>
    <w:rsid w:val="00802863"/>
    <w:rsid w:val="00802F4D"/>
    <w:rsid w:val="0080302D"/>
    <w:rsid w:val="00803061"/>
    <w:rsid w:val="008037DE"/>
    <w:rsid w:val="00803C8E"/>
    <w:rsid w:val="00803F6A"/>
    <w:rsid w:val="008040A4"/>
    <w:rsid w:val="00804219"/>
    <w:rsid w:val="00804607"/>
    <w:rsid w:val="008046C9"/>
    <w:rsid w:val="00804C61"/>
    <w:rsid w:val="00804EA9"/>
    <w:rsid w:val="00806803"/>
    <w:rsid w:val="008068AA"/>
    <w:rsid w:val="00806FCA"/>
    <w:rsid w:val="00807360"/>
    <w:rsid w:val="00807439"/>
    <w:rsid w:val="0080747D"/>
    <w:rsid w:val="008076C9"/>
    <w:rsid w:val="00807C80"/>
    <w:rsid w:val="00807D7B"/>
    <w:rsid w:val="00807E7C"/>
    <w:rsid w:val="00810495"/>
    <w:rsid w:val="00810903"/>
    <w:rsid w:val="00810CEE"/>
    <w:rsid w:val="00810ECD"/>
    <w:rsid w:val="008111F6"/>
    <w:rsid w:val="0081146A"/>
    <w:rsid w:val="00811581"/>
    <w:rsid w:val="008117E6"/>
    <w:rsid w:val="008118DB"/>
    <w:rsid w:val="008120C1"/>
    <w:rsid w:val="008121F5"/>
    <w:rsid w:val="008122BB"/>
    <w:rsid w:val="008122C1"/>
    <w:rsid w:val="00812DB4"/>
    <w:rsid w:val="00813A80"/>
    <w:rsid w:val="00814322"/>
    <w:rsid w:val="008144B7"/>
    <w:rsid w:val="00814828"/>
    <w:rsid w:val="0081489A"/>
    <w:rsid w:val="00814B70"/>
    <w:rsid w:val="008151BF"/>
    <w:rsid w:val="00815366"/>
    <w:rsid w:val="008155D6"/>
    <w:rsid w:val="008158A1"/>
    <w:rsid w:val="00815B36"/>
    <w:rsid w:val="00816362"/>
    <w:rsid w:val="008165DC"/>
    <w:rsid w:val="00816871"/>
    <w:rsid w:val="00816CFA"/>
    <w:rsid w:val="00816FF7"/>
    <w:rsid w:val="00817393"/>
    <w:rsid w:val="008176F6"/>
    <w:rsid w:val="008178A5"/>
    <w:rsid w:val="0082061D"/>
    <w:rsid w:val="008208C3"/>
    <w:rsid w:val="0082136F"/>
    <w:rsid w:val="008213E8"/>
    <w:rsid w:val="00821D0D"/>
    <w:rsid w:val="00822836"/>
    <w:rsid w:val="00822956"/>
    <w:rsid w:val="008229A4"/>
    <w:rsid w:val="00822BDC"/>
    <w:rsid w:val="00822BE6"/>
    <w:rsid w:val="00823B94"/>
    <w:rsid w:val="00823E5F"/>
    <w:rsid w:val="00823ED6"/>
    <w:rsid w:val="008247A4"/>
    <w:rsid w:val="00824A4A"/>
    <w:rsid w:val="00824EF5"/>
    <w:rsid w:val="0082506C"/>
    <w:rsid w:val="00825104"/>
    <w:rsid w:val="00826071"/>
    <w:rsid w:val="00826891"/>
    <w:rsid w:val="008268CB"/>
    <w:rsid w:val="00826B6B"/>
    <w:rsid w:val="00826C1D"/>
    <w:rsid w:val="00826D00"/>
    <w:rsid w:val="008274FA"/>
    <w:rsid w:val="00830482"/>
    <w:rsid w:val="008304E2"/>
    <w:rsid w:val="00830565"/>
    <w:rsid w:val="00830963"/>
    <w:rsid w:val="008313B9"/>
    <w:rsid w:val="008316BF"/>
    <w:rsid w:val="00831E82"/>
    <w:rsid w:val="00831F28"/>
    <w:rsid w:val="0083211D"/>
    <w:rsid w:val="0083236C"/>
    <w:rsid w:val="00832372"/>
    <w:rsid w:val="00832B96"/>
    <w:rsid w:val="00832CB9"/>
    <w:rsid w:val="00832D31"/>
    <w:rsid w:val="00832DF9"/>
    <w:rsid w:val="00832F7C"/>
    <w:rsid w:val="00832FA2"/>
    <w:rsid w:val="008333FD"/>
    <w:rsid w:val="00833413"/>
    <w:rsid w:val="00833697"/>
    <w:rsid w:val="008336D9"/>
    <w:rsid w:val="0083370E"/>
    <w:rsid w:val="0083373C"/>
    <w:rsid w:val="00834092"/>
    <w:rsid w:val="00834669"/>
    <w:rsid w:val="008348A8"/>
    <w:rsid w:val="00834D1C"/>
    <w:rsid w:val="00834E81"/>
    <w:rsid w:val="00835118"/>
    <w:rsid w:val="008351D1"/>
    <w:rsid w:val="00835369"/>
    <w:rsid w:val="00835421"/>
    <w:rsid w:val="0083593D"/>
    <w:rsid w:val="00835A40"/>
    <w:rsid w:val="00835DA2"/>
    <w:rsid w:val="00835E38"/>
    <w:rsid w:val="0083604D"/>
    <w:rsid w:val="008364D9"/>
    <w:rsid w:val="008367B2"/>
    <w:rsid w:val="008367B8"/>
    <w:rsid w:val="008367DB"/>
    <w:rsid w:val="00836EF3"/>
    <w:rsid w:val="008374B5"/>
    <w:rsid w:val="00837BAE"/>
    <w:rsid w:val="008401C5"/>
    <w:rsid w:val="008408C4"/>
    <w:rsid w:val="00840AC4"/>
    <w:rsid w:val="00841C6A"/>
    <w:rsid w:val="00841EA2"/>
    <w:rsid w:val="00842192"/>
    <w:rsid w:val="0084230E"/>
    <w:rsid w:val="008426B5"/>
    <w:rsid w:val="008428E3"/>
    <w:rsid w:val="008430BC"/>
    <w:rsid w:val="00843120"/>
    <w:rsid w:val="00843232"/>
    <w:rsid w:val="00843336"/>
    <w:rsid w:val="0084403D"/>
    <w:rsid w:val="00844210"/>
    <w:rsid w:val="00844304"/>
    <w:rsid w:val="0084446C"/>
    <w:rsid w:val="00844969"/>
    <w:rsid w:val="00844A3E"/>
    <w:rsid w:val="0084563F"/>
    <w:rsid w:val="0084638B"/>
    <w:rsid w:val="00846421"/>
    <w:rsid w:val="00846532"/>
    <w:rsid w:val="008466E9"/>
    <w:rsid w:val="00846748"/>
    <w:rsid w:val="00846BF2"/>
    <w:rsid w:val="00846C82"/>
    <w:rsid w:val="00847094"/>
    <w:rsid w:val="00847395"/>
    <w:rsid w:val="008473BB"/>
    <w:rsid w:val="0084765A"/>
    <w:rsid w:val="008476DD"/>
    <w:rsid w:val="00847B05"/>
    <w:rsid w:val="00847E7E"/>
    <w:rsid w:val="00850113"/>
    <w:rsid w:val="00850184"/>
    <w:rsid w:val="008506B1"/>
    <w:rsid w:val="008517A3"/>
    <w:rsid w:val="00851889"/>
    <w:rsid w:val="00851C60"/>
    <w:rsid w:val="00851C7E"/>
    <w:rsid w:val="00851D6E"/>
    <w:rsid w:val="00852093"/>
    <w:rsid w:val="00852157"/>
    <w:rsid w:val="008521CD"/>
    <w:rsid w:val="008525FB"/>
    <w:rsid w:val="0085332F"/>
    <w:rsid w:val="008537E9"/>
    <w:rsid w:val="008539C6"/>
    <w:rsid w:val="00853A45"/>
    <w:rsid w:val="00853AEF"/>
    <w:rsid w:val="00853FE9"/>
    <w:rsid w:val="00855348"/>
    <w:rsid w:val="008553AB"/>
    <w:rsid w:val="0085545E"/>
    <w:rsid w:val="00855A0B"/>
    <w:rsid w:val="00855B25"/>
    <w:rsid w:val="00855CCA"/>
    <w:rsid w:val="008564E2"/>
    <w:rsid w:val="008565D3"/>
    <w:rsid w:val="00856CC3"/>
    <w:rsid w:val="00857864"/>
    <w:rsid w:val="008579E6"/>
    <w:rsid w:val="00857B0D"/>
    <w:rsid w:val="008600A4"/>
    <w:rsid w:val="00860A26"/>
    <w:rsid w:val="00860DB3"/>
    <w:rsid w:val="008614C4"/>
    <w:rsid w:val="0086152F"/>
    <w:rsid w:val="0086157D"/>
    <w:rsid w:val="008616CF"/>
    <w:rsid w:val="00861E58"/>
    <w:rsid w:val="008620CA"/>
    <w:rsid w:val="00862837"/>
    <w:rsid w:val="008628B5"/>
    <w:rsid w:val="00863FE8"/>
    <w:rsid w:val="0086479D"/>
    <w:rsid w:val="00865021"/>
    <w:rsid w:val="00865673"/>
    <w:rsid w:val="00865BD9"/>
    <w:rsid w:val="00865DC2"/>
    <w:rsid w:val="00865E1A"/>
    <w:rsid w:val="008665CA"/>
    <w:rsid w:val="008668C8"/>
    <w:rsid w:val="00867AA2"/>
    <w:rsid w:val="008701AF"/>
    <w:rsid w:val="008701FE"/>
    <w:rsid w:val="00870B7F"/>
    <w:rsid w:val="00870D9E"/>
    <w:rsid w:val="0087102E"/>
    <w:rsid w:val="008713E1"/>
    <w:rsid w:val="00871C11"/>
    <w:rsid w:val="008723DE"/>
    <w:rsid w:val="00872D9A"/>
    <w:rsid w:val="00873DA7"/>
    <w:rsid w:val="00873E0A"/>
    <w:rsid w:val="00873E77"/>
    <w:rsid w:val="00874107"/>
    <w:rsid w:val="00874E66"/>
    <w:rsid w:val="008750E5"/>
    <w:rsid w:val="0087562E"/>
    <w:rsid w:val="0087575B"/>
    <w:rsid w:val="00875784"/>
    <w:rsid w:val="008758C8"/>
    <w:rsid w:val="008762AF"/>
    <w:rsid w:val="008762CE"/>
    <w:rsid w:val="008763FD"/>
    <w:rsid w:val="00876781"/>
    <w:rsid w:val="00876AEA"/>
    <w:rsid w:val="008771A4"/>
    <w:rsid w:val="008771A5"/>
    <w:rsid w:val="00877F19"/>
    <w:rsid w:val="0088029A"/>
    <w:rsid w:val="0088090F"/>
    <w:rsid w:val="00880CE9"/>
    <w:rsid w:val="00880EC8"/>
    <w:rsid w:val="00880F20"/>
    <w:rsid w:val="0088121B"/>
    <w:rsid w:val="008813D4"/>
    <w:rsid w:val="008819EE"/>
    <w:rsid w:val="00882B4B"/>
    <w:rsid w:val="008832B8"/>
    <w:rsid w:val="008834C0"/>
    <w:rsid w:val="00883588"/>
    <w:rsid w:val="00883666"/>
    <w:rsid w:val="0088380F"/>
    <w:rsid w:val="00883E8F"/>
    <w:rsid w:val="008847D5"/>
    <w:rsid w:val="00884FB7"/>
    <w:rsid w:val="008852D7"/>
    <w:rsid w:val="00885407"/>
    <w:rsid w:val="00885F01"/>
    <w:rsid w:val="00886028"/>
    <w:rsid w:val="0088604E"/>
    <w:rsid w:val="00886924"/>
    <w:rsid w:val="00886A52"/>
    <w:rsid w:val="0088755E"/>
    <w:rsid w:val="008877DC"/>
    <w:rsid w:val="00887D87"/>
    <w:rsid w:val="00887E04"/>
    <w:rsid w:val="008906EA"/>
    <w:rsid w:val="00890CFC"/>
    <w:rsid w:val="0089121B"/>
    <w:rsid w:val="0089122B"/>
    <w:rsid w:val="00891E8C"/>
    <w:rsid w:val="0089207E"/>
    <w:rsid w:val="00892451"/>
    <w:rsid w:val="0089275D"/>
    <w:rsid w:val="00892816"/>
    <w:rsid w:val="00892B0E"/>
    <w:rsid w:val="00892E28"/>
    <w:rsid w:val="0089309E"/>
    <w:rsid w:val="008932E3"/>
    <w:rsid w:val="00893D7F"/>
    <w:rsid w:val="008941C5"/>
    <w:rsid w:val="00894368"/>
    <w:rsid w:val="008943E6"/>
    <w:rsid w:val="0089457F"/>
    <w:rsid w:val="00894626"/>
    <w:rsid w:val="00894A4C"/>
    <w:rsid w:val="0089502D"/>
    <w:rsid w:val="00895285"/>
    <w:rsid w:val="00895399"/>
    <w:rsid w:val="00895996"/>
    <w:rsid w:val="00895E00"/>
    <w:rsid w:val="00895F74"/>
    <w:rsid w:val="00896004"/>
    <w:rsid w:val="008960D4"/>
    <w:rsid w:val="008963E4"/>
    <w:rsid w:val="0089670B"/>
    <w:rsid w:val="00896A1D"/>
    <w:rsid w:val="00896EDF"/>
    <w:rsid w:val="008A0216"/>
    <w:rsid w:val="008A0A14"/>
    <w:rsid w:val="008A0BAB"/>
    <w:rsid w:val="008A0C51"/>
    <w:rsid w:val="008A186B"/>
    <w:rsid w:val="008A18EF"/>
    <w:rsid w:val="008A1B77"/>
    <w:rsid w:val="008A1BA5"/>
    <w:rsid w:val="008A1D90"/>
    <w:rsid w:val="008A20D2"/>
    <w:rsid w:val="008A22E1"/>
    <w:rsid w:val="008A2746"/>
    <w:rsid w:val="008A2959"/>
    <w:rsid w:val="008A302F"/>
    <w:rsid w:val="008A355A"/>
    <w:rsid w:val="008A3638"/>
    <w:rsid w:val="008A41A4"/>
    <w:rsid w:val="008A43EB"/>
    <w:rsid w:val="008A45BC"/>
    <w:rsid w:val="008A4C6C"/>
    <w:rsid w:val="008A4E31"/>
    <w:rsid w:val="008A50E3"/>
    <w:rsid w:val="008A521C"/>
    <w:rsid w:val="008A5760"/>
    <w:rsid w:val="008A5AA0"/>
    <w:rsid w:val="008A5AE3"/>
    <w:rsid w:val="008A5C76"/>
    <w:rsid w:val="008A5FCE"/>
    <w:rsid w:val="008A6337"/>
    <w:rsid w:val="008A674D"/>
    <w:rsid w:val="008A6D2D"/>
    <w:rsid w:val="008A6DEE"/>
    <w:rsid w:val="008A7937"/>
    <w:rsid w:val="008A7CB8"/>
    <w:rsid w:val="008A7F64"/>
    <w:rsid w:val="008B027F"/>
    <w:rsid w:val="008B0899"/>
    <w:rsid w:val="008B0C24"/>
    <w:rsid w:val="008B0D1E"/>
    <w:rsid w:val="008B1029"/>
    <w:rsid w:val="008B1576"/>
    <w:rsid w:val="008B1782"/>
    <w:rsid w:val="008B1F5E"/>
    <w:rsid w:val="008B1FD2"/>
    <w:rsid w:val="008B22F1"/>
    <w:rsid w:val="008B3280"/>
    <w:rsid w:val="008B336C"/>
    <w:rsid w:val="008B3478"/>
    <w:rsid w:val="008B49A9"/>
    <w:rsid w:val="008B4B8B"/>
    <w:rsid w:val="008B4F22"/>
    <w:rsid w:val="008B5448"/>
    <w:rsid w:val="008B5752"/>
    <w:rsid w:val="008B625D"/>
    <w:rsid w:val="008B6308"/>
    <w:rsid w:val="008B66E2"/>
    <w:rsid w:val="008B6A65"/>
    <w:rsid w:val="008B70F0"/>
    <w:rsid w:val="008B74C8"/>
    <w:rsid w:val="008B778F"/>
    <w:rsid w:val="008B7929"/>
    <w:rsid w:val="008C0001"/>
    <w:rsid w:val="008C0067"/>
    <w:rsid w:val="008C0B10"/>
    <w:rsid w:val="008C0DA0"/>
    <w:rsid w:val="008C0E3B"/>
    <w:rsid w:val="008C0E45"/>
    <w:rsid w:val="008C0F45"/>
    <w:rsid w:val="008C1551"/>
    <w:rsid w:val="008C16AE"/>
    <w:rsid w:val="008C1E31"/>
    <w:rsid w:val="008C3535"/>
    <w:rsid w:val="008C3691"/>
    <w:rsid w:val="008C3714"/>
    <w:rsid w:val="008C3BE4"/>
    <w:rsid w:val="008C3D8C"/>
    <w:rsid w:val="008C3E51"/>
    <w:rsid w:val="008C4BF4"/>
    <w:rsid w:val="008C56B4"/>
    <w:rsid w:val="008C578E"/>
    <w:rsid w:val="008C5B7E"/>
    <w:rsid w:val="008C5C80"/>
    <w:rsid w:val="008C5E50"/>
    <w:rsid w:val="008C6290"/>
    <w:rsid w:val="008C6662"/>
    <w:rsid w:val="008C6813"/>
    <w:rsid w:val="008C6853"/>
    <w:rsid w:val="008C6A6B"/>
    <w:rsid w:val="008C6BAE"/>
    <w:rsid w:val="008C7D72"/>
    <w:rsid w:val="008D0320"/>
    <w:rsid w:val="008D0A8E"/>
    <w:rsid w:val="008D0F65"/>
    <w:rsid w:val="008D13B2"/>
    <w:rsid w:val="008D14F7"/>
    <w:rsid w:val="008D163C"/>
    <w:rsid w:val="008D1A7B"/>
    <w:rsid w:val="008D1E32"/>
    <w:rsid w:val="008D2032"/>
    <w:rsid w:val="008D2374"/>
    <w:rsid w:val="008D2962"/>
    <w:rsid w:val="008D2D25"/>
    <w:rsid w:val="008D3091"/>
    <w:rsid w:val="008D375D"/>
    <w:rsid w:val="008D3C7E"/>
    <w:rsid w:val="008D4BCB"/>
    <w:rsid w:val="008D4C3F"/>
    <w:rsid w:val="008D4C64"/>
    <w:rsid w:val="008D4D2B"/>
    <w:rsid w:val="008D5022"/>
    <w:rsid w:val="008D522A"/>
    <w:rsid w:val="008D5EBF"/>
    <w:rsid w:val="008D5F52"/>
    <w:rsid w:val="008D62C1"/>
    <w:rsid w:val="008D647B"/>
    <w:rsid w:val="008D6902"/>
    <w:rsid w:val="008D6CED"/>
    <w:rsid w:val="008D75D2"/>
    <w:rsid w:val="008D77E8"/>
    <w:rsid w:val="008D79A0"/>
    <w:rsid w:val="008D79C2"/>
    <w:rsid w:val="008D7D66"/>
    <w:rsid w:val="008E00B1"/>
    <w:rsid w:val="008E10C9"/>
    <w:rsid w:val="008E1526"/>
    <w:rsid w:val="008E174F"/>
    <w:rsid w:val="008E201B"/>
    <w:rsid w:val="008E2813"/>
    <w:rsid w:val="008E285E"/>
    <w:rsid w:val="008E2C73"/>
    <w:rsid w:val="008E3478"/>
    <w:rsid w:val="008E3FB6"/>
    <w:rsid w:val="008E489A"/>
    <w:rsid w:val="008E48D1"/>
    <w:rsid w:val="008E4EE8"/>
    <w:rsid w:val="008E5044"/>
    <w:rsid w:val="008E5144"/>
    <w:rsid w:val="008E5199"/>
    <w:rsid w:val="008E5270"/>
    <w:rsid w:val="008E5470"/>
    <w:rsid w:val="008E56A2"/>
    <w:rsid w:val="008E56F7"/>
    <w:rsid w:val="008E599E"/>
    <w:rsid w:val="008E5EAB"/>
    <w:rsid w:val="008E5FCB"/>
    <w:rsid w:val="008E6427"/>
    <w:rsid w:val="008E660A"/>
    <w:rsid w:val="008E6C8D"/>
    <w:rsid w:val="008E6ED5"/>
    <w:rsid w:val="008E73B4"/>
    <w:rsid w:val="008E755E"/>
    <w:rsid w:val="008E78D4"/>
    <w:rsid w:val="008E7BEB"/>
    <w:rsid w:val="008F0551"/>
    <w:rsid w:val="008F0852"/>
    <w:rsid w:val="008F14D6"/>
    <w:rsid w:val="008F1B1A"/>
    <w:rsid w:val="008F1E9F"/>
    <w:rsid w:val="008F259C"/>
    <w:rsid w:val="008F28A6"/>
    <w:rsid w:val="008F311E"/>
    <w:rsid w:val="008F33E4"/>
    <w:rsid w:val="008F3B30"/>
    <w:rsid w:val="008F41A1"/>
    <w:rsid w:val="008F4397"/>
    <w:rsid w:val="008F4481"/>
    <w:rsid w:val="008F52F8"/>
    <w:rsid w:val="008F59BE"/>
    <w:rsid w:val="008F5D63"/>
    <w:rsid w:val="008F5E72"/>
    <w:rsid w:val="008F64F9"/>
    <w:rsid w:val="008F6F9C"/>
    <w:rsid w:val="008F7178"/>
    <w:rsid w:val="008F722C"/>
    <w:rsid w:val="008F72F4"/>
    <w:rsid w:val="008F732B"/>
    <w:rsid w:val="008F7639"/>
    <w:rsid w:val="008F7D94"/>
    <w:rsid w:val="009004A9"/>
    <w:rsid w:val="00900F2A"/>
    <w:rsid w:val="00900F82"/>
    <w:rsid w:val="00901B83"/>
    <w:rsid w:val="00901F96"/>
    <w:rsid w:val="0090245B"/>
    <w:rsid w:val="00902635"/>
    <w:rsid w:val="0090287A"/>
    <w:rsid w:val="00902931"/>
    <w:rsid w:val="00902AAE"/>
    <w:rsid w:val="00902E7F"/>
    <w:rsid w:val="009031E4"/>
    <w:rsid w:val="00903715"/>
    <w:rsid w:val="009040E9"/>
    <w:rsid w:val="00904743"/>
    <w:rsid w:val="009049C3"/>
    <w:rsid w:val="00904F34"/>
    <w:rsid w:val="00905BCE"/>
    <w:rsid w:val="00905E5A"/>
    <w:rsid w:val="009060CF"/>
    <w:rsid w:val="00906821"/>
    <w:rsid w:val="00906839"/>
    <w:rsid w:val="00906900"/>
    <w:rsid w:val="00906ED2"/>
    <w:rsid w:val="009070D0"/>
    <w:rsid w:val="009072F3"/>
    <w:rsid w:val="00907A2F"/>
    <w:rsid w:val="00907A6D"/>
    <w:rsid w:val="009102E9"/>
    <w:rsid w:val="00910540"/>
    <w:rsid w:val="009112E4"/>
    <w:rsid w:val="009114D6"/>
    <w:rsid w:val="009115F9"/>
    <w:rsid w:val="009118D7"/>
    <w:rsid w:val="0091362A"/>
    <w:rsid w:val="009138A2"/>
    <w:rsid w:val="00913B7F"/>
    <w:rsid w:val="00914490"/>
    <w:rsid w:val="00914951"/>
    <w:rsid w:val="00914CD5"/>
    <w:rsid w:val="00916BF8"/>
    <w:rsid w:val="0091722A"/>
    <w:rsid w:val="009176DD"/>
    <w:rsid w:val="0091794A"/>
    <w:rsid w:val="00917C08"/>
    <w:rsid w:val="009203E1"/>
    <w:rsid w:val="0092053F"/>
    <w:rsid w:val="00920AA0"/>
    <w:rsid w:val="00920D09"/>
    <w:rsid w:val="00921043"/>
    <w:rsid w:val="009210DF"/>
    <w:rsid w:val="00921362"/>
    <w:rsid w:val="009216AE"/>
    <w:rsid w:val="00922197"/>
    <w:rsid w:val="009222E7"/>
    <w:rsid w:val="0092274B"/>
    <w:rsid w:val="00922780"/>
    <w:rsid w:val="00922BF3"/>
    <w:rsid w:val="00922CC3"/>
    <w:rsid w:val="00922F9B"/>
    <w:rsid w:val="0092327A"/>
    <w:rsid w:val="0092359D"/>
    <w:rsid w:val="00923687"/>
    <w:rsid w:val="009236EB"/>
    <w:rsid w:val="00923777"/>
    <w:rsid w:val="00923B75"/>
    <w:rsid w:val="0092409F"/>
    <w:rsid w:val="0092486B"/>
    <w:rsid w:val="0092537B"/>
    <w:rsid w:val="00926525"/>
    <w:rsid w:val="0092657E"/>
    <w:rsid w:val="00926BA3"/>
    <w:rsid w:val="00927ADD"/>
    <w:rsid w:val="00930C71"/>
    <w:rsid w:val="00930F53"/>
    <w:rsid w:val="00931158"/>
    <w:rsid w:val="00931285"/>
    <w:rsid w:val="00931C6C"/>
    <w:rsid w:val="00931CEE"/>
    <w:rsid w:val="00932A10"/>
    <w:rsid w:val="00933221"/>
    <w:rsid w:val="009335D7"/>
    <w:rsid w:val="009338C3"/>
    <w:rsid w:val="00933C64"/>
    <w:rsid w:val="00933FDC"/>
    <w:rsid w:val="00934675"/>
    <w:rsid w:val="00934A97"/>
    <w:rsid w:val="00934C65"/>
    <w:rsid w:val="00936798"/>
    <w:rsid w:val="00936B63"/>
    <w:rsid w:val="00936B90"/>
    <w:rsid w:val="00937007"/>
    <w:rsid w:val="0093745F"/>
    <w:rsid w:val="00937C65"/>
    <w:rsid w:val="00937FD5"/>
    <w:rsid w:val="0094035A"/>
    <w:rsid w:val="0094054F"/>
    <w:rsid w:val="00940E7C"/>
    <w:rsid w:val="00941343"/>
    <w:rsid w:val="00941367"/>
    <w:rsid w:val="00941614"/>
    <w:rsid w:val="00941AC0"/>
    <w:rsid w:val="00941F63"/>
    <w:rsid w:val="00942150"/>
    <w:rsid w:val="00942319"/>
    <w:rsid w:val="00942840"/>
    <w:rsid w:val="00942A5B"/>
    <w:rsid w:val="00943093"/>
    <w:rsid w:val="00943140"/>
    <w:rsid w:val="00943706"/>
    <w:rsid w:val="0094415D"/>
    <w:rsid w:val="00944AD2"/>
    <w:rsid w:val="009452A1"/>
    <w:rsid w:val="0094539A"/>
    <w:rsid w:val="00945789"/>
    <w:rsid w:val="009459E8"/>
    <w:rsid w:val="00945CA9"/>
    <w:rsid w:val="00945FCF"/>
    <w:rsid w:val="00946068"/>
    <w:rsid w:val="00946A81"/>
    <w:rsid w:val="00946D70"/>
    <w:rsid w:val="00946E04"/>
    <w:rsid w:val="00946F83"/>
    <w:rsid w:val="009470BE"/>
    <w:rsid w:val="009474FD"/>
    <w:rsid w:val="00947572"/>
    <w:rsid w:val="0094785C"/>
    <w:rsid w:val="00947D42"/>
    <w:rsid w:val="00947FAC"/>
    <w:rsid w:val="009507BA"/>
    <w:rsid w:val="00950FF5"/>
    <w:rsid w:val="00951198"/>
    <w:rsid w:val="009513D9"/>
    <w:rsid w:val="00951430"/>
    <w:rsid w:val="00951A12"/>
    <w:rsid w:val="00951BC3"/>
    <w:rsid w:val="00951C8A"/>
    <w:rsid w:val="00951ED6"/>
    <w:rsid w:val="00952593"/>
    <w:rsid w:val="0095275E"/>
    <w:rsid w:val="00952863"/>
    <w:rsid w:val="00952A8B"/>
    <w:rsid w:val="009533C8"/>
    <w:rsid w:val="00953859"/>
    <w:rsid w:val="00953D65"/>
    <w:rsid w:val="00954188"/>
    <w:rsid w:val="00954327"/>
    <w:rsid w:val="00954E0C"/>
    <w:rsid w:val="009553EE"/>
    <w:rsid w:val="0095568F"/>
    <w:rsid w:val="00955738"/>
    <w:rsid w:val="00955F90"/>
    <w:rsid w:val="0095641C"/>
    <w:rsid w:val="00956C4F"/>
    <w:rsid w:val="00957169"/>
    <w:rsid w:val="0095728A"/>
    <w:rsid w:val="0095745E"/>
    <w:rsid w:val="00957C15"/>
    <w:rsid w:val="0096011A"/>
    <w:rsid w:val="009604C2"/>
    <w:rsid w:val="00960B31"/>
    <w:rsid w:val="00961515"/>
    <w:rsid w:val="00961792"/>
    <w:rsid w:val="009617DC"/>
    <w:rsid w:val="00961991"/>
    <w:rsid w:val="00961FFB"/>
    <w:rsid w:val="0096272B"/>
    <w:rsid w:val="00963119"/>
    <w:rsid w:val="009631C3"/>
    <w:rsid w:val="00963510"/>
    <w:rsid w:val="009636EC"/>
    <w:rsid w:val="009637E6"/>
    <w:rsid w:val="009640A7"/>
    <w:rsid w:val="0096415B"/>
    <w:rsid w:val="009642F8"/>
    <w:rsid w:val="009648EE"/>
    <w:rsid w:val="0096499F"/>
    <w:rsid w:val="00964FC9"/>
    <w:rsid w:val="0096522F"/>
    <w:rsid w:val="009653BD"/>
    <w:rsid w:val="00965420"/>
    <w:rsid w:val="00966162"/>
    <w:rsid w:val="0096634B"/>
    <w:rsid w:val="009664CF"/>
    <w:rsid w:val="009665A9"/>
    <w:rsid w:val="00966B9B"/>
    <w:rsid w:val="00966EA1"/>
    <w:rsid w:val="009670FD"/>
    <w:rsid w:val="009671FD"/>
    <w:rsid w:val="00967531"/>
    <w:rsid w:val="009675B3"/>
    <w:rsid w:val="00967BBD"/>
    <w:rsid w:val="00967F0C"/>
    <w:rsid w:val="009703CE"/>
    <w:rsid w:val="009707B4"/>
    <w:rsid w:val="009715E0"/>
    <w:rsid w:val="0097199C"/>
    <w:rsid w:val="00971D6E"/>
    <w:rsid w:val="009721E9"/>
    <w:rsid w:val="00972286"/>
    <w:rsid w:val="009722FF"/>
    <w:rsid w:val="0097247C"/>
    <w:rsid w:val="00972E11"/>
    <w:rsid w:val="009730F3"/>
    <w:rsid w:val="0097334F"/>
    <w:rsid w:val="00973E02"/>
    <w:rsid w:val="009742AA"/>
    <w:rsid w:val="00974E22"/>
    <w:rsid w:val="00974E81"/>
    <w:rsid w:val="00974EBA"/>
    <w:rsid w:val="0097571A"/>
    <w:rsid w:val="00975894"/>
    <w:rsid w:val="009759AE"/>
    <w:rsid w:val="00975D3E"/>
    <w:rsid w:val="00976041"/>
    <w:rsid w:val="009760C4"/>
    <w:rsid w:val="00976439"/>
    <w:rsid w:val="0097647E"/>
    <w:rsid w:val="009765C2"/>
    <w:rsid w:val="009769DC"/>
    <w:rsid w:val="00976E9C"/>
    <w:rsid w:val="009771CB"/>
    <w:rsid w:val="00977285"/>
    <w:rsid w:val="0097753A"/>
    <w:rsid w:val="0097769C"/>
    <w:rsid w:val="00980383"/>
    <w:rsid w:val="0098042C"/>
    <w:rsid w:val="0098088F"/>
    <w:rsid w:val="00980F42"/>
    <w:rsid w:val="00981056"/>
    <w:rsid w:val="009811E3"/>
    <w:rsid w:val="00981FDB"/>
    <w:rsid w:val="009823E0"/>
    <w:rsid w:val="00982710"/>
    <w:rsid w:val="0098277F"/>
    <w:rsid w:val="00982AE9"/>
    <w:rsid w:val="00982B69"/>
    <w:rsid w:val="009836D4"/>
    <w:rsid w:val="00983FA3"/>
    <w:rsid w:val="00984CBD"/>
    <w:rsid w:val="0098539A"/>
    <w:rsid w:val="00985574"/>
    <w:rsid w:val="00986263"/>
    <w:rsid w:val="009865C9"/>
    <w:rsid w:val="00986D8F"/>
    <w:rsid w:val="0098703A"/>
    <w:rsid w:val="009872FD"/>
    <w:rsid w:val="00987B30"/>
    <w:rsid w:val="00987EE8"/>
    <w:rsid w:val="009906B0"/>
    <w:rsid w:val="00990784"/>
    <w:rsid w:val="0099126F"/>
    <w:rsid w:val="009912CD"/>
    <w:rsid w:val="009914C7"/>
    <w:rsid w:val="00991550"/>
    <w:rsid w:val="009922C1"/>
    <w:rsid w:val="0099327C"/>
    <w:rsid w:val="0099337D"/>
    <w:rsid w:val="009935D6"/>
    <w:rsid w:val="0099369D"/>
    <w:rsid w:val="00994017"/>
    <w:rsid w:val="00994365"/>
    <w:rsid w:val="00994689"/>
    <w:rsid w:val="00994BB5"/>
    <w:rsid w:val="00994CB4"/>
    <w:rsid w:val="009953C9"/>
    <w:rsid w:val="009964FE"/>
    <w:rsid w:val="00996FC0"/>
    <w:rsid w:val="009970DD"/>
    <w:rsid w:val="00997228"/>
    <w:rsid w:val="0099737B"/>
    <w:rsid w:val="009974DF"/>
    <w:rsid w:val="009974EB"/>
    <w:rsid w:val="00997654"/>
    <w:rsid w:val="00997996"/>
    <w:rsid w:val="00997A9B"/>
    <w:rsid w:val="00997BCA"/>
    <w:rsid w:val="00997D1D"/>
    <w:rsid w:val="00997E03"/>
    <w:rsid w:val="009A0366"/>
    <w:rsid w:val="009A045E"/>
    <w:rsid w:val="009A0A31"/>
    <w:rsid w:val="009A13AB"/>
    <w:rsid w:val="009A1A2D"/>
    <w:rsid w:val="009A1ACE"/>
    <w:rsid w:val="009A1BA0"/>
    <w:rsid w:val="009A1F3B"/>
    <w:rsid w:val="009A2041"/>
    <w:rsid w:val="009A2220"/>
    <w:rsid w:val="009A2305"/>
    <w:rsid w:val="009A263F"/>
    <w:rsid w:val="009A2908"/>
    <w:rsid w:val="009A2D0A"/>
    <w:rsid w:val="009A3639"/>
    <w:rsid w:val="009A3881"/>
    <w:rsid w:val="009A3975"/>
    <w:rsid w:val="009A3E77"/>
    <w:rsid w:val="009A3F84"/>
    <w:rsid w:val="009A410E"/>
    <w:rsid w:val="009A45DC"/>
    <w:rsid w:val="009A487B"/>
    <w:rsid w:val="009A4F6F"/>
    <w:rsid w:val="009A50EA"/>
    <w:rsid w:val="009A52BE"/>
    <w:rsid w:val="009A69F3"/>
    <w:rsid w:val="009A6D2E"/>
    <w:rsid w:val="009A6E4E"/>
    <w:rsid w:val="009A6E61"/>
    <w:rsid w:val="009A713D"/>
    <w:rsid w:val="009A7B6B"/>
    <w:rsid w:val="009A7F3F"/>
    <w:rsid w:val="009B0243"/>
    <w:rsid w:val="009B0920"/>
    <w:rsid w:val="009B0E08"/>
    <w:rsid w:val="009B10BE"/>
    <w:rsid w:val="009B17B4"/>
    <w:rsid w:val="009B24E7"/>
    <w:rsid w:val="009B27F6"/>
    <w:rsid w:val="009B2D15"/>
    <w:rsid w:val="009B2E0D"/>
    <w:rsid w:val="009B2FE8"/>
    <w:rsid w:val="009B3B49"/>
    <w:rsid w:val="009B3CF3"/>
    <w:rsid w:val="009B3D4C"/>
    <w:rsid w:val="009B3FA2"/>
    <w:rsid w:val="009B3FCE"/>
    <w:rsid w:val="009B4BC9"/>
    <w:rsid w:val="009B50CC"/>
    <w:rsid w:val="009B5604"/>
    <w:rsid w:val="009B5ADB"/>
    <w:rsid w:val="009B5D47"/>
    <w:rsid w:val="009B5DCA"/>
    <w:rsid w:val="009B6147"/>
    <w:rsid w:val="009B666C"/>
    <w:rsid w:val="009B705E"/>
    <w:rsid w:val="009B77FC"/>
    <w:rsid w:val="009C00F3"/>
    <w:rsid w:val="009C015B"/>
    <w:rsid w:val="009C0935"/>
    <w:rsid w:val="009C0A48"/>
    <w:rsid w:val="009C0FA3"/>
    <w:rsid w:val="009C19AC"/>
    <w:rsid w:val="009C1A0F"/>
    <w:rsid w:val="009C1BA4"/>
    <w:rsid w:val="009C245D"/>
    <w:rsid w:val="009C2C98"/>
    <w:rsid w:val="009C2F1F"/>
    <w:rsid w:val="009C31E1"/>
    <w:rsid w:val="009C3891"/>
    <w:rsid w:val="009C3A88"/>
    <w:rsid w:val="009C3FDA"/>
    <w:rsid w:val="009C4B4A"/>
    <w:rsid w:val="009C4CE4"/>
    <w:rsid w:val="009C55F0"/>
    <w:rsid w:val="009C597F"/>
    <w:rsid w:val="009C5D0C"/>
    <w:rsid w:val="009C7012"/>
    <w:rsid w:val="009C74C4"/>
    <w:rsid w:val="009C7603"/>
    <w:rsid w:val="009C7965"/>
    <w:rsid w:val="009C79F8"/>
    <w:rsid w:val="009C7BE0"/>
    <w:rsid w:val="009C7C1E"/>
    <w:rsid w:val="009D029F"/>
    <w:rsid w:val="009D145A"/>
    <w:rsid w:val="009D1769"/>
    <w:rsid w:val="009D1858"/>
    <w:rsid w:val="009D1E8F"/>
    <w:rsid w:val="009D20A9"/>
    <w:rsid w:val="009D2D1F"/>
    <w:rsid w:val="009D2E7D"/>
    <w:rsid w:val="009D3126"/>
    <w:rsid w:val="009D3179"/>
    <w:rsid w:val="009D36CB"/>
    <w:rsid w:val="009D3A76"/>
    <w:rsid w:val="009D3ABD"/>
    <w:rsid w:val="009D3B07"/>
    <w:rsid w:val="009D43EF"/>
    <w:rsid w:val="009D45C2"/>
    <w:rsid w:val="009D4711"/>
    <w:rsid w:val="009D4AC0"/>
    <w:rsid w:val="009D57C1"/>
    <w:rsid w:val="009D6254"/>
    <w:rsid w:val="009D65FC"/>
    <w:rsid w:val="009D695E"/>
    <w:rsid w:val="009D6DD1"/>
    <w:rsid w:val="009D73F6"/>
    <w:rsid w:val="009D787C"/>
    <w:rsid w:val="009D7DB7"/>
    <w:rsid w:val="009D7E8A"/>
    <w:rsid w:val="009E0BEA"/>
    <w:rsid w:val="009E0D30"/>
    <w:rsid w:val="009E0DDE"/>
    <w:rsid w:val="009E113B"/>
    <w:rsid w:val="009E16DC"/>
    <w:rsid w:val="009E20D1"/>
    <w:rsid w:val="009E2688"/>
    <w:rsid w:val="009E2760"/>
    <w:rsid w:val="009E284A"/>
    <w:rsid w:val="009E3326"/>
    <w:rsid w:val="009E342E"/>
    <w:rsid w:val="009E3484"/>
    <w:rsid w:val="009E3874"/>
    <w:rsid w:val="009E3CB5"/>
    <w:rsid w:val="009E4826"/>
    <w:rsid w:val="009E484A"/>
    <w:rsid w:val="009E4A89"/>
    <w:rsid w:val="009E4CE4"/>
    <w:rsid w:val="009E4E39"/>
    <w:rsid w:val="009E4F3B"/>
    <w:rsid w:val="009E5452"/>
    <w:rsid w:val="009E5579"/>
    <w:rsid w:val="009E5B63"/>
    <w:rsid w:val="009E5C82"/>
    <w:rsid w:val="009E5CFE"/>
    <w:rsid w:val="009E6172"/>
    <w:rsid w:val="009E62A8"/>
    <w:rsid w:val="009E62E0"/>
    <w:rsid w:val="009E63EB"/>
    <w:rsid w:val="009E6401"/>
    <w:rsid w:val="009E68A0"/>
    <w:rsid w:val="009E68D8"/>
    <w:rsid w:val="009E6B62"/>
    <w:rsid w:val="009E6C70"/>
    <w:rsid w:val="009E6C87"/>
    <w:rsid w:val="009E6E27"/>
    <w:rsid w:val="009F05B1"/>
    <w:rsid w:val="009F0B1C"/>
    <w:rsid w:val="009F0C3A"/>
    <w:rsid w:val="009F1075"/>
    <w:rsid w:val="009F1237"/>
    <w:rsid w:val="009F17B7"/>
    <w:rsid w:val="009F18F5"/>
    <w:rsid w:val="009F1962"/>
    <w:rsid w:val="009F214F"/>
    <w:rsid w:val="009F2158"/>
    <w:rsid w:val="009F2255"/>
    <w:rsid w:val="009F24C1"/>
    <w:rsid w:val="009F2647"/>
    <w:rsid w:val="009F289D"/>
    <w:rsid w:val="009F2BE7"/>
    <w:rsid w:val="009F3DE0"/>
    <w:rsid w:val="009F3F05"/>
    <w:rsid w:val="009F441F"/>
    <w:rsid w:val="009F444D"/>
    <w:rsid w:val="009F44B2"/>
    <w:rsid w:val="009F458A"/>
    <w:rsid w:val="009F51F9"/>
    <w:rsid w:val="009F527A"/>
    <w:rsid w:val="009F593E"/>
    <w:rsid w:val="009F5C8C"/>
    <w:rsid w:val="009F5D55"/>
    <w:rsid w:val="009F5DB4"/>
    <w:rsid w:val="009F5EDB"/>
    <w:rsid w:val="009F5F79"/>
    <w:rsid w:val="009F6CA2"/>
    <w:rsid w:val="009F6D35"/>
    <w:rsid w:val="009F74C9"/>
    <w:rsid w:val="009F75F9"/>
    <w:rsid w:val="009F7FF9"/>
    <w:rsid w:val="00A001E0"/>
    <w:rsid w:val="00A002C6"/>
    <w:rsid w:val="00A003C6"/>
    <w:rsid w:val="00A00764"/>
    <w:rsid w:val="00A011E1"/>
    <w:rsid w:val="00A015A8"/>
    <w:rsid w:val="00A0161F"/>
    <w:rsid w:val="00A01ABB"/>
    <w:rsid w:val="00A02228"/>
    <w:rsid w:val="00A022A7"/>
    <w:rsid w:val="00A0251A"/>
    <w:rsid w:val="00A031A3"/>
    <w:rsid w:val="00A03580"/>
    <w:rsid w:val="00A03BCF"/>
    <w:rsid w:val="00A03CE6"/>
    <w:rsid w:val="00A041AE"/>
    <w:rsid w:val="00A0467F"/>
    <w:rsid w:val="00A04E6A"/>
    <w:rsid w:val="00A05227"/>
    <w:rsid w:val="00A05CDB"/>
    <w:rsid w:val="00A05FA8"/>
    <w:rsid w:val="00A060B8"/>
    <w:rsid w:val="00A06496"/>
    <w:rsid w:val="00A06714"/>
    <w:rsid w:val="00A06BA1"/>
    <w:rsid w:val="00A07474"/>
    <w:rsid w:val="00A07F72"/>
    <w:rsid w:val="00A10251"/>
    <w:rsid w:val="00A107C6"/>
    <w:rsid w:val="00A10819"/>
    <w:rsid w:val="00A10904"/>
    <w:rsid w:val="00A11B19"/>
    <w:rsid w:val="00A11BD1"/>
    <w:rsid w:val="00A11EFE"/>
    <w:rsid w:val="00A11F27"/>
    <w:rsid w:val="00A1256C"/>
    <w:rsid w:val="00A12802"/>
    <w:rsid w:val="00A12A3F"/>
    <w:rsid w:val="00A12CE0"/>
    <w:rsid w:val="00A13B9D"/>
    <w:rsid w:val="00A13ECF"/>
    <w:rsid w:val="00A13F5D"/>
    <w:rsid w:val="00A146B9"/>
    <w:rsid w:val="00A14707"/>
    <w:rsid w:val="00A1474A"/>
    <w:rsid w:val="00A147B1"/>
    <w:rsid w:val="00A14859"/>
    <w:rsid w:val="00A14B72"/>
    <w:rsid w:val="00A14FE7"/>
    <w:rsid w:val="00A15054"/>
    <w:rsid w:val="00A15EF7"/>
    <w:rsid w:val="00A160E3"/>
    <w:rsid w:val="00A166E0"/>
    <w:rsid w:val="00A1672F"/>
    <w:rsid w:val="00A16E69"/>
    <w:rsid w:val="00A17A26"/>
    <w:rsid w:val="00A17A7D"/>
    <w:rsid w:val="00A200AF"/>
    <w:rsid w:val="00A20B81"/>
    <w:rsid w:val="00A2151E"/>
    <w:rsid w:val="00A2175C"/>
    <w:rsid w:val="00A21982"/>
    <w:rsid w:val="00A220D2"/>
    <w:rsid w:val="00A222F3"/>
    <w:rsid w:val="00A22765"/>
    <w:rsid w:val="00A22A08"/>
    <w:rsid w:val="00A22C63"/>
    <w:rsid w:val="00A22CA3"/>
    <w:rsid w:val="00A22EF3"/>
    <w:rsid w:val="00A23961"/>
    <w:rsid w:val="00A23F2F"/>
    <w:rsid w:val="00A243EE"/>
    <w:rsid w:val="00A24952"/>
    <w:rsid w:val="00A24A57"/>
    <w:rsid w:val="00A24B9E"/>
    <w:rsid w:val="00A25383"/>
    <w:rsid w:val="00A25B29"/>
    <w:rsid w:val="00A25CBC"/>
    <w:rsid w:val="00A26598"/>
    <w:rsid w:val="00A267B3"/>
    <w:rsid w:val="00A26AA3"/>
    <w:rsid w:val="00A271B0"/>
    <w:rsid w:val="00A300D9"/>
    <w:rsid w:val="00A3013F"/>
    <w:rsid w:val="00A30521"/>
    <w:rsid w:val="00A30ADD"/>
    <w:rsid w:val="00A30FC2"/>
    <w:rsid w:val="00A3105F"/>
    <w:rsid w:val="00A3119F"/>
    <w:rsid w:val="00A31214"/>
    <w:rsid w:val="00A314A7"/>
    <w:rsid w:val="00A3171C"/>
    <w:rsid w:val="00A325A4"/>
    <w:rsid w:val="00A329B4"/>
    <w:rsid w:val="00A32A91"/>
    <w:rsid w:val="00A32E5B"/>
    <w:rsid w:val="00A34393"/>
    <w:rsid w:val="00A34783"/>
    <w:rsid w:val="00A348E0"/>
    <w:rsid w:val="00A34DBA"/>
    <w:rsid w:val="00A34DE9"/>
    <w:rsid w:val="00A35694"/>
    <w:rsid w:val="00A35A03"/>
    <w:rsid w:val="00A35E70"/>
    <w:rsid w:val="00A3600A"/>
    <w:rsid w:val="00A3622B"/>
    <w:rsid w:val="00A36A0F"/>
    <w:rsid w:val="00A36CEE"/>
    <w:rsid w:val="00A36E38"/>
    <w:rsid w:val="00A3727C"/>
    <w:rsid w:val="00A3797A"/>
    <w:rsid w:val="00A40B46"/>
    <w:rsid w:val="00A40FC7"/>
    <w:rsid w:val="00A4132D"/>
    <w:rsid w:val="00A41513"/>
    <w:rsid w:val="00A415C6"/>
    <w:rsid w:val="00A419AC"/>
    <w:rsid w:val="00A41F04"/>
    <w:rsid w:val="00A421D0"/>
    <w:rsid w:val="00A42466"/>
    <w:rsid w:val="00A426E0"/>
    <w:rsid w:val="00A42F7C"/>
    <w:rsid w:val="00A430E3"/>
    <w:rsid w:val="00A436D2"/>
    <w:rsid w:val="00A438A6"/>
    <w:rsid w:val="00A43D4D"/>
    <w:rsid w:val="00A43DAD"/>
    <w:rsid w:val="00A4437E"/>
    <w:rsid w:val="00A448F1"/>
    <w:rsid w:val="00A451D5"/>
    <w:rsid w:val="00A45608"/>
    <w:rsid w:val="00A4574C"/>
    <w:rsid w:val="00A45A08"/>
    <w:rsid w:val="00A45A2E"/>
    <w:rsid w:val="00A45D8B"/>
    <w:rsid w:val="00A45FC1"/>
    <w:rsid w:val="00A46BFD"/>
    <w:rsid w:val="00A46CD6"/>
    <w:rsid w:val="00A47834"/>
    <w:rsid w:val="00A47857"/>
    <w:rsid w:val="00A47BFF"/>
    <w:rsid w:val="00A5014B"/>
    <w:rsid w:val="00A5037A"/>
    <w:rsid w:val="00A51C3C"/>
    <w:rsid w:val="00A51DAD"/>
    <w:rsid w:val="00A521F7"/>
    <w:rsid w:val="00A52F18"/>
    <w:rsid w:val="00A5354F"/>
    <w:rsid w:val="00A53702"/>
    <w:rsid w:val="00A55554"/>
    <w:rsid w:val="00A556B6"/>
    <w:rsid w:val="00A55A5D"/>
    <w:rsid w:val="00A55FB8"/>
    <w:rsid w:val="00A564B4"/>
    <w:rsid w:val="00A56556"/>
    <w:rsid w:val="00A567C4"/>
    <w:rsid w:val="00A56AF4"/>
    <w:rsid w:val="00A5734F"/>
    <w:rsid w:val="00A575E3"/>
    <w:rsid w:val="00A579B2"/>
    <w:rsid w:val="00A57AC5"/>
    <w:rsid w:val="00A57E6E"/>
    <w:rsid w:val="00A60273"/>
    <w:rsid w:val="00A6030D"/>
    <w:rsid w:val="00A603D9"/>
    <w:rsid w:val="00A6082B"/>
    <w:rsid w:val="00A608C4"/>
    <w:rsid w:val="00A60930"/>
    <w:rsid w:val="00A60A6E"/>
    <w:rsid w:val="00A61181"/>
    <w:rsid w:val="00A61EA1"/>
    <w:rsid w:val="00A6296E"/>
    <w:rsid w:val="00A62A7B"/>
    <w:rsid w:val="00A636A1"/>
    <w:rsid w:val="00A64423"/>
    <w:rsid w:val="00A64B99"/>
    <w:rsid w:val="00A65A1E"/>
    <w:rsid w:val="00A66CFD"/>
    <w:rsid w:val="00A672D6"/>
    <w:rsid w:val="00A70083"/>
    <w:rsid w:val="00A7015A"/>
    <w:rsid w:val="00A7041A"/>
    <w:rsid w:val="00A707AE"/>
    <w:rsid w:val="00A707CE"/>
    <w:rsid w:val="00A71047"/>
    <w:rsid w:val="00A71BD1"/>
    <w:rsid w:val="00A72338"/>
    <w:rsid w:val="00A72DFD"/>
    <w:rsid w:val="00A73155"/>
    <w:rsid w:val="00A73AD5"/>
    <w:rsid w:val="00A741A5"/>
    <w:rsid w:val="00A74A51"/>
    <w:rsid w:val="00A74A71"/>
    <w:rsid w:val="00A74FE6"/>
    <w:rsid w:val="00A75044"/>
    <w:rsid w:val="00A750D3"/>
    <w:rsid w:val="00A753C1"/>
    <w:rsid w:val="00A754CD"/>
    <w:rsid w:val="00A7573D"/>
    <w:rsid w:val="00A762E1"/>
    <w:rsid w:val="00A7642E"/>
    <w:rsid w:val="00A76911"/>
    <w:rsid w:val="00A774B5"/>
    <w:rsid w:val="00A803DD"/>
    <w:rsid w:val="00A808D6"/>
    <w:rsid w:val="00A80DEC"/>
    <w:rsid w:val="00A80FF0"/>
    <w:rsid w:val="00A81183"/>
    <w:rsid w:val="00A811B0"/>
    <w:rsid w:val="00A8126D"/>
    <w:rsid w:val="00A815D1"/>
    <w:rsid w:val="00A819CA"/>
    <w:rsid w:val="00A81FD6"/>
    <w:rsid w:val="00A82244"/>
    <w:rsid w:val="00A8247B"/>
    <w:rsid w:val="00A8261C"/>
    <w:rsid w:val="00A82863"/>
    <w:rsid w:val="00A82B68"/>
    <w:rsid w:val="00A82DA7"/>
    <w:rsid w:val="00A83179"/>
    <w:rsid w:val="00A833E6"/>
    <w:rsid w:val="00A835AE"/>
    <w:rsid w:val="00A83693"/>
    <w:rsid w:val="00A83C7A"/>
    <w:rsid w:val="00A83D5E"/>
    <w:rsid w:val="00A83D80"/>
    <w:rsid w:val="00A83DD9"/>
    <w:rsid w:val="00A83EAE"/>
    <w:rsid w:val="00A841AE"/>
    <w:rsid w:val="00A84428"/>
    <w:rsid w:val="00A844C1"/>
    <w:rsid w:val="00A85820"/>
    <w:rsid w:val="00A85B7F"/>
    <w:rsid w:val="00A863BB"/>
    <w:rsid w:val="00A8657F"/>
    <w:rsid w:val="00A8674B"/>
    <w:rsid w:val="00A868CE"/>
    <w:rsid w:val="00A86EB3"/>
    <w:rsid w:val="00A870BF"/>
    <w:rsid w:val="00A876E4"/>
    <w:rsid w:val="00A8791D"/>
    <w:rsid w:val="00A87D78"/>
    <w:rsid w:val="00A87F14"/>
    <w:rsid w:val="00A87F28"/>
    <w:rsid w:val="00A87F9B"/>
    <w:rsid w:val="00A90463"/>
    <w:rsid w:val="00A90798"/>
    <w:rsid w:val="00A90CB3"/>
    <w:rsid w:val="00A91AF2"/>
    <w:rsid w:val="00A91B83"/>
    <w:rsid w:val="00A92304"/>
    <w:rsid w:val="00A924D2"/>
    <w:rsid w:val="00A92A82"/>
    <w:rsid w:val="00A92AC8"/>
    <w:rsid w:val="00A92C6D"/>
    <w:rsid w:val="00A92FCB"/>
    <w:rsid w:val="00A93061"/>
    <w:rsid w:val="00A93142"/>
    <w:rsid w:val="00A938CD"/>
    <w:rsid w:val="00A93D30"/>
    <w:rsid w:val="00A94514"/>
    <w:rsid w:val="00A94BFA"/>
    <w:rsid w:val="00A94DCE"/>
    <w:rsid w:val="00A94DE3"/>
    <w:rsid w:val="00A952BC"/>
    <w:rsid w:val="00A95597"/>
    <w:rsid w:val="00A95777"/>
    <w:rsid w:val="00A95913"/>
    <w:rsid w:val="00A96B2E"/>
    <w:rsid w:val="00A97047"/>
    <w:rsid w:val="00A9734B"/>
    <w:rsid w:val="00A9760C"/>
    <w:rsid w:val="00A976A0"/>
    <w:rsid w:val="00A977D1"/>
    <w:rsid w:val="00A97EA6"/>
    <w:rsid w:val="00AA0229"/>
    <w:rsid w:val="00AA0238"/>
    <w:rsid w:val="00AA042C"/>
    <w:rsid w:val="00AA05AE"/>
    <w:rsid w:val="00AA0947"/>
    <w:rsid w:val="00AA0D66"/>
    <w:rsid w:val="00AA1219"/>
    <w:rsid w:val="00AA16EC"/>
    <w:rsid w:val="00AA19CB"/>
    <w:rsid w:val="00AA1E27"/>
    <w:rsid w:val="00AA214D"/>
    <w:rsid w:val="00AA21ED"/>
    <w:rsid w:val="00AA24AE"/>
    <w:rsid w:val="00AA276A"/>
    <w:rsid w:val="00AA3134"/>
    <w:rsid w:val="00AA4A13"/>
    <w:rsid w:val="00AA505A"/>
    <w:rsid w:val="00AA51C4"/>
    <w:rsid w:val="00AA5B29"/>
    <w:rsid w:val="00AA6101"/>
    <w:rsid w:val="00AA669B"/>
    <w:rsid w:val="00AA66A2"/>
    <w:rsid w:val="00AA6A80"/>
    <w:rsid w:val="00AA6B7B"/>
    <w:rsid w:val="00AA6F78"/>
    <w:rsid w:val="00AA7075"/>
    <w:rsid w:val="00AA722A"/>
    <w:rsid w:val="00AA743F"/>
    <w:rsid w:val="00AA75B2"/>
    <w:rsid w:val="00AA7EBE"/>
    <w:rsid w:val="00AB0285"/>
    <w:rsid w:val="00AB093E"/>
    <w:rsid w:val="00AB0B45"/>
    <w:rsid w:val="00AB0F33"/>
    <w:rsid w:val="00AB1012"/>
    <w:rsid w:val="00AB1122"/>
    <w:rsid w:val="00AB11E3"/>
    <w:rsid w:val="00AB18CB"/>
    <w:rsid w:val="00AB20C2"/>
    <w:rsid w:val="00AB218F"/>
    <w:rsid w:val="00AB23B5"/>
    <w:rsid w:val="00AB2971"/>
    <w:rsid w:val="00AB399C"/>
    <w:rsid w:val="00AB3DF7"/>
    <w:rsid w:val="00AB4CCE"/>
    <w:rsid w:val="00AB4CD8"/>
    <w:rsid w:val="00AB51E0"/>
    <w:rsid w:val="00AB5604"/>
    <w:rsid w:val="00AB576F"/>
    <w:rsid w:val="00AB58C6"/>
    <w:rsid w:val="00AB615E"/>
    <w:rsid w:val="00AB6419"/>
    <w:rsid w:val="00AB70D2"/>
    <w:rsid w:val="00AB7642"/>
    <w:rsid w:val="00AC043C"/>
    <w:rsid w:val="00AC072C"/>
    <w:rsid w:val="00AC0977"/>
    <w:rsid w:val="00AC0E30"/>
    <w:rsid w:val="00AC0ECF"/>
    <w:rsid w:val="00AC14B7"/>
    <w:rsid w:val="00AC1814"/>
    <w:rsid w:val="00AC1A1D"/>
    <w:rsid w:val="00AC1CCB"/>
    <w:rsid w:val="00AC1F81"/>
    <w:rsid w:val="00AC20B9"/>
    <w:rsid w:val="00AC2621"/>
    <w:rsid w:val="00AC26AB"/>
    <w:rsid w:val="00AC273E"/>
    <w:rsid w:val="00AC3034"/>
    <w:rsid w:val="00AC3680"/>
    <w:rsid w:val="00AC36CB"/>
    <w:rsid w:val="00AC375A"/>
    <w:rsid w:val="00AC3ECC"/>
    <w:rsid w:val="00AC3FC6"/>
    <w:rsid w:val="00AC4311"/>
    <w:rsid w:val="00AC44E9"/>
    <w:rsid w:val="00AC458A"/>
    <w:rsid w:val="00AC4915"/>
    <w:rsid w:val="00AC4A31"/>
    <w:rsid w:val="00AC4AC9"/>
    <w:rsid w:val="00AC4B89"/>
    <w:rsid w:val="00AC4DAC"/>
    <w:rsid w:val="00AC50DE"/>
    <w:rsid w:val="00AC5465"/>
    <w:rsid w:val="00AC56A8"/>
    <w:rsid w:val="00AC57C9"/>
    <w:rsid w:val="00AC6AB7"/>
    <w:rsid w:val="00AC6B94"/>
    <w:rsid w:val="00AC6C32"/>
    <w:rsid w:val="00AC6DBA"/>
    <w:rsid w:val="00AC6E26"/>
    <w:rsid w:val="00AC7380"/>
    <w:rsid w:val="00AC7532"/>
    <w:rsid w:val="00AC779C"/>
    <w:rsid w:val="00AD101B"/>
    <w:rsid w:val="00AD1335"/>
    <w:rsid w:val="00AD17E4"/>
    <w:rsid w:val="00AD1D90"/>
    <w:rsid w:val="00AD1E7B"/>
    <w:rsid w:val="00AD2157"/>
    <w:rsid w:val="00AD25A2"/>
    <w:rsid w:val="00AD25DD"/>
    <w:rsid w:val="00AD32F7"/>
    <w:rsid w:val="00AD36B1"/>
    <w:rsid w:val="00AD3714"/>
    <w:rsid w:val="00AD3767"/>
    <w:rsid w:val="00AD3AF9"/>
    <w:rsid w:val="00AD402A"/>
    <w:rsid w:val="00AD4ABE"/>
    <w:rsid w:val="00AD53A3"/>
    <w:rsid w:val="00AD561F"/>
    <w:rsid w:val="00AD5F49"/>
    <w:rsid w:val="00AD624B"/>
    <w:rsid w:val="00AD63D7"/>
    <w:rsid w:val="00AD6447"/>
    <w:rsid w:val="00AD6801"/>
    <w:rsid w:val="00AD6BEC"/>
    <w:rsid w:val="00AD74E7"/>
    <w:rsid w:val="00AD7FC9"/>
    <w:rsid w:val="00AE01CD"/>
    <w:rsid w:val="00AE03D1"/>
    <w:rsid w:val="00AE0AB9"/>
    <w:rsid w:val="00AE0F7F"/>
    <w:rsid w:val="00AE1169"/>
    <w:rsid w:val="00AE1A46"/>
    <w:rsid w:val="00AE1B69"/>
    <w:rsid w:val="00AE247E"/>
    <w:rsid w:val="00AE26A2"/>
    <w:rsid w:val="00AE279E"/>
    <w:rsid w:val="00AE2DC8"/>
    <w:rsid w:val="00AE32DE"/>
    <w:rsid w:val="00AE4256"/>
    <w:rsid w:val="00AE425C"/>
    <w:rsid w:val="00AE45D1"/>
    <w:rsid w:val="00AE4846"/>
    <w:rsid w:val="00AE4961"/>
    <w:rsid w:val="00AE57F7"/>
    <w:rsid w:val="00AE6620"/>
    <w:rsid w:val="00AE66EE"/>
    <w:rsid w:val="00AE697E"/>
    <w:rsid w:val="00AE6C8E"/>
    <w:rsid w:val="00AE6F01"/>
    <w:rsid w:val="00AE715F"/>
    <w:rsid w:val="00AE71C3"/>
    <w:rsid w:val="00AE752D"/>
    <w:rsid w:val="00AE778E"/>
    <w:rsid w:val="00AE7B95"/>
    <w:rsid w:val="00AF04F5"/>
    <w:rsid w:val="00AF066D"/>
    <w:rsid w:val="00AF16E0"/>
    <w:rsid w:val="00AF178F"/>
    <w:rsid w:val="00AF1ABD"/>
    <w:rsid w:val="00AF1B5E"/>
    <w:rsid w:val="00AF242B"/>
    <w:rsid w:val="00AF2497"/>
    <w:rsid w:val="00AF39ED"/>
    <w:rsid w:val="00AF3F54"/>
    <w:rsid w:val="00AF4183"/>
    <w:rsid w:val="00AF44B2"/>
    <w:rsid w:val="00AF4670"/>
    <w:rsid w:val="00AF5135"/>
    <w:rsid w:val="00AF574A"/>
    <w:rsid w:val="00AF5C61"/>
    <w:rsid w:val="00AF6327"/>
    <w:rsid w:val="00AF6894"/>
    <w:rsid w:val="00AF69B3"/>
    <w:rsid w:val="00AF6F3D"/>
    <w:rsid w:val="00AF6FE3"/>
    <w:rsid w:val="00AF7A77"/>
    <w:rsid w:val="00AF7AC2"/>
    <w:rsid w:val="00B000CD"/>
    <w:rsid w:val="00B0015C"/>
    <w:rsid w:val="00B008FC"/>
    <w:rsid w:val="00B00B34"/>
    <w:rsid w:val="00B01274"/>
    <w:rsid w:val="00B01286"/>
    <w:rsid w:val="00B01561"/>
    <w:rsid w:val="00B01816"/>
    <w:rsid w:val="00B01E09"/>
    <w:rsid w:val="00B02CDE"/>
    <w:rsid w:val="00B03101"/>
    <w:rsid w:val="00B0313F"/>
    <w:rsid w:val="00B03398"/>
    <w:rsid w:val="00B037DD"/>
    <w:rsid w:val="00B038B1"/>
    <w:rsid w:val="00B03D39"/>
    <w:rsid w:val="00B04E2D"/>
    <w:rsid w:val="00B050B4"/>
    <w:rsid w:val="00B0587B"/>
    <w:rsid w:val="00B05905"/>
    <w:rsid w:val="00B05D09"/>
    <w:rsid w:val="00B06D91"/>
    <w:rsid w:val="00B07314"/>
    <w:rsid w:val="00B07512"/>
    <w:rsid w:val="00B1032D"/>
    <w:rsid w:val="00B1085B"/>
    <w:rsid w:val="00B10C57"/>
    <w:rsid w:val="00B10E23"/>
    <w:rsid w:val="00B117BE"/>
    <w:rsid w:val="00B121AC"/>
    <w:rsid w:val="00B12201"/>
    <w:rsid w:val="00B1248C"/>
    <w:rsid w:val="00B12F31"/>
    <w:rsid w:val="00B12F9F"/>
    <w:rsid w:val="00B135E4"/>
    <w:rsid w:val="00B1446E"/>
    <w:rsid w:val="00B1484D"/>
    <w:rsid w:val="00B14BEC"/>
    <w:rsid w:val="00B15408"/>
    <w:rsid w:val="00B156FB"/>
    <w:rsid w:val="00B1573D"/>
    <w:rsid w:val="00B15B16"/>
    <w:rsid w:val="00B15DCF"/>
    <w:rsid w:val="00B15EC4"/>
    <w:rsid w:val="00B15ECB"/>
    <w:rsid w:val="00B1649F"/>
    <w:rsid w:val="00B16ABD"/>
    <w:rsid w:val="00B1704F"/>
    <w:rsid w:val="00B1783A"/>
    <w:rsid w:val="00B203C1"/>
    <w:rsid w:val="00B2096C"/>
    <w:rsid w:val="00B20CE7"/>
    <w:rsid w:val="00B20F09"/>
    <w:rsid w:val="00B21218"/>
    <w:rsid w:val="00B212BD"/>
    <w:rsid w:val="00B2144B"/>
    <w:rsid w:val="00B21699"/>
    <w:rsid w:val="00B21D40"/>
    <w:rsid w:val="00B22DB8"/>
    <w:rsid w:val="00B238FA"/>
    <w:rsid w:val="00B24119"/>
    <w:rsid w:val="00B2469A"/>
    <w:rsid w:val="00B247A2"/>
    <w:rsid w:val="00B24986"/>
    <w:rsid w:val="00B257FE"/>
    <w:rsid w:val="00B2599C"/>
    <w:rsid w:val="00B25D99"/>
    <w:rsid w:val="00B265E4"/>
    <w:rsid w:val="00B265FD"/>
    <w:rsid w:val="00B266D3"/>
    <w:rsid w:val="00B26853"/>
    <w:rsid w:val="00B27676"/>
    <w:rsid w:val="00B27E96"/>
    <w:rsid w:val="00B30324"/>
    <w:rsid w:val="00B305DA"/>
    <w:rsid w:val="00B308E9"/>
    <w:rsid w:val="00B30BBD"/>
    <w:rsid w:val="00B3144E"/>
    <w:rsid w:val="00B319AC"/>
    <w:rsid w:val="00B31C9C"/>
    <w:rsid w:val="00B320F1"/>
    <w:rsid w:val="00B324A0"/>
    <w:rsid w:val="00B32807"/>
    <w:rsid w:val="00B33473"/>
    <w:rsid w:val="00B3389F"/>
    <w:rsid w:val="00B340A7"/>
    <w:rsid w:val="00B34243"/>
    <w:rsid w:val="00B34508"/>
    <w:rsid w:val="00B346DE"/>
    <w:rsid w:val="00B3547C"/>
    <w:rsid w:val="00B35A41"/>
    <w:rsid w:val="00B35A78"/>
    <w:rsid w:val="00B35C51"/>
    <w:rsid w:val="00B35CE0"/>
    <w:rsid w:val="00B3641A"/>
    <w:rsid w:val="00B36879"/>
    <w:rsid w:val="00B36AE1"/>
    <w:rsid w:val="00B3705E"/>
    <w:rsid w:val="00B37139"/>
    <w:rsid w:val="00B37420"/>
    <w:rsid w:val="00B374A7"/>
    <w:rsid w:val="00B37B07"/>
    <w:rsid w:val="00B37BB4"/>
    <w:rsid w:val="00B4010A"/>
    <w:rsid w:val="00B40262"/>
    <w:rsid w:val="00B404F7"/>
    <w:rsid w:val="00B40D78"/>
    <w:rsid w:val="00B40D97"/>
    <w:rsid w:val="00B41B04"/>
    <w:rsid w:val="00B42029"/>
    <w:rsid w:val="00B4254E"/>
    <w:rsid w:val="00B4281F"/>
    <w:rsid w:val="00B4327A"/>
    <w:rsid w:val="00B434A8"/>
    <w:rsid w:val="00B44BDE"/>
    <w:rsid w:val="00B44F8D"/>
    <w:rsid w:val="00B45198"/>
    <w:rsid w:val="00B45935"/>
    <w:rsid w:val="00B45C7F"/>
    <w:rsid w:val="00B45FD5"/>
    <w:rsid w:val="00B4600F"/>
    <w:rsid w:val="00B4602B"/>
    <w:rsid w:val="00B4668C"/>
    <w:rsid w:val="00B469F6"/>
    <w:rsid w:val="00B47236"/>
    <w:rsid w:val="00B47EAC"/>
    <w:rsid w:val="00B47FEC"/>
    <w:rsid w:val="00B5004C"/>
    <w:rsid w:val="00B50067"/>
    <w:rsid w:val="00B50669"/>
    <w:rsid w:val="00B50B05"/>
    <w:rsid w:val="00B51078"/>
    <w:rsid w:val="00B512F1"/>
    <w:rsid w:val="00B523F1"/>
    <w:rsid w:val="00B52483"/>
    <w:rsid w:val="00B52F4F"/>
    <w:rsid w:val="00B5378D"/>
    <w:rsid w:val="00B53972"/>
    <w:rsid w:val="00B53995"/>
    <w:rsid w:val="00B53B1E"/>
    <w:rsid w:val="00B53D79"/>
    <w:rsid w:val="00B5460D"/>
    <w:rsid w:val="00B54D2B"/>
    <w:rsid w:val="00B54E1F"/>
    <w:rsid w:val="00B55092"/>
    <w:rsid w:val="00B55193"/>
    <w:rsid w:val="00B551B5"/>
    <w:rsid w:val="00B55D0D"/>
    <w:rsid w:val="00B55F0A"/>
    <w:rsid w:val="00B56593"/>
    <w:rsid w:val="00B56F08"/>
    <w:rsid w:val="00B576FD"/>
    <w:rsid w:val="00B579F3"/>
    <w:rsid w:val="00B57C6B"/>
    <w:rsid w:val="00B6006C"/>
    <w:rsid w:val="00B600B5"/>
    <w:rsid w:val="00B6120C"/>
    <w:rsid w:val="00B61DAC"/>
    <w:rsid w:val="00B6210A"/>
    <w:rsid w:val="00B6279E"/>
    <w:rsid w:val="00B6298E"/>
    <w:rsid w:val="00B63B3E"/>
    <w:rsid w:val="00B63C67"/>
    <w:rsid w:val="00B63DF4"/>
    <w:rsid w:val="00B63F43"/>
    <w:rsid w:val="00B63FEC"/>
    <w:rsid w:val="00B641B2"/>
    <w:rsid w:val="00B64384"/>
    <w:rsid w:val="00B65348"/>
    <w:rsid w:val="00B655C6"/>
    <w:rsid w:val="00B656E5"/>
    <w:rsid w:val="00B664C0"/>
    <w:rsid w:val="00B66684"/>
    <w:rsid w:val="00B672B6"/>
    <w:rsid w:val="00B67A9F"/>
    <w:rsid w:val="00B67B43"/>
    <w:rsid w:val="00B70AB7"/>
    <w:rsid w:val="00B70D93"/>
    <w:rsid w:val="00B70E21"/>
    <w:rsid w:val="00B71997"/>
    <w:rsid w:val="00B719D2"/>
    <w:rsid w:val="00B71DE7"/>
    <w:rsid w:val="00B71F7C"/>
    <w:rsid w:val="00B72B46"/>
    <w:rsid w:val="00B72B9F"/>
    <w:rsid w:val="00B73547"/>
    <w:rsid w:val="00B735AF"/>
    <w:rsid w:val="00B73D74"/>
    <w:rsid w:val="00B74422"/>
    <w:rsid w:val="00B75479"/>
    <w:rsid w:val="00B75515"/>
    <w:rsid w:val="00B75A33"/>
    <w:rsid w:val="00B75CCB"/>
    <w:rsid w:val="00B75D95"/>
    <w:rsid w:val="00B76E24"/>
    <w:rsid w:val="00B770CB"/>
    <w:rsid w:val="00B772C2"/>
    <w:rsid w:val="00B776E3"/>
    <w:rsid w:val="00B77C7D"/>
    <w:rsid w:val="00B80388"/>
    <w:rsid w:val="00B81F2F"/>
    <w:rsid w:val="00B82075"/>
    <w:rsid w:val="00B832D3"/>
    <w:rsid w:val="00B83A19"/>
    <w:rsid w:val="00B83F1D"/>
    <w:rsid w:val="00B83F30"/>
    <w:rsid w:val="00B857A9"/>
    <w:rsid w:val="00B858E7"/>
    <w:rsid w:val="00B85EE3"/>
    <w:rsid w:val="00B86177"/>
    <w:rsid w:val="00B862EE"/>
    <w:rsid w:val="00B867E4"/>
    <w:rsid w:val="00B86914"/>
    <w:rsid w:val="00B87633"/>
    <w:rsid w:val="00B87E84"/>
    <w:rsid w:val="00B90373"/>
    <w:rsid w:val="00B90445"/>
    <w:rsid w:val="00B9080E"/>
    <w:rsid w:val="00B908B2"/>
    <w:rsid w:val="00B90E1F"/>
    <w:rsid w:val="00B91106"/>
    <w:rsid w:val="00B91152"/>
    <w:rsid w:val="00B91AC2"/>
    <w:rsid w:val="00B91F03"/>
    <w:rsid w:val="00B92031"/>
    <w:rsid w:val="00B9225E"/>
    <w:rsid w:val="00B927B6"/>
    <w:rsid w:val="00B92D5A"/>
    <w:rsid w:val="00B93322"/>
    <w:rsid w:val="00B943F2"/>
    <w:rsid w:val="00B94B7A"/>
    <w:rsid w:val="00B94C32"/>
    <w:rsid w:val="00B959DB"/>
    <w:rsid w:val="00B95A55"/>
    <w:rsid w:val="00B95B86"/>
    <w:rsid w:val="00B95DC1"/>
    <w:rsid w:val="00B960AD"/>
    <w:rsid w:val="00B9670E"/>
    <w:rsid w:val="00B96CF1"/>
    <w:rsid w:val="00B971DA"/>
    <w:rsid w:val="00B9727C"/>
    <w:rsid w:val="00B97C39"/>
    <w:rsid w:val="00B97C8E"/>
    <w:rsid w:val="00B97D3C"/>
    <w:rsid w:val="00BA0383"/>
    <w:rsid w:val="00BA0D99"/>
    <w:rsid w:val="00BA0E77"/>
    <w:rsid w:val="00BA0ED5"/>
    <w:rsid w:val="00BA152A"/>
    <w:rsid w:val="00BA1673"/>
    <w:rsid w:val="00BA19BF"/>
    <w:rsid w:val="00BA1A4C"/>
    <w:rsid w:val="00BA1C22"/>
    <w:rsid w:val="00BA1E1C"/>
    <w:rsid w:val="00BA1F9A"/>
    <w:rsid w:val="00BA1FC5"/>
    <w:rsid w:val="00BA208B"/>
    <w:rsid w:val="00BA228B"/>
    <w:rsid w:val="00BA292F"/>
    <w:rsid w:val="00BA3276"/>
    <w:rsid w:val="00BA3C9D"/>
    <w:rsid w:val="00BA43FA"/>
    <w:rsid w:val="00BA48A0"/>
    <w:rsid w:val="00BA4A25"/>
    <w:rsid w:val="00BA4C9F"/>
    <w:rsid w:val="00BA4CD1"/>
    <w:rsid w:val="00BA4DA2"/>
    <w:rsid w:val="00BA4E72"/>
    <w:rsid w:val="00BA502F"/>
    <w:rsid w:val="00BA5197"/>
    <w:rsid w:val="00BA5449"/>
    <w:rsid w:val="00BA5462"/>
    <w:rsid w:val="00BA558A"/>
    <w:rsid w:val="00BA5660"/>
    <w:rsid w:val="00BA5EF7"/>
    <w:rsid w:val="00BA5F82"/>
    <w:rsid w:val="00BA63FC"/>
    <w:rsid w:val="00BA6461"/>
    <w:rsid w:val="00BA68C1"/>
    <w:rsid w:val="00BA706B"/>
    <w:rsid w:val="00BA734D"/>
    <w:rsid w:val="00BA770A"/>
    <w:rsid w:val="00BA7741"/>
    <w:rsid w:val="00BA7CCC"/>
    <w:rsid w:val="00BB023D"/>
    <w:rsid w:val="00BB0427"/>
    <w:rsid w:val="00BB0B7C"/>
    <w:rsid w:val="00BB130E"/>
    <w:rsid w:val="00BB14EB"/>
    <w:rsid w:val="00BB18AA"/>
    <w:rsid w:val="00BB1BB1"/>
    <w:rsid w:val="00BB20DB"/>
    <w:rsid w:val="00BB2515"/>
    <w:rsid w:val="00BB26D4"/>
    <w:rsid w:val="00BB36CE"/>
    <w:rsid w:val="00BB3A2E"/>
    <w:rsid w:val="00BB3B1F"/>
    <w:rsid w:val="00BB3CFC"/>
    <w:rsid w:val="00BB3F8F"/>
    <w:rsid w:val="00BB4169"/>
    <w:rsid w:val="00BB4A21"/>
    <w:rsid w:val="00BB4A60"/>
    <w:rsid w:val="00BB517F"/>
    <w:rsid w:val="00BB5257"/>
    <w:rsid w:val="00BB5306"/>
    <w:rsid w:val="00BB58F0"/>
    <w:rsid w:val="00BB5CA2"/>
    <w:rsid w:val="00BB5FDA"/>
    <w:rsid w:val="00BB646A"/>
    <w:rsid w:val="00BB6979"/>
    <w:rsid w:val="00BB6C1D"/>
    <w:rsid w:val="00BB747E"/>
    <w:rsid w:val="00BB7B26"/>
    <w:rsid w:val="00BB7BB9"/>
    <w:rsid w:val="00BB7D47"/>
    <w:rsid w:val="00BB7D69"/>
    <w:rsid w:val="00BC047E"/>
    <w:rsid w:val="00BC0775"/>
    <w:rsid w:val="00BC1341"/>
    <w:rsid w:val="00BC18A3"/>
    <w:rsid w:val="00BC1BD8"/>
    <w:rsid w:val="00BC1ECD"/>
    <w:rsid w:val="00BC22E4"/>
    <w:rsid w:val="00BC2519"/>
    <w:rsid w:val="00BC2591"/>
    <w:rsid w:val="00BC2CE6"/>
    <w:rsid w:val="00BC2DFC"/>
    <w:rsid w:val="00BC2E13"/>
    <w:rsid w:val="00BC32F3"/>
    <w:rsid w:val="00BC3665"/>
    <w:rsid w:val="00BC3D35"/>
    <w:rsid w:val="00BC4DA5"/>
    <w:rsid w:val="00BC51AF"/>
    <w:rsid w:val="00BC53A8"/>
    <w:rsid w:val="00BC58C4"/>
    <w:rsid w:val="00BC59A0"/>
    <w:rsid w:val="00BC5A68"/>
    <w:rsid w:val="00BC5AB3"/>
    <w:rsid w:val="00BC612B"/>
    <w:rsid w:val="00BC61C7"/>
    <w:rsid w:val="00BC6B01"/>
    <w:rsid w:val="00BC6E42"/>
    <w:rsid w:val="00BC7187"/>
    <w:rsid w:val="00BC760B"/>
    <w:rsid w:val="00BC7BF2"/>
    <w:rsid w:val="00BD00B8"/>
    <w:rsid w:val="00BD069A"/>
    <w:rsid w:val="00BD0834"/>
    <w:rsid w:val="00BD09EB"/>
    <w:rsid w:val="00BD0A09"/>
    <w:rsid w:val="00BD10B4"/>
    <w:rsid w:val="00BD2266"/>
    <w:rsid w:val="00BD2FD9"/>
    <w:rsid w:val="00BD30D0"/>
    <w:rsid w:val="00BD32E4"/>
    <w:rsid w:val="00BD3426"/>
    <w:rsid w:val="00BD3CD0"/>
    <w:rsid w:val="00BD3D1A"/>
    <w:rsid w:val="00BD3E49"/>
    <w:rsid w:val="00BD4071"/>
    <w:rsid w:val="00BD427D"/>
    <w:rsid w:val="00BD462A"/>
    <w:rsid w:val="00BD4942"/>
    <w:rsid w:val="00BD4DEE"/>
    <w:rsid w:val="00BD5D2D"/>
    <w:rsid w:val="00BD5D37"/>
    <w:rsid w:val="00BD6110"/>
    <w:rsid w:val="00BD619A"/>
    <w:rsid w:val="00BD6298"/>
    <w:rsid w:val="00BD68DE"/>
    <w:rsid w:val="00BD6D31"/>
    <w:rsid w:val="00BD7CC0"/>
    <w:rsid w:val="00BD7D28"/>
    <w:rsid w:val="00BD7D9C"/>
    <w:rsid w:val="00BE086E"/>
    <w:rsid w:val="00BE166B"/>
    <w:rsid w:val="00BE192E"/>
    <w:rsid w:val="00BE1A34"/>
    <w:rsid w:val="00BE1BD6"/>
    <w:rsid w:val="00BE2C46"/>
    <w:rsid w:val="00BE2CA2"/>
    <w:rsid w:val="00BE2EF2"/>
    <w:rsid w:val="00BE3142"/>
    <w:rsid w:val="00BE3166"/>
    <w:rsid w:val="00BE3443"/>
    <w:rsid w:val="00BE3659"/>
    <w:rsid w:val="00BE3C2F"/>
    <w:rsid w:val="00BE3CD9"/>
    <w:rsid w:val="00BE572D"/>
    <w:rsid w:val="00BE586C"/>
    <w:rsid w:val="00BE6369"/>
    <w:rsid w:val="00BE6815"/>
    <w:rsid w:val="00BE682B"/>
    <w:rsid w:val="00BE6AAC"/>
    <w:rsid w:val="00BE6D25"/>
    <w:rsid w:val="00BE6D49"/>
    <w:rsid w:val="00BE6DD3"/>
    <w:rsid w:val="00BE7163"/>
    <w:rsid w:val="00BE7303"/>
    <w:rsid w:val="00BE73E4"/>
    <w:rsid w:val="00BE777D"/>
    <w:rsid w:val="00BE77F5"/>
    <w:rsid w:val="00BE7846"/>
    <w:rsid w:val="00BE7900"/>
    <w:rsid w:val="00BE7B8C"/>
    <w:rsid w:val="00BF0FEC"/>
    <w:rsid w:val="00BF1A61"/>
    <w:rsid w:val="00BF1D1C"/>
    <w:rsid w:val="00BF1EEF"/>
    <w:rsid w:val="00BF23E0"/>
    <w:rsid w:val="00BF29FE"/>
    <w:rsid w:val="00BF322A"/>
    <w:rsid w:val="00BF337C"/>
    <w:rsid w:val="00BF34A9"/>
    <w:rsid w:val="00BF360E"/>
    <w:rsid w:val="00BF3738"/>
    <w:rsid w:val="00BF3A47"/>
    <w:rsid w:val="00BF3EC2"/>
    <w:rsid w:val="00BF3FE5"/>
    <w:rsid w:val="00BF40D8"/>
    <w:rsid w:val="00BF4517"/>
    <w:rsid w:val="00BF4D0E"/>
    <w:rsid w:val="00BF507E"/>
    <w:rsid w:val="00BF5615"/>
    <w:rsid w:val="00BF5655"/>
    <w:rsid w:val="00BF5BB0"/>
    <w:rsid w:val="00BF5D66"/>
    <w:rsid w:val="00BF6B8C"/>
    <w:rsid w:val="00BF6E57"/>
    <w:rsid w:val="00BF6E7E"/>
    <w:rsid w:val="00BF7324"/>
    <w:rsid w:val="00BF7DAB"/>
    <w:rsid w:val="00BF7E1C"/>
    <w:rsid w:val="00C0062B"/>
    <w:rsid w:val="00C0084E"/>
    <w:rsid w:val="00C00D4A"/>
    <w:rsid w:val="00C00E06"/>
    <w:rsid w:val="00C00E7A"/>
    <w:rsid w:val="00C01BAF"/>
    <w:rsid w:val="00C02390"/>
    <w:rsid w:val="00C02A70"/>
    <w:rsid w:val="00C03599"/>
    <w:rsid w:val="00C035A1"/>
    <w:rsid w:val="00C03F95"/>
    <w:rsid w:val="00C04969"/>
    <w:rsid w:val="00C0498A"/>
    <w:rsid w:val="00C04E0D"/>
    <w:rsid w:val="00C04FC3"/>
    <w:rsid w:val="00C05167"/>
    <w:rsid w:val="00C052A7"/>
    <w:rsid w:val="00C053AD"/>
    <w:rsid w:val="00C0581F"/>
    <w:rsid w:val="00C05823"/>
    <w:rsid w:val="00C05A7E"/>
    <w:rsid w:val="00C063D1"/>
    <w:rsid w:val="00C0640C"/>
    <w:rsid w:val="00C06D51"/>
    <w:rsid w:val="00C06F65"/>
    <w:rsid w:val="00C07392"/>
    <w:rsid w:val="00C07FE8"/>
    <w:rsid w:val="00C10772"/>
    <w:rsid w:val="00C10996"/>
    <w:rsid w:val="00C1122D"/>
    <w:rsid w:val="00C1180B"/>
    <w:rsid w:val="00C11BF4"/>
    <w:rsid w:val="00C11C59"/>
    <w:rsid w:val="00C11DB6"/>
    <w:rsid w:val="00C11EC3"/>
    <w:rsid w:val="00C123AD"/>
    <w:rsid w:val="00C12506"/>
    <w:rsid w:val="00C12521"/>
    <w:rsid w:val="00C12D01"/>
    <w:rsid w:val="00C12F2D"/>
    <w:rsid w:val="00C13793"/>
    <w:rsid w:val="00C13923"/>
    <w:rsid w:val="00C139E7"/>
    <w:rsid w:val="00C13CB5"/>
    <w:rsid w:val="00C14092"/>
    <w:rsid w:val="00C14364"/>
    <w:rsid w:val="00C1460F"/>
    <w:rsid w:val="00C15D3F"/>
    <w:rsid w:val="00C15E47"/>
    <w:rsid w:val="00C16673"/>
    <w:rsid w:val="00C16A07"/>
    <w:rsid w:val="00C16A95"/>
    <w:rsid w:val="00C16F42"/>
    <w:rsid w:val="00C170BB"/>
    <w:rsid w:val="00C17572"/>
    <w:rsid w:val="00C17866"/>
    <w:rsid w:val="00C17C7C"/>
    <w:rsid w:val="00C17E35"/>
    <w:rsid w:val="00C2088B"/>
    <w:rsid w:val="00C210AB"/>
    <w:rsid w:val="00C21FD6"/>
    <w:rsid w:val="00C21FE5"/>
    <w:rsid w:val="00C220CF"/>
    <w:rsid w:val="00C2320A"/>
    <w:rsid w:val="00C233C8"/>
    <w:rsid w:val="00C23937"/>
    <w:rsid w:val="00C23D49"/>
    <w:rsid w:val="00C24065"/>
    <w:rsid w:val="00C24653"/>
    <w:rsid w:val="00C24786"/>
    <w:rsid w:val="00C24C47"/>
    <w:rsid w:val="00C24E44"/>
    <w:rsid w:val="00C24EC6"/>
    <w:rsid w:val="00C25301"/>
    <w:rsid w:val="00C254C4"/>
    <w:rsid w:val="00C26C42"/>
    <w:rsid w:val="00C26FF4"/>
    <w:rsid w:val="00C277A8"/>
    <w:rsid w:val="00C27B91"/>
    <w:rsid w:val="00C27EAD"/>
    <w:rsid w:val="00C30048"/>
    <w:rsid w:val="00C306CB"/>
    <w:rsid w:val="00C30B13"/>
    <w:rsid w:val="00C30F9E"/>
    <w:rsid w:val="00C3120C"/>
    <w:rsid w:val="00C3289B"/>
    <w:rsid w:val="00C32B87"/>
    <w:rsid w:val="00C330A3"/>
    <w:rsid w:val="00C333D8"/>
    <w:rsid w:val="00C3351A"/>
    <w:rsid w:val="00C33636"/>
    <w:rsid w:val="00C342B3"/>
    <w:rsid w:val="00C34737"/>
    <w:rsid w:val="00C34AE7"/>
    <w:rsid w:val="00C34E11"/>
    <w:rsid w:val="00C34F17"/>
    <w:rsid w:val="00C36073"/>
    <w:rsid w:val="00C3738A"/>
    <w:rsid w:val="00C4062D"/>
    <w:rsid w:val="00C408ED"/>
    <w:rsid w:val="00C40D64"/>
    <w:rsid w:val="00C40D96"/>
    <w:rsid w:val="00C410F3"/>
    <w:rsid w:val="00C41563"/>
    <w:rsid w:val="00C41EF6"/>
    <w:rsid w:val="00C4247C"/>
    <w:rsid w:val="00C424CF"/>
    <w:rsid w:val="00C427BC"/>
    <w:rsid w:val="00C42D4D"/>
    <w:rsid w:val="00C436C9"/>
    <w:rsid w:val="00C44121"/>
    <w:rsid w:val="00C446EB"/>
    <w:rsid w:val="00C457FA"/>
    <w:rsid w:val="00C45BCA"/>
    <w:rsid w:val="00C45CD5"/>
    <w:rsid w:val="00C45DC7"/>
    <w:rsid w:val="00C4609B"/>
    <w:rsid w:val="00C461F7"/>
    <w:rsid w:val="00C463E6"/>
    <w:rsid w:val="00C467C3"/>
    <w:rsid w:val="00C46B27"/>
    <w:rsid w:val="00C46CB7"/>
    <w:rsid w:val="00C470E5"/>
    <w:rsid w:val="00C473ED"/>
    <w:rsid w:val="00C476C7"/>
    <w:rsid w:val="00C476DE"/>
    <w:rsid w:val="00C479E8"/>
    <w:rsid w:val="00C47A18"/>
    <w:rsid w:val="00C47D55"/>
    <w:rsid w:val="00C50130"/>
    <w:rsid w:val="00C508FA"/>
    <w:rsid w:val="00C509A0"/>
    <w:rsid w:val="00C50A12"/>
    <w:rsid w:val="00C50AC6"/>
    <w:rsid w:val="00C5101E"/>
    <w:rsid w:val="00C51358"/>
    <w:rsid w:val="00C5165C"/>
    <w:rsid w:val="00C5217B"/>
    <w:rsid w:val="00C529B4"/>
    <w:rsid w:val="00C52CB9"/>
    <w:rsid w:val="00C52CF3"/>
    <w:rsid w:val="00C52DAA"/>
    <w:rsid w:val="00C53172"/>
    <w:rsid w:val="00C534BB"/>
    <w:rsid w:val="00C5386D"/>
    <w:rsid w:val="00C541E1"/>
    <w:rsid w:val="00C54A68"/>
    <w:rsid w:val="00C54CF2"/>
    <w:rsid w:val="00C54E0E"/>
    <w:rsid w:val="00C55127"/>
    <w:rsid w:val="00C554F6"/>
    <w:rsid w:val="00C561C7"/>
    <w:rsid w:val="00C56354"/>
    <w:rsid w:val="00C56486"/>
    <w:rsid w:val="00C56A67"/>
    <w:rsid w:val="00C56A72"/>
    <w:rsid w:val="00C56BF4"/>
    <w:rsid w:val="00C56D10"/>
    <w:rsid w:val="00C57316"/>
    <w:rsid w:val="00C57EB7"/>
    <w:rsid w:val="00C6050C"/>
    <w:rsid w:val="00C60681"/>
    <w:rsid w:val="00C6091F"/>
    <w:rsid w:val="00C610B3"/>
    <w:rsid w:val="00C6139B"/>
    <w:rsid w:val="00C61468"/>
    <w:rsid w:val="00C61714"/>
    <w:rsid w:val="00C61725"/>
    <w:rsid w:val="00C61961"/>
    <w:rsid w:val="00C61D9C"/>
    <w:rsid w:val="00C62DB3"/>
    <w:rsid w:val="00C6337C"/>
    <w:rsid w:val="00C635F4"/>
    <w:rsid w:val="00C63CF5"/>
    <w:rsid w:val="00C64425"/>
    <w:rsid w:val="00C651A2"/>
    <w:rsid w:val="00C6562F"/>
    <w:rsid w:val="00C658A5"/>
    <w:rsid w:val="00C667F9"/>
    <w:rsid w:val="00C668E2"/>
    <w:rsid w:val="00C67A5B"/>
    <w:rsid w:val="00C70260"/>
    <w:rsid w:val="00C704C7"/>
    <w:rsid w:val="00C70599"/>
    <w:rsid w:val="00C7069E"/>
    <w:rsid w:val="00C709D4"/>
    <w:rsid w:val="00C70BA9"/>
    <w:rsid w:val="00C70ED3"/>
    <w:rsid w:val="00C71326"/>
    <w:rsid w:val="00C716FF"/>
    <w:rsid w:val="00C71DBD"/>
    <w:rsid w:val="00C71DCD"/>
    <w:rsid w:val="00C71E6F"/>
    <w:rsid w:val="00C71F20"/>
    <w:rsid w:val="00C7236F"/>
    <w:rsid w:val="00C73091"/>
    <w:rsid w:val="00C730AF"/>
    <w:rsid w:val="00C7346F"/>
    <w:rsid w:val="00C735E4"/>
    <w:rsid w:val="00C7369A"/>
    <w:rsid w:val="00C73758"/>
    <w:rsid w:val="00C73D45"/>
    <w:rsid w:val="00C7403F"/>
    <w:rsid w:val="00C74346"/>
    <w:rsid w:val="00C748F5"/>
    <w:rsid w:val="00C74F7A"/>
    <w:rsid w:val="00C75415"/>
    <w:rsid w:val="00C75691"/>
    <w:rsid w:val="00C7591E"/>
    <w:rsid w:val="00C75B63"/>
    <w:rsid w:val="00C75EFA"/>
    <w:rsid w:val="00C75F8E"/>
    <w:rsid w:val="00C76C10"/>
    <w:rsid w:val="00C76C13"/>
    <w:rsid w:val="00C76E84"/>
    <w:rsid w:val="00C76EE3"/>
    <w:rsid w:val="00C776B7"/>
    <w:rsid w:val="00C77DA7"/>
    <w:rsid w:val="00C77E13"/>
    <w:rsid w:val="00C80312"/>
    <w:rsid w:val="00C80610"/>
    <w:rsid w:val="00C806AF"/>
    <w:rsid w:val="00C8097E"/>
    <w:rsid w:val="00C80C71"/>
    <w:rsid w:val="00C8102D"/>
    <w:rsid w:val="00C811FF"/>
    <w:rsid w:val="00C8156B"/>
    <w:rsid w:val="00C8176E"/>
    <w:rsid w:val="00C81EF5"/>
    <w:rsid w:val="00C81F46"/>
    <w:rsid w:val="00C8254F"/>
    <w:rsid w:val="00C8287F"/>
    <w:rsid w:val="00C82A0F"/>
    <w:rsid w:val="00C82AC6"/>
    <w:rsid w:val="00C82CBA"/>
    <w:rsid w:val="00C83747"/>
    <w:rsid w:val="00C8384E"/>
    <w:rsid w:val="00C840F5"/>
    <w:rsid w:val="00C849B9"/>
    <w:rsid w:val="00C84BCC"/>
    <w:rsid w:val="00C85127"/>
    <w:rsid w:val="00C85197"/>
    <w:rsid w:val="00C85220"/>
    <w:rsid w:val="00C85543"/>
    <w:rsid w:val="00C859E0"/>
    <w:rsid w:val="00C85C1E"/>
    <w:rsid w:val="00C85C42"/>
    <w:rsid w:val="00C85EF0"/>
    <w:rsid w:val="00C865D7"/>
    <w:rsid w:val="00C867E8"/>
    <w:rsid w:val="00C87142"/>
    <w:rsid w:val="00C87771"/>
    <w:rsid w:val="00C877C3"/>
    <w:rsid w:val="00C8795E"/>
    <w:rsid w:val="00C902DA"/>
    <w:rsid w:val="00C90586"/>
    <w:rsid w:val="00C91AFE"/>
    <w:rsid w:val="00C92215"/>
    <w:rsid w:val="00C92732"/>
    <w:rsid w:val="00C935F4"/>
    <w:rsid w:val="00C94450"/>
    <w:rsid w:val="00C94A88"/>
    <w:rsid w:val="00C94BAF"/>
    <w:rsid w:val="00C956B1"/>
    <w:rsid w:val="00C969F4"/>
    <w:rsid w:val="00C96B87"/>
    <w:rsid w:val="00C96E39"/>
    <w:rsid w:val="00C96F58"/>
    <w:rsid w:val="00C97040"/>
    <w:rsid w:val="00C9723F"/>
    <w:rsid w:val="00C977B2"/>
    <w:rsid w:val="00CA009B"/>
    <w:rsid w:val="00CA0529"/>
    <w:rsid w:val="00CA1478"/>
    <w:rsid w:val="00CA2400"/>
    <w:rsid w:val="00CA2997"/>
    <w:rsid w:val="00CA2C89"/>
    <w:rsid w:val="00CA2F85"/>
    <w:rsid w:val="00CA3052"/>
    <w:rsid w:val="00CA3070"/>
    <w:rsid w:val="00CA315A"/>
    <w:rsid w:val="00CA3177"/>
    <w:rsid w:val="00CA3658"/>
    <w:rsid w:val="00CA3ED8"/>
    <w:rsid w:val="00CA4076"/>
    <w:rsid w:val="00CA43DA"/>
    <w:rsid w:val="00CA4AEC"/>
    <w:rsid w:val="00CA4F27"/>
    <w:rsid w:val="00CA4F3A"/>
    <w:rsid w:val="00CA54B9"/>
    <w:rsid w:val="00CA5816"/>
    <w:rsid w:val="00CA58C2"/>
    <w:rsid w:val="00CA6030"/>
    <w:rsid w:val="00CA65AE"/>
    <w:rsid w:val="00CA6E5B"/>
    <w:rsid w:val="00CB0870"/>
    <w:rsid w:val="00CB0BAE"/>
    <w:rsid w:val="00CB1337"/>
    <w:rsid w:val="00CB1905"/>
    <w:rsid w:val="00CB1995"/>
    <w:rsid w:val="00CB19AE"/>
    <w:rsid w:val="00CB1C30"/>
    <w:rsid w:val="00CB1C83"/>
    <w:rsid w:val="00CB1F3C"/>
    <w:rsid w:val="00CB2164"/>
    <w:rsid w:val="00CB2B83"/>
    <w:rsid w:val="00CB2C0E"/>
    <w:rsid w:val="00CB3045"/>
    <w:rsid w:val="00CB3087"/>
    <w:rsid w:val="00CB339B"/>
    <w:rsid w:val="00CB3A59"/>
    <w:rsid w:val="00CB3CCE"/>
    <w:rsid w:val="00CB4569"/>
    <w:rsid w:val="00CB48D4"/>
    <w:rsid w:val="00CB4A04"/>
    <w:rsid w:val="00CB4AEF"/>
    <w:rsid w:val="00CB4F13"/>
    <w:rsid w:val="00CB4FC3"/>
    <w:rsid w:val="00CB5255"/>
    <w:rsid w:val="00CB57B2"/>
    <w:rsid w:val="00CB5989"/>
    <w:rsid w:val="00CB5BDF"/>
    <w:rsid w:val="00CB5EF1"/>
    <w:rsid w:val="00CB62E0"/>
    <w:rsid w:val="00CB650E"/>
    <w:rsid w:val="00CB66A6"/>
    <w:rsid w:val="00CB7660"/>
    <w:rsid w:val="00CB7936"/>
    <w:rsid w:val="00CB7BE7"/>
    <w:rsid w:val="00CC01B3"/>
    <w:rsid w:val="00CC0A12"/>
    <w:rsid w:val="00CC0DDC"/>
    <w:rsid w:val="00CC122F"/>
    <w:rsid w:val="00CC129D"/>
    <w:rsid w:val="00CC1315"/>
    <w:rsid w:val="00CC170C"/>
    <w:rsid w:val="00CC1893"/>
    <w:rsid w:val="00CC19B9"/>
    <w:rsid w:val="00CC256A"/>
    <w:rsid w:val="00CC268B"/>
    <w:rsid w:val="00CC2A6D"/>
    <w:rsid w:val="00CC3255"/>
    <w:rsid w:val="00CC34DC"/>
    <w:rsid w:val="00CC36CE"/>
    <w:rsid w:val="00CC3C7D"/>
    <w:rsid w:val="00CC3FCD"/>
    <w:rsid w:val="00CC3FED"/>
    <w:rsid w:val="00CC4005"/>
    <w:rsid w:val="00CC4134"/>
    <w:rsid w:val="00CC4163"/>
    <w:rsid w:val="00CC424E"/>
    <w:rsid w:val="00CC45C6"/>
    <w:rsid w:val="00CC4614"/>
    <w:rsid w:val="00CC4819"/>
    <w:rsid w:val="00CC4E57"/>
    <w:rsid w:val="00CC4F9D"/>
    <w:rsid w:val="00CC539E"/>
    <w:rsid w:val="00CC53A0"/>
    <w:rsid w:val="00CC54BE"/>
    <w:rsid w:val="00CC5680"/>
    <w:rsid w:val="00CC5796"/>
    <w:rsid w:val="00CC5E04"/>
    <w:rsid w:val="00CC607A"/>
    <w:rsid w:val="00CC6093"/>
    <w:rsid w:val="00CC653D"/>
    <w:rsid w:val="00CC6745"/>
    <w:rsid w:val="00CC68D7"/>
    <w:rsid w:val="00CC6B42"/>
    <w:rsid w:val="00CC7891"/>
    <w:rsid w:val="00CC7911"/>
    <w:rsid w:val="00CC7932"/>
    <w:rsid w:val="00CC7BB2"/>
    <w:rsid w:val="00CC7E0E"/>
    <w:rsid w:val="00CC7EC0"/>
    <w:rsid w:val="00CD0C96"/>
    <w:rsid w:val="00CD10B2"/>
    <w:rsid w:val="00CD130E"/>
    <w:rsid w:val="00CD16DD"/>
    <w:rsid w:val="00CD18FE"/>
    <w:rsid w:val="00CD1D4C"/>
    <w:rsid w:val="00CD1E6A"/>
    <w:rsid w:val="00CD24D4"/>
    <w:rsid w:val="00CD2D5E"/>
    <w:rsid w:val="00CD2DF7"/>
    <w:rsid w:val="00CD3314"/>
    <w:rsid w:val="00CD39F7"/>
    <w:rsid w:val="00CD3F71"/>
    <w:rsid w:val="00CD4084"/>
    <w:rsid w:val="00CD4307"/>
    <w:rsid w:val="00CD4E32"/>
    <w:rsid w:val="00CD4E68"/>
    <w:rsid w:val="00CD574B"/>
    <w:rsid w:val="00CD5981"/>
    <w:rsid w:val="00CD5F80"/>
    <w:rsid w:val="00CD61B1"/>
    <w:rsid w:val="00CD6234"/>
    <w:rsid w:val="00CD62FB"/>
    <w:rsid w:val="00CD6752"/>
    <w:rsid w:val="00CD6C0C"/>
    <w:rsid w:val="00CD7158"/>
    <w:rsid w:val="00CD798D"/>
    <w:rsid w:val="00CD7C90"/>
    <w:rsid w:val="00CD7DA2"/>
    <w:rsid w:val="00CE0330"/>
    <w:rsid w:val="00CE0853"/>
    <w:rsid w:val="00CE0A9D"/>
    <w:rsid w:val="00CE0AC3"/>
    <w:rsid w:val="00CE0B55"/>
    <w:rsid w:val="00CE0DF7"/>
    <w:rsid w:val="00CE0F51"/>
    <w:rsid w:val="00CE0F68"/>
    <w:rsid w:val="00CE1180"/>
    <w:rsid w:val="00CE127A"/>
    <w:rsid w:val="00CE1973"/>
    <w:rsid w:val="00CE22AA"/>
    <w:rsid w:val="00CE255D"/>
    <w:rsid w:val="00CE2604"/>
    <w:rsid w:val="00CE2FC5"/>
    <w:rsid w:val="00CE302E"/>
    <w:rsid w:val="00CE30C0"/>
    <w:rsid w:val="00CE361F"/>
    <w:rsid w:val="00CE380C"/>
    <w:rsid w:val="00CE3854"/>
    <w:rsid w:val="00CE39A6"/>
    <w:rsid w:val="00CE3F25"/>
    <w:rsid w:val="00CE43D2"/>
    <w:rsid w:val="00CE492D"/>
    <w:rsid w:val="00CE4C38"/>
    <w:rsid w:val="00CE4EEA"/>
    <w:rsid w:val="00CE535B"/>
    <w:rsid w:val="00CE58B1"/>
    <w:rsid w:val="00CE6947"/>
    <w:rsid w:val="00CE6DD0"/>
    <w:rsid w:val="00CE6F21"/>
    <w:rsid w:val="00CE70D6"/>
    <w:rsid w:val="00CE7C2A"/>
    <w:rsid w:val="00CE7E94"/>
    <w:rsid w:val="00CE7F14"/>
    <w:rsid w:val="00CF0110"/>
    <w:rsid w:val="00CF0A28"/>
    <w:rsid w:val="00CF0E52"/>
    <w:rsid w:val="00CF0F84"/>
    <w:rsid w:val="00CF17F6"/>
    <w:rsid w:val="00CF20AE"/>
    <w:rsid w:val="00CF21CE"/>
    <w:rsid w:val="00CF21FF"/>
    <w:rsid w:val="00CF2511"/>
    <w:rsid w:val="00CF2AE3"/>
    <w:rsid w:val="00CF32D2"/>
    <w:rsid w:val="00CF3766"/>
    <w:rsid w:val="00CF3942"/>
    <w:rsid w:val="00CF4010"/>
    <w:rsid w:val="00CF411E"/>
    <w:rsid w:val="00CF4409"/>
    <w:rsid w:val="00CF453D"/>
    <w:rsid w:val="00CF4655"/>
    <w:rsid w:val="00CF4719"/>
    <w:rsid w:val="00CF482A"/>
    <w:rsid w:val="00CF52A6"/>
    <w:rsid w:val="00CF5397"/>
    <w:rsid w:val="00CF5C63"/>
    <w:rsid w:val="00CF5E63"/>
    <w:rsid w:val="00CF5E91"/>
    <w:rsid w:val="00CF61D5"/>
    <w:rsid w:val="00CF6368"/>
    <w:rsid w:val="00CF63E3"/>
    <w:rsid w:val="00CF66E8"/>
    <w:rsid w:val="00CF68DC"/>
    <w:rsid w:val="00CF6E09"/>
    <w:rsid w:val="00CF6F87"/>
    <w:rsid w:val="00CF739D"/>
    <w:rsid w:val="00CF7B55"/>
    <w:rsid w:val="00D0042F"/>
    <w:rsid w:val="00D006F9"/>
    <w:rsid w:val="00D01643"/>
    <w:rsid w:val="00D01AF9"/>
    <w:rsid w:val="00D01FDB"/>
    <w:rsid w:val="00D02288"/>
    <w:rsid w:val="00D02575"/>
    <w:rsid w:val="00D02679"/>
    <w:rsid w:val="00D02CF5"/>
    <w:rsid w:val="00D030DD"/>
    <w:rsid w:val="00D0337B"/>
    <w:rsid w:val="00D03396"/>
    <w:rsid w:val="00D03851"/>
    <w:rsid w:val="00D03C32"/>
    <w:rsid w:val="00D03D04"/>
    <w:rsid w:val="00D04773"/>
    <w:rsid w:val="00D04B63"/>
    <w:rsid w:val="00D05818"/>
    <w:rsid w:val="00D05A06"/>
    <w:rsid w:val="00D0644D"/>
    <w:rsid w:val="00D0664E"/>
    <w:rsid w:val="00D06860"/>
    <w:rsid w:val="00D06AAC"/>
    <w:rsid w:val="00D074FA"/>
    <w:rsid w:val="00D10388"/>
    <w:rsid w:val="00D1063E"/>
    <w:rsid w:val="00D1064B"/>
    <w:rsid w:val="00D10904"/>
    <w:rsid w:val="00D10B97"/>
    <w:rsid w:val="00D10CBC"/>
    <w:rsid w:val="00D10CE5"/>
    <w:rsid w:val="00D10F1F"/>
    <w:rsid w:val="00D1112B"/>
    <w:rsid w:val="00D111F8"/>
    <w:rsid w:val="00D11695"/>
    <w:rsid w:val="00D1192C"/>
    <w:rsid w:val="00D122F9"/>
    <w:rsid w:val="00D12496"/>
    <w:rsid w:val="00D12D06"/>
    <w:rsid w:val="00D13E47"/>
    <w:rsid w:val="00D14865"/>
    <w:rsid w:val="00D14A24"/>
    <w:rsid w:val="00D1521B"/>
    <w:rsid w:val="00D1542E"/>
    <w:rsid w:val="00D1550A"/>
    <w:rsid w:val="00D15773"/>
    <w:rsid w:val="00D15BC7"/>
    <w:rsid w:val="00D16192"/>
    <w:rsid w:val="00D162A4"/>
    <w:rsid w:val="00D164B1"/>
    <w:rsid w:val="00D167B5"/>
    <w:rsid w:val="00D16DB0"/>
    <w:rsid w:val="00D16DE9"/>
    <w:rsid w:val="00D170E7"/>
    <w:rsid w:val="00D17306"/>
    <w:rsid w:val="00D17506"/>
    <w:rsid w:val="00D17DBE"/>
    <w:rsid w:val="00D17DDE"/>
    <w:rsid w:val="00D2014E"/>
    <w:rsid w:val="00D20E3C"/>
    <w:rsid w:val="00D215C1"/>
    <w:rsid w:val="00D216E0"/>
    <w:rsid w:val="00D21BF1"/>
    <w:rsid w:val="00D222EF"/>
    <w:rsid w:val="00D22796"/>
    <w:rsid w:val="00D229AA"/>
    <w:rsid w:val="00D229D1"/>
    <w:rsid w:val="00D23035"/>
    <w:rsid w:val="00D23059"/>
    <w:rsid w:val="00D23089"/>
    <w:rsid w:val="00D233EB"/>
    <w:rsid w:val="00D23729"/>
    <w:rsid w:val="00D245CD"/>
    <w:rsid w:val="00D2465A"/>
    <w:rsid w:val="00D24A13"/>
    <w:rsid w:val="00D24C9F"/>
    <w:rsid w:val="00D25653"/>
    <w:rsid w:val="00D25B32"/>
    <w:rsid w:val="00D260DF"/>
    <w:rsid w:val="00D26AA4"/>
    <w:rsid w:val="00D26ACE"/>
    <w:rsid w:val="00D26BE5"/>
    <w:rsid w:val="00D2731B"/>
    <w:rsid w:val="00D2738E"/>
    <w:rsid w:val="00D30553"/>
    <w:rsid w:val="00D308AD"/>
    <w:rsid w:val="00D30B42"/>
    <w:rsid w:val="00D30E03"/>
    <w:rsid w:val="00D30F33"/>
    <w:rsid w:val="00D30FE1"/>
    <w:rsid w:val="00D3112E"/>
    <w:rsid w:val="00D311DF"/>
    <w:rsid w:val="00D31804"/>
    <w:rsid w:val="00D31D82"/>
    <w:rsid w:val="00D32020"/>
    <w:rsid w:val="00D3224A"/>
    <w:rsid w:val="00D3240C"/>
    <w:rsid w:val="00D3249B"/>
    <w:rsid w:val="00D32D28"/>
    <w:rsid w:val="00D32F61"/>
    <w:rsid w:val="00D33A09"/>
    <w:rsid w:val="00D33C7F"/>
    <w:rsid w:val="00D33DBB"/>
    <w:rsid w:val="00D33DD1"/>
    <w:rsid w:val="00D34325"/>
    <w:rsid w:val="00D34B24"/>
    <w:rsid w:val="00D34C0F"/>
    <w:rsid w:val="00D34C5D"/>
    <w:rsid w:val="00D35E06"/>
    <w:rsid w:val="00D35F26"/>
    <w:rsid w:val="00D3606B"/>
    <w:rsid w:val="00D36179"/>
    <w:rsid w:val="00D369D8"/>
    <w:rsid w:val="00D36A59"/>
    <w:rsid w:val="00D3716C"/>
    <w:rsid w:val="00D40246"/>
    <w:rsid w:val="00D402A9"/>
    <w:rsid w:val="00D402C6"/>
    <w:rsid w:val="00D40363"/>
    <w:rsid w:val="00D40A45"/>
    <w:rsid w:val="00D40B0C"/>
    <w:rsid w:val="00D40CA4"/>
    <w:rsid w:val="00D40CB8"/>
    <w:rsid w:val="00D40CE0"/>
    <w:rsid w:val="00D40F33"/>
    <w:rsid w:val="00D4164A"/>
    <w:rsid w:val="00D41C52"/>
    <w:rsid w:val="00D41CA4"/>
    <w:rsid w:val="00D42004"/>
    <w:rsid w:val="00D42274"/>
    <w:rsid w:val="00D4236A"/>
    <w:rsid w:val="00D42D01"/>
    <w:rsid w:val="00D42D13"/>
    <w:rsid w:val="00D42D85"/>
    <w:rsid w:val="00D43022"/>
    <w:rsid w:val="00D43AF5"/>
    <w:rsid w:val="00D43B84"/>
    <w:rsid w:val="00D43DD8"/>
    <w:rsid w:val="00D4415B"/>
    <w:rsid w:val="00D44404"/>
    <w:rsid w:val="00D446C6"/>
    <w:rsid w:val="00D44763"/>
    <w:rsid w:val="00D44AFC"/>
    <w:rsid w:val="00D45051"/>
    <w:rsid w:val="00D4508B"/>
    <w:rsid w:val="00D45540"/>
    <w:rsid w:val="00D457E5"/>
    <w:rsid w:val="00D45B2B"/>
    <w:rsid w:val="00D45F5B"/>
    <w:rsid w:val="00D4641B"/>
    <w:rsid w:val="00D47305"/>
    <w:rsid w:val="00D479AF"/>
    <w:rsid w:val="00D47B6F"/>
    <w:rsid w:val="00D47C47"/>
    <w:rsid w:val="00D47D87"/>
    <w:rsid w:val="00D5023E"/>
    <w:rsid w:val="00D502CC"/>
    <w:rsid w:val="00D509E4"/>
    <w:rsid w:val="00D50A32"/>
    <w:rsid w:val="00D51A6D"/>
    <w:rsid w:val="00D51A7B"/>
    <w:rsid w:val="00D51BBA"/>
    <w:rsid w:val="00D5203D"/>
    <w:rsid w:val="00D52A1C"/>
    <w:rsid w:val="00D52B18"/>
    <w:rsid w:val="00D5310E"/>
    <w:rsid w:val="00D532D2"/>
    <w:rsid w:val="00D538FB"/>
    <w:rsid w:val="00D53981"/>
    <w:rsid w:val="00D539CD"/>
    <w:rsid w:val="00D53A31"/>
    <w:rsid w:val="00D540FC"/>
    <w:rsid w:val="00D54537"/>
    <w:rsid w:val="00D54845"/>
    <w:rsid w:val="00D54EC9"/>
    <w:rsid w:val="00D55AAD"/>
    <w:rsid w:val="00D55F0D"/>
    <w:rsid w:val="00D55F1B"/>
    <w:rsid w:val="00D562E4"/>
    <w:rsid w:val="00D564D3"/>
    <w:rsid w:val="00D5692F"/>
    <w:rsid w:val="00D56A50"/>
    <w:rsid w:val="00D56EC7"/>
    <w:rsid w:val="00D57106"/>
    <w:rsid w:val="00D571A1"/>
    <w:rsid w:val="00D572A5"/>
    <w:rsid w:val="00D5733E"/>
    <w:rsid w:val="00D579E3"/>
    <w:rsid w:val="00D6006C"/>
    <w:rsid w:val="00D60328"/>
    <w:rsid w:val="00D603D5"/>
    <w:rsid w:val="00D60451"/>
    <w:rsid w:val="00D60BA7"/>
    <w:rsid w:val="00D60C74"/>
    <w:rsid w:val="00D60C92"/>
    <w:rsid w:val="00D610F7"/>
    <w:rsid w:val="00D616ED"/>
    <w:rsid w:val="00D61BC9"/>
    <w:rsid w:val="00D61F02"/>
    <w:rsid w:val="00D626B0"/>
    <w:rsid w:val="00D62D6B"/>
    <w:rsid w:val="00D62DFC"/>
    <w:rsid w:val="00D62F1C"/>
    <w:rsid w:val="00D6338B"/>
    <w:rsid w:val="00D63CF5"/>
    <w:rsid w:val="00D63D1F"/>
    <w:rsid w:val="00D6456D"/>
    <w:rsid w:val="00D64D29"/>
    <w:rsid w:val="00D64F8F"/>
    <w:rsid w:val="00D6559B"/>
    <w:rsid w:val="00D659E9"/>
    <w:rsid w:val="00D65CE2"/>
    <w:rsid w:val="00D66063"/>
    <w:rsid w:val="00D66446"/>
    <w:rsid w:val="00D66455"/>
    <w:rsid w:val="00D66987"/>
    <w:rsid w:val="00D66D7F"/>
    <w:rsid w:val="00D66D82"/>
    <w:rsid w:val="00D66F1D"/>
    <w:rsid w:val="00D66FF7"/>
    <w:rsid w:val="00D679C8"/>
    <w:rsid w:val="00D703E0"/>
    <w:rsid w:val="00D709F2"/>
    <w:rsid w:val="00D70AFF"/>
    <w:rsid w:val="00D7125B"/>
    <w:rsid w:val="00D71825"/>
    <w:rsid w:val="00D71D1A"/>
    <w:rsid w:val="00D71D90"/>
    <w:rsid w:val="00D71E1E"/>
    <w:rsid w:val="00D71ECB"/>
    <w:rsid w:val="00D71FB4"/>
    <w:rsid w:val="00D71FF2"/>
    <w:rsid w:val="00D720B2"/>
    <w:rsid w:val="00D72390"/>
    <w:rsid w:val="00D725AE"/>
    <w:rsid w:val="00D72993"/>
    <w:rsid w:val="00D72A47"/>
    <w:rsid w:val="00D7311E"/>
    <w:rsid w:val="00D731A2"/>
    <w:rsid w:val="00D73213"/>
    <w:rsid w:val="00D732CF"/>
    <w:rsid w:val="00D732FC"/>
    <w:rsid w:val="00D73C3F"/>
    <w:rsid w:val="00D73C97"/>
    <w:rsid w:val="00D740AE"/>
    <w:rsid w:val="00D747DA"/>
    <w:rsid w:val="00D748D0"/>
    <w:rsid w:val="00D74AE6"/>
    <w:rsid w:val="00D74B0C"/>
    <w:rsid w:val="00D74B38"/>
    <w:rsid w:val="00D74EA3"/>
    <w:rsid w:val="00D75220"/>
    <w:rsid w:val="00D753B0"/>
    <w:rsid w:val="00D75429"/>
    <w:rsid w:val="00D75FBD"/>
    <w:rsid w:val="00D75FFB"/>
    <w:rsid w:val="00D76495"/>
    <w:rsid w:val="00D7736E"/>
    <w:rsid w:val="00D77475"/>
    <w:rsid w:val="00D775FF"/>
    <w:rsid w:val="00D7782C"/>
    <w:rsid w:val="00D77A08"/>
    <w:rsid w:val="00D77BBB"/>
    <w:rsid w:val="00D77FD9"/>
    <w:rsid w:val="00D803FD"/>
    <w:rsid w:val="00D808EB"/>
    <w:rsid w:val="00D81209"/>
    <w:rsid w:val="00D81871"/>
    <w:rsid w:val="00D8197A"/>
    <w:rsid w:val="00D819D2"/>
    <w:rsid w:val="00D8289A"/>
    <w:rsid w:val="00D82D60"/>
    <w:rsid w:val="00D83C31"/>
    <w:rsid w:val="00D83EBA"/>
    <w:rsid w:val="00D83EFD"/>
    <w:rsid w:val="00D83F6F"/>
    <w:rsid w:val="00D846F4"/>
    <w:rsid w:val="00D84777"/>
    <w:rsid w:val="00D84E3F"/>
    <w:rsid w:val="00D84F1C"/>
    <w:rsid w:val="00D8571D"/>
    <w:rsid w:val="00D85838"/>
    <w:rsid w:val="00D858F6"/>
    <w:rsid w:val="00D85D3A"/>
    <w:rsid w:val="00D86241"/>
    <w:rsid w:val="00D863E4"/>
    <w:rsid w:val="00D865B3"/>
    <w:rsid w:val="00D86AB0"/>
    <w:rsid w:val="00D86C16"/>
    <w:rsid w:val="00D87145"/>
    <w:rsid w:val="00D87931"/>
    <w:rsid w:val="00D87D44"/>
    <w:rsid w:val="00D87DB5"/>
    <w:rsid w:val="00D87EF4"/>
    <w:rsid w:val="00D90173"/>
    <w:rsid w:val="00D905F8"/>
    <w:rsid w:val="00D90FEC"/>
    <w:rsid w:val="00D9228C"/>
    <w:rsid w:val="00D927A2"/>
    <w:rsid w:val="00D92802"/>
    <w:rsid w:val="00D92892"/>
    <w:rsid w:val="00D929DD"/>
    <w:rsid w:val="00D935D2"/>
    <w:rsid w:val="00D93658"/>
    <w:rsid w:val="00D93A31"/>
    <w:rsid w:val="00D93AC1"/>
    <w:rsid w:val="00D93B75"/>
    <w:rsid w:val="00D93DDD"/>
    <w:rsid w:val="00D940E7"/>
    <w:rsid w:val="00D9466C"/>
    <w:rsid w:val="00D94782"/>
    <w:rsid w:val="00D94A07"/>
    <w:rsid w:val="00D95033"/>
    <w:rsid w:val="00D952C5"/>
    <w:rsid w:val="00D95362"/>
    <w:rsid w:val="00D95417"/>
    <w:rsid w:val="00D9558E"/>
    <w:rsid w:val="00D95EA5"/>
    <w:rsid w:val="00D95F88"/>
    <w:rsid w:val="00D9644E"/>
    <w:rsid w:val="00D966D3"/>
    <w:rsid w:val="00D973E4"/>
    <w:rsid w:val="00D97E9E"/>
    <w:rsid w:val="00D97F09"/>
    <w:rsid w:val="00DA0436"/>
    <w:rsid w:val="00DA0454"/>
    <w:rsid w:val="00DA07A3"/>
    <w:rsid w:val="00DA1164"/>
    <w:rsid w:val="00DA11F9"/>
    <w:rsid w:val="00DA158C"/>
    <w:rsid w:val="00DA18C6"/>
    <w:rsid w:val="00DA19E2"/>
    <w:rsid w:val="00DA20C1"/>
    <w:rsid w:val="00DA2CA9"/>
    <w:rsid w:val="00DA2ECC"/>
    <w:rsid w:val="00DA313F"/>
    <w:rsid w:val="00DA3512"/>
    <w:rsid w:val="00DA372C"/>
    <w:rsid w:val="00DA382E"/>
    <w:rsid w:val="00DA387D"/>
    <w:rsid w:val="00DA3C41"/>
    <w:rsid w:val="00DA3D6C"/>
    <w:rsid w:val="00DA3EA1"/>
    <w:rsid w:val="00DA412A"/>
    <w:rsid w:val="00DA45F3"/>
    <w:rsid w:val="00DA4744"/>
    <w:rsid w:val="00DA4FEE"/>
    <w:rsid w:val="00DA52D8"/>
    <w:rsid w:val="00DA52F2"/>
    <w:rsid w:val="00DA53F7"/>
    <w:rsid w:val="00DA544B"/>
    <w:rsid w:val="00DA54DF"/>
    <w:rsid w:val="00DA5504"/>
    <w:rsid w:val="00DA5994"/>
    <w:rsid w:val="00DA5D61"/>
    <w:rsid w:val="00DA5F97"/>
    <w:rsid w:val="00DA64AE"/>
    <w:rsid w:val="00DA65FC"/>
    <w:rsid w:val="00DA66BD"/>
    <w:rsid w:val="00DA69EC"/>
    <w:rsid w:val="00DA6D53"/>
    <w:rsid w:val="00DA6FAB"/>
    <w:rsid w:val="00DA7257"/>
    <w:rsid w:val="00DB0279"/>
    <w:rsid w:val="00DB057D"/>
    <w:rsid w:val="00DB05A9"/>
    <w:rsid w:val="00DB083E"/>
    <w:rsid w:val="00DB0918"/>
    <w:rsid w:val="00DB0A90"/>
    <w:rsid w:val="00DB0F4F"/>
    <w:rsid w:val="00DB1A1C"/>
    <w:rsid w:val="00DB1C37"/>
    <w:rsid w:val="00DB1CD9"/>
    <w:rsid w:val="00DB2CFD"/>
    <w:rsid w:val="00DB2E7E"/>
    <w:rsid w:val="00DB2F35"/>
    <w:rsid w:val="00DB310F"/>
    <w:rsid w:val="00DB4266"/>
    <w:rsid w:val="00DB44B8"/>
    <w:rsid w:val="00DB4591"/>
    <w:rsid w:val="00DB4FD8"/>
    <w:rsid w:val="00DB4FFB"/>
    <w:rsid w:val="00DB52F6"/>
    <w:rsid w:val="00DB5E8B"/>
    <w:rsid w:val="00DB5EEA"/>
    <w:rsid w:val="00DB63A3"/>
    <w:rsid w:val="00DB6471"/>
    <w:rsid w:val="00DB6EA4"/>
    <w:rsid w:val="00DB73B5"/>
    <w:rsid w:val="00DB7523"/>
    <w:rsid w:val="00DB7B5F"/>
    <w:rsid w:val="00DB7C27"/>
    <w:rsid w:val="00DC0003"/>
    <w:rsid w:val="00DC0196"/>
    <w:rsid w:val="00DC0681"/>
    <w:rsid w:val="00DC0A9F"/>
    <w:rsid w:val="00DC1562"/>
    <w:rsid w:val="00DC15E5"/>
    <w:rsid w:val="00DC16B0"/>
    <w:rsid w:val="00DC1E83"/>
    <w:rsid w:val="00DC1F91"/>
    <w:rsid w:val="00DC2187"/>
    <w:rsid w:val="00DC27A8"/>
    <w:rsid w:val="00DC28A0"/>
    <w:rsid w:val="00DC2AB9"/>
    <w:rsid w:val="00DC2FBD"/>
    <w:rsid w:val="00DC3263"/>
    <w:rsid w:val="00DC38A2"/>
    <w:rsid w:val="00DC4382"/>
    <w:rsid w:val="00DC4557"/>
    <w:rsid w:val="00DC45DF"/>
    <w:rsid w:val="00DC46E8"/>
    <w:rsid w:val="00DC4A8C"/>
    <w:rsid w:val="00DC4B9F"/>
    <w:rsid w:val="00DC4F4C"/>
    <w:rsid w:val="00DC5013"/>
    <w:rsid w:val="00DC5484"/>
    <w:rsid w:val="00DC56C8"/>
    <w:rsid w:val="00DC5729"/>
    <w:rsid w:val="00DC58DF"/>
    <w:rsid w:val="00DC60E3"/>
    <w:rsid w:val="00DC6567"/>
    <w:rsid w:val="00DC685E"/>
    <w:rsid w:val="00DC6883"/>
    <w:rsid w:val="00DC6A51"/>
    <w:rsid w:val="00DC70D9"/>
    <w:rsid w:val="00DC76B6"/>
    <w:rsid w:val="00DC7C6A"/>
    <w:rsid w:val="00DC7CFB"/>
    <w:rsid w:val="00DD0072"/>
    <w:rsid w:val="00DD04E7"/>
    <w:rsid w:val="00DD086C"/>
    <w:rsid w:val="00DD0B1D"/>
    <w:rsid w:val="00DD0FDA"/>
    <w:rsid w:val="00DD1988"/>
    <w:rsid w:val="00DD19A9"/>
    <w:rsid w:val="00DD1A06"/>
    <w:rsid w:val="00DD1A9D"/>
    <w:rsid w:val="00DD1BBA"/>
    <w:rsid w:val="00DD21FE"/>
    <w:rsid w:val="00DD2263"/>
    <w:rsid w:val="00DD2800"/>
    <w:rsid w:val="00DD2D31"/>
    <w:rsid w:val="00DD2DF6"/>
    <w:rsid w:val="00DD2E17"/>
    <w:rsid w:val="00DD2E32"/>
    <w:rsid w:val="00DD2FF9"/>
    <w:rsid w:val="00DD30CF"/>
    <w:rsid w:val="00DD3763"/>
    <w:rsid w:val="00DD3875"/>
    <w:rsid w:val="00DD38B7"/>
    <w:rsid w:val="00DD42C9"/>
    <w:rsid w:val="00DD47DF"/>
    <w:rsid w:val="00DD4877"/>
    <w:rsid w:val="00DD5043"/>
    <w:rsid w:val="00DD549F"/>
    <w:rsid w:val="00DD5BE4"/>
    <w:rsid w:val="00DD63AD"/>
    <w:rsid w:val="00DD645F"/>
    <w:rsid w:val="00DD6485"/>
    <w:rsid w:val="00DD6A7B"/>
    <w:rsid w:val="00DD6EB3"/>
    <w:rsid w:val="00DD719E"/>
    <w:rsid w:val="00DD71C3"/>
    <w:rsid w:val="00DD7978"/>
    <w:rsid w:val="00DE0BE1"/>
    <w:rsid w:val="00DE124D"/>
    <w:rsid w:val="00DE14F0"/>
    <w:rsid w:val="00DE1928"/>
    <w:rsid w:val="00DE1AC7"/>
    <w:rsid w:val="00DE2376"/>
    <w:rsid w:val="00DE293B"/>
    <w:rsid w:val="00DE2C73"/>
    <w:rsid w:val="00DE2C7F"/>
    <w:rsid w:val="00DE31D5"/>
    <w:rsid w:val="00DE4146"/>
    <w:rsid w:val="00DE416C"/>
    <w:rsid w:val="00DE45E5"/>
    <w:rsid w:val="00DE4749"/>
    <w:rsid w:val="00DE4884"/>
    <w:rsid w:val="00DE4886"/>
    <w:rsid w:val="00DE48A0"/>
    <w:rsid w:val="00DE4A18"/>
    <w:rsid w:val="00DE5407"/>
    <w:rsid w:val="00DE575A"/>
    <w:rsid w:val="00DE67F0"/>
    <w:rsid w:val="00DE6C10"/>
    <w:rsid w:val="00DE6CCC"/>
    <w:rsid w:val="00DE7521"/>
    <w:rsid w:val="00DE7B56"/>
    <w:rsid w:val="00DF0297"/>
    <w:rsid w:val="00DF0778"/>
    <w:rsid w:val="00DF0B32"/>
    <w:rsid w:val="00DF0ED6"/>
    <w:rsid w:val="00DF1013"/>
    <w:rsid w:val="00DF10BF"/>
    <w:rsid w:val="00DF1818"/>
    <w:rsid w:val="00DF1FBB"/>
    <w:rsid w:val="00DF21AB"/>
    <w:rsid w:val="00DF23DE"/>
    <w:rsid w:val="00DF2935"/>
    <w:rsid w:val="00DF31CF"/>
    <w:rsid w:val="00DF3241"/>
    <w:rsid w:val="00DF38AE"/>
    <w:rsid w:val="00DF3C49"/>
    <w:rsid w:val="00DF464C"/>
    <w:rsid w:val="00DF4A5B"/>
    <w:rsid w:val="00DF4F92"/>
    <w:rsid w:val="00DF53AF"/>
    <w:rsid w:val="00DF576F"/>
    <w:rsid w:val="00DF5B4B"/>
    <w:rsid w:val="00DF5D6D"/>
    <w:rsid w:val="00DF6069"/>
    <w:rsid w:val="00DF6AF3"/>
    <w:rsid w:val="00DF6C15"/>
    <w:rsid w:val="00DF6C55"/>
    <w:rsid w:val="00DF7215"/>
    <w:rsid w:val="00DF7373"/>
    <w:rsid w:val="00DF7DA8"/>
    <w:rsid w:val="00DF7EE1"/>
    <w:rsid w:val="00E0001D"/>
    <w:rsid w:val="00E0038B"/>
    <w:rsid w:val="00E0053D"/>
    <w:rsid w:val="00E00827"/>
    <w:rsid w:val="00E00F77"/>
    <w:rsid w:val="00E01139"/>
    <w:rsid w:val="00E01458"/>
    <w:rsid w:val="00E01945"/>
    <w:rsid w:val="00E02497"/>
    <w:rsid w:val="00E02CA1"/>
    <w:rsid w:val="00E03270"/>
    <w:rsid w:val="00E036E8"/>
    <w:rsid w:val="00E037BC"/>
    <w:rsid w:val="00E03BF6"/>
    <w:rsid w:val="00E046BD"/>
    <w:rsid w:val="00E04DC9"/>
    <w:rsid w:val="00E05375"/>
    <w:rsid w:val="00E05B85"/>
    <w:rsid w:val="00E05E07"/>
    <w:rsid w:val="00E05EC9"/>
    <w:rsid w:val="00E0634C"/>
    <w:rsid w:val="00E074C5"/>
    <w:rsid w:val="00E07570"/>
    <w:rsid w:val="00E075C7"/>
    <w:rsid w:val="00E07F91"/>
    <w:rsid w:val="00E10173"/>
    <w:rsid w:val="00E102B0"/>
    <w:rsid w:val="00E107F1"/>
    <w:rsid w:val="00E1181F"/>
    <w:rsid w:val="00E129EE"/>
    <w:rsid w:val="00E12FDD"/>
    <w:rsid w:val="00E1303A"/>
    <w:rsid w:val="00E134D0"/>
    <w:rsid w:val="00E13778"/>
    <w:rsid w:val="00E13F8D"/>
    <w:rsid w:val="00E1414C"/>
    <w:rsid w:val="00E14186"/>
    <w:rsid w:val="00E14C6B"/>
    <w:rsid w:val="00E14CE0"/>
    <w:rsid w:val="00E15684"/>
    <w:rsid w:val="00E15B8C"/>
    <w:rsid w:val="00E15CD5"/>
    <w:rsid w:val="00E15FFB"/>
    <w:rsid w:val="00E1750A"/>
    <w:rsid w:val="00E17A60"/>
    <w:rsid w:val="00E2032C"/>
    <w:rsid w:val="00E20EF4"/>
    <w:rsid w:val="00E211BC"/>
    <w:rsid w:val="00E21928"/>
    <w:rsid w:val="00E21F64"/>
    <w:rsid w:val="00E21F80"/>
    <w:rsid w:val="00E22091"/>
    <w:rsid w:val="00E23E2B"/>
    <w:rsid w:val="00E2405F"/>
    <w:rsid w:val="00E24193"/>
    <w:rsid w:val="00E24B1F"/>
    <w:rsid w:val="00E24B5F"/>
    <w:rsid w:val="00E2570C"/>
    <w:rsid w:val="00E25C37"/>
    <w:rsid w:val="00E25D46"/>
    <w:rsid w:val="00E25ED9"/>
    <w:rsid w:val="00E25F1B"/>
    <w:rsid w:val="00E260A6"/>
    <w:rsid w:val="00E261F2"/>
    <w:rsid w:val="00E2638A"/>
    <w:rsid w:val="00E26530"/>
    <w:rsid w:val="00E26570"/>
    <w:rsid w:val="00E265A5"/>
    <w:rsid w:val="00E2669C"/>
    <w:rsid w:val="00E2773C"/>
    <w:rsid w:val="00E27F6B"/>
    <w:rsid w:val="00E27F7A"/>
    <w:rsid w:val="00E27FF3"/>
    <w:rsid w:val="00E30C72"/>
    <w:rsid w:val="00E30E59"/>
    <w:rsid w:val="00E314F2"/>
    <w:rsid w:val="00E31FBA"/>
    <w:rsid w:val="00E32EEC"/>
    <w:rsid w:val="00E3355D"/>
    <w:rsid w:val="00E336A2"/>
    <w:rsid w:val="00E33868"/>
    <w:rsid w:val="00E33A8B"/>
    <w:rsid w:val="00E33D19"/>
    <w:rsid w:val="00E33F16"/>
    <w:rsid w:val="00E34189"/>
    <w:rsid w:val="00E3522E"/>
    <w:rsid w:val="00E35584"/>
    <w:rsid w:val="00E35843"/>
    <w:rsid w:val="00E358C5"/>
    <w:rsid w:val="00E3599E"/>
    <w:rsid w:val="00E35B78"/>
    <w:rsid w:val="00E36103"/>
    <w:rsid w:val="00E362C2"/>
    <w:rsid w:val="00E36451"/>
    <w:rsid w:val="00E368B5"/>
    <w:rsid w:val="00E369AD"/>
    <w:rsid w:val="00E36AAF"/>
    <w:rsid w:val="00E36B60"/>
    <w:rsid w:val="00E36C63"/>
    <w:rsid w:val="00E36DA7"/>
    <w:rsid w:val="00E36E68"/>
    <w:rsid w:val="00E37410"/>
    <w:rsid w:val="00E374F6"/>
    <w:rsid w:val="00E37A33"/>
    <w:rsid w:val="00E37D94"/>
    <w:rsid w:val="00E37DD9"/>
    <w:rsid w:val="00E40039"/>
    <w:rsid w:val="00E4075A"/>
    <w:rsid w:val="00E40EB3"/>
    <w:rsid w:val="00E41317"/>
    <w:rsid w:val="00E41CDB"/>
    <w:rsid w:val="00E41D07"/>
    <w:rsid w:val="00E4315E"/>
    <w:rsid w:val="00E43245"/>
    <w:rsid w:val="00E432E2"/>
    <w:rsid w:val="00E43457"/>
    <w:rsid w:val="00E4355C"/>
    <w:rsid w:val="00E44A55"/>
    <w:rsid w:val="00E45000"/>
    <w:rsid w:val="00E45091"/>
    <w:rsid w:val="00E4512E"/>
    <w:rsid w:val="00E45145"/>
    <w:rsid w:val="00E451C2"/>
    <w:rsid w:val="00E45670"/>
    <w:rsid w:val="00E458C2"/>
    <w:rsid w:val="00E46245"/>
    <w:rsid w:val="00E463BC"/>
    <w:rsid w:val="00E469B5"/>
    <w:rsid w:val="00E46D4E"/>
    <w:rsid w:val="00E46D79"/>
    <w:rsid w:val="00E478A8"/>
    <w:rsid w:val="00E47D4C"/>
    <w:rsid w:val="00E47FE4"/>
    <w:rsid w:val="00E50226"/>
    <w:rsid w:val="00E5072E"/>
    <w:rsid w:val="00E50BE4"/>
    <w:rsid w:val="00E50E09"/>
    <w:rsid w:val="00E512C6"/>
    <w:rsid w:val="00E51330"/>
    <w:rsid w:val="00E5156E"/>
    <w:rsid w:val="00E517C6"/>
    <w:rsid w:val="00E51BE3"/>
    <w:rsid w:val="00E51C21"/>
    <w:rsid w:val="00E5230B"/>
    <w:rsid w:val="00E52B1D"/>
    <w:rsid w:val="00E52F0D"/>
    <w:rsid w:val="00E53A40"/>
    <w:rsid w:val="00E54216"/>
    <w:rsid w:val="00E542B9"/>
    <w:rsid w:val="00E55221"/>
    <w:rsid w:val="00E556A8"/>
    <w:rsid w:val="00E556F3"/>
    <w:rsid w:val="00E557C1"/>
    <w:rsid w:val="00E559E6"/>
    <w:rsid w:val="00E56293"/>
    <w:rsid w:val="00E56A30"/>
    <w:rsid w:val="00E56BC8"/>
    <w:rsid w:val="00E56DA3"/>
    <w:rsid w:val="00E56EDA"/>
    <w:rsid w:val="00E56F56"/>
    <w:rsid w:val="00E572BB"/>
    <w:rsid w:val="00E6002F"/>
    <w:rsid w:val="00E6033C"/>
    <w:rsid w:val="00E6089A"/>
    <w:rsid w:val="00E608FD"/>
    <w:rsid w:val="00E6229E"/>
    <w:rsid w:val="00E624A1"/>
    <w:rsid w:val="00E62B2C"/>
    <w:rsid w:val="00E62C17"/>
    <w:rsid w:val="00E62D00"/>
    <w:rsid w:val="00E62E62"/>
    <w:rsid w:val="00E638D7"/>
    <w:rsid w:val="00E65C23"/>
    <w:rsid w:val="00E662FC"/>
    <w:rsid w:val="00E66BE1"/>
    <w:rsid w:val="00E66DFC"/>
    <w:rsid w:val="00E67A53"/>
    <w:rsid w:val="00E701CA"/>
    <w:rsid w:val="00E70278"/>
    <w:rsid w:val="00E705D6"/>
    <w:rsid w:val="00E7061B"/>
    <w:rsid w:val="00E70865"/>
    <w:rsid w:val="00E70B27"/>
    <w:rsid w:val="00E70CFB"/>
    <w:rsid w:val="00E70D13"/>
    <w:rsid w:val="00E71398"/>
    <w:rsid w:val="00E71F34"/>
    <w:rsid w:val="00E72FCD"/>
    <w:rsid w:val="00E73136"/>
    <w:rsid w:val="00E7324C"/>
    <w:rsid w:val="00E7342F"/>
    <w:rsid w:val="00E736C4"/>
    <w:rsid w:val="00E73B0E"/>
    <w:rsid w:val="00E73CBB"/>
    <w:rsid w:val="00E741A6"/>
    <w:rsid w:val="00E746BC"/>
    <w:rsid w:val="00E74949"/>
    <w:rsid w:val="00E74CF8"/>
    <w:rsid w:val="00E74DFF"/>
    <w:rsid w:val="00E7579B"/>
    <w:rsid w:val="00E760B8"/>
    <w:rsid w:val="00E761D2"/>
    <w:rsid w:val="00E7684B"/>
    <w:rsid w:val="00E772D6"/>
    <w:rsid w:val="00E773DE"/>
    <w:rsid w:val="00E779AA"/>
    <w:rsid w:val="00E77A3C"/>
    <w:rsid w:val="00E77BD1"/>
    <w:rsid w:val="00E77CF8"/>
    <w:rsid w:val="00E8002C"/>
    <w:rsid w:val="00E80A47"/>
    <w:rsid w:val="00E81268"/>
    <w:rsid w:val="00E815D1"/>
    <w:rsid w:val="00E82B5E"/>
    <w:rsid w:val="00E841B7"/>
    <w:rsid w:val="00E84661"/>
    <w:rsid w:val="00E84A09"/>
    <w:rsid w:val="00E84B36"/>
    <w:rsid w:val="00E84F99"/>
    <w:rsid w:val="00E85660"/>
    <w:rsid w:val="00E858DD"/>
    <w:rsid w:val="00E85A21"/>
    <w:rsid w:val="00E85C5D"/>
    <w:rsid w:val="00E85E48"/>
    <w:rsid w:val="00E8622F"/>
    <w:rsid w:val="00E8631E"/>
    <w:rsid w:val="00E8735E"/>
    <w:rsid w:val="00E873A7"/>
    <w:rsid w:val="00E87795"/>
    <w:rsid w:val="00E91DAB"/>
    <w:rsid w:val="00E91F3C"/>
    <w:rsid w:val="00E92929"/>
    <w:rsid w:val="00E92E3A"/>
    <w:rsid w:val="00E92EEC"/>
    <w:rsid w:val="00E93560"/>
    <w:rsid w:val="00E93605"/>
    <w:rsid w:val="00E9365D"/>
    <w:rsid w:val="00E93C07"/>
    <w:rsid w:val="00E9464F"/>
    <w:rsid w:val="00E9476F"/>
    <w:rsid w:val="00E94B3A"/>
    <w:rsid w:val="00E94BD9"/>
    <w:rsid w:val="00E95423"/>
    <w:rsid w:val="00E962FC"/>
    <w:rsid w:val="00E963F0"/>
    <w:rsid w:val="00E96581"/>
    <w:rsid w:val="00E967A7"/>
    <w:rsid w:val="00E96923"/>
    <w:rsid w:val="00E970F1"/>
    <w:rsid w:val="00E97461"/>
    <w:rsid w:val="00E975F8"/>
    <w:rsid w:val="00E97809"/>
    <w:rsid w:val="00E979A5"/>
    <w:rsid w:val="00E97A52"/>
    <w:rsid w:val="00E97E1E"/>
    <w:rsid w:val="00EA06CF"/>
    <w:rsid w:val="00EA0A31"/>
    <w:rsid w:val="00EA0CBF"/>
    <w:rsid w:val="00EA1372"/>
    <w:rsid w:val="00EA16D8"/>
    <w:rsid w:val="00EA177A"/>
    <w:rsid w:val="00EA1ADF"/>
    <w:rsid w:val="00EA1D58"/>
    <w:rsid w:val="00EA214A"/>
    <w:rsid w:val="00EA251D"/>
    <w:rsid w:val="00EA2881"/>
    <w:rsid w:val="00EA28B0"/>
    <w:rsid w:val="00EA2C10"/>
    <w:rsid w:val="00EA2DBD"/>
    <w:rsid w:val="00EA3203"/>
    <w:rsid w:val="00EA340F"/>
    <w:rsid w:val="00EA3457"/>
    <w:rsid w:val="00EA354C"/>
    <w:rsid w:val="00EA36B7"/>
    <w:rsid w:val="00EA386C"/>
    <w:rsid w:val="00EA411D"/>
    <w:rsid w:val="00EA451B"/>
    <w:rsid w:val="00EA46A2"/>
    <w:rsid w:val="00EA4847"/>
    <w:rsid w:val="00EA49C4"/>
    <w:rsid w:val="00EA4A20"/>
    <w:rsid w:val="00EA4ED9"/>
    <w:rsid w:val="00EA5A4E"/>
    <w:rsid w:val="00EA5DD7"/>
    <w:rsid w:val="00EA5E2E"/>
    <w:rsid w:val="00EA68D5"/>
    <w:rsid w:val="00EA7151"/>
    <w:rsid w:val="00EA71CD"/>
    <w:rsid w:val="00EA72D6"/>
    <w:rsid w:val="00EA74FF"/>
    <w:rsid w:val="00EA7638"/>
    <w:rsid w:val="00EA7B06"/>
    <w:rsid w:val="00EB008C"/>
    <w:rsid w:val="00EB0097"/>
    <w:rsid w:val="00EB01B2"/>
    <w:rsid w:val="00EB03AB"/>
    <w:rsid w:val="00EB0861"/>
    <w:rsid w:val="00EB0F2A"/>
    <w:rsid w:val="00EB13D9"/>
    <w:rsid w:val="00EB14B5"/>
    <w:rsid w:val="00EB2A24"/>
    <w:rsid w:val="00EB30A3"/>
    <w:rsid w:val="00EB3389"/>
    <w:rsid w:val="00EB39EF"/>
    <w:rsid w:val="00EB4557"/>
    <w:rsid w:val="00EB4AA0"/>
    <w:rsid w:val="00EB504A"/>
    <w:rsid w:val="00EB5215"/>
    <w:rsid w:val="00EB56AF"/>
    <w:rsid w:val="00EB5C8C"/>
    <w:rsid w:val="00EB643F"/>
    <w:rsid w:val="00EB64C3"/>
    <w:rsid w:val="00EB6615"/>
    <w:rsid w:val="00EB6A8A"/>
    <w:rsid w:val="00EB6D41"/>
    <w:rsid w:val="00EB6FC8"/>
    <w:rsid w:val="00EC070F"/>
    <w:rsid w:val="00EC0A8C"/>
    <w:rsid w:val="00EC0F1D"/>
    <w:rsid w:val="00EC113F"/>
    <w:rsid w:val="00EC173F"/>
    <w:rsid w:val="00EC248D"/>
    <w:rsid w:val="00EC2571"/>
    <w:rsid w:val="00EC2B5E"/>
    <w:rsid w:val="00EC2D25"/>
    <w:rsid w:val="00EC2EF9"/>
    <w:rsid w:val="00EC2F41"/>
    <w:rsid w:val="00EC3883"/>
    <w:rsid w:val="00EC418B"/>
    <w:rsid w:val="00EC42CB"/>
    <w:rsid w:val="00EC4EB7"/>
    <w:rsid w:val="00EC4F77"/>
    <w:rsid w:val="00EC4F82"/>
    <w:rsid w:val="00EC50F2"/>
    <w:rsid w:val="00EC5BE4"/>
    <w:rsid w:val="00EC5F4F"/>
    <w:rsid w:val="00EC6019"/>
    <w:rsid w:val="00EC638C"/>
    <w:rsid w:val="00EC6418"/>
    <w:rsid w:val="00EC66A3"/>
    <w:rsid w:val="00EC6DD0"/>
    <w:rsid w:val="00EC6E73"/>
    <w:rsid w:val="00EC7142"/>
    <w:rsid w:val="00EC7290"/>
    <w:rsid w:val="00EC7425"/>
    <w:rsid w:val="00EC77DC"/>
    <w:rsid w:val="00EC794F"/>
    <w:rsid w:val="00ED06B3"/>
    <w:rsid w:val="00ED070B"/>
    <w:rsid w:val="00ED0C82"/>
    <w:rsid w:val="00ED0E9B"/>
    <w:rsid w:val="00ED1127"/>
    <w:rsid w:val="00ED13F4"/>
    <w:rsid w:val="00ED2402"/>
    <w:rsid w:val="00ED2674"/>
    <w:rsid w:val="00ED2AA8"/>
    <w:rsid w:val="00ED2B3F"/>
    <w:rsid w:val="00ED2F09"/>
    <w:rsid w:val="00ED3369"/>
    <w:rsid w:val="00ED3433"/>
    <w:rsid w:val="00ED3915"/>
    <w:rsid w:val="00ED3ADE"/>
    <w:rsid w:val="00ED3EDE"/>
    <w:rsid w:val="00ED45F7"/>
    <w:rsid w:val="00ED5F2B"/>
    <w:rsid w:val="00ED5F58"/>
    <w:rsid w:val="00ED6C31"/>
    <w:rsid w:val="00ED6CB7"/>
    <w:rsid w:val="00ED7249"/>
    <w:rsid w:val="00ED7BEB"/>
    <w:rsid w:val="00ED7BEC"/>
    <w:rsid w:val="00ED7D5C"/>
    <w:rsid w:val="00EE06C7"/>
    <w:rsid w:val="00EE0C31"/>
    <w:rsid w:val="00EE0D85"/>
    <w:rsid w:val="00EE16BC"/>
    <w:rsid w:val="00EE1707"/>
    <w:rsid w:val="00EE245E"/>
    <w:rsid w:val="00EE2B34"/>
    <w:rsid w:val="00EE3244"/>
    <w:rsid w:val="00EE384A"/>
    <w:rsid w:val="00EE3BF3"/>
    <w:rsid w:val="00EE3EA9"/>
    <w:rsid w:val="00EE4823"/>
    <w:rsid w:val="00EE4A3B"/>
    <w:rsid w:val="00EE4DAA"/>
    <w:rsid w:val="00EE5FD7"/>
    <w:rsid w:val="00EE60C9"/>
    <w:rsid w:val="00EE626C"/>
    <w:rsid w:val="00EE63FE"/>
    <w:rsid w:val="00EE650B"/>
    <w:rsid w:val="00EE676C"/>
    <w:rsid w:val="00EE6BCB"/>
    <w:rsid w:val="00EE7120"/>
    <w:rsid w:val="00EE71B7"/>
    <w:rsid w:val="00EE75EF"/>
    <w:rsid w:val="00EE7713"/>
    <w:rsid w:val="00EE7AF6"/>
    <w:rsid w:val="00EE7B37"/>
    <w:rsid w:val="00EE7C83"/>
    <w:rsid w:val="00EF0708"/>
    <w:rsid w:val="00EF0A0C"/>
    <w:rsid w:val="00EF0ABE"/>
    <w:rsid w:val="00EF0DEE"/>
    <w:rsid w:val="00EF1071"/>
    <w:rsid w:val="00EF17A8"/>
    <w:rsid w:val="00EF1F7A"/>
    <w:rsid w:val="00EF20ED"/>
    <w:rsid w:val="00EF27CE"/>
    <w:rsid w:val="00EF2B44"/>
    <w:rsid w:val="00EF3400"/>
    <w:rsid w:val="00EF4894"/>
    <w:rsid w:val="00EF5660"/>
    <w:rsid w:val="00EF5F81"/>
    <w:rsid w:val="00EF629F"/>
    <w:rsid w:val="00EF6933"/>
    <w:rsid w:val="00EF6944"/>
    <w:rsid w:val="00EF6B98"/>
    <w:rsid w:val="00EF6B9A"/>
    <w:rsid w:val="00EF6DE3"/>
    <w:rsid w:val="00EF7241"/>
    <w:rsid w:val="00EF7547"/>
    <w:rsid w:val="00EF7A87"/>
    <w:rsid w:val="00EF7A8E"/>
    <w:rsid w:val="00EF7E53"/>
    <w:rsid w:val="00EF7F2D"/>
    <w:rsid w:val="00F004B3"/>
    <w:rsid w:val="00F00824"/>
    <w:rsid w:val="00F00D3E"/>
    <w:rsid w:val="00F00DEA"/>
    <w:rsid w:val="00F00EF8"/>
    <w:rsid w:val="00F00F84"/>
    <w:rsid w:val="00F01494"/>
    <w:rsid w:val="00F02FD8"/>
    <w:rsid w:val="00F03042"/>
    <w:rsid w:val="00F0310D"/>
    <w:rsid w:val="00F03112"/>
    <w:rsid w:val="00F03180"/>
    <w:rsid w:val="00F0331E"/>
    <w:rsid w:val="00F0363D"/>
    <w:rsid w:val="00F03BBB"/>
    <w:rsid w:val="00F03E3C"/>
    <w:rsid w:val="00F0484B"/>
    <w:rsid w:val="00F053F5"/>
    <w:rsid w:val="00F05C0C"/>
    <w:rsid w:val="00F05DF4"/>
    <w:rsid w:val="00F0637C"/>
    <w:rsid w:val="00F0670B"/>
    <w:rsid w:val="00F0761B"/>
    <w:rsid w:val="00F10204"/>
    <w:rsid w:val="00F10B62"/>
    <w:rsid w:val="00F11481"/>
    <w:rsid w:val="00F119E7"/>
    <w:rsid w:val="00F11C05"/>
    <w:rsid w:val="00F12113"/>
    <w:rsid w:val="00F12954"/>
    <w:rsid w:val="00F12AC7"/>
    <w:rsid w:val="00F140AE"/>
    <w:rsid w:val="00F141E6"/>
    <w:rsid w:val="00F14974"/>
    <w:rsid w:val="00F14EDC"/>
    <w:rsid w:val="00F15608"/>
    <w:rsid w:val="00F15F6F"/>
    <w:rsid w:val="00F16995"/>
    <w:rsid w:val="00F16D0D"/>
    <w:rsid w:val="00F1702B"/>
    <w:rsid w:val="00F175A0"/>
    <w:rsid w:val="00F17847"/>
    <w:rsid w:val="00F1796E"/>
    <w:rsid w:val="00F20211"/>
    <w:rsid w:val="00F20222"/>
    <w:rsid w:val="00F203B2"/>
    <w:rsid w:val="00F20E1F"/>
    <w:rsid w:val="00F20E9F"/>
    <w:rsid w:val="00F2119B"/>
    <w:rsid w:val="00F21458"/>
    <w:rsid w:val="00F21878"/>
    <w:rsid w:val="00F218E1"/>
    <w:rsid w:val="00F222F4"/>
    <w:rsid w:val="00F229AC"/>
    <w:rsid w:val="00F22D74"/>
    <w:rsid w:val="00F234DE"/>
    <w:rsid w:val="00F23B74"/>
    <w:rsid w:val="00F23CDB"/>
    <w:rsid w:val="00F23DF3"/>
    <w:rsid w:val="00F243A9"/>
    <w:rsid w:val="00F24686"/>
    <w:rsid w:val="00F2469F"/>
    <w:rsid w:val="00F24C2D"/>
    <w:rsid w:val="00F254AC"/>
    <w:rsid w:val="00F25664"/>
    <w:rsid w:val="00F258CA"/>
    <w:rsid w:val="00F25A65"/>
    <w:rsid w:val="00F260AA"/>
    <w:rsid w:val="00F260C2"/>
    <w:rsid w:val="00F262C8"/>
    <w:rsid w:val="00F26347"/>
    <w:rsid w:val="00F26664"/>
    <w:rsid w:val="00F27129"/>
    <w:rsid w:val="00F2715A"/>
    <w:rsid w:val="00F27716"/>
    <w:rsid w:val="00F27EC3"/>
    <w:rsid w:val="00F304D1"/>
    <w:rsid w:val="00F30875"/>
    <w:rsid w:val="00F31452"/>
    <w:rsid w:val="00F316F5"/>
    <w:rsid w:val="00F3192F"/>
    <w:rsid w:val="00F31FE2"/>
    <w:rsid w:val="00F32B32"/>
    <w:rsid w:val="00F32C65"/>
    <w:rsid w:val="00F33060"/>
    <w:rsid w:val="00F33442"/>
    <w:rsid w:val="00F3375C"/>
    <w:rsid w:val="00F33F0A"/>
    <w:rsid w:val="00F34359"/>
    <w:rsid w:val="00F34500"/>
    <w:rsid w:val="00F34564"/>
    <w:rsid w:val="00F34580"/>
    <w:rsid w:val="00F34E54"/>
    <w:rsid w:val="00F350F9"/>
    <w:rsid w:val="00F3520A"/>
    <w:rsid w:val="00F35211"/>
    <w:rsid w:val="00F35C46"/>
    <w:rsid w:val="00F35D30"/>
    <w:rsid w:val="00F35F44"/>
    <w:rsid w:val="00F362BC"/>
    <w:rsid w:val="00F36CAA"/>
    <w:rsid w:val="00F36E1A"/>
    <w:rsid w:val="00F37CF9"/>
    <w:rsid w:val="00F37D90"/>
    <w:rsid w:val="00F40A4B"/>
    <w:rsid w:val="00F40EE1"/>
    <w:rsid w:val="00F41025"/>
    <w:rsid w:val="00F41111"/>
    <w:rsid w:val="00F4140C"/>
    <w:rsid w:val="00F41B56"/>
    <w:rsid w:val="00F41CE5"/>
    <w:rsid w:val="00F421F4"/>
    <w:rsid w:val="00F42269"/>
    <w:rsid w:val="00F42ECF"/>
    <w:rsid w:val="00F42FC2"/>
    <w:rsid w:val="00F43707"/>
    <w:rsid w:val="00F444C1"/>
    <w:rsid w:val="00F4450C"/>
    <w:rsid w:val="00F4455B"/>
    <w:rsid w:val="00F446B9"/>
    <w:rsid w:val="00F44C62"/>
    <w:rsid w:val="00F44C65"/>
    <w:rsid w:val="00F44C94"/>
    <w:rsid w:val="00F45E61"/>
    <w:rsid w:val="00F460D6"/>
    <w:rsid w:val="00F467FE"/>
    <w:rsid w:val="00F46B97"/>
    <w:rsid w:val="00F46C44"/>
    <w:rsid w:val="00F47390"/>
    <w:rsid w:val="00F47403"/>
    <w:rsid w:val="00F4745C"/>
    <w:rsid w:val="00F47B67"/>
    <w:rsid w:val="00F50E52"/>
    <w:rsid w:val="00F5179D"/>
    <w:rsid w:val="00F518DB"/>
    <w:rsid w:val="00F51905"/>
    <w:rsid w:val="00F51FF7"/>
    <w:rsid w:val="00F52712"/>
    <w:rsid w:val="00F5283D"/>
    <w:rsid w:val="00F52A3A"/>
    <w:rsid w:val="00F52B65"/>
    <w:rsid w:val="00F52B89"/>
    <w:rsid w:val="00F5355B"/>
    <w:rsid w:val="00F5549B"/>
    <w:rsid w:val="00F55D8D"/>
    <w:rsid w:val="00F56185"/>
    <w:rsid w:val="00F56503"/>
    <w:rsid w:val="00F56D0C"/>
    <w:rsid w:val="00F57487"/>
    <w:rsid w:val="00F5773A"/>
    <w:rsid w:val="00F57B57"/>
    <w:rsid w:val="00F6040D"/>
    <w:rsid w:val="00F608B6"/>
    <w:rsid w:val="00F6097F"/>
    <w:rsid w:val="00F60D59"/>
    <w:rsid w:val="00F6117D"/>
    <w:rsid w:val="00F611B9"/>
    <w:rsid w:val="00F612C1"/>
    <w:rsid w:val="00F61D32"/>
    <w:rsid w:val="00F6331B"/>
    <w:rsid w:val="00F635D5"/>
    <w:rsid w:val="00F63BB4"/>
    <w:rsid w:val="00F64495"/>
    <w:rsid w:val="00F64906"/>
    <w:rsid w:val="00F64D76"/>
    <w:rsid w:val="00F64E63"/>
    <w:rsid w:val="00F64F0D"/>
    <w:rsid w:val="00F654FA"/>
    <w:rsid w:val="00F655C2"/>
    <w:rsid w:val="00F65A67"/>
    <w:rsid w:val="00F65B07"/>
    <w:rsid w:val="00F674B6"/>
    <w:rsid w:val="00F67D5E"/>
    <w:rsid w:val="00F70A96"/>
    <w:rsid w:val="00F719E9"/>
    <w:rsid w:val="00F71E2E"/>
    <w:rsid w:val="00F71FDF"/>
    <w:rsid w:val="00F72210"/>
    <w:rsid w:val="00F72F3B"/>
    <w:rsid w:val="00F7325F"/>
    <w:rsid w:val="00F734D1"/>
    <w:rsid w:val="00F73509"/>
    <w:rsid w:val="00F735EC"/>
    <w:rsid w:val="00F739D0"/>
    <w:rsid w:val="00F74141"/>
    <w:rsid w:val="00F74981"/>
    <w:rsid w:val="00F74C88"/>
    <w:rsid w:val="00F753FF"/>
    <w:rsid w:val="00F75DF0"/>
    <w:rsid w:val="00F76995"/>
    <w:rsid w:val="00F76C89"/>
    <w:rsid w:val="00F76D49"/>
    <w:rsid w:val="00F76EA7"/>
    <w:rsid w:val="00F7750F"/>
    <w:rsid w:val="00F77E1E"/>
    <w:rsid w:val="00F77E20"/>
    <w:rsid w:val="00F80440"/>
    <w:rsid w:val="00F80500"/>
    <w:rsid w:val="00F80701"/>
    <w:rsid w:val="00F80BD4"/>
    <w:rsid w:val="00F813F3"/>
    <w:rsid w:val="00F81FD4"/>
    <w:rsid w:val="00F8206A"/>
    <w:rsid w:val="00F82437"/>
    <w:rsid w:val="00F824B7"/>
    <w:rsid w:val="00F82915"/>
    <w:rsid w:val="00F82AF5"/>
    <w:rsid w:val="00F83864"/>
    <w:rsid w:val="00F843E4"/>
    <w:rsid w:val="00F844A6"/>
    <w:rsid w:val="00F84572"/>
    <w:rsid w:val="00F8476C"/>
    <w:rsid w:val="00F84893"/>
    <w:rsid w:val="00F84BBB"/>
    <w:rsid w:val="00F84E1A"/>
    <w:rsid w:val="00F85E87"/>
    <w:rsid w:val="00F85EE2"/>
    <w:rsid w:val="00F8650F"/>
    <w:rsid w:val="00F86517"/>
    <w:rsid w:val="00F86608"/>
    <w:rsid w:val="00F86CE0"/>
    <w:rsid w:val="00F87DFC"/>
    <w:rsid w:val="00F907CF"/>
    <w:rsid w:val="00F90B36"/>
    <w:rsid w:val="00F90D67"/>
    <w:rsid w:val="00F91E6A"/>
    <w:rsid w:val="00F91E8F"/>
    <w:rsid w:val="00F92270"/>
    <w:rsid w:val="00F925BD"/>
    <w:rsid w:val="00F928DD"/>
    <w:rsid w:val="00F932E8"/>
    <w:rsid w:val="00F938FC"/>
    <w:rsid w:val="00F93B47"/>
    <w:rsid w:val="00F93D6E"/>
    <w:rsid w:val="00F93EC1"/>
    <w:rsid w:val="00F94124"/>
    <w:rsid w:val="00F94571"/>
    <w:rsid w:val="00F9478E"/>
    <w:rsid w:val="00F953CF"/>
    <w:rsid w:val="00F95834"/>
    <w:rsid w:val="00F96502"/>
    <w:rsid w:val="00F96635"/>
    <w:rsid w:val="00F9696B"/>
    <w:rsid w:val="00F9741F"/>
    <w:rsid w:val="00F975FD"/>
    <w:rsid w:val="00F97B26"/>
    <w:rsid w:val="00F97B7C"/>
    <w:rsid w:val="00F97C3B"/>
    <w:rsid w:val="00F97FDA"/>
    <w:rsid w:val="00FA08CC"/>
    <w:rsid w:val="00FA0BCA"/>
    <w:rsid w:val="00FA0C8C"/>
    <w:rsid w:val="00FA10A8"/>
    <w:rsid w:val="00FA15EB"/>
    <w:rsid w:val="00FA1B10"/>
    <w:rsid w:val="00FA1DB2"/>
    <w:rsid w:val="00FA1E11"/>
    <w:rsid w:val="00FA22BB"/>
    <w:rsid w:val="00FA26F1"/>
    <w:rsid w:val="00FA2A8A"/>
    <w:rsid w:val="00FA317B"/>
    <w:rsid w:val="00FA33B7"/>
    <w:rsid w:val="00FA3B60"/>
    <w:rsid w:val="00FA3CCD"/>
    <w:rsid w:val="00FA4236"/>
    <w:rsid w:val="00FA436B"/>
    <w:rsid w:val="00FA438C"/>
    <w:rsid w:val="00FA43FB"/>
    <w:rsid w:val="00FA490D"/>
    <w:rsid w:val="00FA4AEB"/>
    <w:rsid w:val="00FA4BB1"/>
    <w:rsid w:val="00FA4F2F"/>
    <w:rsid w:val="00FA534B"/>
    <w:rsid w:val="00FA5761"/>
    <w:rsid w:val="00FA5D20"/>
    <w:rsid w:val="00FA5E46"/>
    <w:rsid w:val="00FA5E47"/>
    <w:rsid w:val="00FA5EE8"/>
    <w:rsid w:val="00FA6022"/>
    <w:rsid w:val="00FA6499"/>
    <w:rsid w:val="00FA6560"/>
    <w:rsid w:val="00FA6AB3"/>
    <w:rsid w:val="00FA6CB0"/>
    <w:rsid w:val="00FA6DE1"/>
    <w:rsid w:val="00FA7DE8"/>
    <w:rsid w:val="00FB00E3"/>
    <w:rsid w:val="00FB01D1"/>
    <w:rsid w:val="00FB04DE"/>
    <w:rsid w:val="00FB0538"/>
    <w:rsid w:val="00FB0590"/>
    <w:rsid w:val="00FB08D5"/>
    <w:rsid w:val="00FB0C9A"/>
    <w:rsid w:val="00FB134C"/>
    <w:rsid w:val="00FB13E3"/>
    <w:rsid w:val="00FB15A9"/>
    <w:rsid w:val="00FB1FBF"/>
    <w:rsid w:val="00FB1FDE"/>
    <w:rsid w:val="00FB2288"/>
    <w:rsid w:val="00FB2491"/>
    <w:rsid w:val="00FB3387"/>
    <w:rsid w:val="00FB33AC"/>
    <w:rsid w:val="00FB33B3"/>
    <w:rsid w:val="00FB3864"/>
    <w:rsid w:val="00FB38B2"/>
    <w:rsid w:val="00FB3DA3"/>
    <w:rsid w:val="00FB42A8"/>
    <w:rsid w:val="00FB45A2"/>
    <w:rsid w:val="00FB488F"/>
    <w:rsid w:val="00FB50A0"/>
    <w:rsid w:val="00FB52E0"/>
    <w:rsid w:val="00FB5857"/>
    <w:rsid w:val="00FB5AF4"/>
    <w:rsid w:val="00FB5E53"/>
    <w:rsid w:val="00FB5FA2"/>
    <w:rsid w:val="00FB61F5"/>
    <w:rsid w:val="00FB655C"/>
    <w:rsid w:val="00FB6649"/>
    <w:rsid w:val="00FB6BDB"/>
    <w:rsid w:val="00FB6F9C"/>
    <w:rsid w:val="00FB700C"/>
    <w:rsid w:val="00FB72D2"/>
    <w:rsid w:val="00FB794B"/>
    <w:rsid w:val="00FB7AF1"/>
    <w:rsid w:val="00FC0044"/>
    <w:rsid w:val="00FC04B0"/>
    <w:rsid w:val="00FC061B"/>
    <w:rsid w:val="00FC0A84"/>
    <w:rsid w:val="00FC0E4E"/>
    <w:rsid w:val="00FC1271"/>
    <w:rsid w:val="00FC1326"/>
    <w:rsid w:val="00FC1967"/>
    <w:rsid w:val="00FC1CF8"/>
    <w:rsid w:val="00FC207E"/>
    <w:rsid w:val="00FC2088"/>
    <w:rsid w:val="00FC2291"/>
    <w:rsid w:val="00FC23D9"/>
    <w:rsid w:val="00FC2C86"/>
    <w:rsid w:val="00FC2CF7"/>
    <w:rsid w:val="00FC2F0E"/>
    <w:rsid w:val="00FC3143"/>
    <w:rsid w:val="00FC3C5D"/>
    <w:rsid w:val="00FC4065"/>
    <w:rsid w:val="00FC4397"/>
    <w:rsid w:val="00FC4433"/>
    <w:rsid w:val="00FC4B13"/>
    <w:rsid w:val="00FC4EAF"/>
    <w:rsid w:val="00FC507E"/>
    <w:rsid w:val="00FC569F"/>
    <w:rsid w:val="00FC57A0"/>
    <w:rsid w:val="00FC6309"/>
    <w:rsid w:val="00FC6347"/>
    <w:rsid w:val="00FC6383"/>
    <w:rsid w:val="00FC6A55"/>
    <w:rsid w:val="00FC6FC1"/>
    <w:rsid w:val="00FC704D"/>
    <w:rsid w:val="00FC7054"/>
    <w:rsid w:val="00FC76F9"/>
    <w:rsid w:val="00FC7AAD"/>
    <w:rsid w:val="00FC7C2F"/>
    <w:rsid w:val="00FC7C71"/>
    <w:rsid w:val="00FC7FA8"/>
    <w:rsid w:val="00FD0399"/>
    <w:rsid w:val="00FD0A49"/>
    <w:rsid w:val="00FD0BF5"/>
    <w:rsid w:val="00FD1528"/>
    <w:rsid w:val="00FD23A3"/>
    <w:rsid w:val="00FD240F"/>
    <w:rsid w:val="00FD259D"/>
    <w:rsid w:val="00FD265B"/>
    <w:rsid w:val="00FD2D4C"/>
    <w:rsid w:val="00FD3077"/>
    <w:rsid w:val="00FD3F3A"/>
    <w:rsid w:val="00FD4D27"/>
    <w:rsid w:val="00FD5641"/>
    <w:rsid w:val="00FD5725"/>
    <w:rsid w:val="00FD57C0"/>
    <w:rsid w:val="00FD5944"/>
    <w:rsid w:val="00FD5951"/>
    <w:rsid w:val="00FD5A0E"/>
    <w:rsid w:val="00FD5AB2"/>
    <w:rsid w:val="00FD5C6A"/>
    <w:rsid w:val="00FD5FD4"/>
    <w:rsid w:val="00FD68BF"/>
    <w:rsid w:val="00FD697E"/>
    <w:rsid w:val="00FD71ED"/>
    <w:rsid w:val="00FD737A"/>
    <w:rsid w:val="00FD798A"/>
    <w:rsid w:val="00FD79A9"/>
    <w:rsid w:val="00FE0012"/>
    <w:rsid w:val="00FE0041"/>
    <w:rsid w:val="00FE033B"/>
    <w:rsid w:val="00FE0412"/>
    <w:rsid w:val="00FE0B02"/>
    <w:rsid w:val="00FE0E5E"/>
    <w:rsid w:val="00FE1B8C"/>
    <w:rsid w:val="00FE1CBD"/>
    <w:rsid w:val="00FE2645"/>
    <w:rsid w:val="00FE2A5A"/>
    <w:rsid w:val="00FE2A90"/>
    <w:rsid w:val="00FE2B92"/>
    <w:rsid w:val="00FE2CE7"/>
    <w:rsid w:val="00FE31DE"/>
    <w:rsid w:val="00FE3385"/>
    <w:rsid w:val="00FE3FCF"/>
    <w:rsid w:val="00FE4396"/>
    <w:rsid w:val="00FE4939"/>
    <w:rsid w:val="00FE4A4C"/>
    <w:rsid w:val="00FE4BD3"/>
    <w:rsid w:val="00FE4E79"/>
    <w:rsid w:val="00FE510E"/>
    <w:rsid w:val="00FE69DD"/>
    <w:rsid w:val="00FE6CE5"/>
    <w:rsid w:val="00FE762D"/>
    <w:rsid w:val="00FE7E83"/>
    <w:rsid w:val="00FF022E"/>
    <w:rsid w:val="00FF0332"/>
    <w:rsid w:val="00FF0393"/>
    <w:rsid w:val="00FF0E94"/>
    <w:rsid w:val="00FF11BF"/>
    <w:rsid w:val="00FF125B"/>
    <w:rsid w:val="00FF1544"/>
    <w:rsid w:val="00FF1575"/>
    <w:rsid w:val="00FF1673"/>
    <w:rsid w:val="00FF1C9C"/>
    <w:rsid w:val="00FF200C"/>
    <w:rsid w:val="00FF25A4"/>
    <w:rsid w:val="00FF2BC4"/>
    <w:rsid w:val="00FF2C3B"/>
    <w:rsid w:val="00FF329A"/>
    <w:rsid w:val="00FF32D0"/>
    <w:rsid w:val="00FF3755"/>
    <w:rsid w:val="00FF3A47"/>
    <w:rsid w:val="00FF3BA2"/>
    <w:rsid w:val="00FF54DD"/>
    <w:rsid w:val="00FF59EF"/>
    <w:rsid w:val="00FF610D"/>
    <w:rsid w:val="00FF6238"/>
    <w:rsid w:val="00FF63F0"/>
    <w:rsid w:val="00FF762F"/>
    <w:rsid w:val="00FF7727"/>
    <w:rsid w:val="00FF7D38"/>
    <w:rsid w:val="00FF7E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BAFD3B2"/>
  <w15:docId w15:val="{B6A723FA-4C26-4C93-813F-C05172F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501DC8"/>
    <w:pPr>
      <w:overflowPunct w:val="0"/>
      <w:autoSpaceDE w:val="0"/>
      <w:autoSpaceDN w:val="0"/>
      <w:adjustRightInd w:val="0"/>
      <w:textAlignment w:val="baseline"/>
    </w:pPr>
  </w:style>
  <w:style w:type="paragraph" w:styleId="Nadpis1">
    <w:name w:val="heading 1"/>
    <w:aliases w:val="h1,H1,Nadpis 1-Nadpis smlouvy,Základní kapitola,V_Head1,Záhlaví 1,0Überschrift 1,1Überschrift 1,2Überschrift 1,3Überschrift 1,4Überschrift 1,5Überschrift 1,6Überschrift 1,7Überschrift 1,8Überschrift 1,9Überschrift 1,10Überschrift 1,Clanek1"/>
    <w:basedOn w:val="Normln"/>
    <w:next w:val="Normln"/>
    <w:link w:val="Nadpis1Char"/>
    <w:uiPriority w:val="9"/>
    <w:qFormat/>
    <w:rsid w:val="000816D8"/>
    <w:pPr>
      <w:keepNext/>
      <w:pageBreakBefore/>
      <w:numPr>
        <w:numId w:val="1"/>
      </w:numPr>
      <w:overflowPunct/>
      <w:autoSpaceDE/>
      <w:autoSpaceDN/>
      <w:adjustRightInd/>
      <w:spacing w:before="120" w:after="240" w:line="276" w:lineRule="auto"/>
      <w:ind w:left="432"/>
      <w:jc w:val="both"/>
      <w:textAlignment w:val="auto"/>
      <w:outlineLvl w:val="0"/>
    </w:pPr>
    <w:rPr>
      <w:rFonts w:ascii="Calibri" w:hAnsi="Calibri"/>
      <w:b/>
      <w:bCs/>
      <w:smallCaps/>
      <w:kern w:val="32"/>
      <w:sz w:val="28"/>
      <w:szCs w:val="32"/>
    </w:rPr>
  </w:style>
  <w:style w:type="paragraph" w:styleId="Nadpis2">
    <w:name w:val="heading 2"/>
    <w:basedOn w:val="Normln"/>
    <w:next w:val="Normln"/>
    <w:link w:val="Nadpis2Char"/>
    <w:qFormat/>
    <w:rsid w:val="00EF5F81"/>
    <w:pPr>
      <w:keepNext/>
      <w:numPr>
        <w:ilvl w:val="1"/>
        <w:numId w:val="1"/>
      </w:numPr>
      <w:overflowPunct/>
      <w:autoSpaceDE/>
      <w:autoSpaceDN/>
      <w:adjustRightInd/>
      <w:spacing w:before="240" w:after="240" w:line="276" w:lineRule="auto"/>
      <w:jc w:val="both"/>
      <w:textAlignment w:val="auto"/>
      <w:outlineLvl w:val="1"/>
    </w:pPr>
    <w:rPr>
      <w:rFonts w:ascii="Calibri" w:hAnsi="Calibri"/>
      <w:b/>
      <w:bCs/>
      <w:iCs/>
      <w:sz w:val="26"/>
      <w:szCs w:val="28"/>
    </w:rPr>
  </w:style>
  <w:style w:type="paragraph" w:styleId="Nadpis3">
    <w:name w:val="heading 3"/>
    <w:basedOn w:val="Normln"/>
    <w:next w:val="Normln"/>
    <w:link w:val="Nadpis3Char"/>
    <w:uiPriority w:val="9"/>
    <w:qFormat/>
    <w:rsid w:val="00EA3457"/>
    <w:pPr>
      <w:keepNext/>
      <w:keepLines/>
      <w:numPr>
        <w:ilvl w:val="2"/>
        <w:numId w:val="1"/>
      </w:numPr>
      <w:overflowPunct/>
      <w:autoSpaceDE/>
      <w:autoSpaceDN/>
      <w:adjustRightInd/>
      <w:spacing w:before="240" w:after="240" w:line="276" w:lineRule="auto"/>
      <w:jc w:val="both"/>
      <w:textAlignment w:val="auto"/>
      <w:outlineLvl w:val="2"/>
    </w:pPr>
    <w:rPr>
      <w:rFonts w:ascii="Calibri" w:hAnsi="Calibri"/>
      <w:b/>
      <w:bCs/>
      <w:color w:val="365F91"/>
      <w:sz w:val="24"/>
    </w:rPr>
  </w:style>
  <w:style w:type="paragraph" w:styleId="Nadpis4">
    <w:name w:val="heading 4"/>
    <w:basedOn w:val="Normln"/>
    <w:next w:val="Normln"/>
    <w:link w:val="Nadpis4Char"/>
    <w:uiPriority w:val="9"/>
    <w:qFormat/>
    <w:rsid w:val="00B53D79"/>
    <w:pPr>
      <w:keepNext/>
      <w:keepLines/>
      <w:numPr>
        <w:ilvl w:val="3"/>
        <w:numId w:val="1"/>
      </w:numPr>
      <w:overflowPunct/>
      <w:autoSpaceDE/>
      <w:autoSpaceDN/>
      <w:adjustRightInd/>
      <w:spacing w:before="360" w:after="120" w:line="276" w:lineRule="auto"/>
      <w:jc w:val="both"/>
      <w:textAlignment w:val="auto"/>
      <w:outlineLvl w:val="3"/>
    </w:pPr>
    <w:rPr>
      <w:rFonts w:ascii="Calibri" w:hAnsi="Calibri"/>
      <w:b/>
      <w:bCs/>
      <w:i/>
      <w:iCs/>
      <w:sz w:val="24"/>
    </w:rPr>
  </w:style>
  <w:style w:type="paragraph" w:styleId="Nadpis5">
    <w:name w:val="heading 5"/>
    <w:basedOn w:val="Normln"/>
    <w:next w:val="Normln"/>
    <w:link w:val="Nadpis5Char"/>
    <w:uiPriority w:val="9"/>
    <w:qFormat/>
    <w:rsid w:val="008F72F4"/>
    <w:pPr>
      <w:keepNext/>
      <w:keepLines/>
      <w:numPr>
        <w:ilvl w:val="4"/>
        <w:numId w:val="1"/>
      </w:numPr>
      <w:overflowPunct/>
      <w:autoSpaceDE/>
      <w:autoSpaceDN/>
      <w:adjustRightInd/>
      <w:spacing w:before="200" w:after="120" w:line="276" w:lineRule="auto"/>
      <w:jc w:val="both"/>
      <w:textAlignment w:val="auto"/>
      <w:outlineLvl w:val="4"/>
    </w:pPr>
    <w:rPr>
      <w:rFonts w:ascii="Calibri" w:hAnsi="Calibri"/>
      <w:color w:val="365F91"/>
      <w:sz w:val="24"/>
    </w:rPr>
  </w:style>
  <w:style w:type="paragraph" w:styleId="Nadpis6">
    <w:name w:val="heading 6"/>
    <w:basedOn w:val="Normln"/>
    <w:next w:val="Normln"/>
    <w:link w:val="Nadpis6Char"/>
    <w:uiPriority w:val="9"/>
    <w:qFormat/>
    <w:rsid w:val="00F03E3C"/>
    <w:pPr>
      <w:keepNext/>
      <w:keepLines/>
      <w:numPr>
        <w:ilvl w:val="5"/>
        <w:numId w:val="1"/>
      </w:numPr>
      <w:overflowPunct/>
      <w:autoSpaceDE/>
      <w:autoSpaceDN/>
      <w:adjustRightInd/>
      <w:spacing w:before="200" w:line="276" w:lineRule="auto"/>
      <w:jc w:val="both"/>
      <w:textAlignment w:val="auto"/>
      <w:outlineLvl w:val="5"/>
    </w:pPr>
    <w:rPr>
      <w:rFonts w:ascii="Cambria" w:hAnsi="Cambria"/>
      <w:i/>
      <w:iCs/>
      <w:color w:val="243F60"/>
      <w:sz w:val="24"/>
    </w:rPr>
  </w:style>
  <w:style w:type="paragraph" w:styleId="Nadpis7">
    <w:name w:val="heading 7"/>
    <w:basedOn w:val="Normln"/>
    <w:next w:val="Normln"/>
    <w:link w:val="Nadpis7Char"/>
    <w:uiPriority w:val="9"/>
    <w:qFormat/>
    <w:rsid w:val="00F03E3C"/>
    <w:pPr>
      <w:keepNext/>
      <w:keepLines/>
      <w:numPr>
        <w:ilvl w:val="6"/>
        <w:numId w:val="1"/>
      </w:numPr>
      <w:overflowPunct/>
      <w:autoSpaceDE/>
      <w:autoSpaceDN/>
      <w:adjustRightInd/>
      <w:spacing w:before="200" w:line="276" w:lineRule="auto"/>
      <w:jc w:val="both"/>
      <w:textAlignment w:val="auto"/>
      <w:outlineLvl w:val="6"/>
    </w:pPr>
    <w:rPr>
      <w:rFonts w:ascii="Cambria" w:hAnsi="Cambria"/>
      <w:i/>
      <w:iCs/>
      <w:color w:val="404040"/>
      <w:sz w:val="24"/>
    </w:rPr>
  </w:style>
  <w:style w:type="paragraph" w:styleId="Nadpis8">
    <w:name w:val="heading 8"/>
    <w:basedOn w:val="Normln"/>
    <w:next w:val="Normln"/>
    <w:link w:val="Nadpis8Char"/>
    <w:uiPriority w:val="9"/>
    <w:qFormat/>
    <w:rsid w:val="00F03E3C"/>
    <w:pPr>
      <w:keepNext/>
      <w:keepLines/>
      <w:numPr>
        <w:ilvl w:val="7"/>
        <w:numId w:val="1"/>
      </w:numPr>
      <w:overflowPunct/>
      <w:autoSpaceDE/>
      <w:autoSpaceDN/>
      <w:adjustRightInd/>
      <w:spacing w:before="200" w:line="276" w:lineRule="auto"/>
      <w:jc w:val="both"/>
      <w:textAlignment w:val="auto"/>
      <w:outlineLvl w:val="7"/>
    </w:pPr>
    <w:rPr>
      <w:rFonts w:ascii="Cambria" w:hAnsi="Cambria"/>
      <w:color w:val="404040"/>
    </w:rPr>
  </w:style>
  <w:style w:type="paragraph" w:styleId="Nadpis9">
    <w:name w:val="heading 9"/>
    <w:basedOn w:val="Normln"/>
    <w:next w:val="Normln"/>
    <w:link w:val="Nadpis9Char"/>
    <w:uiPriority w:val="9"/>
    <w:qFormat/>
    <w:rsid w:val="00F03E3C"/>
    <w:pPr>
      <w:keepNext/>
      <w:keepLines/>
      <w:numPr>
        <w:ilvl w:val="8"/>
        <w:numId w:val="1"/>
      </w:numPr>
      <w:overflowPunct/>
      <w:autoSpaceDE/>
      <w:autoSpaceDN/>
      <w:adjustRightInd/>
      <w:spacing w:before="200" w:line="276" w:lineRule="auto"/>
      <w:jc w:val="both"/>
      <w:textAlignment w:val="auto"/>
      <w:outlineLvl w:val="8"/>
    </w:pPr>
    <w:rPr>
      <w:rFonts w:ascii="Cambria" w:hAnsi="Cambria"/>
      <w:i/>
      <w:iCs/>
      <w:color w:val="4040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Nadpis 1-Nadpis smlouvy Char,Základní kapitola Char,V_Head1 Char,Záhlaví 1 Char,0Überschrift 1 Char,1Überschrift 1 Char,2Überschrift 1 Char,3Überschrift 1 Char,4Überschrift 1 Char,5Überschrift 1 Char,6Überschrift 1 Char"/>
    <w:link w:val="Nadpis1"/>
    <w:uiPriority w:val="9"/>
    <w:rsid w:val="000816D8"/>
    <w:rPr>
      <w:rFonts w:ascii="Calibri" w:hAnsi="Calibri"/>
      <w:b/>
      <w:bCs/>
      <w:smallCaps/>
      <w:kern w:val="32"/>
      <w:sz w:val="28"/>
      <w:szCs w:val="32"/>
    </w:rPr>
  </w:style>
  <w:style w:type="character" w:customStyle="1" w:styleId="Nadpis2Char">
    <w:name w:val="Nadpis 2 Char"/>
    <w:link w:val="Nadpis2"/>
    <w:rsid w:val="00EF5F81"/>
    <w:rPr>
      <w:rFonts w:ascii="Calibri" w:hAnsi="Calibri"/>
      <w:b/>
      <w:bCs/>
      <w:iCs/>
      <w:sz w:val="26"/>
      <w:szCs w:val="28"/>
    </w:rPr>
  </w:style>
  <w:style w:type="character" w:customStyle="1" w:styleId="Nadpis3Char">
    <w:name w:val="Nadpis 3 Char"/>
    <w:link w:val="Nadpis3"/>
    <w:uiPriority w:val="9"/>
    <w:rsid w:val="00EA3457"/>
    <w:rPr>
      <w:rFonts w:ascii="Calibri" w:hAnsi="Calibri"/>
      <w:b/>
      <w:bCs/>
      <w:color w:val="365F91"/>
      <w:sz w:val="24"/>
    </w:rPr>
  </w:style>
  <w:style w:type="character" w:customStyle="1" w:styleId="Nadpis4Char">
    <w:name w:val="Nadpis 4 Char"/>
    <w:link w:val="Nadpis4"/>
    <w:uiPriority w:val="9"/>
    <w:rsid w:val="00B53D79"/>
    <w:rPr>
      <w:rFonts w:ascii="Calibri" w:hAnsi="Calibri"/>
      <w:b/>
      <w:bCs/>
      <w:i/>
      <w:iCs/>
      <w:sz w:val="24"/>
    </w:rPr>
  </w:style>
  <w:style w:type="character" w:customStyle="1" w:styleId="Nadpis5Char">
    <w:name w:val="Nadpis 5 Char"/>
    <w:link w:val="Nadpis5"/>
    <w:uiPriority w:val="9"/>
    <w:rsid w:val="008F72F4"/>
    <w:rPr>
      <w:rFonts w:ascii="Calibri" w:hAnsi="Calibri"/>
      <w:color w:val="365F91"/>
      <w:sz w:val="24"/>
    </w:rPr>
  </w:style>
  <w:style w:type="character" w:customStyle="1" w:styleId="Nadpis6Char">
    <w:name w:val="Nadpis 6 Char"/>
    <w:link w:val="Nadpis6"/>
    <w:uiPriority w:val="9"/>
    <w:rsid w:val="00F03E3C"/>
    <w:rPr>
      <w:rFonts w:ascii="Cambria" w:hAnsi="Cambria"/>
      <w:i/>
      <w:iCs/>
      <w:color w:val="243F60"/>
      <w:sz w:val="24"/>
    </w:rPr>
  </w:style>
  <w:style w:type="character" w:customStyle="1" w:styleId="Nadpis7Char">
    <w:name w:val="Nadpis 7 Char"/>
    <w:link w:val="Nadpis7"/>
    <w:uiPriority w:val="9"/>
    <w:rsid w:val="00F03E3C"/>
    <w:rPr>
      <w:rFonts w:ascii="Cambria" w:hAnsi="Cambria"/>
      <w:i/>
      <w:iCs/>
      <w:color w:val="404040"/>
      <w:sz w:val="24"/>
    </w:rPr>
  </w:style>
  <w:style w:type="character" w:customStyle="1" w:styleId="Nadpis8Char">
    <w:name w:val="Nadpis 8 Char"/>
    <w:link w:val="Nadpis8"/>
    <w:uiPriority w:val="9"/>
    <w:rsid w:val="00F03E3C"/>
    <w:rPr>
      <w:rFonts w:ascii="Cambria" w:hAnsi="Cambria"/>
      <w:color w:val="404040"/>
    </w:rPr>
  </w:style>
  <w:style w:type="character" w:customStyle="1" w:styleId="Nadpis9Char">
    <w:name w:val="Nadpis 9 Char"/>
    <w:link w:val="Nadpis9"/>
    <w:uiPriority w:val="9"/>
    <w:rsid w:val="00F03E3C"/>
    <w:rPr>
      <w:rFonts w:ascii="Cambria" w:hAnsi="Cambria"/>
      <w:i/>
      <w:iCs/>
      <w:color w:val="404040"/>
    </w:rPr>
  </w:style>
  <w:style w:type="paragraph" w:customStyle="1" w:styleId="Odstavecseseznamem1">
    <w:name w:val="Odstavec se seznamem1"/>
    <w:aliases w:val="Odstavec_muj"/>
    <w:basedOn w:val="Normln"/>
    <w:link w:val="OdstavecseseznamemChar"/>
    <w:uiPriority w:val="99"/>
    <w:qFormat/>
    <w:rsid w:val="00FB5FA2"/>
    <w:pPr>
      <w:ind w:left="720"/>
      <w:contextualSpacing/>
    </w:pPr>
  </w:style>
  <w:style w:type="paragraph" w:styleId="Titulek">
    <w:name w:val="caption"/>
    <w:basedOn w:val="Normln"/>
    <w:next w:val="Normln"/>
    <w:qFormat/>
    <w:rsid w:val="007C3506"/>
    <w:pPr>
      <w:spacing w:before="240" w:after="120"/>
      <w:jc w:val="both"/>
    </w:pPr>
    <w:rPr>
      <w:rFonts w:ascii="Calibri" w:hAnsi="Calibri"/>
      <w:b/>
      <w:bCs/>
      <w:color w:val="4F81BD"/>
      <w:sz w:val="24"/>
      <w:szCs w:val="18"/>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fr"/>
    <w:uiPriority w:val="99"/>
    <w:rsid w:val="00F03E3C"/>
    <w:rPr>
      <w:vertAlign w:val="superscript"/>
    </w:rPr>
  </w:style>
  <w:style w:type="character" w:customStyle="1" w:styleId="ZkladntextChar">
    <w:name w:val="Základní text Char"/>
    <w:aliases w:val="Standard paragraph Char,Body Text1 Char,Char1 Char,Základní text Char Char Char Char Char Char Char"/>
    <w:link w:val="Zkladntext"/>
    <w:locked/>
    <w:rsid w:val="00F03E3C"/>
    <w:rPr>
      <w:b/>
      <w:bCs/>
      <w:sz w:val="24"/>
    </w:rPr>
  </w:style>
  <w:style w:type="paragraph" w:styleId="Zkladntext">
    <w:name w:val="Body Text"/>
    <w:aliases w:val="Standard paragraph,Body Text1,Char1,Základní text Char Char Char Char Char Char"/>
    <w:basedOn w:val="Normln"/>
    <w:link w:val="ZkladntextChar"/>
    <w:unhideWhenUsed/>
    <w:rsid w:val="00F03E3C"/>
    <w:pPr>
      <w:jc w:val="both"/>
      <w:textAlignment w:val="auto"/>
    </w:pPr>
    <w:rPr>
      <w:b/>
      <w:bCs/>
      <w:sz w:val="24"/>
    </w:rPr>
  </w:style>
  <w:style w:type="character" w:customStyle="1" w:styleId="ZkladntextChar1">
    <w:name w:val="Základní text Char1"/>
    <w:basedOn w:val="Standardnpsmoodstavce"/>
    <w:uiPriority w:val="99"/>
    <w:semiHidden/>
    <w:rsid w:val="00F03E3C"/>
  </w:style>
  <w:style w:type="paragraph" w:styleId="Obsah1">
    <w:name w:val="toc 1"/>
    <w:basedOn w:val="Normln"/>
    <w:next w:val="Normln"/>
    <w:autoRedefine/>
    <w:uiPriority w:val="39"/>
    <w:unhideWhenUsed/>
    <w:rsid w:val="002E4CA7"/>
    <w:pPr>
      <w:overflowPunct/>
      <w:autoSpaceDE/>
      <w:autoSpaceDN/>
      <w:adjustRightInd/>
      <w:spacing w:before="200" w:after="100" w:line="276" w:lineRule="auto"/>
      <w:jc w:val="both"/>
      <w:textAlignment w:val="auto"/>
    </w:pPr>
    <w:rPr>
      <w:rFonts w:ascii="Calibri" w:hAnsi="Calibri"/>
      <w:b/>
      <w:sz w:val="24"/>
    </w:rPr>
  </w:style>
  <w:style w:type="paragraph" w:styleId="Obsah3">
    <w:name w:val="toc 3"/>
    <w:basedOn w:val="Normln"/>
    <w:next w:val="Normln"/>
    <w:autoRedefine/>
    <w:uiPriority w:val="39"/>
    <w:unhideWhenUsed/>
    <w:rsid w:val="009031E4"/>
    <w:pPr>
      <w:tabs>
        <w:tab w:val="left" w:pos="1320"/>
        <w:tab w:val="right" w:leader="dot" w:pos="9202"/>
      </w:tabs>
      <w:overflowPunct/>
      <w:autoSpaceDE/>
      <w:autoSpaceDN/>
      <w:adjustRightInd/>
      <w:spacing w:before="200" w:after="100" w:line="276" w:lineRule="auto"/>
      <w:ind w:left="480"/>
      <w:jc w:val="both"/>
      <w:textAlignment w:val="auto"/>
    </w:pPr>
    <w:rPr>
      <w:rFonts w:ascii="Calibri" w:hAnsi="Calibri"/>
      <w:i/>
      <w:noProof/>
      <w:sz w:val="24"/>
    </w:rPr>
  </w:style>
  <w:style w:type="paragraph" w:styleId="Obsah2">
    <w:name w:val="toc 2"/>
    <w:basedOn w:val="Normln"/>
    <w:next w:val="Normln"/>
    <w:autoRedefine/>
    <w:uiPriority w:val="39"/>
    <w:unhideWhenUsed/>
    <w:rsid w:val="00F03E3C"/>
    <w:pPr>
      <w:overflowPunct/>
      <w:autoSpaceDE/>
      <w:autoSpaceDN/>
      <w:adjustRightInd/>
      <w:spacing w:before="200" w:after="100" w:line="276" w:lineRule="auto"/>
      <w:ind w:left="240"/>
      <w:jc w:val="both"/>
      <w:textAlignment w:val="auto"/>
    </w:pPr>
    <w:rPr>
      <w:rFonts w:ascii="Calibri" w:hAnsi="Calibri"/>
      <w:sz w:val="24"/>
    </w:rPr>
  </w:style>
  <w:style w:type="character" w:styleId="Hypertextovodkaz">
    <w:name w:val="Hyperlink"/>
    <w:uiPriority w:val="99"/>
    <w:unhideWhenUsed/>
    <w:rsid w:val="00F03E3C"/>
    <w:rPr>
      <w:color w:val="0000FF"/>
      <w:u w:val="single"/>
    </w:rPr>
  </w:style>
  <w:style w:type="paragraph" w:customStyle="1" w:styleId="Point0number">
    <w:name w:val="Point 0 (numb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number">
    <w:name w:val="Point 1 (numb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number">
    <w:name w:val="Point 2 (numb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number">
    <w:name w:val="Point 3 (numb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0letter">
    <w:name w:val="Point 0 (lett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letter">
    <w:name w:val="Point 1 (lett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letter">
    <w:name w:val="Point 2 (lett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letter">
    <w:name w:val="Point 3 (lett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4letter">
    <w:name w:val="Point 4 (letter)"/>
    <w:basedOn w:val="Normln"/>
    <w:rsid w:val="00F03E3C"/>
    <w:pPr>
      <w:tabs>
        <w:tab w:val="num" w:pos="3118"/>
      </w:tabs>
      <w:overflowPunct/>
      <w:autoSpaceDE/>
      <w:autoSpaceDN/>
      <w:adjustRightInd/>
      <w:spacing w:before="120" w:after="120"/>
      <w:ind w:left="3118" w:hanging="567"/>
      <w:jc w:val="both"/>
      <w:textAlignment w:val="auto"/>
    </w:pPr>
    <w:rPr>
      <w:sz w:val="24"/>
      <w:szCs w:val="24"/>
      <w:lang w:val="en-GB" w:eastAsia="en-US"/>
    </w:rPr>
  </w:style>
  <w:style w:type="paragraph" w:styleId="Normlnweb">
    <w:name w:val="Normal (Web)"/>
    <w:basedOn w:val="Normln"/>
    <w:uiPriority w:val="99"/>
    <w:unhideWhenUsed/>
    <w:rsid w:val="00F03E3C"/>
    <w:pPr>
      <w:overflowPunct/>
      <w:autoSpaceDE/>
      <w:autoSpaceDN/>
      <w:adjustRightInd/>
      <w:spacing w:before="100" w:beforeAutospacing="1" w:after="100" w:afterAutospacing="1"/>
      <w:textAlignment w:val="auto"/>
    </w:pPr>
    <w:rPr>
      <w:sz w:val="24"/>
      <w:szCs w:val="24"/>
    </w:rPr>
  </w:style>
  <w:style w:type="paragraph" w:customStyle="1" w:styleId="beznytext">
    <w:name w:val="bezny_text"/>
    <w:basedOn w:val="Normln"/>
    <w:rsid w:val="00F03E3C"/>
    <w:pPr>
      <w:overflowPunct/>
      <w:autoSpaceDE/>
      <w:autoSpaceDN/>
      <w:adjustRightInd/>
      <w:spacing w:before="100" w:beforeAutospacing="1" w:after="100" w:afterAutospacing="1"/>
      <w:textAlignment w:val="auto"/>
    </w:pPr>
    <w:rPr>
      <w:sz w:val="24"/>
      <w:szCs w:val="24"/>
    </w:rPr>
  </w:style>
  <w:style w:type="paragraph" w:styleId="Bezmezer">
    <w:name w:val="No Spacing"/>
    <w:link w:val="BezmezerChar"/>
    <w:uiPriority w:val="1"/>
    <w:qFormat/>
    <w:rsid w:val="00F03E3C"/>
    <w:rPr>
      <w:rFonts w:ascii="Calibri" w:hAnsi="Calibri"/>
      <w:sz w:val="22"/>
      <w:szCs w:val="22"/>
    </w:rPr>
  </w:style>
  <w:style w:type="character" w:customStyle="1" w:styleId="BezmezerChar">
    <w:name w:val="Bez mezer Char"/>
    <w:link w:val="Bezmezer"/>
    <w:uiPriority w:val="1"/>
    <w:rsid w:val="00F03E3C"/>
    <w:rPr>
      <w:rFonts w:ascii="Calibri" w:hAnsi="Calibri"/>
      <w:sz w:val="22"/>
      <w:szCs w:val="22"/>
      <w:lang w:bidi="ar-SA"/>
    </w:rPr>
  </w:style>
  <w:style w:type="paragraph" w:styleId="Zhlav">
    <w:name w:val="header"/>
    <w:basedOn w:val="Normln"/>
    <w:link w:val="ZhlavChar"/>
    <w:uiPriority w:val="99"/>
    <w:unhideWhenUsed/>
    <w:rsid w:val="00F03E3C"/>
    <w:pPr>
      <w:tabs>
        <w:tab w:val="center" w:pos="4536"/>
        <w:tab w:val="right" w:pos="9072"/>
      </w:tabs>
      <w:overflowPunct/>
      <w:autoSpaceDE/>
      <w:autoSpaceDN/>
      <w:adjustRightInd/>
      <w:jc w:val="both"/>
      <w:textAlignment w:val="auto"/>
    </w:pPr>
    <w:rPr>
      <w:rFonts w:ascii="Calibri" w:hAnsi="Calibri"/>
      <w:sz w:val="24"/>
    </w:rPr>
  </w:style>
  <w:style w:type="character" w:customStyle="1" w:styleId="ZhlavChar">
    <w:name w:val="Záhlaví Char"/>
    <w:link w:val="Zhlav"/>
    <w:uiPriority w:val="99"/>
    <w:rsid w:val="00F03E3C"/>
    <w:rPr>
      <w:rFonts w:ascii="Calibri" w:hAnsi="Calibri"/>
      <w:sz w:val="24"/>
    </w:rPr>
  </w:style>
  <w:style w:type="paragraph" w:styleId="Zpat">
    <w:name w:val="footer"/>
    <w:basedOn w:val="Normln"/>
    <w:link w:val="ZpatChar"/>
    <w:uiPriority w:val="99"/>
    <w:unhideWhenUsed/>
    <w:rsid w:val="00F03E3C"/>
    <w:pPr>
      <w:tabs>
        <w:tab w:val="center" w:pos="4536"/>
        <w:tab w:val="right" w:pos="9072"/>
      </w:tabs>
      <w:overflowPunct/>
      <w:autoSpaceDE/>
      <w:autoSpaceDN/>
      <w:adjustRightInd/>
      <w:jc w:val="both"/>
      <w:textAlignment w:val="auto"/>
    </w:pPr>
    <w:rPr>
      <w:rFonts w:ascii="Calibri" w:hAnsi="Calibri"/>
      <w:sz w:val="24"/>
    </w:rPr>
  </w:style>
  <w:style w:type="character" w:customStyle="1" w:styleId="ZpatChar">
    <w:name w:val="Zápatí Char"/>
    <w:link w:val="Zpat"/>
    <w:uiPriority w:val="99"/>
    <w:rsid w:val="00F03E3C"/>
    <w:rPr>
      <w:rFonts w:ascii="Calibri" w:hAnsi="Calibri"/>
      <w:sz w:val="24"/>
    </w:rPr>
  </w:style>
  <w:style w:type="character" w:customStyle="1" w:styleId="TextbublinyChar">
    <w:name w:val="Text bubliny Char"/>
    <w:link w:val="Textbubliny"/>
    <w:uiPriority w:val="99"/>
    <w:semiHidden/>
    <w:rsid w:val="00F03E3C"/>
    <w:rPr>
      <w:rFonts w:ascii="Tahoma" w:hAnsi="Tahoma" w:cs="Tahoma"/>
      <w:sz w:val="16"/>
      <w:szCs w:val="16"/>
    </w:rPr>
  </w:style>
  <w:style w:type="paragraph" w:styleId="Textbubliny">
    <w:name w:val="Balloon Text"/>
    <w:basedOn w:val="Normln"/>
    <w:link w:val="TextbublinyChar"/>
    <w:uiPriority w:val="99"/>
    <w:semiHidden/>
    <w:unhideWhenUsed/>
    <w:rsid w:val="00F03E3C"/>
    <w:pPr>
      <w:overflowPunct/>
      <w:autoSpaceDE/>
      <w:autoSpaceDN/>
      <w:adjustRightInd/>
      <w:jc w:val="both"/>
      <w:textAlignment w:val="auto"/>
    </w:pPr>
    <w:rPr>
      <w:rFonts w:ascii="Tahoma" w:hAnsi="Tahoma"/>
      <w:sz w:val="16"/>
      <w:szCs w:val="16"/>
    </w:rPr>
  </w:style>
  <w:style w:type="character" w:customStyle="1" w:styleId="TextkomenteChar">
    <w:name w:val="Text komentáře Char"/>
    <w:link w:val="Textkomente"/>
    <w:uiPriority w:val="99"/>
    <w:rsid w:val="00F03E3C"/>
    <w:rPr>
      <w:rFonts w:ascii="Calibri" w:hAnsi="Calibri"/>
    </w:rPr>
  </w:style>
  <w:style w:type="paragraph" w:styleId="Textkomente">
    <w:name w:val="annotation text"/>
    <w:basedOn w:val="Normln"/>
    <w:link w:val="TextkomenteChar"/>
    <w:uiPriority w:val="99"/>
    <w:unhideWhenUsed/>
    <w:rsid w:val="00F03E3C"/>
    <w:pPr>
      <w:overflowPunct/>
      <w:autoSpaceDE/>
      <w:autoSpaceDN/>
      <w:adjustRightInd/>
      <w:spacing w:before="200" w:after="200"/>
      <w:jc w:val="both"/>
      <w:textAlignment w:val="auto"/>
    </w:pPr>
    <w:rPr>
      <w:rFonts w:ascii="Calibri" w:hAnsi="Calibri"/>
    </w:rPr>
  </w:style>
  <w:style w:type="character" w:customStyle="1" w:styleId="PedmtkomenteChar">
    <w:name w:val="Předmět komentáře Char"/>
    <w:link w:val="Pedmtkomente"/>
    <w:uiPriority w:val="99"/>
    <w:semiHidden/>
    <w:rsid w:val="00F03E3C"/>
    <w:rPr>
      <w:rFonts w:ascii="Calibri" w:hAnsi="Calibri"/>
      <w:b/>
      <w:bCs/>
    </w:rPr>
  </w:style>
  <w:style w:type="paragraph" w:styleId="Pedmtkomente">
    <w:name w:val="annotation subject"/>
    <w:basedOn w:val="Textkomente"/>
    <w:next w:val="Textkomente"/>
    <w:link w:val="PedmtkomenteChar"/>
    <w:uiPriority w:val="99"/>
    <w:semiHidden/>
    <w:unhideWhenUsed/>
    <w:rsid w:val="00F03E3C"/>
    <w:rPr>
      <w:b/>
      <w:bCs/>
    </w:rPr>
  </w:style>
  <w:style w:type="paragraph" w:customStyle="1" w:styleId="Zdroj">
    <w:name w:val="Zdroj"/>
    <w:basedOn w:val="Normln"/>
    <w:next w:val="Normln"/>
    <w:link w:val="ZdrojChar"/>
    <w:rsid w:val="00F03E3C"/>
    <w:pPr>
      <w:overflowPunct/>
      <w:autoSpaceDE/>
      <w:autoSpaceDN/>
      <w:adjustRightInd/>
      <w:spacing w:after="120" w:line="288" w:lineRule="auto"/>
      <w:jc w:val="both"/>
      <w:textAlignment w:val="auto"/>
    </w:pPr>
    <w:rPr>
      <w:rFonts w:ascii="Arial" w:hAnsi="Arial"/>
      <w:sz w:val="18"/>
      <w:szCs w:val="24"/>
    </w:rPr>
  </w:style>
  <w:style w:type="character" w:customStyle="1" w:styleId="ZdrojChar">
    <w:name w:val="Zdroj Char"/>
    <w:link w:val="Zdroj"/>
    <w:rsid w:val="00F03E3C"/>
    <w:rPr>
      <w:rFonts w:ascii="Arial" w:hAnsi="Arial"/>
      <w:sz w:val="18"/>
      <w:szCs w:val="24"/>
    </w:rPr>
  </w:style>
  <w:style w:type="paragraph" w:styleId="Nzev">
    <w:name w:val="Title"/>
    <w:basedOn w:val="Normln"/>
    <w:link w:val="NzevChar"/>
    <w:qFormat/>
    <w:rsid w:val="00F03E3C"/>
    <w:pPr>
      <w:jc w:val="center"/>
    </w:pPr>
    <w:rPr>
      <w:b/>
      <w:bCs/>
      <w:sz w:val="24"/>
    </w:rPr>
  </w:style>
  <w:style w:type="character" w:customStyle="1" w:styleId="NzevChar">
    <w:name w:val="Název Char"/>
    <w:link w:val="Nzev"/>
    <w:rsid w:val="00F03E3C"/>
    <w:rPr>
      <w:b/>
      <w:bCs/>
      <w:sz w:val="24"/>
    </w:rPr>
  </w:style>
  <w:style w:type="paragraph" w:customStyle="1" w:styleId="OdrazkaIsouhlas">
    <w:name w:val="Odrazka_I_souhlas"/>
    <w:basedOn w:val="Normln"/>
    <w:rsid w:val="00F03E3C"/>
    <w:pPr>
      <w:tabs>
        <w:tab w:val="left" w:pos="284"/>
      </w:tabs>
      <w:overflowPunct/>
      <w:autoSpaceDE/>
      <w:autoSpaceDN/>
      <w:adjustRightInd/>
      <w:spacing w:before="40" w:after="40"/>
      <w:ind w:left="1069" w:hanging="360"/>
      <w:textAlignment w:val="auto"/>
    </w:pPr>
    <w:rPr>
      <w:rFonts w:ascii="Arial" w:hAnsi="Arial" w:cs="Arial"/>
    </w:rPr>
  </w:style>
  <w:style w:type="paragraph" w:customStyle="1" w:styleId="Default">
    <w:name w:val="Default"/>
    <w:link w:val="DefaultChar"/>
    <w:rsid w:val="00F03E3C"/>
    <w:pPr>
      <w:tabs>
        <w:tab w:val="left" w:pos="708"/>
      </w:tabs>
      <w:suppressAutoHyphens/>
      <w:overflowPunct w:val="0"/>
      <w:autoSpaceDE w:val="0"/>
      <w:spacing w:line="200" w:lineRule="atLeast"/>
      <w:textAlignment w:val="baseline"/>
    </w:pPr>
    <w:rPr>
      <w:rFonts w:ascii="Calibri" w:eastAsia="MS Mincho" w:hAnsi="Calibri" w:cs="Calibri"/>
      <w:lang w:eastAsia="en-US"/>
    </w:rPr>
  </w:style>
  <w:style w:type="paragraph" w:customStyle="1" w:styleId="bezmezer1">
    <w:name w:val="bezmezer1"/>
    <w:basedOn w:val="Bezmezer"/>
    <w:qFormat/>
    <w:rsid w:val="00F03E3C"/>
    <w:rPr>
      <w:rFonts w:ascii="Times New Roman" w:eastAsia="Calibri" w:hAnsi="Times New Roman"/>
      <w:sz w:val="24"/>
      <w:szCs w:val="24"/>
      <w:lang w:eastAsia="en-US"/>
    </w:rPr>
  </w:style>
  <w:style w:type="paragraph" w:styleId="Zkladntext3">
    <w:name w:val="Body Text 3"/>
    <w:basedOn w:val="Normln"/>
    <w:link w:val="Zkladntext3Char"/>
    <w:uiPriority w:val="99"/>
    <w:semiHidden/>
    <w:unhideWhenUsed/>
    <w:rsid w:val="00F03E3C"/>
    <w:pPr>
      <w:overflowPunct/>
      <w:autoSpaceDE/>
      <w:autoSpaceDN/>
      <w:adjustRightInd/>
      <w:spacing w:before="200" w:after="120" w:line="276" w:lineRule="auto"/>
      <w:jc w:val="both"/>
      <w:textAlignment w:val="auto"/>
    </w:pPr>
    <w:rPr>
      <w:rFonts w:ascii="Calibri" w:hAnsi="Calibri"/>
      <w:sz w:val="16"/>
      <w:szCs w:val="16"/>
    </w:rPr>
  </w:style>
  <w:style w:type="character" w:customStyle="1" w:styleId="Zkladntext3Char">
    <w:name w:val="Základní text 3 Char"/>
    <w:link w:val="Zkladntext3"/>
    <w:uiPriority w:val="99"/>
    <w:semiHidden/>
    <w:rsid w:val="00F03E3C"/>
    <w:rPr>
      <w:rFonts w:ascii="Calibri" w:hAnsi="Calibri"/>
      <w:sz w:val="16"/>
      <w:szCs w:val="16"/>
    </w:rPr>
  </w:style>
  <w:style w:type="paragraph" w:customStyle="1" w:styleId="normln0">
    <w:name w:val="normální"/>
    <w:basedOn w:val="Normln"/>
    <w:qFormat/>
    <w:rsid w:val="00F03E3C"/>
    <w:pPr>
      <w:overflowPunct/>
      <w:autoSpaceDE/>
      <w:autoSpaceDN/>
      <w:adjustRightInd/>
      <w:spacing w:after="200" w:line="276" w:lineRule="auto"/>
      <w:jc w:val="both"/>
      <w:textAlignment w:val="auto"/>
    </w:pPr>
    <w:rPr>
      <w:rFonts w:eastAsia="Calibri"/>
      <w:sz w:val="24"/>
      <w:szCs w:val="24"/>
      <w:lang w:eastAsia="en-US"/>
    </w:rPr>
  </w:style>
  <w:style w:type="paragraph" w:customStyle="1" w:styleId="Odstavecodsazen">
    <w:name w:val="Odstavec odsazený"/>
    <w:basedOn w:val="Normln"/>
    <w:rsid w:val="00F03E3C"/>
    <w:pPr>
      <w:tabs>
        <w:tab w:val="left" w:pos="709"/>
      </w:tabs>
      <w:overflowPunct/>
      <w:autoSpaceDE/>
      <w:autoSpaceDN/>
      <w:adjustRightInd/>
      <w:spacing w:after="120" w:line="360" w:lineRule="auto"/>
      <w:ind w:left="357" w:firstLine="352"/>
      <w:jc w:val="both"/>
      <w:textAlignment w:val="auto"/>
    </w:pPr>
    <w:rPr>
      <w:sz w:val="24"/>
    </w:rPr>
  </w:style>
  <w:style w:type="paragraph" w:styleId="Podpise-mailu">
    <w:name w:val="E-mail Signature"/>
    <w:basedOn w:val="Normln"/>
    <w:link w:val="Podpise-mailuChar"/>
    <w:rsid w:val="00F03E3C"/>
    <w:pPr>
      <w:tabs>
        <w:tab w:val="num" w:pos="720"/>
      </w:tabs>
      <w:overflowPunct/>
      <w:autoSpaceDE/>
      <w:autoSpaceDN/>
      <w:adjustRightInd/>
      <w:spacing w:before="40" w:after="120" w:line="288" w:lineRule="auto"/>
      <w:jc w:val="both"/>
      <w:textAlignment w:val="auto"/>
    </w:pPr>
    <w:rPr>
      <w:rFonts w:ascii="Arial" w:hAnsi="Arial"/>
      <w:szCs w:val="24"/>
    </w:rPr>
  </w:style>
  <w:style w:type="character" w:customStyle="1" w:styleId="Podpise-mailuChar">
    <w:name w:val="Podpis e-mailu Char"/>
    <w:link w:val="Podpise-mailu"/>
    <w:rsid w:val="00F03E3C"/>
    <w:rPr>
      <w:rFonts w:ascii="Arial" w:hAnsi="Arial"/>
      <w:szCs w:val="24"/>
    </w:rPr>
  </w:style>
  <w:style w:type="paragraph" w:styleId="Nadpisobsahu">
    <w:name w:val="TOC Heading"/>
    <w:basedOn w:val="Nadpis1"/>
    <w:next w:val="Normln"/>
    <w:uiPriority w:val="39"/>
    <w:qFormat/>
    <w:rsid w:val="005566D0"/>
    <w:pPr>
      <w:keepLines/>
      <w:pageBreakBefore w:val="0"/>
      <w:numPr>
        <w:numId w:val="0"/>
      </w:numPr>
      <w:spacing w:before="480" w:after="0"/>
      <w:jc w:val="left"/>
      <w:outlineLvl w:val="9"/>
    </w:pPr>
    <w:rPr>
      <w:color w:val="365F91"/>
      <w:kern w:val="0"/>
      <w:szCs w:val="28"/>
    </w:rPr>
  </w:style>
  <w:style w:type="paragraph" w:styleId="Obsah4">
    <w:name w:val="toc 4"/>
    <w:basedOn w:val="Normln"/>
    <w:next w:val="Normln"/>
    <w:autoRedefine/>
    <w:uiPriority w:val="39"/>
    <w:unhideWhenUsed/>
    <w:rsid w:val="005566D0"/>
    <w:pPr>
      <w:spacing w:after="100"/>
      <w:ind w:left="600"/>
    </w:pPr>
  </w:style>
  <w:style w:type="table" w:styleId="Mkatabulky">
    <w:name w:val="Table Grid"/>
    <w:basedOn w:val="Normlntabulka"/>
    <w:uiPriority w:val="59"/>
    <w:rsid w:val="009072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rsid w:val="00604263"/>
    <w:rPr>
      <w:sz w:val="16"/>
      <w:szCs w:val="16"/>
    </w:rPr>
  </w:style>
  <w:style w:type="character" w:customStyle="1" w:styleId="CharChar5">
    <w:name w:val="Char Char5"/>
    <w:semiHidden/>
    <w:locked/>
    <w:rsid w:val="006D08D8"/>
    <w:rPr>
      <w:rFonts w:ascii="Calibri" w:hAnsi="Calibri"/>
      <w:lang w:bidi="ar-SA"/>
    </w:rPr>
  </w:style>
  <w:style w:type="paragraph" w:customStyle="1" w:styleId="Zdrojtabulkyobrzku">
    <w:name w:val="Zdroj tabulky/obrázku"/>
    <w:basedOn w:val="Normln"/>
    <w:link w:val="ZdrojtabulkyobrzkuChar"/>
    <w:qFormat/>
    <w:rsid w:val="00CB339B"/>
    <w:pPr>
      <w:overflowPunct/>
      <w:autoSpaceDE/>
      <w:autoSpaceDN/>
      <w:adjustRightInd/>
      <w:spacing w:before="120" w:after="240" w:line="288" w:lineRule="auto"/>
      <w:jc w:val="both"/>
      <w:textAlignment w:val="auto"/>
    </w:pPr>
    <w:rPr>
      <w:rFonts w:ascii="Arial" w:hAnsi="Arial"/>
      <w:szCs w:val="22"/>
    </w:rPr>
  </w:style>
  <w:style w:type="character" w:customStyle="1" w:styleId="ZdrojtabulkyobrzkuChar">
    <w:name w:val="Zdroj tabulky/obrázku Char"/>
    <w:link w:val="Zdrojtabulkyobrzku"/>
    <w:rsid w:val="00CB339B"/>
    <w:rPr>
      <w:rFonts w:ascii="Arial" w:hAnsi="Arial"/>
      <w:szCs w:val="22"/>
    </w:rPr>
  </w:style>
  <w:style w:type="character" w:customStyle="1" w:styleId="TextMetodikaChar">
    <w:name w:val="Text Metodika Char"/>
    <w:link w:val="TextMetodika"/>
    <w:uiPriority w:val="99"/>
    <w:locked/>
    <w:rsid w:val="004C042F"/>
    <w:rPr>
      <w:rFonts w:ascii="Arial" w:hAnsi="Arial"/>
      <w:lang w:bidi="ar-SA"/>
    </w:rPr>
  </w:style>
  <w:style w:type="paragraph" w:customStyle="1" w:styleId="TextMetodika">
    <w:name w:val="Text Metodika"/>
    <w:basedOn w:val="Normln"/>
    <w:link w:val="TextMetodikaChar"/>
    <w:uiPriority w:val="99"/>
    <w:qFormat/>
    <w:rsid w:val="004C042F"/>
    <w:pPr>
      <w:overflowPunct/>
      <w:autoSpaceDE/>
      <w:autoSpaceDN/>
      <w:adjustRightInd/>
      <w:spacing w:before="120" w:after="120" w:line="312" w:lineRule="auto"/>
      <w:jc w:val="both"/>
      <w:textAlignment w:val="auto"/>
    </w:pPr>
    <w:rPr>
      <w:rFonts w:ascii="Arial" w:hAnsi="Arial"/>
    </w:rPr>
  </w:style>
  <w:style w:type="paragraph" w:styleId="Seznamsodrkami">
    <w:name w:val="List Bullet"/>
    <w:basedOn w:val="Normln"/>
    <w:autoRedefine/>
    <w:rsid w:val="00E40039"/>
    <w:pPr>
      <w:overflowPunct/>
      <w:autoSpaceDE/>
      <w:autoSpaceDN/>
      <w:adjustRightInd/>
      <w:jc w:val="both"/>
      <w:textAlignment w:val="auto"/>
    </w:pPr>
    <w:rPr>
      <w:rFonts w:ascii="Calibri" w:hAnsi="Calibri" w:cs="Calibri"/>
      <w:sz w:val="24"/>
      <w:szCs w:val="24"/>
      <w:lang w:eastAsia="en-US"/>
    </w:rPr>
  </w:style>
  <w:style w:type="character" w:customStyle="1" w:styleId="OdstavecseseznamemChar">
    <w:name w:val="Odstavec se seznamem Char"/>
    <w:aliases w:val="Odstavec_muj Char,Nad Char"/>
    <w:link w:val="Odstavecseseznamem1"/>
    <w:uiPriority w:val="99"/>
    <w:rsid w:val="004B5A6C"/>
    <w:rPr>
      <w:lang w:val="cs-CZ" w:eastAsia="cs-CZ" w:bidi="ar-SA"/>
    </w:rPr>
  </w:style>
  <w:style w:type="character" w:customStyle="1" w:styleId="Char1Char1">
    <w:name w:val="Char1 Char1"/>
    <w:aliases w:val="Schriftart: 9 pt Char2,Schriftart: 10 pt Char2,Schriftart: 8 pt Char2,Text poznámky pod čiarou 007 Char2,Footnote Char2,Fußnotentextf Char2,Geneva 9 Char2,Font: Geneva 9 Char2,Boston 10 Char2,f Char2,pozn. pod čarou Char3,Char Char3"/>
    <w:uiPriority w:val="99"/>
    <w:rsid w:val="00E45000"/>
    <w:rPr>
      <w:lang w:val="cs-CZ" w:eastAsia="cs-CZ"/>
    </w:rPr>
  </w:style>
  <w:style w:type="paragraph" w:customStyle="1" w:styleId="NadpisNOK2">
    <w:name w:val="Nadpis NOK 2"/>
    <w:basedOn w:val="Nadpis2"/>
    <w:qFormat/>
    <w:rsid w:val="00AA5B29"/>
    <w:pPr>
      <w:numPr>
        <w:numId w:val="2"/>
      </w:numPr>
      <w:spacing w:line="240" w:lineRule="auto"/>
    </w:pPr>
    <w:rPr>
      <w:rFonts w:ascii="Arial Narrow" w:hAnsi="Arial Narrow" w:cs="Arial Narrow"/>
      <w:iCs w:val="0"/>
      <w:caps/>
      <w:color w:val="003366"/>
      <w:sz w:val="40"/>
      <w:szCs w:val="40"/>
    </w:rPr>
  </w:style>
  <w:style w:type="paragraph" w:customStyle="1" w:styleId="CM4">
    <w:name w:val="CM4"/>
    <w:basedOn w:val="Default"/>
    <w:next w:val="Default"/>
    <w:uiPriority w:val="99"/>
    <w:rsid w:val="00E10173"/>
    <w:pPr>
      <w:tabs>
        <w:tab w:val="clear" w:pos="708"/>
      </w:tabs>
      <w:suppressAutoHyphens w:val="0"/>
      <w:overflowPunct/>
      <w:autoSpaceDN w:val="0"/>
      <w:adjustRightInd w:val="0"/>
      <w:spacing w:line="240" w:lineRule="auto"/>
      <w:textAlignment w:val="auto"/>
    </w:pPr>
    <w:rPr>
      <w:rFonts w:ascii="EUAlbertina" w:eastAsia="Calibri" w:hAnsi="EUAlbertina" w:cs="Times New Roman"/>
      <w:sz w:val="24"/>
      <w:szCs w:val="24"/>
    </w:rPr>
  </w:style>
  <w:style w:type="paragraph" w:customStyle="1" w:styleId="TabNad">
    <w:name w:val="TabNad"/>
    <w:basedOn w:val="Normln"/>
    <w:uiPriority w:val="99"/>
    <w:rsid w:val="00415837"/>
    <w:pPr>
      <w:numPr>
        <w:numId w:val="3"/>
      </w:numPr>
      <w:tabs>
        <w:tab w:val="clear" w:pos="360"/>
      </w:tabs>
      <w:overflowPunct/>
      <w:autoSpaceDE/>
      <w:autoSpaceDN/>
      <w:adjustRightInd/>
      <w:ind w:left="907" w:hanging="907"/>
      <w:textAlignment w:val="auto"/>
    </w:pPr>
    <w:rPr>
      <w:b/>
      <w:bCs/>
      <w:sz w:val="22"/>
      <w:szCs w:val="22"/>
    </w:rPr>
  </w:style>
  <w:style w:type="paragraph" w:styleId="Revize">
    <w:name w:val="Revision"/>
    <w:hidden/>
    <w:uiPriority w:val="99"/>
    <w:semiHidden/>
    <w:rsid w:val="00977285"/>
  </w:style>
  <w:style w:type="character" w:styleId="Siln">
    <w:name w:val="Strong"/>
    <w:uiPriority w:val="22"/>
    <w:qFormat/>
    <w:rsid w:val="007F61BF"/>
    <w:rPr>
      <w:b/>
      <w:bCs/>
      <w:color w:val="58585A"/>
    </w:rPr>
  </w:style>
  <w:style w:type="paragraph" w:styleId="Obsah5">
    <w:name w:val="toc 5"/>
    <w:basedOn w:val="Normln"/>
    <w:next w:val="Normln"/>
    <w:autoRedefine/>
    <w:uiPriority w:val="39"/>
    <w:unhideWhenUsed/>
    <w:rsid w:val="00150B70"/>
    <w:pPr>
      <w:overflowPunct/>
      <w:autoSpaceDE/>
      <w:autoSpaceDN/>
      <w:adjustRightInd/>
      <w:spacing w:after="100" w:line="276" w:lineRule="auto"/>
      <w:ind w:left="880"/>
      <w:textAlignment w:val="auto"/>
    </w:pPr>
    <w:rPr>
      <w:rFonts w:ascii="Calibri" w:hAnsi="Calibri"/>
      <w:sz w:val="22"/>
      <w:szCs w:val="22"/>
    </w:rPr>
  </w:style>
  <w:style w:type="paragraph" w:styleId="Obsah6">
    <w:name w:val="toc 6"/>
    <w:basedOn w:val="Normln"/>
    <w:next w:val="Normln"/>
    <w:autoRedefine/>
    <w:uiPriority w:val="39"/>
    <w:unhideWhenUsed/>
    <w:rsid w:val="00150B70"/>
    <w:pPr>
      <w:overflowPunct/>
      <w:autoSpaceDE/>
      <w:autoSpaceDN/>
      <w:adjustRightInd/>
      <w:spacing w:after="100" w:line="276" w:lineRule="auto"/>
      <w:ind w:left="1100"/>
      <w:textAlignment w:val="auto"/>
    </w:pPr>
    <w:rPr>
      <w:rFonts w:ascii="Calibri" w:hAnsi="Calibri"/>
      <w:sz w:val="22"/>
      <w:szCs w:val="22"/>
    </w:rPr>
  </w:style>
  <w:style w:type="paragraph" w:styleId="Obsah7">
    <w:name w:val="toc 7"/>
    <w:basedOn w:val="Normln"/>
    <w:next w:val="Normln"/>
    <w:autoRedefine/>
    <w:uiPriority w:val="39"/>
    <w:unhideWhenUsed/>
    <w:rsid w:val="00150B70"/>
    <w:pPr>
      <w:overflowPunct/>
      <w:autoSpaceDE/>
      <w:autoSpaceDN/>
      <w:adjustRightInd/>
      <w:spacing w:after="100" w:line="276" w:lineRule="auto"/>
      <w:ind w:left="1320"/>
      <w:textAlignment w:val="auto"/>
    </w:pPr>
    <w:rPr>
      <w:rFonts w:ascii="Calibri" w:hAnsi="Calibri"/>
      <w:sz w:val="22"/>
      <w:szCs w:val="22"/>
    </w:rPr>
  </w:style>
  <w:style w:type="paragraph" w:styleId="Obsah8">
    <w:name w:val="toc 8"/>
    <w:basedOn w:val="Normln"/>
    <w:next w:val="Normln"/>
    <w:autoRedefine/>
    <w:uiPriority w:val="39"/>
    <w:unhideWhenUsed/>
    <w:rsid w:val="00150B70"/>
    <w:pPr>
      <w:overflowPunct/>
      <w:autoSpaceDE/>
      <w:autoSpaceDN/>
      <w:adjustRightInd/>
      <w:spacing w:after="100" w:line="276" w:lineRule="auto"/>
      <w:ind w:left="1540"/>
      <w:textAlignment w:val="auto"/>
    </w:pPr>
    <w:rPr>
      <w:rFonts w:ascii="Calibri" w:hAnsi="Calibri"/>
      <w:sz w:val="22"/>
      <w:szCs w:val="22"/>
    </w:rPr>
  </w:style>
  <w:style w:type="paragraph" w:styleId="Obsah9">
    <w:name w:val="toc 9"/>
    <w:basedOn w:val="Normln"/>
    <w:next w:val="Normln"/>
    <w:autoRedefine/>
    <w:uiPriority w:val="39"/>
    <w:unhideWhenUsed/>
    <w:rsid w:val="00150B70"/>
    <w:pPr>
      <w:overflowPunct/>
      <w:autoSpaceDE/>
      <w:autoSpaceDN/>
      <w:adjustRightInd/>
      <w:spacing w:after="100" w:line="276" w:lineRule="auto"/>
      <w:ind w:left="1760"/>
      <w:textAlignment w:val="auto"/>
    </w:pPr>
    <w:rPr>
      <w:rFonts w:ascii="Calibri" w:hAnsi="Calibri"/>
      <w:sz w:val="22"/>
      <w:szCs w:val="22"/>
    </w:rPr>
  </w:style>
  <w:style w:type="paragraph" w:styleId="Textvysvtlivek">
    <w:name w:val="endnote text"/>
    <w:basedOn w:val="Normln"/>
    <w:link w:val="TextvysvtlivekChar"/>
    <w:uiPriority w:val="99"/>
    <w:rsid w:val="00A72DFD"/>
  </w:style>
  <w:style w:type="character" w:customStyle="1" w:styleId="TextvysvtlivekChar">
    <w:name w:val="Text vysvětlivek Char"/>
    <w:basedOn w:val="Standardnpsmoodstavce"/>
    <w:link w:val="Textvysvtlivek"/>
    <w:uiPriority w:val="99"/>
    <w:rsid w:val="00A72DFD"/>
  </w:style>
  <w:style w:type="character" w:styleId="Odkaznavysvtlivky">
    <w:name w:val="endnote reference"/>
    <w:rsid w:val="00A72DFD"/>
    <w:rPr>
      <w:vertAlign w:val="superscript"/>
    </w:rPr>
  </w:style>
  <w:style w:type="character" w:customStyle="1" w:styleId="st1">
    <w:name w:val="st1"/>
    <w:basedOn w:val="Standardnpsmoodstavce"/>
    <w:rsid w:val="005275B9"/>
  </w:style>
  <w:style w:type="paragraph" w:customStyle="1" w:styleId="Poznmkapodarou">
    <w:name w:val="Poznámka pod čarou"/>
    <w:basedOn w:val="Default"/>
    <w:link w:val="PoznmkapodarouChar"/>
    <w:qFormat/>
    <w:rsid w:val="00B05905"/>
    <w:pPr>
      <w:spacing w:after="60"/>
      <w:jc w:val="both"/>
    </w:pPr>
    <w:rPr>
      <w:rFonts w:ascii="Times New Roman" w:eastAsia="Times New Roman" w:hAnsi="Times New Roman" w:cs="Times New Roman"/>
    </w:rPr>
  </w:style>
  <w:style w:type="paragraph" w:customStyle="1" w:styleId="Standardntext">
    <w:name w:val="Standardní text"/>
    <w:basedOn w:val="Normln"/>
    <w:link w:val="StandardntextChar"/>
    <w:qFormat/>
    <w:rsid w:val="00D20E3C"/>
    <w:pPr>
      <w:spacing w:after="120"/>
      <w:jc w:val="both"/>
    </w:pPr>
    <w:rPr>
      <w:sz w:val="24"/>
      <w:szCs w:val="24"/>
    </w:rPr>
  </w:style>
  <w:style w:type="character" w:customStyle="1" w:styleId="DefaultChar">
    <w:name w:val="Default Char"/>
    <w:link w:val="Default"/>
    <w:rsid w:val="00F362BC"/>
    <w:rPr>
      <w:rFonts w:ascii="Calibri" w:eastAsia="MS Mincho" w:hAnsi="Calibri" w:cs="Calibri"/>
      <w:lang w:eastAsia="en-US" w:bidi="ar-SA"/>
    </w:rPr>
  </w:style>
  <w:style w:type="character" w:customStyle="1" w:styleId="PoznmkapodarouChar">
    <w:name w:val="Poznámka pod čarou Char"/>
    <w:link w:val="Poznmkapodarou"/>
    <w:rsid w:val="00B05905"/>
    <w:rPr>
      <w:rFonts w:cs="Calibri"/>
    </w:rPr>
  </w:style>
  <w:style w:type="character" w:customStyle="1" w:styleId="StandardntextChar">
    <w:name w:val="Standardní text Char"/>
    <w:link w:val="Standardntext"/>
    <w:rsid w:val="00D20E3C"/>
    <w:rPr>
      <w:rFonts w:cs="Calibri"/>
      <w:sz w:val="24"/>
      <w:szCs w:val="24"/>
    </w:rPr>
  </w:style>
  <w:style w:type="character" w:styleId="Sledovanodkaz">
    <w:name w:val="FollowedHyperlink"/>
    <w:uiPriority w:val="99"/>
    <w:rsid w:val="00D703E0"/>
    <w:rPr>
      <w:color w:val="800080"/>
      <w:u w:val="single"/>
    </w:rPr>
  </w:style>
  <w:style w:type="paragraph" w:customStyle="1" w:styleId="ListDash">
    <w:name w:val="List Dash"/>
    <w:basedOn w:val="Normln"/>
    <w:uiPriority w:val="99"/>
    <w:rsid w:val="004E680E"/>
    <w:pPr>
      <w:numPr>
        <w:numId w:val="5"/>
      </w:numPr>
      <w:overflowPunct/>
      <w:autoSpaceDE/>
      <w:autoSpaceDN/>
      <w:adjustRightInd/>
      <w:spacing w:after="240"/>
      <w:jc w:val="both"/>
      <w:textAlignment w:val="auto"/>
    </w:pPr>
    <w:rPr>
      <w:sz w:val="24"/>
      <w:szCs w:val="24"/>
      <w:lang w:val="en-GB" w:eastAsia="en-US"/>
    </w:rPr>
  </w:style>
  <w:style w:type="paragraph" w:customStyle="1" w:styleId="DAVA">
    <w:name w:val="DAVA"/>
    <w:basedOn w:val="Normln"/>
    <w:link w:val="DAVAChar"/>
    <w:qFormat/>
    <w:rsid w:val="00635DFA"/>
    <w:pPr>
      <w:overflowPunct/>
      <w:autoSpaceDE/>
      <w:autoSpaceDN/>
      <w:adjustRightInd/>
      <w:spacing w:before="120"/>
      <w:textAlignment w:val="auto"/>
    </w:pPr>
    <w:rPr>
      <w:rFonts w:ascii="Arial" w:eastAsia="Calibri" w:hAnsi="Arial"/>
      <w:sz w:val="24"/>
      <w:szCs w:val="28"/>
      <w:lang w:eastAsia="en-US"/>
    </w:rPr>
  </w:style>
  <w:style w:type="character" w:customStyle="1" w:styleId="DAVAChar">
    <w:name w:val="DAVA Char"/>
    <w:link w:val="DAVA"/>
    <w:rsid w:val="00635DFA"/>
    <w:rPr>
      <w:rFonts w:ascii="Arial" w:eastAsia="Calibri" w:hAnsi="Arial" w:cs="Arial"/>
      <w:sz w:val="24"/>
      <w:szCs w:val="28"/>
      <w:lang w:eastAsia="en-US"/>
    </w:rPr>
  </w:style>
  <w:style w:type="paragraph" w:customStyle="1" w:styleId="Textdopisu">
    <w:name w:val="Text dopisu"/>
    <w:basedOn w:val="Normln"/>
    <w:rsid w:val="00635DFA"/>
    <w:pPr>
      <w:ind w:firstLine="544"/>
      <w:jc w:val="both"/>
    </w:pPr>
    <w:rPr>
      <w:sz w:val="24"/>
    </w:rPr>
  </w:style>
  <w:style w:type="paragraph" w:customStyle="1" w:styleId="kapitola2A">
    <w:name w:val="kapitola 2A"/>
    <w:basedOn w:val="Nadpis1"/>
    <w:link w:val="kapitola2AChar"/>
    <w:qFormat/>
    <w:rsid w:val="00017D76"/>
    <w:pPr>
      <w:keepNext w:val="0"/>
      <w:pageBreakBefore w:val="0"/>
      <w:numPr>
        <w:numId w:val="9"/>
      </w:numPr>
    </w:pPr>
  </w:style>
  <w:style w:type="paragraph" w:customStyle="1" w:styleId="kapitola2A0">
    <w:name w:val="kapitola 2A.0"/>
    <w:basedOn w:val="Nadpis3"/>
    <w:link w:val="kapitola2A0Char"/>
    <w:qFormat/>
    <w:rsid w:val="00F41B56"/>
    <w:pPr>
      <w:spacing w:after="120"/>
    </w:pPr>
  </w:style>
  <w:style w:type="character" w:customStyle="1" w:styleId="kapitola2AChar">
    <w:name w:val="kapitola 2A Char"/>
    <w:link w:val="kapitola2A"/>
    <w:rsid w:val="00017D76"/>
    <w:rPr>
      <w:rFonts w:ascii="Calibri" w:hAnsi="Calibri"/>
      <w:b/>
      <w:bCs/>
      <w:smallCaps/>
      <w:kern w:val="32"/>
      <w:sz w:val="28"/>
      <w:szCs w:val="32"/>
    </w:rPr>
  </w:style>
  <w:style w:type="paragraph" w:customStyle="1" w:styleId="Prioritnosa">
    <w:name w:val="Prioritní osa"/>
    <w:basedOn w:val="Nadpis2"/>
    <w:link w:val="PrioritnosaChar"/>
    <w:qFormat/>
    <w:rsid w:val="00D34C0F"/>
    <w:pPr>
      <w:numPr>
        <w:ilvl w:val="0"/>
        <w:numId w:val="0"/>
      </w:numPr>
      <w:pBdr>
        <w:top w:val="single" w:sz="24" w:space="2" w:color="95B3D7"/>
        <w:left w:val="single" w:sz="24" w:space="4" w:color="DBE5F1"/>
        <w:bottom w:val="single" w:sz="24" w:space="2" w:color="95B3D7"/>
        <w:right w:val="single" w:sz="24" w:space="4" w:color="DBE5F1"/>
      </w:pBdr>
      <w:shd w:val="clear" w:color="auto" w:fill="DBE5F1"/>
      <w:spacing w:before="360"/>
      <w:ind w:left="142" w:right="113" w:hanging="29"/>
    </w:pPr>
  </w:style>
  <w:style w:type="character" w:customStyle="1" w:styleId="kapitola2A0Char">
    <w:name w:val="kapitola 2A.0 Char"/>
    <w:link w:val="kapitola2A0"/>
    <w:rsid w:val="00F41B56"/>
    <w:rPr>
      <w:rFonts w:ascii="Calibri" w:hAnsi="Calibri"/>
      <w:b/>
      <w:bCs/>
      <w:color w:val="365F91"/>
      <w:sz w:val="24"/>
    </w:rPr>
  </w:style>
  <w:style w:type="paragraph" w:customStyle="1" w:styleId="Investinpriorita">
    <w:name w:val="Investiční priorita"/>
    <w:basedOn w:val="Prioritnosa"/>
    <w:link w:val="InvestinprioritaChar"/>
    <w:qFormat/>
    <w:rsid w:val="002A3493"/>
    <w:pPr>
      <w:pBdr>
        <w:left w:val="single" w:sz="24" w:space="4" w:color="EDF1F7"/>
        <w:right w:val="single" w:sz="24" w:space="4" w:color="EDF1F7"/>
      </w:pBdr>
      <w:shd w:val="clear" w:color="auto" w:fill="EDF1F7"/>
    </w:pPr>
    <w:rPr>
      <w:i/>
      <w:sz w:val="24"/>
    </w:rPr>
  </w:style>
  <w:style w:type="character" w:customStyle="1" w:styleId="PrioritnosaChar">
    <w:name w:val="Prioritní osa Char"/>
    <w:link w:val="Prioritnosa"/>
    <w:rsid w:val="00D34C0F"/>
    <w:rPr>
      <w:rFonts w:ascii="Calibri" w:hAnsi="Calibri"/>
      <w:b/>
      <w:bCs/>
      <w:iCs/>
      <w:sz w:val="26"/>
      <w:szCs w:val="28"/>
      <w:shd w:val="clear" w:color="auto" w:fill="DBE5F1"/>
    </w:rPr>
  </w:style>
  <w:style w:type="paragraph" w:customStyle="1" w:styleId="kapitola2B">
    <w:name w:val="kapitola 2.B"/>
    <w:basedOn w:val="kapitola2A0"/>
    <w:link w:val="kapitola2BChar"/>
    <w:qFormat/>
    <w:rsid w:val="005444BD"/>
  </w:style>
  <w:style w:type="character" w:customStyle="1" w:styleId="InvestinprioritaChar">
    <w:name w:val="Investiční priorita Char"/>
    <w:link w:val="Investinpriorita"/>
    <w:rsid w:val="002A3493"/>
    <w:rPr>
      <w:rFonts w:ascii="Calibri" w:hAnsi="Calibri"/>
      <w:b/>
      <w:bCs/>
      <w:i/>
      <w:iCs/>
      <w:sz w:val="24"/>
      <w:szCs w:val="28"/>
      <w:shd w:val="clear" w:color="auto" w:fill="EDF1F7"/>
    </w:rPr>
  </w:style>
  <w:style w:type="character" w:customStyle="1" w:styleId="kapitola2BChar">
    <w:name w:val="kapitola 2.B Char"/>
    <w:link w:val="kapitola2B"/>
    <w:rsid w:val="005444BD"/>
    <w:rPr>
      <w:rFonts w:ascii="Calibri" w:hAnsi="Calibri"/>
      <w:b/>
      <w:bCs/>
      <w:color w:val="365F91"/>
      <w:sz w:val="24"/>
    </w:rPr>
  </w:style>
  <w:style w:type="numbering" w:customStyle="1" w:styleId="Styl1">
    <w:name w:val="Styl1"/>
    <w:uiPriority w:val="99"/>
    <w:rsid w:val="009210DF"/>
    <w:pPr>
      <w:numPr>
        <w:numId w:val="14"/>
      </w:numPr>
    </w:pPr>
  </w:style>
  <w:style w:type="paragraph" w:customStyle="1" w:styleId="Modrnadpis">
    <w:name w:val="Modrý nadpis"/>
    <w:basedOn w:val="Nadpis4"/>
    <w:link w:val="ModrnadpisChar"/>
    <w:qFormat/>
    <w:rsid w:val="00396141"/>
    <w:pPr>
      <w:numPr>
        <w:ilvl w:val="0"/>
        <w:numId w:val="0"/>
      </w:numPr>
      <w:spacing w:before="240"/>
      <w:ind w:left="862" w:hanging="862"/>
    </w:pPr>
    <w:rPr>
      <w:rFonts w:ascii="Times New Roman" w:hAnsi="Times New Roman"/>
      <w:i w:val="0"/>
      <w:color w:val="548DD4"/>
    </w:rPr>
  </w:style>
  <w:style w:type="paragraph" w:customStyle="1" w:styleId="Tabulka">
    <w:name w:val="Tabulka"/>
    <w:basedOn w:val="Normln"/>
    <w:link w:val="TabulkaChar"/>
    <w:qFormat/>
    <w:rsid w:val="00BA1E1C"/>
    <w:pPr>
      <w:overflowPunct/>
      <w:spacing w:before="60" w:after="60"/>
      <w:jc w:val="center"/>
      <w:textAlignment w:val="auto"/>
    </w:pPr>
    <w:rPr>
      <w:sz w:val="22"/>
      <w:szCs w:val="22"/>
    </w:rPr>
  </w:style>
  <w:style w:type="character" w:customStyle="1" w:styleId="ModrnadpisChar">
    <w:name w:val="Modrý nadpis Char"/>
    <w:link w:val="Modrnadpis"/>
    <w:rsid w:val="00396141"/>
    <w:rPr>
      <w:b/>
      <w:bCs/>
      <w:iCs/>
      <w:color w:val="548DD4"/>
      <w:sz w:val="24"/>
    </w:rPr>
  </w:style>
  <w:style w:type="character" w:customStyle="1" w:styleId="TabulkaChar">
    <w:name w:val="Tabulka Char"/>
    <w:link w:val="Tabulka"/>
    <w:rsid w:val="00BA1E1C"/>
    <w:rPr>
      <w:rFonts w:cs="Calibri"/>
      <w:sz w:val="22"/>
      <w:szCs w:val="22"/>
    </w:rPr>
  </w:style>
  <w:style w:type="character" w:styleId="slostrnky">
    <w:name w:val="page number"/>
    <w:basedOn w:val="Standardnpsmoodstavce"/>
    <w:rsid w:val="00CB5EF1"/>
  </w:style>
  <w:style w:type="paragraph" w:styleId="Prosttext">
    <w:name w:val="Plain Text"/>
    <w:basedOn w:val="Normln"/>
    <w:link w:val="ProsttextChar"/>
    <w:uiPriority w:val="99"/>
    <w:unhideWhenUsed/>
    <w:rsid w:val="000C5A5B"/>
    <w:pPr>
      <w:overflowPunct/>
      <w:autoSpaceDE/>
      <w:autoSpaceDN/>
      <w:adjustRightInd/>
      <w:textAlignment w:val="auto"/>
    </w:pPr>
    <w:rPr>
      <w:rFonts w:ascii="Consolas" w:eastAsia="Calibri" w:hAnsi="Consolas"/>
      <w:sz w:val="21"/>
      <w:szCs w:val="21"/>
      <w:lang w:eastAsia="en-US"/>
    </w:rPr>
  </w:style>
  <w:style w:type="character" w:customStyle="1" w:styleId="ProsttextChar">
    <w:name w:val="Prostý text Char"/>
    <w:link w:val="Prosttext"/>
    <w:uiPriority w:val="99"/>
    <w:rsid w:val="000C5A5B"/>
    <w:rPr>
      <w:rFonts w:ascii="Consolas" w:eastAsia="Calibri" w:hAnsi="Consolas" w:cs="Times New Roman"/>
      <w:sz w:val="21"/>
      <w:szCs w:val="21"/>
      <w:lang w:eastAsia="en-US"/>
    </w:rPr>
  </w:style>
  <w:style w:type="paragraph" w:styleId="Zkladntextodsazen2">
    <w:name w:val="Body Text Indent 2"/>
    <w:basedOn w:val="Normln"/>
    <w:link w:val="Zkladntextodsazen2Char"/>
    <w:rsid w:val="00850113"/>
    <w:pPr>
      <w:spacing w:after="120" w:line="480" w:lineRule="auto"/>
      <w:ind w:left="283"/>
    </w:pPr>
  </w:style>
  <w:style w:type="character" w:customStyle="1" w:styleId="Zkladntextodsazen2Char">
    <w:name w:val="Základní text odsazený 2 Char"/>
    <w:basedOn w:val="Standardnpsmoodstavce"/>
    <w:link w:val="Zkladntextodsazen2"/>
    <w:rsid w:val="00850113"/>
  </w:style>
  <w:style w:type="paragraph" w:styleId="Citt">
    <w:name w:val="Quote"/>
    <w:basedOn w:val="Normln"/>
    <w:next w:val="Normln"/>
    <w:link w:val="CittChar"/>
    <w:uiPriority w:val="29"/>
    <w:qFormat/>
    <w:rsid w:val="003E654D"/>
    <w:rPr>
      <w:i/>
      <w:iCs/>
      <w:color w:val="000000"/>
    </w:rPr>
  </w:style>
  <w:style w:type="character" w:customStyle="1" w:styleId="CittChar">
    <w:name w:val="Citát Char"/>
    <w:link w:val="Citt"/>
    <w:uiPriority w:val="29"/>
    <w:rsid w:val="003E654D"/>
    <w:rPr>
      <w:i/>
      <w:iCs/>
      <w:color w:val="000000"/>
    </w:rPr>
  </w:style>
  <w:style w:type="paragraph" w:customStyle="1" w:styleId="ClOP">
    <w:name w:val="Cíl OP"/>
    <w:basedOn w:val="Citt"/>
    <w:link w:val="ClOPChar"/>
    <w:qFormat/>
    <w:rsid w:val="003E654D"/>
    <w:pPr>
      <w:pBdr>
        <w:top w:val="single" w:sz="24" w:space="4" w:color="95B3D7"/>
        <w:bottom w:val="single" w:sz="24" w:space="4" w:color="95B3D7"/>
      </w:pBdr>
      <w:spacing w:before="240" w:after="240"/>
      <w:jc w:val="center"/>
    </w:pPr>
    <w:rPr>
      <w:b/>
      <w:i w:val="0"/>
      <w:sz w:val="24"/>
      <w:szCs w:val="24"/>
    </w:rPr>
  </w:style>
  <w:style w:type="character" w:customStyle="1" w:styleId="ClOPChar">
    <w:name w:val="Cíl OP Char"/>
    <w:link w:val="ClOP"/>
    <w:rsid w:val="003E654D"/>
    <w:rPr>
      <w:b/>
      <w:i w:val="0"/>
      <w:iCs/>
      <w:color w:val="000000"/>
      <w:sz w:val="24"/>
      <w:szCs w:val="24"/>
    </w:rPr>
  </w:style>
  <w:style w:type="table" w:customStyle="1" w:styleId="Svtlmka1">
    <w:name w:val="Světlá mřížka1"/>
    <w:basedOn w:val="Normlntabulka"/>
    <w:uiPriority w:val="62"/>
    <w:rsid w:val="005746C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komenteChar1">
    <w:name w:val="Text komentáře Char1"/>
    <w:uiPriority w:val="99"/>
    <w:semiHidden/>
    <w:rsid w:val="005746C1"/>
    <w:rPr>
      <w:rFonts w:ascii="Calibri" w:hAnsi="Calibri"/>
    </w:rPr>
  </w:style>
  <w:style w:type="paragraph" w:customStyle="1" w:styleId="TextNOK">
    <w:name w:val="Text NOK"/>
    <w:basedOn w:val="Normln"/>
    <w:link w:val="TextNOKChar"/>
    <w:qFormat/>
    <w:rsid w:val="00B91AC2"/>
    <w:pPr>
      <w:overflowPunct/>
      <w:autoSpaceDE/>
      <w:autoSpaceDN/>
      <w:adjustRightInd/>
      <w:spacing w:after="120" w:line="288" w:lineRule="auto"/>
      <w:jc w:val="both"/>
      <w:textAlignment w:val="auto"/>
    </w:pPr>
    <w:rPr>
      <w:rFonts w:ascii="Arial" w:hAnsi="Arial"/>
      <w:szCs w:val="22"/>
    </w:rPr>
  </w:style>
  <w:style w:type="character" w:customStyle="1" w:styleId="TextNOKChar">
    <w:name w:val="Text NOK Char"/>
    <w:link w:val="TextNOK"/>
    <w:rsid w:val="00B91AC2"/>
    <w:rPr>
      <w:rFonts w:ascii="Arial" w:hAnsi="Arial"/>
      <w:szCs w:val="22"/>
    </w:rPr>
  </w:style>
  <w:style w:type="paragraph" w:customStyle="1" w:styleId="Tiret0">
    <w:name w:val="Tiret 0"/>
    <w:basedOn w:val="Normln"/>
    <w:rsid w:val="0035272A"/>
    <w:pPr>
      <w:numPr>
        <w:numId w:val="58"/>
      </w:numPr>
      <w:overflowPunct/>
      <w:autoSpaceDE/>
      <w:autoSpaceDN/>
      <w:adjustRightInd/>
      <w:spacing w:before="120" w:after="120"/>
      <w:jc w:val="both"/>
      <w:textAlignment w:val="auto"/>
    </w:pPr>
    <w:rPr>
      <w:sz w:val="24"/>
      <w:szCs w:val="24"/>
      <w:lang w:eastAsia="en-US"/>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Footnote Text Char1,o,Char Char1"/>
    <w:basedOn w:val="Normln"/>
    <w:link w:val="TextpoznpodarouChar"/>
    <w:uiPriority w:val="99"/>
    <w:qFormat/>
    <w:rsid w:val="004E6DD3"/>
    <w:pPr>
      <w:jc w:val="both"/>
    </w:p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4E6DD3"/>
  </w:style>
  <w:style w:type="character" w:styleId="Zdraznn">
    <w:name w:val="Emphasis"/>
    <w:uiPriority w:val="20"/>
    <w:qFormat/>
    <w:rsid w:val="00F37CF9"/>
    <w:rPr>
      <w:b/>
      <w:bCs/>
      <w:i w:val="0"/>
      <w:iCs w:val="0"/>
    </w:rPr>
  </w:style>
  <w:style w:type="paragraph" w:customStyle="1" w:styleId="Text1">
    <w:name w:val="Text 1"/>
    <w:basedOn w:val="Normln"/>
    <w:link w:val="Text1Char"/>
    <w:uiPriority w:val="99"/>
    <w:rsid w:val="00E517C6"/>
    <w:pPr>
      <w:overflowPunct/>
      <w:autoSpaceDE/>
      <w:autoSpaceDN/>
      <w:adjustRightInd/>
      <w:spacing w:after="240"/>
      <w:ind w:left="482"/>
      <w:jc w:val="both"/>
      <w:textAlignment w:val="auto"/>
    </w:pPr>
    <w:rPr>
      <w:sz w:val="24"/>
      <w:lang w:val="en-GB" w:eastAsia="en-US"/>
    </w:rPr>
  </w:style>
  <w:style w:type="character" w:customStyle="1" w:styleId="Text1Char">
    <w:name w:val="Text 1 Char"/>
    <w:link w:val="Text1"/>
    <w:uiPriority w:val="99"/>
    <w:locked/>
    <w:rsid w:val="00E517C6"/>
    <w:rPr>
      <w:sz w:val="24"/>
      <w:lang w:val="en-GB" w:eastAsia="en-US"/>
    </w:rPr>
  </w:style>
  <w:style w:type="paragraph" w:customStyle="1" w:styleId="CM1">
    <w:name w:val="CM1"/>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paragraph" w:customStyle="1" w:styleId="CM3">
    <w:name w:val="CM3"/>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character" w:customStyle="1" w:styleId="TextbublinyChar1">
    <w:name w:val="Text bubliny Char1"/>
    <w:uiPriority w:val="99"/>
    <w:semiHidden/>
    <w:rsid w:val="00B02CDE"/>
    <w:rPr>
      <w:rFonts w:ascii="Tahoma" w:eastAsia="Times New Roman" w:hAnsi="Tahoma" w:cs="Tahoma"/>
      <w:sz w:val="16"/>
      <w:szCs w:val="16"/>
      <w:lang w:eastAsia="cs-CZ"/>
    </w:rPr>
  </w:style>
  <w:style w:type="character" w:customStyle="1" w:styleId="PedmtkomenteChar1">
    <w:name w:val="Předmět komentáře Char1"/>
    <w:uiPriority w:val="99"/>
    <w:semiHidden/>
    <w:rsid w:val="00B02CDE"/>
    <w:rPr>
      <w:rFonts w:ascii="Times New Roman" w:eastAsia="Times New Roman" w:hAnsi="Times New Roman" w:cs="Times New Roman"/>
      <w:b/>
      <w:bCs/>
      <w:sz w:val="20"/>
      <w:szCs w:val="20"/>
      <w:lang w:eastAsia="cs-CZ"/>
    </w:rPr>
  </w:style>
  <w:style w:type="paragraph" w:customStyle="1" w:styleId="Text3">
    <w:name w:val="Text 3"/>
    <w:basedOn w:val="Normln"/>
    <w:rsid w:val="000534DA"/>
    <w:pPr>
      <w:overflowPunct/>
      <w:autoSpaceDE/>
      <w:autoSpaceDN/>
      <w:adjustRightInd/>
      <w:spacing w:before="120" w:after="120"/>
      <w:ind w:left="1984"/>
      <w:jc w:val="both"/>
      <w:textAlignment w:val="auto"/>
    </w:pPr>
    <w:rPr>
      <w:rFonts w:eastAsia="Calibri"/>
      <w:sz w:val="24"/>
      <w:lang w:eastAsia="en-GB"/>
    </w:rPr>
  </w:style>
  <w:style w:type="paragraph" w:customStyle="1" w:styleId="ZZNormln">
    <w:name w:val="ZZ Normální"/>
    <w:basedOn w:val="Normln"/>
    <w:rsid w:val="000A44AF"/>
    <w:pPr>
      <w:spacing w:after="120"/>
      <w:jc w:val="both"/>
    </w:pPr>
    <w:rPr>
      <w:rFonts w:ascii="Arial" w:hAnsi="Arial" w:cs="Arial"/>
      <w:sz w:val="24"/>
    </w:rPr>
  </w:style>
  <w:style w:type="paragraph" w:customStyle="1" w:styleId="StylArial11bZarovnatdoblokuVlevo063cm">
    <w:name w:val="Styl Arial 11 b. Zarovnat do bloku Vlevo:  063 cm"/>
    <w:basedOn w:val="Normln"/>
    <w:rsid w:val="00D973E4"/>
    <w:pPr>
      <w:overflowPunct/>
      <w:autoSpaceDE/>
      <w:autoSpaceDN/>
      <w:adjustRightInd/>
      <w:spacing w:before="120"/>
      <w:ind w:left="357"/>
      <w:jc w:val="both"/>
      <w:textAlignment w:val="auto"/>
    </w:pPr>
    <w:rPr>
      <w:rFonts w:ascii="Arial" w:hAnsi="Arial"/>
      <w:sz w:val="22"/>
    </w:rPr>
  </w:style>
  <w:style w:type="paragraph" w:customStyle="1" w:styleId="Normln1">
    <w:name w:val="Normální1"/>
    <w:basedOn w:val="Normln"/>
    <w:rsid w:val="00D973E4"/>
    <w:pPr>
      <w:overflowPunct/>
      <w:autoSpaceDE/>
      <w:autoSpaceDN/>
      <w:adjustRightInd/>
      <w:spacing w:before="100" w:beforeAutospacing="1" w:after="100" w:afterAutospacing="1"/>
      <w:textAlignment w:val="auto"/>
    </w:pPr>
    <w:rPr>
      <w:sz w:val="24"/>
      <w:szCs w:val="24"/>
    </w:rPr>
  </w:style>
  <w:style w:type="paragraph" w:customStyle="1" w:styleId="Specifickcl">
    <w:name w:val="Specifický cíl"/>
    <w:basedOn w:val="Nadpis4"/>
    <w:link w:val="SpecifickclChar"/>
    <w:qFormat/>
    <w:rsid w:val="00D973E4"/>
    <w:pPr>
      <w:numPr>
        <w:ilvl w:val="0"/>
        <w:numId w:val="0"/>
      </w:numPr>
      <w:ind w:left="862" w:hanging="862"/>
    </w:pPr>
    <w:rPr>
      <w:i w:val="0"/>
      <w:color w:val="548DD4"/>
    </w:rPr>
  </w:style>
  <w:style w:type="character" w:customStyle="1" w:styleId="SpecifickclChar">
    <w:name w:val="Specifický cíl Char"/>
    <w:link w:val="Specifickcl"/>
    <w:rsid w:val="00D973E4"/>
    <w:rPr>
      <w:rFonts w:ascii="Calibri" w:hAnsi="Calibri"/>
      <w:b/>
      <w:bCs/>
      <w:i w:val="0"/>
      <w:iCs/>
      <w:color w:val="548DD4"/>
      <w:sz w:val="24"/>
    </w:rPr>
  </w:style>
  <w:style w:type="character" w:customStyle="1" w:styleId="st">
    <w:name w:val="st"/>
    <w:basedOn w:val="Standardnpsmoodstavce"/>
    <w:rsid w:val="00D973E4"/>
  </w:style>
  <w:style w:type="paragraph" w:customStyle="1" w:styleId="Char4CharCharCharCharCharCharCharCharChar">
    <w:name w:val="Char4 Char Char Char Char Char Char Char Char Char"/>
    <w:basedOn w:val="Normln"/>
    <w:rsid w:val="00D973E4"/>
    <w:pPr>
      <w:overflowPunct/>
      <w:autoSpaceDE/>
      <w:autoSpaceDN/>
      <w:adjustRightInd/>
      <w:spacing w:after="160" w:line="240" w:lineRule="exact"/>
      <w:textAlignment w:val="auto"/>
    </w:pPr>
    <w:rPr>
      <w:rFonts w:ascii="Times New Roman Bold" w:hAnsi="Times New Roman Bold"/>
      <w:sz w:val="22"/>
      <w:szCs w:val="26"/>
      <w:lang w:val="sk-SK" w:eastAsia="en-US"/>
    </w:rPr>
  </w:style>
  <w:style w:type="numbering" w:customStyle="1" w:styleId="Bezseznamu1">
    <w:name w:val="Bez seznamu1"/>
    <w:next w:val="Bezseznamu"/>
    <w:uiPriority w:val="99"/>
    <w:semiHidden/>
    <w:unhideWhenUsed/>
    <w:rsid w:val="00BD3D1A"/>
  </w:style>
  <w:style w:type="table" w:customStyle="1" w:styleId="Mkatabulky1">
    <w:name w:val="Mřížka tabulky1"/>
    <w:basedOn w:val="Normlntabulka"/>
    <w:next w:val="Mkatabulky"/>
    <w:uiPriority w:val="59"/>
    <w:rsid w:val="00BD3D1A"/>
    <w:pPr>
      <w:jc w:val="both"/>
    </w:pPr>
    <w:rPr>
      <w:rFonts w:ascii="Tahoma" w:eastAsia="Calibri" w:hAnsi="Tahoma"/>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vysvtlivekChar1">
    <w:name w:val="Text vysvětlivek Char1"/>
    <w:uiPriority w:val="99"/>
    <w:semiHidden/>
    <w:rsid w:val="00BD3D1A"/>
    <w:rPr>
      <w:szCs w:val="20"/>
    </w:rPr>
  </w:style>
  <w:style w:type="character" w:customStyle="1" w:styleId="TextpoznpodarouChar1">
    <w:name w:val="Text pozn. pod čarou Char1"/>
    <w:uiPriority w:val="99"/>
    <w:semiHidden/>
    <w:rsid w:val="00BD3D1A"/>
    <w:rPr>
      <w:szCs w:val="20"/>
    </w:rPr>
  </w:style>
  <w:style w:type="table" w:customStyle="1" w:styleId="Stednstnovn2zvraznn11">
    <w:name w:val="Střední stínování 2 – zvýraznění 11"/>
    <w:basedOn w:val="Normlntabulka"/>
    <w:uiPriority w:val="64"/>
    <w:rsid w:val="00B551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ongtext">
    <w:name w:val="long_text"/>
    <w:basedOn w:val="Standardnpsmoodstavce"/>
    <w:rsid w:val="002A7237"/>
  </w:style>
  <w:style w:type="character" w:customStyle="1" w:styleId="hps">
    <w:name w:val="hps"/>
    <w:basedOn w:val="Standardnpsmoodstavce"/>
    <w:rsid w:val="002A7237"/>
  </w:style>
  <w:style w:type="character" w:customStyle="1" w:styleId="CharChar7">
    <w:name w:val="Char Char7"/>
    <w:locked/>
    <w:rsid w:val="0083211D"/>
    <w:rPr>
      <w:rFonts w:ascii="Calibri" w:hAnsi="Calibri"/>
      <w:lang w:bidi="ar-SA"/>
    </w:rPr>
  </w:style>
  <w:style w:type="paragraph" w:styleId="Odstavecseseznamem">
    <w:name w:val="List Paragraph"/>
    <w:aliases w:val="Nad"/>
    <w:basedOn w:val="Normln"/>
    <w:uiPriority w:val="34"/>
    <w:qFormat/>
    <w:rsid w:val="00722D7B"/>
    <w:pPr>
      <w:ind w:left="720"/>
      <w:contextualSpacing/>
    </w:pPr>
  </w:style>
  <w:style w:type="paragraph" w:customStyle="1" w:styleId="tabodr">
    <w:name w:val="tabodr"/>
    <w:basedOn w:val="Normln"/>
    <w:rsid w:val="00FC57A0"/>
    <w:pPr>
      <w:tabs>
        <w:tab w:val="num" w:pos="360"/>
      </w:tabs>
      <w:overflowPunct/>
      <w:autoSpaceDE/>
      <w:autoSpaceDN/>
      <w:adjustRightInd/>
      <w:spacing w:before="120" w:after="20"/>
      <w:ind w:left="360" w:hanging="360"/>
      <w:jc w:val="both"/>
      <w:textAlignment w:val="auto"/>
    </w:pPr>
    <w:rPr>
      <w:rFonts w:ascii="Verdana" w:hAnsi="Verdana"/>
      <w:sz w:val="24"/>
      <w:szCs w:val="24"/>
    </w:rPr>
  </w:style>
  <w:style w:type="paragraph" w:customStyle="1" w:styleId="xl52">
    <w:name w:val="xl52"/>
    <w:basedOn w:val="Normln"/>
    <w:rsid w:val="00933C64"/>
    <w:pPr>
      <w:pBdr>
        <w:top w:val="single" w:sz="4" w:space="0" w:color="auto"/>
        <w:left w:val="single" w:sz="4"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center"/>
      <w:textAlignment w:val="center"/>
    </w:pPr>
    <w:rPr>
      <w:rFonts w:ascii="Arial" w:eastAsia="Arial Unicode MS" w:hAnsi="Arial" w:cs="Arial Unicode MS"/>
      <w:sz w:val="24"/>
      <w:szCs w:val="24"/>
    </w:rPr>
  </w:style>
  <w:style w:type="character" w:styleId="Nevyeenzmnka">
    <w:name w:val="Unresolved Mention"/>
    <w:basedOn w:val="Standardnpsmoodstavce"/>
    <w:uiPriority w:val="99"/>
    <w:semiHidden/>
    <w:unhideWhenUsed/>
    <w:rsid w:val="00763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9701">
      <w:bodyDiv w:val="1"/>
      <w:marLeft w:val="0"/>
      <w:marRight w:val="0"/>
      <w:marTop w:val="0"/>
      <w:marBottom w:val="0"/>
      <w:divBdr>
        <w:top w:val="none" w:sz="0" w:space="0" w:color="auto"/>
        <w:left w:val="none" w:sz="0" w:space="0" w:color="auto"/>
        <w:bottom w:val="none" w:sz="0" w:space="0" w:color="auto"/>
        <w:right w:val="none" w:sz="0" w:space="0" w:color="auto"/>
      </w:divBdr>
    </w:div>
    <w:div w:id="111752168">
      <w:bodyDiv w:val="1"/>
      <w:marLeft w:val="0"/>
      <w:marRight w:val="0"/>
      <w:marTop w:val="0"/>
      <w:marBottom w:val="0"/>
      <w:divBdr>
        <w:top w:val="none" w:sz="0" w:space="0" w:color="auto"/>
        <w:left w:val="none" w:sz="0" w:space="0" w:color="auto"/>
        <w:bottom w:val="none" w:sz="0" w:space="0" w:color="auto"/>
        <w:right w:val="none" w:sz="0" w:space="0" w:color="auto"/>
      </w:divBdr>
    </w:div>
    <w:div w:id="138571116">
      <w:bodyDiv w:val="1"/>
      <w:marLeft w:val="0"/>
      <w:marRight w:val="0"/>
      <w:marTop w:val="0"/>
      <w:marBottom w:val="0"/>
      <w:divBdr>
        <w:top w:val="none" w:sz="0" w:space="0" w:color="auto"/>
        <w:left w:val="none" w:sz="0" w:space="0" w:color="auto"/>
        <w:bottom w:val="none" w:sz="0" w:space="0" w:color="auto"/>
        <w:right w:val="none" w:sz="0" w:space="0" w:color="auto"/>
      </w:divBdr>
      <w:divsChild>
        <w:div w:id="960303252">
          <w:marLeft w:val="1685"/>
          <w:marRight w:val="0"/>
          <w:marTop w:val="120"/>
          <w:marBottom w:val="0"/>
          <w:divBdr>
            <w:top w:val="none" w:sz="0" w:space="0" w:color="auto"/>
            <w:left w:val="none" w:sz="0" w:space="0" w:color="auto"/>
            <w:bottom w:val="none" w:sz="0" w:space="0" w:color="auto"/>
            <w:right w:val="none" w:sz="0" w:space="0" w:color="auto"/>
          </w:divBdr>
        </w:div>
        <w:div w:id="1566333408">
          <w:marLeft w:val="1685"/>
          <w:marRight w:val="0"/>
          <w:marTop w:val="96"/>
          <w:marBottom w:val="120"/>
          <w:divBdr>
            <w:top w:val="none" w:sz="0" w:space="0" w:color="auto"/>
            <w:left w:val="none" w:sz="0" w:space="0" w:color="auto"/>
            <w:bottom w:val="none" w:sz="0" w:space="0" w:color="auto"/>
            <w:right w:val="none" w:sz="0" w:space="0" w:color="auto"/>
          </w:divBdr>
        </w:div>
      </w:divsChild>
    </w:div>
    <w:div w:id="167330240">
      <w:bodyDiv w:val="1"/>
      <w:marLeft w:val="0"/>
      <w:marRight w:val="0"/>
      <w:marTop w:val="0"/>
      <w:marBottom w:val="0"/>
      <w:divBdr>
        <w:top w:val="none" w:sz="0" w:space="0" w:color="auto"/>
        <w:left w:val="none" w:sz="0" w:space="0" w:color="auto"/>
        <w:bottom w:val="none" w:sz="0" w:space="0" w:color="auto"/>
        <w:right w:val="none" w:sz="0" w:space="0" w:color="auto"/>
      </w:divBdr>
    </w:div>
    <w:div w:id="168642100">
      <w:bodyDiv w:val="1"/>
      <w:marLeft w:val="0"/>
      <w:marRight w:val="0"/>
      <w:marTop w:val="0"/>
      <w:marBottom w:val="0"/>
      <w:divBdr>
        <w:top w:val="none" w:sz="0" w:space="0" w:color="auto"/>
        <w:left w:val="none" w:sz="0" w:space="0" w:color="auto"/>
        <w:bottom w:val="none" w:sz="0" w:space="0" w:color="auto"/>
        <w:right w:val="none" w:sz="0" w:space="0" w:color="auto"/>
      </w:divBdr>
    </w:div>
    <w:div w:id="172425380">
      <w:bodyDiv w:val="1"/>
      <w:marLeft w:val="0"/>
      <w:marRight w:val="0"/>
      <w:marTop w:val="0"/>
      <w:marBottom w:val="0"/>
      <w:divBdr>
        <w:top w:val="none" w:sz="0" w:space="0" w:color="auto"/>
        <w:left w:val="none" w:sz="0" w:space="0" w:color="auto"/>
        <w:bottom w:val="none" w:sz="0" w:space="0" w:color="auto"/>
        <w:right w:val="none" w:sz="0" w:space="0" w:color="auto"/>
      </w:divBdr>
    </w:div>
    <w:div w:id="179197756">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14776869">
      <w:bodyDiv w:val="1"/>
      <w:marLeft w:val="0"/>
      <w:marRight w:val="0"/>
      <w:marTop w:val="0"/>
      <w:marBottom w:val="0"/>
      <w:divBdr>
        <w:top w:val="none" w:sz="0" w:space="0" w:color="auto"/>
        <w:left w:val="none" w:sz="0" w:space="0" w:color="auto"/>
        <w:bottom w:val="none" w:sz="0" w:space="0" w:color="auto"/>
        <w:right w:val="none" w:sz="0" w:space="0" w:color="auto"/>
      </w:divBdr>
    </w:div>
    <w:div w:id="271130281">
      <w:bodyDiv w:val="1"/>
      <w:marLeft w:val="0"/>
      <w:marRight w:val="0"/>
      <w:marTop w:val="0"/>
      <w:marBottom w:val="0"/>
      <w:divBdr>
        <w:top w:val="none" w:sz="0" w:space="0" w:color="auto"/>
        <w:left w:val="none" w:sz="0" w:space="0" w:color="auto"/>
        <w:bottom w:val="none" w:sz="0" w:space="0" w:color="auto"/>
        <w:right w:val="none" w:sz="0" w:space="0" w:color="auto"/>
      </w:divBdr>
    </w:div>
    <w:div w:id="275530898">
      <w:bodyDiv w:val="1"/>
      <w:marLeft w:val="0"/>
      <w:marRight w:val="0"/>
      <w:marTop w:val="0"/>
      <w:marBottom w:val="0"/>
      <w:divBdr>
        <w:top w:val="none" w:sz="0" w:space="0" w:color="auto"/>
        <w:left w:val="none" w:sz="0" w:space="0" w:color="auto"/>
        <w:bottom w:val="none" w:sz="0" w:space="0" w:color="auto"/>
        <w:right w:val="none" w:sz="0" w:space="0" w:color="auto"/>
      </w:divBdr>
    </w:div>
    <w:div w:id="311176680">
      <w:bodyDiv w:val="1"/>
      <w:marLeft w:val="0"/>
      <w:marRight w:val="0"/>
      <w:marTop w:val="0"/>
      <w:marBottom w:val="0"/>
      <w:divBdr>
        <w:top w:val="none" w:sz="0" w:space="0" w:color="auto"/>
        <w:left w:val="none" w:sz="0" w:space="0" w:color="auto"/>
        <w:bottom w:val="none" w:sz="0" w:space="0" w:color="auto"/>
        <w:right w:val="none" w:sz="0" w:space="0" w:color="auto"/>
      </w:divBdr>
    </w:div>
    <w:div w:id="339703314">
      <w:bodyDiv w:val="1"/>
      <w:marLeft w:val="0"/>
      <w:marRight w:val="0"/>
      <w:marTop w:val="0"/>
      <w:marBottom w:val="0"/>
      <w:divBdr>
        <w:top w:val="none" w:sz="0" w:space="0" w:color="auto"/>
        <w:left w:val="none" w:sz="0" w:space="0" w:color="auto"/>
        <w:bottom w:val="none" w:sz="0" w:space="0" w:color="auto"/>
        <w:right w:val="none" w:sz="0" w:space="0" w:color="auto"/>
      </w:divBdr>
    </w:div>
    <w:div w:id="350231787">
      <w:bodyDiv w:val="1"/>
      <w:marLeft w:val="0"/>
      <w:marRight w:val="0"/>
      <w:marTop w:val="0"/>
      <w:marBottom w:val="0"/>
      <w:divBdr>
        <w:top w:val="none" w:sz="0" w:space="0" w:color="auto"/>
        <w:left w:val="none" w:sz="0" w:space="0" w:color="auto"/>
        <w:bottom w:val="none" w:sz="0" w:space="0" w:color="auto"/>
        <w:right w:val="none" w:sz="0" w:space="0" w:color="auto"/>
      </w:divBdr>
    </w:div>
    <w:div w:id="388504413">
      <w:bodyDiv w:val="1"/>
      <w:marLeft w:val="0"/>
      <w:marRight w:val="0"/>
      <w:marTop w:val="0"/>
      <w:marBottom w:val="0"/>
      <w:divBdr>
        <w:top w:val="none" w:sz="0" w:space="0" w:color="auto"/>
        <w:left w:val="none" w:sz="0" w:space="0" w:color="auto"/>
        <w:bottom w:val="none" w:sz="0" w:space="0" w:color="auto"/>
        <w:right w:val="none" w:sz="0" w:space="0" w:color="auto"/>
      </w:divBdr>
    </w:div>
    <w:div w:id="411466775">
      <w:bodyDiv w:val="1"/>
      <w:marLeft w:val="0"/>
      <w:marRight w:val="0"/>
      <w:marTop w:val="0"/>
      <w:marBottom w:val="0"/>
      <w:divBdr>
        <w:top w:val="none" w:sz="0" w:space="0" w:color="auto"/>
        <w:left w:val="none" w:sz="0" w:space="0" w:color="auto"/>
        <w:bottom w:val="none" w:sz="0" w:space="0" w:color="auto"/>
        <w:right w:val="none" w:sz="0" w:space="0" w:color="auto"/>
      </w:divBdr>
      <w:divsChild>
        <w:div w:id="141361170">
          <w:marLeft w:val="1987"/>
          <w:marRight w:val="0"/>
          <w:marTop w:val="228"/>
          <w:marBottom w:val="0"/>
          <w:divBdr>
            <w:top w:val="none" w:sz="0" w:space="0" w:color="auto"/>
            <w:left w:val="none" w:sz="0" w:space="0" w:color="auto"/>
            <w:bottom w:val="none" w:sz="0" w:space="0" w:color="auto"/>
            <w:right w:val="none" w:sz="0" w:space="0" w:color="auto"/>
          </w:divBdr>
        </w:div>
        <w:div w:id="237520919">
          <w:marLeft w:val="1987"/>
          <w:marRight w:val="0"/>
          <w:marTop w:val="228"/>
          <w:marBottom w:val="0"/>
          <w:divBdr>
            <w:top w:val="none" w:sz="0" w:space="0" w:color="auto"/>
            <w:left w:val="none" w:sz="0" w:space="0" w:color="auto"/>
            <w:bottom w:val="none" w:sz="0" w:space="0" w:color="auto"/>
            <w:right w:val="none" w:sz="0" w:space="0" w:color="auto"/>
          </w:divBdr>
        </w:div>
        <w:div w:id="400713405">
          <w:marLeft w:val="1987"/>
          <w:marRight w:val="0"/>
          <w:marTop w:val="228"/>
          <w:marBottom w:val="0"/>
          <w:divBdr>
            <w:top w:val="none" w:sz="0" w:space="0" w:color="auto"/>
            <w:left w:val="none" w:sz="0" w:space="0" w:color="auto"/>
            <w:bottom w:val="none" w:sz="0" w:space="0" w:color="auto"/>
            <w:right w:val="none" w:sz="0" w:space="0" w:color="auto"/>
          </w:divBdr>
        </w:div>
        <w:div w:id="1011222477">
          <w:marLeft w:val="1987"/>
          <w:marRight w:val="0"/>
          <w:marTop w:val="228"/>
          <w:marBottom w:val="0"/>
          <w:divBdr>
            <w:top w:val="none" w:sz="0" w:space="0" w:color="auto"/>
            <w:left w:val="none" w:sz="0" w:space="0" w:color="auto"/>
            <w:bottom w:val="none" w:sz="0" w:space="0" w:color="auto"/>
            <w:right w:val="none" w:sz="0" w:space="0" w:color="auto"/>
          </w:divBdr>
        </w:div>
        <w:div w:id="1522472095">
          <w:marLeft w:val="1987"/>
          <w:marRight w:val="0"/>
          <w:marTop w:val="228"/>
          <w:marBottom w:val="0"/>
          <w:divBdr>
            <w:top w:val="none" w:sz="0" w:space="0" w:color="auto"/>
            <w:left w:val="none" w:sz="0" w:space="0" w:color="auto"/>
            <w:bottom w:val="none" w:sz="0" w:space="0" w:color="auto"/>
            <w:right w:val="none" w:sz="0" w:space="0" w:color="auto"/>
          </w:divBdr>
        </w:div>
      </w:divsChild>
    </w:div>
    <w:div w:id="430514860">
      <w:bodyDiv w:val="1"/>
      <w:marLeft w:val="0"/>
      <w:marRight w:val="0"/>
      <w:marTop w:val="0"/>
      <w:marBottom w:val="0"/>
      <w:divBdr>
        <w:top w:val="none" w:sz="0" w:space="0" w:color="auto"/>
        <w:left w:val="none" w:sz="0" w:space="0" w:color="auto"/>
        <w:bottom w:val="none" w:sz="0" w:space="0" w:color="auto"/>
        <w:right w:val="none" w:sz="0" w:space="0" w:color="auto"/>
      </w:divBdr>
    </w:div>
    <w:div w:id="448166915">
      <w:bodyDiv w:val="1"/>
      <w:marLeft w:val="0"/>
      <w:marRight w:val="0"/>
      <w:marTop w:val="0"/>
      <w:marBottom w:val="0"/>
      <w:divBdr>
        <w:top w:val="none" w:sz="0" w:space="0" w:color="auto"/>
        <w:left w:val="none" w:sz="0" w:space="0" w:color="auto"/>
        <w:bottom w:val="none" w:sz="0" w:space="0" w:color="auto"/>
        <w:right w:val="none" w:sz="0" w:space="0" w:color="auto"/>
      </w:divBdr>
    </w:div>
    <w:div w:id="451824781">
      <w:bodyDiv w:val="1"/>
      <w:marLeft w:val="0"/>
      <w:marRight w:val="0"/>
      <w:marTop w:val="0"/>
      <w:marBottom w:val="0"/>
      <w:divBdr>
        <w:top w:val="none" w:sz="0" w:space="0" w:color="auto"/>
        <w:left w:val="none" w:sz="0" w:space="0" w:color="auto"/>
        <w:bottom w:val="none" w:sz="0" w:space="0" w:color="auto"/>
        <w:right w:val="none" w:sz="0" w:space="0" w:color="auto"/>
      </w:divBdr>
    </w:div>
    <w:div w:id="465784517">
      <w:bodyDiv w:val="1"/>
      <w:marLeft w:val="0"/>
      <w:marRight w:val="0"/>
      <w:marTop w:val="0"/>
      <w:marBottom w:val="0"/>
      <w:divBdr>
        <w:top w:val="none" w:sz="0" w:space="0" w:color="auto"/>
        <w:left w:val="none" w:sz="0" w:space="0" w:color="auto"/>
        <w:bottom w:val="none" w:sz="0" w:space="0" w:color="auto"/>
        <w:right w:val="none" w:sz="0" w:space="0" w:color="auto"/>
      </w:divBdr>
    </w:div>
    <w:div w:id="488182249">
      <w:bodyDiv w:val="1"/>
      <w:marLeft w:val="0"/>
      <w:marRight w:val="0"/>
      <w:marTop w:val="0"/>
      <w:marBottom w:val="0"/>
      <w:divBdr>
        <w:top w:val="none" w:sz="0" w:space="0" w:color="auto"/>
        <w:left w:val="none" w:sz="0" w:space="0" w:color="auto"/>
        <w:bottom w:val="none" w:sz="0" w:space="0" w:color="auto"/>
        <w:right w:val="none" w:sz="0" w:space="0" w:color="auto"/>
      </w:divBdr>
    </w:div>
    <w:div w:id="518350909">
      <w:bodyDiv w:val="1"/>
      <w:marLeft w:val="0"/>
      <w:marRight w:val="0"/>
      <w:marTop w:val="0"/>
      <w:marBottom w:val="0"/>
      <w:divBdr>
        <w:top w:val="none" w:sz="0" w:space="0" w:color="auto"/>
        <w:left w:val="none" w:sz="0" w:space="0" w:color="auto"/>
        <w:bottom w:val="none" w:sz="0" w:space="0" w:color="auto"/>
        <w:right w:val="none" w:sz="0" w:space="0" w:color="auto"/>
      </w:divBdr>
    </w:div>
    <w:div w:id="529151670">
      <w:bodyDiv w:val="1"/>
      <w:marLeft w:val="0"/>
      <w:marRight w:val="0"/>
      <w:marTop w:val="0"/>
      <w:marBottom w:val="0"/>
      <w:divBdr>
        <w:top w:val="none" w:sz="0" w:space="0" w:color="auto"/>
        <w:left w:val="none" w:sz="0" w:space="0" w:color="auto"/>
        <w:bottom w:val="none" w:sz="0" w:space="0" w:color="auto"/>
        <w:right w:val="none" w:sz="0" w:space="0" w:color="auto"/>
      </w:divBdr>
    </w:div>
    <w:div w:id="569123853">
      <w:bodyDiv w:val="1"/>
      <w:marLeft w:val="0"/>
      <w:marRight w:val="0"/>
      <w:marTop w:val="0"/>
      <w:marBottom w:val="0"/>
      <w:divBdr>
        <w:top w:val="none" w:sz="0" w:space="0" w:color="auto"/>
        <w:left w:val="none" w:sz="0" w:space="0" w:color="auto"/>
        <w:bottom w:val="none" w:sz="0" w:space="0" w:color="auto"/>
        <w:right w:val="none" w:sz="0" w:space="0" w:color="auto"/>
      </w:divBdr>
    </w:div>
    <w:div w:id="613631012">
      <w:bodyDiv w:val="1"/>
      <w:marLeft w:val="0"/>
      <w:marRight w:val="0"/>
      <w:marTop w:val="0"/>
      <w:marBottom w:val="0"/>
      <w:divBdr>
        <w:top w:val="none" w:sz="0" w:space="0" w:color="auto"/>
        <w:left w:val="none" w:sz="0" w:space="0" w:color="auto"/>
        <w:bottom w:val="none" w:sz="0" w:space="0" w:color="auto"/>
        <w:right w:val="none" w:sz="0" w:space="0" w:color="auto"/>
      </w:divBdr>
    </w:div>
    <w:div w:id="668169545">
      <w:bodyDiv w:val="1"/>
      <w:marLeft w:val="0"/>
      <w:marRight w:val="0"/>
      <w:marTop w:val="0"/>
      <w:marBottom w:val="0"/>
      <w:divBdr>
        <w:top w:val="none" w:sz="0" w:space="0" w:color="auto"/>
        <w:left w:val="none" w:sz="0" w:space="0" w:color="auto"/>
        <w:bottom w:val="none" w:sz="0" w:space="0" w:color="auto"/>
        <w:right w:val="none" w:sz="0" w:space="0" w:color="auto"/>
      </w:divBdr>
    </w:div>
    <w:div w:id="738017219">
      <w:bodyDiv w:val="1"/>
      <w:marLeft w:val="0"/>
      <w:marRight w:val="0"/>
      <w:marTop w:val="0"/>
      <w:marBottom w:val="0"/>
      <w:divBdr>
        <w:top w:val="none" w:sz="0" w:space="0" w:color="auto"/>
        <w:left w:val="none" w:sz="0" w:space="0" w:color="auto"/>
        <w:bottom w:val="none" w:sz="0" w:space="0" w:color="auto"/>
        <w:right w:val="none" w:sz="0" w:space="0" w:color="auto"/>
      </w:divBdr>
    </w:div>
    <w:div w:id="782650553">
      <w:bodyDiv w:val="1"/>
      <w:marLeft w:val="0"/>
      <w:marRight w:val="0"/>
      <w:marTop w:val="0"/>
      <w:marBottom w:val="0"/>
      <w:divBdr>
        <w:top w:val="none" w:sz="0" w:space="0" w:color="auto"/>
        <w:left w:val="none" w:sz="0" w:space="0" w:color="auto"/>
        <w:bottom w:val="none" w:sz="0" w:space="0" w:color="auto"/>
        <w:right w:val="none" w:sz="0" w:space="0" w:color="auto"/>
      </w:divBdr>
    </w:div>
    <w:div w:id="785153185">
      <w:bodyDiv w:val="1"/>
      <w:marLeft w:val="0"/>
      <w:marRight w:val="0"/>
      <w:marTop w:val="0"/>
      <w:marBottom w:val="0"/>
      <w:divBdr>
        <w:top w:val="none" w:sz="0" w:space="0" w:color="auto"/>
        <w:left w:val="none" w:sz="0" w:space="0" w:color="auto"/>
        <w:bottom w:val="none" w:sz="0" w:space="0" w:color="auto"/>
        <w:right w:val="none" w:sz="0" w:space="0" w:color="auto"/>
      </w:divBdr>
    </w:div>
    <w:div w:id="803934705">
      <w:bodyDiv w:val="1"/>
      <w:marLeft w:val="0"/>
      <w:marRight w:val="0"/>
      <w:marTop w:val="0"/>
      <w:marBottom w:val="0"/>
      <w:divBdr>
        <w:top w:val="none" w:sz="0" w:space="0" w:color="auto"/>
        <w:left w:val="none" w:sz="0" w:space="0" w:color="auto"/>
        <w:bottom w:val="none" w:sz="0" w:space="0" w:color="auto"/>
        <w:right w:val="none" w:sz="0" w:space="0" w:color="auto"/>
      </w:divBdr>
      <w:divsChild>
        <w:div w:id="748574360">
          <w:marLeft w:val="562"/>
          <w:marRight w:val="0"/>
          <w:marTop w:val="67"/>
          <w:marBottom w:val="120"/>
          <w:divBdr>
            <w:top w:val="none" w:sz="0" w:space="0" w:color="auto"/>
            <w:left w:val="none" w:sz="0" w:space="0" w:color="auto"/>
            <w:bottom w:val="none" w:sz="0" w:space="0" w:color="auto"/>
            <w:right w:val="none" w:sz="0" w:space="0" w:color="auto"/>
          </w:divBdr>
        </w:div>
        <w:div w:id="872111083">
          <w:marLeft w:val="562"/>
          <w:marRight w:val="0"/>
          <w:marTop w:val="67"/>
          <w:marBottom w:val="120"/>
          <w:divBdr>
            <w:top w:val="none" w:sz="0" w:space="0" w:color="auto"/>
            <w:left w:val="none" w:sz="0" w:space="0" w:color="auto"/>
            <w:bottom w:val="none" w:sz="0" w:space="0" w:color="auto"/>
            <w:right w:val="none" w:sz="0" w:space="0" w:color="auto"/>
          </w:divBdr>
        </w:div>
        <w:div w:id="1067074890">
          <w:marLeft w:val="562"/>
          <w:marRight w:val="0"/>
          <w:marTop w:val="67"/>
          <w:marBottom w:val="360"/>
          <w:divBdr>
            <w:top w:val="none" w:sz="0" w:space="0" w:color="auto"/>
            <w:left w:val="none" w:sz="0" w:space="0" w:color="auto"/>
            <w:bottom w:val="none" w:sz="0" w:space="0" w:color="auto"/>
            <w:right w:val="none" w:sz="0" w:space="0" w:color="auto"/>
          </w:divBdr>
        </w:div>
        <w:div w:id="1467045074">
          <w:marLeft w:val="562"/>
          <w:marRight w:val="0"/>
          <w:marTop w:val="67"/>
          <w:marBottom w:val="0"/>
          <w:divBdr>
            <w:top w:val="none" w:sz="0" w:space="0" w:color="auto"/>
            <w:left w:val="none" w:sz="0" w:space="0" w:color="auto"/>
            <w:bottom w:val="none" w:sz="0" w:space="0" w:color="auto"/>
            <w:right w:val="none" w:sz="0" w:space="0" w:color="auto"/>
          </w:divBdr>
        </w:div>
      </w:divsChild>
    </w:div>
    <w:div w:id="830682930">
      <w:bodyDiv w:val="1"/>
      <w:marLeft w:val="0"/>
      <w:marRight w:val="0"/>
      <w:marTop w:val="0"/>
      <w:marBottom w:val="0"/>
      <w:divBdr>
        <w:top w:val="none" w:sz="0" w:space="0" w:color="auto"/>
        <w:left w:val="none" w:sz="0" w:space="0" w:color="auto"/>
        <w:bottom w:val="none" w:sz="0" w:space="0" w:color="auto"/>
        <w:right w:val="none" w:sz="0" w:space="0" w:color="auto"/>
      </w:divBdr>
    </w:div>
    <w:div w:id="836187954">
      <w:bodyDiv w:val="1"/>
      <w:marLeft w:val="0"/>
      <w:marRight w:val="0"/>
      <w:marTop w:val="0"/>
      <w:marBottom w:val="0"/>
      <w:divBdr>
        <w:top w:val="none" w:sz="0" w:space="0" w:color="auto"/>
        <w:left w:val="none" w:sz="0" w:space="0" w:color="auto"/>
        <w:bottom w:val="none" w:sz="0" w:space="0" w:color="auto"/>
        <w:right w:val="none" w:sz="0" w:space="0" w:color="auto"/>
      </w:divBdr>
      <w:divsChild>
        <w:div w:id="90976804">
          <w:marLeft w:val="1699"/>
          <w:marRight w:val="0"/>
          <w:marTop w:val="0"/>
          <w:marBottom w:val="60"/>
          <w:divBdr>
            <w:top w:val="none" w:sz="0" w:space="0" w:color="auto"/>
            <w:left w:val="none" w:sz="0" w:space="0" w:color="auto"/>
            <w:bottom w:val="none" w:sz="0" w:space="0" w:color="auto"/>
            <w:right w:val="none" w:sz="0" w:space="0" w:color="auto"/>
          </w:divBdr>
        </w:div>
        <w:div w:id="209417843">
          <w:marLeft w:val="2722"/>
          <w:marRight w:val="0"/>
          <w:marTop w:val="0"/>
          <w:marBottom w:val="60"/>
          <w:divBdr>
            <w:top w:val="none" w:sz="0" w:space="0" w:color="auto"/>
            <w:left w:val="none" w:sz="0" w:space="0" w:color="auto"/>
            <w:bottom w:val="none" w:sz="0" w:space="0" w:color="auto"/>
            <w:right w:val="none" w:sz="0" w:space="0" w:color="auto"/>
          </w:divBdr>
        </w:div>
        <w:div w:id="337779817">
          <w:marLeft w:val="1699"/>
          <w:marRight w:val="0"/>
          <w:marTop w:val="0"/>
          <w:marBottom w:val="60"/>
          <w:divBdr>
            <w:top w:val="none" w:sz="0" w:space="0" w:color="auto"/>
            <w:left w:val="none" w:sz="0" w:space="0" w:color="auto"/>
            <w:bottom w:val="none" w:sz="0" w:space="0" w:color="auto"/>
            <w:right w:val="none" w:sz="0" w:space="0" w:color="auto"/>
          </w:divBdr>
        </w:div>
        <w:div w:id="499084814">
          <w:marLeft w:val="1699"/>
          <w:marRight w:val="0"/>
          <w:marTop w:val="0"/>
          <w:marBottom w:val="60"/>
          <w:divBdr>
            <w:top w:val="none" w:sz="0" w:space="0" w:color="auto"/>
            <w:left w:val="none" w:sz="0" w:space="0" w:color="auto"/>
            <w:bottom w:val="none" w:sz="0" w:space="0" w:color="auto"/>
            <w:right w:val="none" w:sz="0" w:space="0" w:color="auto"/>
          </w:divBdr>
        </w:div>
        <w:div w:id="848060796">
          <w:marLeft w:val="562"/>
          <w:marRight w:val="0"/>
          <w:marTop w:val="0"/>
          <w:marBottom w:val="60"/>
          <w:divBdr>
            <w:top w:val="none" w:sz="0" w:space="0" w:color="auto"/>
            <w:left w:val="none" w:sz="0" w:space="0" w:color="auto"/>
            <w:bottom w:val="none" w:sz="0" w:space="0" w:color="auto"/>
            <w:right w:val="none" w:sz="0" w:space="0" w:color="auto"/>
          </w:divBdr>
        </w:div>
        <w:div w:id="875773003">
          <w:marLeft w:val="1699"/>
          <w:marRight w:val="0"/>
          <w:marTop w:val="0"/>
          <w:marBottom w:val="60"/>
          <w:divBdr>
            <w:top w:val="none" w:sz="0" w:space="0" w:color="auto"/>
            <w:left w:val="none" w:sz="0" w:space="0" w:color="auto"/>
            <w:bottom w:val="none" w:sz="0" w:space="0" w:color="auto"/>
            <w:right w:val="none" w:sz="0" w:space="0" w:color="auto"/>
          </w:divBdr>
        </w:div>
        <w:div w:id="875850436">
          <w:marLeft w:val="1699"/>
          <w:marRight w:val="0"/>
          <w:marTop w:val="0"/>
          <w:marBottom w:val="60"/>
          <w:divBdr>
            <w:top w:val="none" w:sz="0" w:space="0" w:color="auto"/>
            <w:left w:val="none" w:sz="0" w:space="0" w:color="auto"/>
            <w:bottom w:val="none" w:sz="0" w:space="0" w:color="auto"/>
            <w:right w:val="none" w:sz="0" w:space="0" w:color="auto"/>
          </w:divBdr>
        </w:div>
        <w:div w:id="960067483">
          <w:marLeft w:val="1699"/>
          <w:marRight w:val="0"/>
          <w:marTop w:val="0"/>
          <w:marBottom w:val="60"/>
          <w:divBdr>
            <w:top w:val="none" w:sz="0" w:space="0" w:color="auto"/>
            <w:left w:val="none" w:sz="0" w:space="0" w:color="auto"/>
            <w:bottom w:val="none" w:sz="0" w:space="0" w:color="auto"/>
            <w:right w:val="none" w:sz="0" w:space="0" w:color="auto"/>
          </w:divBdr>
        </w:div>
        <w:div w:id="1101415409">
          <w:marLeft w:val="1699"/>
          <w:marRight w:val="0"/>
          <w:marTop w:val="0"/>
          <w:marBottom w:val="60"/>
          <w:divBdr>
            <w:top w:val="none" w:sz="0" w:space="0" w:color="auto"/>
            <w:left w:val="none" w:sz="0" w:space="0" w:color="auto"/>
            <w:bottom w:val="none" w:sz="0" w:space="0" w:color="auto"/>
            <w:right w:val="none" w:sz="0" w:space="0" w:color="auto"/>
          </w:divBdr>
        </w:div>
        <w:div w:id="1993676406">
          <w:marLeft w:val="2722"/>
          <w:marRight w:val="0"/>
          <w:marTop w:val="0"/>
          <w:marBottom w:val="60"/>
          <w:divBdr>
            <w:top w:val="none" w:sz="0" w:space="0" w:color="auto"/>
            <w:left w:val="none" w:sz="0" w:space="0" w:color="auto"/>
            <w:bottom w:val="none" w:sz="0" w:space="0" w:color="auto"/>
            <w:right w:val="none" w:sz="0" w:space="0" w:color="auto"/>
          </w:divBdr>
        </w:div>
        <w:div w:id="2040466794">
          <w:marLeft w:val="2722"/>
          <w:marRight w:val="0"/>
          <w:marTop w:val="0"/>
          <w:marBottom w:val="60"/>
          <w:divBdr>
            <w:top w:val="none" w:sz="0" w:space="0" w:color="auto"/>
            <w:left w:val="none" w:sz="0" w:space="0" w:color="auto"/>
            <w:bottom w:val="none" w:sz="0" w:space="0" w:color="auto"/>
            <w:right w:val="none" w:sz="0" w:space="0" w:color="auto"/>
          </w:divBdr>
        </w:div>
      </w:divsChild>
    </w:div>
    <w:div w:id="838498915">
      <w:bodyDiv w:val="1"/>
      <w:marLeft w:val="0"/>
      <w:marRight w:val="0"/>
      <w:marTop w:val="0"/>
      <w:marBottom w:val="0"/>
      <w:divBdr>
        <w:top w:val="none" w:sz="0" w:space="0" w:color="auto"/>
        <w:left w:val="none" w:sz="0" w:space="0" w:color="auto"/>
        <w:bottom w:val="none" w:sz="0" w:space="0" w:color="auto"/>
        <w:right w:val="none" w:sz="0" w:space="0" w:color="auto"/>
      </w:divBdr>
    </w:div>
    <w:div w:id="844709348">
      <w:bodyDiv w:val="1"/>
      <w:marLeft w:val="0"/>
      <w:marRight w:val="0"/>
      <w:marTop w:val="0"/>
      <w:marBottom w:val="0"/>
      <w:divBdr>
        <w:top w:val="none" w:sz="0" w:space="0" w:color="auto"/>
        <w:left w:val="none" w:sz="0" w:space="0" w:color="auto"/>
        <w:bottom w:val="none" w:sz="0" w:space="0" w:color="auto"/>
        <w:right w:val="none" w:sz="0" w:space="0" w:color="auto"/>
      </w:divBdr>
    </w:div>
    <w:div w:id="859777190">
      <w:bodyDiv w:val="1"/>
      <w:marLeft w:val="0"/>
      <w:marRight w:val="0"/>
      <w:marTop w:val="0"/>
      <w:marBottom w:val="0"/>
      <w:divBdr>
        <w:top w:val="none" w:sz="0" w:space="0" w:color="auto"/>
        <w:left w:val="none" w:sz="0" w:space="0" w:color="auto"/>
        <w:bottom w:val="none" w:sz="0" w:space="0" w:color="auto"/>
        <w:right w:val="none" w:sz="0" w:space="0" w:color="auto"/>
      </w:divBdr>
    </w:div>
    <w:div w:id="920455268">
      <w:bodyDiv w:val="1"/>
      <w:marLeft w:val="0"/>
      <w:marRight w:val="0"/>
      <w:marTop w:val="0"/>
      <w:marBottom w:val="0"/>
      <w:divBdr>
        <w:top w:val="none" w:sz="0" w:space="0" w:color="auto"/>
        <w:left w:val="none" w:sz="0" w:space="0" w:color="auto"/>
        <w:bottom w:val="none" w:sz="0" w:space="0" w:color="auto"/>
        <w:right w:val="none" w:sz="0" w:space="0" w:color="auto"/>
      </w:divBdr>
    </w:div>
    <w:div w:id="923996636">
      <w:bodyDiv w:val="1"/>
      <w:marLeft w:val="0"/>
      <w:marRight w:val="0"/>
      <w:marTop w:val="0"/>
      <w:marBottom w:val="0"/>
      <w:divBdr>
        <w:top w:val="none" w:sz="0" w:space="0" w:color="auto"/>
        <w:left w:val="none" w:sz="0" w:space="0" w:color="auto"/>
        <w:bottom w:val="none" w:sz="0" w:space="0" w:color="auto"/>
        <w:right w:val="none" w:sz="0" w:space="0" w:color="auto"/>
      </w:divBdr>
    </w:div>
    <w:div w:id="990255667">
      <w:bodyDiv w:val="1"/>
      <w:marLeft w:val="0"/>
      <w:marRight w:val="0"/>
      <w:marTop w:val="0"/>
      <w:marBottom w:val="0"/>
      <w:divBdr>
        <w:top w:val="none" w:sz="0" w:space="0" w:color="auto"/>
        <w:left w:val="none" w:sz="0" w:space="0" w:color="auto"/>
        <w:bottom w:val="none" w:sz="0" w:space="0" w:color="auto"/>
        <w:right w:val="none" w:sz="0" w:space="0" w:color="auto"/>
      </w:divBdr>
    </w:div>
    <w:div w:id="994457477">
      <w:bodyDiv w:val="1"/>
      <w:marLeft w:val="0"/>
      <w:marRight w:val="0"/>
      <w:marTop w:val="0"/>
      <w:marBottom w:val="0"/>
      <w:divBdr>
        <w:top w:val="none" w:sz="0" w:space="0" w:color="auto"/>
        <w:left w:val="none" w:sz="0" w:space="0" w:color="auto"/>
        <w:bottom w:val="none" w:sz="0" w:space="0" w:color="auto"/>
        <w:right w:val="none" w:sz="0" w:space="0" w:color="auto"/>
      </w:divBdr>
    </w:div>
    <w:div w:id="1024331544">
      <w:bodyDiv w:val="1"/>
      <w:marLeft w:val="0"/>
      <w:marRight w:val="0"/>
      <w:marTop w:val="0"/>
      <w:marBottom w:val="0"/>
      <w:divBdr>
        <w:top w:val="none" w:sz="0" w:space="0" w:color="auto"/>
        <w:left w:val="none" w:sz="0" w:space="0" w:color="auto"/>
        <w:bottom w:val="none" w:sz="0" w:space="0" w:color="auto"/>
        <w:right w:val="none" w:sz="0" w:space="0" w:color="auto"/>
      </w:divBdr>
    </w:div>
    <w:div w:id="1050155281">
      <w:bodyDiv w:val="1"/>
      <w:marLeft w:val="0"/>
      <w:marRight w:val="0"/>
      <w:marTop w:val="0"/>
      <w:marBottom w:val="0"/>
      <w:divBdr>
        <w:top w:val="none" w:sz="0" w:space="0" w:color="auto"/>
        <w:left w:val="none" w:sz="0" w:space="0" w:color="auto"/>
        <w:bottom w:val="none" w:sz="0" w:space="0" w:color="auto"/>
        <w:right w:val="none" w:sz="0" w:space="0" w:color="auto"/>
      </w:divBdr>
    </w:div>
    <w:div w:id="1086654157">
      <w:bodyDiv w:val="1"/>
      <w:marLeft w:val="0"/>
      <w:marRight w:val="0"/>
      <w:marTop w:val="0"/>
      <w:marBottom w:val="0"/>
      <w:divBdr>
        <w:top w:val="none" w:sz="0" w:space="0" w:color="auto"/>
        <w:left w:val="none" w:sz="0" w:space="0" w:color="auto"/>
        <w:bottom w:val="none" w:sz="0" w:space="0" w:color="auto"/>
        <w:right w:val="none" w:sz="0" w:space="0" w:color="auto"/>
      </w:divBdr>
    </w:div>
    <w:div w:id="1089423084">
      <w:bodyDiv w:val="1"/>
      <w:marLeft w:val="0"/>
      <w:marRight w:val="0"/>
      <w:marTop w:val="0"/>
      <w:marBottom w:val="0"/>
      <w:divBdr>
        <w:top w:val="none" w:sz="0" w:space="0" w:color="auto"/>
        <w:left w:val="none" w:sz="0" w:space="0" w:color="auto"/>
        <w:bottom w:val="none" w:sz="0" w:space="0" w:color="auto"/>
        <w:right w:val="none" w:sz="0" w:space="0" w:color="auto"/>
      </w:divBdr>
      <w:divsChild>
        <w:div w:id="382216221">
          <w:marLeft w:val="562"/>
          <w:marRight w:val="0"/>
          <w:marTop w:val="0"/>
          <w:marBottom w:val="0"/>
          <w:divBdr>
            <w:top w:val="none" w:sz="0" w:space="0" w:color="auto"/>
            <w:left w:val="none" w:sz="0" w:space="0" w:color="auto"/>
            <w:bottom w:val="none" w:sz="0" w:space="0" w:color="auto"/>
            <w:right w:val="none" w:sz="0" w:space="0" w:color="auto"/>
          </w:divBdr>
        </w:div>
        <w:div w:id="1302688625">
          <w:marLeft w:val="562"/>
          <w:marRight w:val="0"/>
          <w:marTop w:val="0"/>
          <w:marBottom w:val="120"/>
          <w:divBdr>
            <w:top w:val="none" w:sz="0" w:space="0" w:color="auto"/>
            <w:left w:val="none" w:sz="0" w:space="0" w:color="auto"/>
            <w:bottom w:val="none" w:sz="0" w:space="0" w:color="auto"/>
            <w:right w:val="none" w:sz="0" w:space="0" w:color="auto"/>
          </w:divBdr>
        </w:div>
        <w:div w:id="1510949561">
          <w:marLeft w:val="562"/>
          <w:marRight w:val="0"/>
          <w:marTop w:val="0"/>
          <w:marBottom w:val="120"/>
          <w:divBdr>
            <w:top w:val="none" w:sz="0" w:space="0" w:color="auto"/>
            <w:left w:val="none" w:sz="0" w:space="0" w:color="auto"/>
            <w:bottom w:val="none" w:sz="0" w:space="0" w:color="auto"/>
            <w:right w:val="none" w:sz="0" w:space="0" w:color="auto"/>
          </w:divBdr>
        </w:div>
        <w:div w:id="1676300609">
          <w:marLeft w:val="562"/>
          <w:marRight w:val="0"/>
          <w:marTop w:val="0"/>
          <w:marBottom w:val="0"/>
          <w:divBdr>
            <w:top w:val="none" w:sz="0" w:space="0" w:color="auto"/>
            <w:left w:val="none" w:sz="0" w:space="0" w:color="auto"/>
            <w:bottom w:val="none" w:sz="0" w:space="0" w:color="auto"/>
            <w:right w:val="none" w:sz="0" w:space="0" w:color="auto"/>
          </w:divBdr>
        </w:div>
        <w:div w:id="1879321270">
          <w:marLeft w:val="562"/>
          <w:marRight w:val="0"/>
          <w:marTop w:val="0"/>
          <w:marBottom w:val="0"/>
          <w:divBdr>
            <w:top w:val="none" w:sz="0" w:space="0" w:color="auto"/>
            <w:left w:val="none" w:sz="0" w:space="0" w:color="auto"/>
            <w:bottom w:val="none" w:sz="0" w:space="0" w:color="auto"/>
            <w:right w:val="none" w:sz="0" w:space="0" w:color="auto"/>
          </w:divBdr>
        </w:div>
        <w:div w:id="2126657276">
          <w:marLeft w:val="562"/>
          <w:marRight w:val="0"/>
          <w:marTop w:val="0"/>
          <w:marBottom w:val="0"/>
          <w:divBdr>
            <w:top w:val="none" w:sz="0" w:space="0" w:color="auto"/>
            <w:left w:val="none" w:sz="0" w:space="0" w:color="auto"/>
            <w:bottom w:val="none" w:sz="0" w:space="0" w:color="auto"/>
            <w:right w:val="none" w:sz="0" w:space="0" w:color="auto"/>
          </w:divBdr>
        </w:div>
      </w:divsChild>
    </w:div>
    <w:div w:id="1143347891">
      <w:bodyDiv w:val="1"/>
      <w:marLeft w:val="0"/>
      <w:marRight w:val="0"/>
      <w:marTop w:val="0"/>
      <w:marBottom w:val="0"/>
      <w:divBdr>
        <w:top w:val="none" w:sz="0" w:space="0" w:color="auto"/>
        <w:left w:val="none" w:sz="0" w:space="0" w:color="auto"/>
        <w:bottom w:val="none" w:sz="0" w:space="0" w:color="auto"/>
        <w:right w:val="none" w:sz="0" w:space="0" w:color="auto"/>
      </w:divBdr>
      <w:divsChild>
        <w:div w:id="98107742">
          <w:marLeft w:val="562"/>
          <w:marRight w:val="0"/>
          <w:marTop w:val="96"/>
          <w:marBottom w:val="360"/>
          <w:divBdr>
            <w:top w:val="none" w:sz="0" w:space="0" w:color="auto"/>
            <w:left w:val="none" w:sz="0" w:space="0" w:color="auto"/>
            <w:bottom w:val="none" w:sz="0" w:space="0" w:color="auto"/>
            <w:right w:val="none" w:sz="0" w:space="0" w:color="auto"/>
          </w:divBdr>
        </w:div>
        <w:div w:id="359554486">
          <w:marLeft w:val="562"/>
          <w:marRight w:val="0"/>
          <w:marTop w:val="96"/>
          <w:marBottom w:val="360"/>
          <w:divBdr>
            <w:top w:val="none" w:sz="0" w:space="0" w:color="auto"/>
            <w:left w:val="none" w:sz="0" w:space="0" w:color="auto"/>
            <w:bottom w:val="none" w:sz="0" w:space="0" w:color="auto"/>
            <w:right w:val="none" w:sz="0" w:space="0" w:color="auto"/>
          </w:divBdr>
        </w:div>
        <w:div w:id="1676306237">
          <w:marLeft w:val="562"/>
          <w:marRight w:val="0"/>
          <w:marTop w:val="96"/>
          <w:marBottom w:val="360"/>
          <w:divBdr>
            <w:top w:val="none" w:sz="0" w:space="0" w:color="auto"/>
            <w:left w:val="none" w:sz="0" w:space="0" w:color="auto"/>
            <w:bottom w:val="none" w:sz="0" w:space="0" w:color="auto"/>
            <w:right w:val="none" w:sz="0" w:space="0" w:color="auto"/>
          </w:divBdr>
        </w:div>
        <w:div w:id="1904020358">
          <w:marLeft w:val="562"/>
          <w:marRight w:val="0"/>
          <w:marTop w:val="96"/>
          <w:marBottom w:val="360"/>
          <w:divBdr>
            <w:top w:val="none" w:sz="0" w:space="0" w:color="auto"/>
            <w:left w:val="none" w:sz="0" w:space="0" w:color="auto"/>
            <w:bottom w:val="none" w:sz="0" w:space="0" w:color="auto"/>
            <w:right w:val="none" w:sz="0" w:space="0" w:color="auto"/>
          </w:divBdr>
        </w:div>
      </w:divsChild>
    </w:div>
    <w:div w:id="1174149870">
      <w:bodyDiv w:val="1"/>
      <w:marLeft w:val="0"/>
      <w:marRight w:val="0"/>
      <w:marTop w:val="0"/>
      <w:marBottom w:val="0"/>
      <w:divBdr>
        <w:top w:val="none" w:sz="0" w:space="0" w:color="auto"/>
        <w:left w:val="none" w:sz="0" w:space="0" w:color="auto"/>
        <w:bottom w:val="none" w:sz="0" w:space="0" w:color="auto"/>
        <w:right w:val="none" w:sz="0" w:space="0" w:color="auto"/>
      </w:divBdr>
    </w:div>
    <w:div w:id="1214660370">
      <w:bodyDiv w:val="1"/>
      <w:marLeft w:val="0"/>
      <w:marRight w:val="0"/>
      <w:marTop w:val="0"/>
      <w:marBottom w:val="0"/>
      <w:divBdr>
        <w:top w:val="none" w:sz="0" w:space="0" w:color="auto"/>
        <w:left w:val="none" w:sz="0" w:space="0" w:color="auto"/>
        <w:bottom w:val="none" w:sz="0" w:space="0" w:color="auto"/>
        <w:right w:val="none" w:sz="0" w:space="0" w:color="auto"/>
      </w:divBdr>
      <w:divsChild>
        <w:div w:id="2115587479">
          <w:marLeft w:val="0"/>
          <w:marRight w:val="0"/>
          <w:marTop w:val="0"/>
          <w:marBottom w:val="0"/>
          <w:divBdr>
            <w:top w:val="none" w:sz="0" w:space="0" w:color="auto"/>
            <w:left w:val="single" w:sz="24" w:space="0" w:color="FFFFFF"/>
            <w:bottom w:val="none" w:sz="0" w:space="0" w:color="auto"/>
            <w:right w:val="single" w:sz="24" w:space="0" w:color="FFFFFF"/>
          </w:divBdr>
          <w:divsChild>
            <w:div w:id="350844496">
              <w:marLeft w:val="0"/>
              <w:marRight w:val="0"/>
              <w:marTop w:val="0"/>
              <w:marBottom w:val="0"/>
              <w:divBdr>
                <w:top w:val="none" w:sz="0" w:space="0" w:color="auto"/>
                <w:left w:val="none" w:sz="0" w:space="0" w:color="auto"/>
                <w:bottom w:val="none" w:sz="0" w:space="0" w:color="auto"/>
                <w:right w:val="none" w:sz="0" w:space="0" w:color="auto"/>
              </w:divBdr>
              <w:divsChild>
                <w:div w:id="1164778265">
                  <w:marLeft w:val="0"/>
                  <w:marRight w:val="0"/>
                  <w:marTop w:val="0"/>
                  <w:marBottom w:val="0"/>
                  <w:divBdr>
                    <w:top w:val="none" w:sz="0" w:space="0" w:color="auto"/>
                    <w:left w:val="none" w:sz="0" w:space="0" w:color="auto"/>
                    <w:bottom w:val="none" w:sz="0" w:space="0" w:color="auto"/>
                    <w:right w:val="none" w:sz="0" w:space="0" w:color="auto"/>
                  </w:divBdr>
                  <w:divsChild>
                    <w:div w:id="14581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6174">
      <w:bodyDiv w:val="1"/>
      <w:marLeft w:val="0"/>
      <w:marRight w:val="0"/>
      <w:marTop w:val="0"/>
      <w:marBottom w:val="0"/>
      <w:divBdr>
        <w:top w:val="none" w:sz="0" w:space="0" w:color="auto"/>
        <w:left w:val="none" w:sz="0" w:space="0" w:color="auto"/>
        <w:bottom w:val="none" w:sz="0" w:space="0" w:color="auto"/>
        <w:right w:val="none" w:sz="0" w:space="0" w:color="auto"/>
      </w:divBdr>
    </w:div>
    <w:div w:id="1284195790">
      <w:bodyDiv w:val="1"/>
      <w:marLeft w:val="0"/>
      <w:marRight w:val="0"/>
      <w:marTop w:val="0"/>
      <w:marBottom w:val="0"/>
      <w:divBdr>
        <w:top w:val="none" w:sz="0" w:space="0" w:color="auto"/>
        <w:left w:val="none" w:sz="0" w:space="0" w:color="auto"/>
        <w:bottom w:val="none" w:sz="0" w:space="0" w:color="auto"/>
        <w:right w:val="none" w:sz="0" w:space="0" w:color="auto"/>
      </w:divBdr>
    </w:div>
    <w:div w:id="1306163954">
      <w:bodyDiv w:val="1"/>
      <w:marLeft w:val="0"/>
      <w:marRight w:val="0"/>
      <w:marTop w:val="0"/>
      <w:marBottom w:val="0"/>
      <w:divBdr>
        <w:top w:val="none" w:sz="0" w:space="0" w:color="auto"/>
        <w:left w:val="none" w:sz="0" w:space="0" w:color="auto"/>
        <w:bottom w:val="none" w:sz="0" w:space="0" w:color="auto"/>
        <w:right w:val="none" w:sz="0" w:space="0" w:color="auto"/>
      </w:divBdr>
    </w:div>
    <w:div w:id="1320421357">
      <w:bodyDiv w:val="1"/>
      <w:marLeft w:val="0"/>
      <w:marRight w:val="0"/>
      <w:marTop w:val="0"/>
      <w:marBottom w:val="0"/>
      <w:divBdr>
        <w:top w:val="none" w:sz="0" w:space="0" w:color="auto"/>
        <w:left w:val="none" w:sz="0" w:space="0" w:color="auto"/>
        <w:bottom w:val="none" w:sz="0" w:space="0" w:color="auto"/>
        <w:right w:val="none" w:sz="0" w:space="0" w:color="auto"/>
      </w:divBdr>
    </w:div>
    <w:div w:id="1371954644">
      <w:bodyDiv w:val="1"/>
      <w:marLeft w:val="0"/>
      <w:marRight w:val="0"/>
      <w:marTop w:val="0"/>
      <w:marBottom w:val="0"/>
      <w:divBdr>
        <w:top w:val="none" w:sz="0" w:space="0" w:color="auto"/>
        <w:left w:val="none" w:sz="0" w:space="0" w:color="auto"/>
        <w:bottom w:val="none" w:sz="0" w:space="0" w:color="auto"/>
        <w:right w:val="none" w:sz="0" w:space="0" w:color="auto"/>
      </w:divBdr>
    </w:div>
    <w:div w:id="1431388884">
      <w:bodyDiv w:val="1"/>
      <w:marLeft w:val="0"/>
      <w:marRight w:val="0"/>
      <w:marTop w:val="0"/>
      <w:marBottom w:val="0"/>
      <w:divBdr>
        <w:top w:val="none" w:sz="0" w:space="0" w:color="auto"/>
        <w:left w:val="none" w:sz="0" w:space="0" w:color="auto"/>
        <w:bottom w:val="none" w:sz="0" w:space="0" w:color="auto"/>
        <w:right w:val="none" w:sz="0" w:space="0" w:color="auto"/>
      </w:divBdr>
    </w:div>
    <w:div w:id="1450663639">
      <w:bodyDiv w:val="1"/>
      <w:marLeft w:val="0"/>
      <w:marRight w:val="0"/>
      <w:marTop w:val="0"/>
      <w:marBottom w:val="0"/>
      <w:divBdr>
        <w:top w:val="none" w:sz="0" w:space="0" w:color="auto"/>
        <w:left w:val="none" w:sz="0" w:space="0" w:color="auto"/>
        <w:bottom w:val="none" w:sz="0" w:space="0" w:color="auto"/>
        <w:right w:val="none" w:sz="0" w:space="0" w:color="auto"/>
      </w:divBdr>
    </w:div>
    <w:div w:id="1458067721">
      <w:bodyDiv w:val="1"/>
      <w:marLeft w:val="0"/>
      <w:marRight w:val="0"/>
      <w:marTop w:val="0"/>
      <w:marBottom w:val="0"/>
      <w:divBdr>
        <w:top w:val="none" w:sz="0" w:space="0" w:color="auto"/>
        <w:left w:val="none" w:sz="0" w:space="0" w:color="auto"/>
        <w:bottom w:val="none" w:sz="0" w:space="0" w:color="auto"/>
        <w:right w:val="none" w:sz="0" w:space="0" w:color="auto"/>
      </w:divBdr>
      <w:divsChild>
        <w:div w:id="31612164">
          <w:marLeft w:val="2261"/>
          <w:marRight w:val="0"/>
          <w:marTop w:val="0"/>
          <w:marBottom w:val="120"/>
          <w:divBdr>
            <w:top w:val="none" w:sz="0" w:space="0" w:color="auto"/>
            <w:left w:val="none" w:sz="0" w:space="0" w:color="auto"/>
            <w:bottom w:val="none" w:sz="0" w:space="0" w:color="auto"/>
            <w:right w:val="none" w:sz="0" w:space="0" w:color="auto"/>
          </w:divBdr>
        </w:div>
        <w:div w:id="61946796">
          <w:marLeft w:val="2261"/>
          <w:marRight w:val="0"/>
          <w:marTop w:val="0"/>
          <w:marBottom w:val="120"/>
          <w:divBdr>
            <w:top w:val="none" w:sz="0" w:space="0" w:color="auto"/>
            <w:left w:val="none" w:sz="0" w:space="0" w:color="auto"/>
            <w:bottom w:val="none" w:sz="0" w:space="0" w:color="auto"/>
            <w:right w:val="none" w:sz="0" w:space="0" w:color="auto"/>
          </w:divBdr>
        </w:div>
        <w:div w:id="510606023">
          <w:marLeft w:val="2261"/>
          <w:marRight w:val="0"/>
          <w:marTop w:val="0"/>
          <w:marBottom w:val="120"/>
          <w:divBdr>
            <w:top w:val="none" w:sz="0" w:space="0" w:color="auto"/>
            <w:left w:val="none" w:sz="0" w:space="0" w:color="auto"/>
            <w:bottom w:val="none" w:sz="0" w:space="0" w:color="auto"/>
            <w:right w:val="none" w:sz="0" w:space="0" w:color="auto"/>
          </w:divBdr>
        </w:div>
        <w:div w:id="546533241">
          <w:marLeft w:val="2261"/>
          <w:marRight w:val="0"/>
          <w:marTop w:val="0"/>
          <w:marBottom w:val="120"/>
          <w:divBdr>
            <w:top w:val="none" w:sz="0" w:space="0" w:color="auto"/>
            <w:left w:val="none" w:sz="0" w:space="0" w:color="auto"/>
            <w:bottom w:val="none" w:sz="0" w:space="0" w:color="auto"/>
            <w:right w:val="none" w:sz="0" w:space="0" w:color="auto"/>
          </w:divBdr>
        </w:div>
        <w:div w:id="601961455">
          <w:marLeft w:val="1195"/>
          <w:marRight w:val="0"/>
          <w:marTop w:val="0"/>
          <w:marBottom w:val="120"/>
          <w:divBdr>
            <w:top w:val="none" w:sz="0" w:space="0" w:color="auto"/>
            <w:left w:val="none" w:sz="0" w:space="0" w:color="auto"/>
            <w:bottom w:val="none" w:sz="0" w:space="0" w:color="auto"/>
            <w:right w:val="none" w:sz="0" w:space="0" w:color="auto"/>
          </w:divBdr>
        </w:div>
        <w:div w:id="807288348">
          <w:marLeft w:val="2261"/>
          <w:marRight w:val="0"/>
          <w:marTop w:val="0"/>
          <w:marBottom w:val="120"/>
          <w:divBdr>
            <w:top w:val="none" w:sz="0" w:space="0" w:color="auto"/>
            <w:left w:val="none" w:sz="0" w:space="0" w:color="auto"/>
            <w:bottom w:val="none" w:sz="0" w:space="0" w:color="auto"/>
            <w:right w:val="none" w:sz="0" w:space="0" w:color="auto"/>
          </w:divBdr>
        </w:div>
        <w:div w:id="863326715">
          <w:marLeft w:val="2261"/>
          <w:marRight w:val="0"/>
          <w:marTop w:val="0"/>
          <w:marBottom w:val="120"/>
          <w:divBdr>
            <w:top w:val="none" w:sz="0" w:space="0" w:color="auto"/>
            <w:left w:val="none" w:sz="0" w:space="0" w:color="auto"/>
            <w:bottom w:val="none" w:sz="0" w:space="0" w:color="auto"/>
            <w:right w:val="none" w:sz="0" w:space="0" w:color="auto"/>
          </w:divBdr>
        </w:div>
        <w:div w:id="972826549">
          <w:marLeft w:val="1166"/>
          <w:marRight w:val="0"/>
          <w:marTop w:val="0"/>
          <w:marBottom w:val="120"/>
          <w:divBdr>
            <w:top w:val="none" w:sz="0" w:space="0" w:color="auto"/>
            <w:left w:val="none" w:sz="0" w:space="0" w:color="auto"/>
            <w:bottom w:val="none" w:sz="0" w:space="0" w:color="auto"/>
            <w:right w:val="none" w:sz="0" w:space="0" w:color="auto"/>
          </w:divBdr>
        </w:div>
        <w:div w:id="1168248050">
          <w:marLeft w:val="2261"/>
          <w:marRight w:val="0"/>
          <w:marTop w:val="0"/>
          <w:marBottom w:val="120"/>
          <w:divBdr>
            <w:top w:val="none" w:sz="0" w:space="0" w:color="auto"/>
            <w:left w:val="none" w:sz="0" w:space="0" w:color="auto"/>
            <w:bottom w:val="none" w:sz="0" w:space="0" w:color="auto"/>
            <w:right w:val="none" w:sz="0" w:space="0" w:color="auto"/>
          </w:divBdr>
        </w:div>
        <w:div w:id="1244800753">
          <w:marLeft w:val="2261"/>
          <w:marRight w:val="0"/>
          <w:marTop w:val="0"/>
          <w:marBottom w:val="120"/>
          <w:divBdr>
            <w:top w:val="none" w:sz="0" w:space="0" w:color="auto"/>
            <w:left w:val="none" w:sz="0" w:space="0" w:color="auto"/>
            <w:bottom w:val="none" w:sz="0" w:space="0" w:color="auto"/>
            <w:right w:val="none" w:sz="0" w:space="0" w:color="auto"/>
          </w:divBdr>
        </w:div>
        <w:div w:id="1767847728">
          <w:marLeft w:val="1195"/>
          <w:marRight w:val="0"/>
          <w:marTop w:val="0"/>
          <w:marBottom w:val="120"/>
          <w:divBdr>
            <w:top w:val="none" w:sz="0" w:space="0" w:color="auto"/>
            <w:left w:val="none" w:sz="0" w:space="0" w:color="auto"/>
            <w:bottom w:val="none" w:sz="0" w:space="0" w:color="auto"/>
            <w:right w:val="none" w:sz="0" w:space="0" w:color="auto"/>
          </w:divBdr>
        </w:div>
      </w:divsChild>
    </w:div>
    <w:div w:id="1461877691">
      <w:bodyDiv w:val="1"/>
      <w:marLeft w:val="0"/>
      <w:marRight w:val="0"/>
      <w:marTop w:val="0"/>
      <w:marBottom w:val="0"/>
      <w:divBdr>
        <w:top w:val="none" w:sz="0" w:space="0" w:color="auto"/>
        <w:left w:val="none" w:sz="0" w:space="0" w:color="auto"/>
        <w:bottom w:val="none" w:sz="0" w:space="0" w:color="auto"/>
        <w:right w:val="none" w:sz="0" w:space="0" w:color="auto"/>
      </w:divBdr>
    </w:div>
    <w:div w:id="1508867195">
      <w:bodyDiv w:val="1"/>
      <w:marLeft w:val="0"/>
      <w:marRight w:val="0"/>
      <w:marTop w:val="0"/>
      <w:marBottom w:val="0"/>
      <w:divBdr>
        <w:top w:val="none" w:sz="0" w:space="0" w:color="auto"/>
        <w:left w:val="none" w:sz="0" w:space="0" w:color="auto"/>
        <w:bottom w:val="none" w:sz="0" w:space="0" w:color="auto"/>
        <w:right w:val="none" w:sz="0" w:space="0" w:color="auto"/>
      </w:divBdr>
    </w:div>
    <w:div w:id="1523326377">
      <w:bodyDiv w:val="1"/>
      <w:marLeft w:val="0"/>
      <w:marRight w:val="0"/>
      <w:marTop w:val="0"/>
      <w:marBottom w:val="0"/>
      <w:divBdr>
        <w:top w:val="none" w:sz="0" w:space="0" w:color="auto"/>
        <w:left w:val="none" w:sz="0" w:space="0" w:color="auto"/>
        <w:bottom w:val="none" w:sz="0" w:space="0" w:color="auto"/>
        <w:right w:val="none" w:sz="0" w:space="0" w:color="auto"/>
      </w:divBdr>
      <w:divsChild>
        <w:div w:id="128935599">
          <w:marLeft w:val="1080"/>
          <w:marRight w:val="0"/>
          <w:marTop w:val="77"/>
          <w:marBottom w:val="120"/>
          <w:divBdr>
            <w:top w:val="none" w:sz="0" w:space="0" w:color="auto"/>
            <w:left w:val="none" w:sz="0" w:space="0" w:color="auto"/>
            <w:bottom w:val="none" w:sz="0" w:space="0" w:color="auto"/>
            <w:right w:val="none" w:sz="0" w:space="0" w:color="auto"/>
          </w:divBdr>
        </w:div>
        <w:div w:id="1216967177">
          <w:marLeft w:val="965"/>
          <w:marRight w:val="0"/>
          <w:marTop w:val="77"/>
          <w:marBottom w:val="120"/>
          <w:divBdr>
            <w:top w:val="none" w:sz="0" w:space="0" w:color="auto"/>
            <w:left w:val="none" w:sz="0" w:space="0" w:color="auto"/>
            <w:bottom w:val="none" w:sz="0" w:space="0" w:color="auto"/>
            <w:right w:val="none" w:sz="0" w:space="0" w:color="auto"/>
          </w:divBdr>
        </w:div>
        <w:div w:id="1229535951">
          <w:marLeft w:val="562"/>
          <w:marRight w:val="0"/>
          <w:marTop w:val="77"/>
          <w:marBottom w:val="120"/>
          <w:divBdr>
            <w:top w:val="none" w:sz="0" w:space="0" w:color="auto"/>
            <w:left w:val="none" w:sz="0" w:space="0" w:color="auto"/>
            <w:bottom w:val="none" w:sz="0" w:space="0" w:color="auto"/>
            <w:right w:val="none" w:sz="0" w:space="0" w:color="auto"/>
          </w:divBdr>
        </w:div>
        <w:div w:id="1519543239">
          <w:marLeft w:val="562"/>
          <w:marRight w:val="0"/>
          <w:marTop w:val="77"/>
          <w:marBottom w:val="120"/>
          <w:divBdr>
            <w:top w:val="none" w:sz="0" w:space="0" w:color="auto"/>
            <w:left w:val="none" w:sz="0" w:space="0" w:color="auto"/>
            <w:bottom w:val="none" w:sz="0" w:space="0" w:color="auto"/>
            <w:right w:val="none" w:sz="0" w:space="0" w:color="auto"/>
          </w:divBdr>
        </w:div>
      </w:divsChild>
    </w:div>
    <w:div w:id="1592542310">
      <w:bodyDiv w:val="1"/>
      <w:marLeft w:val="0"/>
      <w:marRight w:val="0"/>
      <w:marTop w:val="0"/>
      <w:marBottom w:val="0"/>
      <w:divBdr>
        <w:top w:val="none" w:sz="0" w:space="0" w:color="auto"/>
        <w:left w:val="none" w:sz="0" w:space="0" w:color="auto"/>
        <w:bottom w:val="none" w:sz="0" w:space="0" w:color="auto"/>
        <w:right w:val="none" w:sz="0" w:space="0" w:color="auto"/>
      </w:divBdr>
    </w:div>
    <w:div w:id="1596330478">
      <w:bodyDiv w:val="1"/>
      <w:marLeft w:val="0"/>
      <w:marRight w:val="0"/>
      <w:marTop w:val="0"/>
      <w:marBottom w:val="0"/>
      <w:divBdr>
        <w:top w:val="none" w:sz="0" w:space="0" w:color="auto"/>
        <w:left w:val="none" w:sz="0" w:space="0" w:color="auto"/>
        <w:bottom w:val="none" w:sz="0" w:space="0" w:color="auto"/>
        <w:right w:val="none" w:sz="0" w:space="0" w:color="auto"/>
      </w:divBdr>
    </w:div>
    <w:div w:id="1618637417">
      <w:bodyDiv w:val="1"/>
      <w:marLeft w:val="0"/>
      <w:marRight w:val="0"/>
      <w:marTop w:val="0"/>
      <w:marBottom w:val="0"/>
      <w:divBdr>
        <w:top w:val="none" w:sz="0" w:space="0" w:color="auto"/>
        <w:left w:val="none" w:sz="0" w:space="0" w:color="auto"/>
        <w:bottom w:val="none" w:sz="0" w:space="0" w:color="auto"/>
        <w:right w:val="none" w:sz="0" w:space="0" w:color="auto"/>
      </w:divBdr>
    </w:div>
    <w:div w:id="1633441463">
      <w:bodyDiv w:val="1"/>
      <w:marLeft w:val="0"/>
      <w:marRight w:val="0"/>
      <w:marTop w:val="0"/>
      <w:marBottom w:val="0"/>
      <w:divBdr>
        <w:top w:val="none" w:sz="0" w:space="0" w:color="auto"/>
        <w:left w:val="none" w:sz="0" w:space="0" w:color="auto"/>
        <w:bottom w:val="none" w:sz="0" w:space="0" w:color="auto"/>
        <w:right w:val="none" w:sz="0" w:space="0" w:color="auto"/>
      </w:divBdr>
    </w:div>
    <w:div w:id="1649480290">
      <w:bodyDiv w:val="1"/>
      <w:marLeft w:val="0"/>
      <w:marRight w:val="0"/>
      <w:marTop w:val="0"/>
      <w:marBottom w:val="0"/>
      <w:divBdr>
        <w:top w:val="none" w:sz="0" w:space="0" w:color="auto"/>
        <w:left w:val="none" w:sz="0" w:space="0" w:color="auto"/>
        <w:bottom w:val="none" w:sz="0" w:space="0" w:color="auto"/>
        <w:right w:val="none" w:sz="0" w:space="0" w:color="auto"/>
      </w:divBdr>
    </w:div>
    <w:div w:id="1676029974">
      <w:bodyDiv w:val="1"/>
      <w:marLeft w:val="0"/>
      <w:marRight w:val="0"/>
      <w:marTop w:val="0"/>
      <w:marBottom w:val="0"/>
      <w:divBdr>
        <w:top w:val="none" w:sz="0" w:space="0" w:color="auto"/>
        <w:left w:val="none" w:sz="0" w:space="0" w:color="auto"/>
        <w:bottom w:val="none" w:sz="0" w:space="0" w:color="auto"/>
        <w:right w:val="none" w:sz="0" w:space="0" w:color="auto"/>
      </w:divBdr>
    </w:div>
    <w:div w:id="1711689371">
      <w:bodyDiv w:val="1"/>
      <w:marLeft w:val="0"/>
      <w:marRight w:val="0"/>
      <w:marTop w:val="0"/>
      <w:marBottom w:val="0"/>
      <w:divBdr>
        <w:top w:val="none" w:sz="0" w:space="0" w:color="auto"/>
        <w:left w:val="none" w:sz="0" w:space="0" w:color="auto"/>
        <w:bottom w:val="none" w:sz="0" w:space="0" w:color="auto"/>
        <w:right w:val="none" w:sz="0" w:space="0" w:color="auto"/>
      </w:divBdr>
    </w:div>
    <w:div w:id="1725637011">
      <w:bodyDiv w:val="1"/>
      <w:marLeft w:val="0"/>
      <w:marRight w:val="0"/>
      <w:marTop w:val="0"/>
      <w:marBottom w:val="0"/>
      <w:divBdr>
        <w:top w:val="none" w:sz="0" w:space="0" w:color="auto"/>
        <w:left w:val="none" w:sz="0" w:space="0" w:color="auto"/>
        <w:bottom w:val="none" w:sz="0" w:space="0" w:color="auto"/>
        <w:right w:val="none" w:sz="0" w:space="0" w:color="auto"/>
      </w:divBdr>
    </w:div>
    <w:div w:id="1727606290">
      <w:bodyDiv w:val="1"/>
      <w:marLeft w:val="0"/>
      <w:marRight w:val="0"/>
      <w:marTop w:val="0"/>
      <w:marBottom w:val="0"/>
      <w:divBdr>
        <w:top w:val="none" w:sz="0" w:space="0" w:color="auto"/>
        <w:left w:val="none" w:sz="0" w:space="0" w:color="auto"/>
        <w:bottom w:val="none" w:sz="0" w:space="0" w:color="auto"/>
        <w:right w:val="none" w:sz="0" w:space="0" w:color="auto"/>
      </w:divBdr>
    </w:div>
    <w:div w:id="1755468816">
      <w:bodyDiv w:val="1"/>
      <w:marLeft w:val="0"/>
      <w:marRight w:val="0"/>
      <w:marTop w:val="0"/>
      <w:marBottom w:val="0"/>
      <w:divBdr>
        <w:top w:val="none" w:sz="0" w:space="0" w:color="auto"/>
        <w:left w:val="none" w:sz="0" w:space="0" w:color="auto"/>
        <w:bottom w:val="none" w:sz="0" w:space="0" w:color="auto"/>
        <w:right w:val="none" w:sz="0" w:space="0" w:color="auto"/>
      </w:divBdr>
    </w:div>
    <w:div w:id="1789005425">
      <w:bodyDiv w:val="1"/>
      <w:marLeft w:val="0"/>
      <w:marRight w:val="0"/>
      <w:marTop w:val="0"/>
      <w:marBottom w:val="0"/>
      <w:divBdr>
        <w:top w:val="none" w:sz="0" w:space="0" w:color="auto"/>
        <w:left w:val="none" w:sz="0" w:space="0" w:color="auto"/>
        <w:bottom w:val="none" w:sz="0" w:space="0" w:color="auto"/>
        <w:right w:val="none" w:sz="0" w:space="0" w:color="auto"/>
      </w:divBdr>
    </w:div>
    <w:div w:id="1796094503">
      <w:bodyDiv w:val="1"/>
      <w:marLeft w:val="0"/>
      <w:marRight w:val="0"/>
      <w:marTop w:val="0"/>
      <w:marBottom w:val="0"/>
      <w:divBdr>
        <w:top w:val="none" w:sz="0" w:space="0" w:color="auto"/>
        <w:left w:val="none" w:sz="0" w:space="0" w:color="auto"/>
        <w:bottom w:val="none" w:sz="0" w:space="0" w:color="auto"/>
        <w:right w:val="none" w:sz="0" w:space="0" w:color="auto"/>
      </w:divBdr>
    </w:div>
    <w:div w:id="1817531369">
      <w:bodyDiv w:val="1"/>
      <w:marLeft w:val="0"/>
      <w:marRight w:val="0"/>
      <w:marTop w:val="0"/>
      <w:marBottom w:val="0"/>
      <w:divBdr>
        <w:top w:val="none" w:sz="0" w:space="0" w:color="auto"/>
        <w:left w:val="none" w:sz="0" w:space="0" w:color="auto"/>
        <w:bottom w:val="none" w:sz="0" w:space="0" w:color="auto"/>
        <w:right w:val="none" w:sz="0" w:space="0" w:color="auto"/>
      </w:divBdr>
    </w:div>
    <w:div w:id="1859738365">
      <w:bodyDiv w:val="1"/>
      <w:marLeft w:val="0"/>
      <w:marRight w:val="0"/>
      <w:marTop w:val="0"/>
      <w:marBottom w:val="0"/>
      <w:divBdr>
        <w:top w:val="none" w:sz="0" w:space="0" w:color="auto"/>
        <w:left w:val="none" w:sz="0" w:space="0" w:color="auto"/>
        <w:bottom w:val="none" w:sz="0" w:space="0" w:color="auto"/>
        <w:right w:val="none" w:sz="0" w:space="0" w:color="auto"/>
      </w:divBdr>
    </w:div>
    <w:div w:id="1876309185">
      <w:bodyDiv w:val="1"/>
      <w:marLeft w:val="0"/>
      <w:marRight w:val="0"/>
      <w:marTop w:val="0"/>
      <w:marBottom w:val="0"/>
      <w:divBdr>
        <w:top w:val="none" w:sz="0" w:space="0" w:color="auto"/>
        <w:left w:val="none" w:sz="0" w:space="0" w:color="auto"/>
        <w:bottom w:val="none" w:sz="0" w:space="0" w:color="auto"/>
        <w:right w:val="none" w:sz="0" w:space="0" w:color="auto"/>
      </w:divBdr>
    </w:div>
    <w:div w:id="1881476421">
      <w:bodyDiv w:val="1"/>
      <w:marLeft w:val="0"/>
      <w:marRight w:val="0"/>
      <w:marTop w:val="0"/>
      <w:marBottom w:val="0"/>
      <w:divBdr>
        <w:top w:val="none" w:sz="0" w:space="0" w:color="auto"/>
        <w:left w:val="none" w:sz="0" w:space="0" w:color="auto"/>
        <w:bottom w:val="none" w:sz="0" w:space="0" w:color="auto"/>
        <w:right w:val="none" w:sz="0" w:space="0" w:color="auto"/>
      </w:divBdr>
    </w:div>
    <w:div w:id="1892691129">
      <w:bodyDiv w:val="1"/>
      <w:marLeft w:val="0"/>
      <w:marRight w:val="0"/>
      <w:marTop w:val="0"/>
      <w:marBottom w:val="0"/>
      <w:divBdr>
        <w:top w:val="none" w:sz="0" w:space="0" w:color="auto"/>
        <w:left w:val="none" w:sz="0" w:space="0" w:color="auto"/>
        <w:bottom w:val="none" w:sz="0" w:space="0" w:color="auto"/>
        <w:right w:val="none" w:sz="0" w:space="0" w:color="auto"/>
      </w:divBdr>
    </w:div>
    <w:div w:id="1975212706">
      <w:bodyDiv w:val="1"/>
      <w:marLeft w:val="0"/>
      <w:marRight w:val="0"/>
      <w:marTop w:val="0"/>
      <w:marBottom w:val="0"/>
      <w:divBdr>
        <w:top w:val="none" w:sz="0" w:space="0" w:color="auto"/>
        <w:left w:val="none" w:sz="0" w:space="0" w:color="auto"/>
        <w:bottom w:val="none" w:sz="0" w:space="0" w:color="auto"/>
        <w:right w:val="none" w:sz="0" w:space="0" w:color="auto"/>
      </w:divBdr>
    </w:div>
    <w:div w:id="1999571660">
      <w:bodyDiv w:val="1"/>
      <w:marLeft w:val="0"/>
      <w:marRight w:val="0"/>
      <w:marTop w:val="0"/>
      <w:marBottom w:val="0"/>
      <w:divBdr>
        <w:top w:val="none" w:sz="0" w:space="0" w:color="auto"/>
        <w:left w:val="none" w:sz="0" w:space="0" w:color="auto"/>
        <w:bottom w:val="none" w:sz="0" w:space="0" w:color="auto"/>
        <w:right w:val="none" w:sz="0" w:space="0" w:color="auto"/>
      </w:divBdr>
      <w:divsChild>
        <w:div w:id="81685245">
          <w:marLeft w:val="562"/>
          <w:marRight w:val="0"/>
          <w:marTop w:val="91"/>
          <w:marBottom w:val="0"/>
          <w:divBdr>
            <w:top w:val="none" w:sz="0" w:space="0" w:color="auto"/>
            <w:left w:val="none" w:sz="0" w:space="0" w:color="auto"/>
            <w:bottom w:val="none" w:sz="0" w:space="0" w:color="auto"/>
            <w:right w:val="none" w:sz="0" w:space="0" w:color="auto"/>
          </w:divBdr>
        </w:div>
        <w:div w:id="231744886">
          <w:marLeft w:val="2822"/>
          <w:marRight w:val="0"/>
          <w:marTop w:val="91"/>
          <w:marBottom w:val="0"/>
          <w:divBdr>
            <w:top w:val="none" w:sz="0" w:space="0" w:color="auto"/>
            <w:left w:val="none" w:sz="0" w:space="0" w:color="auto"/>
            <w:bottom w:val="none" w:sz="0" w:space="0" w:color="auto"/>
            <w:right w:val="none" w:sz="0" w:space="0" w:color="auto"/>
          </w:divBdr>
        </w:div>
        <w:div w:id="485827489">
          <w:marLeft w:val="2822"/>
          <w:marRight w:val="0"/>
          <w:marTop w:val="91"/>
          <w:marBottom w:val="0"/>
          <w:divBdr>
            <w:top w:val="none" w:sz="0" w:space="0" w:color="auto"/>
            <w:left w:val="none" w:sz="0" w:space="0" w:color="auto"/>
            <w:bottom w:val="none" w:sz="0" w:space="0" w:color="auto"/>
            <w:right w:val="none" w:sz="0" w:space="0" w:color="auto"/>
          </w:divBdr>
        </w:div>
        <w:div w:id="678041625">
          <w:marLeft w:val="562"/>
          <w:marRight w:val="0"/>
          <w:marTop w:val="91"/>
          <w:marBottom w:val="0"/>
          <w:divBdr>
            <w:top w:val="none" w:sz="0" w:space="0" w:color="auto"/>
            <w:left w:val="none" w:sz="0" w:space="0" w:color="auto"/>
            <w:bottom w:val="none" w:sz="0" w:space="0" w:color="auto"/>
            <w:right w:val="none" w:sz="0" w:space="0" w:color="auto"/>
          </w:divBdr>
        </w:div>
        <w:div w:id="831799393">
          <w:marLeft w:val="562"/>
          <w:marRight w:val="0"/>
          <w:marTop w:val="91"/>
          <w:marBottom w:val="0"/>
          <w:divBdr>
            <w:top w:val="none" w:sz="0" w:space="0" w:color="auto"/>
            <w:left w:val="none" w:sz="0" w:space="0" w:color="auto"/>
            <w:bottom w:val="none" w:sz="0" w:space="0" w:color="auto"/>
            <w:right w:val="none" w:sz="0" w:space="0" w:color="auto"/>
          </w:divBdr>
        </w:div>
        <w:div w:id="1064176988">
          <w:marLeft w:val="562"/>
          <w:marRight w:val="0"/>
          <w:marTop w:val="91"/>
          <w:marBottom w:val="0"/>
          <w:divBdr>
            <w:top w:val="none" w:sz="0" w:space="0" w:color="auto"/>
            <w:left w:val="none" w:sz="0" w:space="0" w:color="auto"/>
            <w:bottom w:val="none" w:sz="0" w:space="0" w:color="auto"/>
            <w:right w:val="none" w:sz="0" w:space="0" w:color="auto"/>
          </w:divBdr>
        </w:div>
        <w:div w:id="1241330548">
          <w:marLeft w:val="2822"/>
          <w:marRight w:val="0"/>
          <w:marTop w:val="91"/>
          <w:marBottom w:val="0"/>
          <w:divBdr>
            <w:top w:val="none" w:sz="0" w:space="0" w:color="auto"/>
            <w:left w:val="none" w:sz="0" w:space="0" w:color="auto"/>
            <w:bottom w:val="none" w:sz="0" w:space="0" w:color="auto"/>
            <w:right w:val="none" w:sz="0" w:space="0" w:color="auto"/>
          </w:divBdr>
        </w:div>
        <w:div w:id="2034570952">
          <w:marLeft w:val="562"/>
          <w:marRight w:val="0"/>
          <w:marTop w:val="91"/>
          <w:marBottom w:val="0"/>
          <w:divBdr>
            <w:top w:val="none" w:sz="0" w:space="0" w:color="auto"/>
            <w:left w:val="none" w:sz="0" w:space="0" w:color="auto"/>
            <w:bottom w:val="none" w:sz="0" w:space="0" w:color="auto"/>
            <w:right w:val="none" w:sz="0" w:space="0" w:color="auto"/>
          </w:divBdr>
        </w:div>
      </w:divsChild>
    </w:div>
    <w:div w:id="2020541995">
      <w:bodyDiv w:val="1"/>
      <w:marLeft w:val="0"/>
      <w:marRight w:val="0"/>
      <w:marTop w:val="0"/>
      <w:marBottom w:val="0"/>
      <w:divBdr>
        <w:top w:val="none" w:sz="0" w:space="0" w:color="auto"/>
        <w:left w:val="none" w:sz="0" w:space="0" w:color="auto"/>
        <w:bottom w:val="none" w:sz="0" w:space="0" w:color="auto"/>
        <w:right w:val="none" w:sz="0" w:space="0" w:color="auto"/>
      </w:divBdr>
    </w:div>
    <w:div w:id="2132818399">
      <w:bodyDiv w:val="1"/>
      <w:marLeft w:val="0"/>
      <w:marRight w:val="0"/>
      <w:marTop w:val="0"/>
      <w:marBottom w:val="0"/>
      <w:divBdr>
        <w:top w:val="none" w:sz="0" w:space="0" w:color="auto"/>
        <w:left w:val="none" w:sz="0" w:space="0" w:color="auto"/>
        <w:bottom w:val="none" w:sz="0" w:space="0" w:color="auto"/>
        <w:right w:val="none" w:sz="0" w:space="0" w:color="auto"/>
      </w:divBdr>
      <w:divsChild>
        <w:div w:id="569736426">
          <w:marLeft w:val="1987"/>
          <w:marRight w:val="0"/>
          <w:marTop w:val="228"/>
          <w:marBottom w:val="0"/>
          <w:divBdr>
            <w:top w:val="none" w:sz="0" w:space="0" w:color="auto"/>
            <w:left w:val="none" w:sz="0" w:space="0" w:color="auto"/>
            <w:bottom w:val="none" w:sz="0" w:space="0" w:color="auto"/>
            <w:right w:val="none" w:sz="0" w:space="0" w:color="auto"/>
          </w:divBdr>
        </w:div>
        <w:div w:id="583880020">
          <w:marLeft w:val="1987"/>
          <w:marRight w:val="0"/>
          <w:marTop w:val="228"/>
          <w:marBottom w:val="0"/>
          <w:divBdr>
            <w:top w:val="none" w:sz="0" w:space="0" w:color="auto"/>
            <w:left w:val="none" w:sz="0" w:space="0" w:color="auto"/>
            <w:bottom w:val="none" w:sz="0" w:space="0" w:color="auto"/>
            <w:right w:val="none" w:sz="0" w:space="0" w:color="auto"/>
          </w:divBdr>
        </w:div>
        <w:div w:id="1471560481">
          <w:marLeft w:val="1987"/>
          <w:marRight w:val="0"/>
          <w:marTop w:val="228"/>
          <w:marBottom w:val="0"/>
          <w:divBdr>
            <w:top w:val="none" w:sz="0" w:space="0" w:color="auto"/>
            <w:left w:val="none" w:sz="0" w:space="0" w:color="auto"/>
            <w:bottom w:val="none" w:sz="0" w:space="0" w:color="auto"/>
            <w:right w:val="none" w:sz="0" w:space="0" w:color="auto"/>
          </w:divBdr>
        </w:div>
        <w:div w:id="1779831768">
          <w:marLeft w:val="1987"/>
          <w:marRight w:val="0"/>
          <w:marTop w:val="228"/>
          <w:marBottom w:val="0"/>
          <w:divBdr>
            <w:top w:val="none" w:sz="0" w:space="0" w:color="auto"/>
            <w:left w:val="none" w:sz="0" w:space="0" w:color="auto"/>
            <w:bottom w:val="none" w:sz="0" w:space="0" w:color="auto"/>
            <w:right w:val="none" w:sz="0" w:space="0" w:color="auto"/>
          </w:divBdr>
        </w:div>
        <w:div w:id="2120250191">
          <w:marLeft w:val="1987"/>
          <w:marRight w:val="0"/>
          <w:marTop w:val="22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po.cz/assets/cz/e-komunikace-a-posta/Internet/2013/4/Digi_esko_v.2.0.pdf" TargetMode="External"/><Relationship Id="rId21" Type="http://schemas.openxmlformats.org/officeDocument/2006/relationships/header" Target="header3.xml"/><Relationship Id="rId42" Type="http://schemas.openxmlformats.org/officeDocument/2006/relationships/footer" Target="footer13.xml"/><Relationship Id="rId63" Type="http://schemas.openxmlformats.org/officeDocument/2006/relationships/hyperlink" Target="http://www.strukturalni-fondy.cz/cs/Fondy-EU/2014-2020/Metodicke-pokyny/Metodika-rozvoje-lidskych-zdroju" TargetMode="External"/><Relationship Id="rId84" Type="http://schemas.openxmlformats.org/officeDocument/2006/relationships/hyperlink" Target="http://www.mfcr.cz/cs/legislativa/metodiky/2014/metodika-financnich-toku-a-kontroly-prog-17121" TargetMode="External"/><Relationship Id="rId138" Type="http://schemas.openxmlformats.org/officeDocument/2006/relationships/hyperlink" Target="http://www.sbirka.cz/POSL4TYD/NOVE/13-304.htm" TargetMode="External"/><Relationship Id="rId159" Type="http://schemas.openxmlformats.org/officeDocument/2006/relationships/hyperlink" Target="http://portal.gov.cz/app/zakony/zakonPar.jsp?idBiblio=49962&amp;fulltext=&amp;nr=458~2F2000&amp;part=&amp;name=&amp;rpp=15" TargetMode="External"/><Relationship Id="rId170" Type="http://schemas.openxmlformats.org/officeDocument/2006/relationships/footer" Target="footer20.xml"/><Relationship Id="rId191" Type="http://schemas.openxmlformats.org/officeDocument/2006/relationships/hyperlink" Target="http://www.amsp.cz/" TargetMode="External"/><Relationship Id="rId205" Type="http://schemas.openxmlformats.org/officeDocument/2006/relationships/hyperlink" Target="http://www.spcr.cz/" TargetMode="External"/><Relationship Id="rId226" Type="http://schemas.openxmlformats.org/officeDocument/2006/relationships/hyperlink" Target="http://www.socr.cz/" TargetMode="External"/><Relationship Id="rId247" Type="http://schemas.openxmlformats.org/officeDocument/2006/relationships/hyperlink" Target="http://nsmascr.cz/o-nas/mistni-akncni-skupiny/" TargetMode="External"/><Relationship Id="rId107" Type="http://schemas.openxmlformats.org/officeDocument/2006/relationships/hyperlink" Target="http://www.s-f.cz/cs/Fondy-EU/2014-2020/Metodicke-pokyny" TargetMode="External"/><Relationship Id="rId268" Type="http://schemas.openxmlformats.org/officeDocument/2006/relationships/hyperlink" Target="http://www.mmr.cz/cs/Uvodni-strana" TargetMode="External"/><Relationship Id="rId11" Type="http://schemas.openxmlformats.org/officeDocument/2006/relationships/footer" Target="footer2.xml"/><Relationship Id="rId32" Type="http://schemas.openxmlformats.org/officeDocument/2006/relationships/footer" Target="footer8.xml"/><Relationship Id="rId53" Type="http://schemas.openxmlformats.org/officeDocument/2006/relationships/hyperlink" Target="http://www.mpo.cz/cz/podpora-podnikani/oppik/" TargetMode="External"/><Relationship Id="rId74" Type="http://schemas.openxmlformats.org/officeDocument/2006/relationships/hyperlink" Target="http://mmr.cz/cs/Ministerstvo/Ministerstvo/Pro-media/Tiskove-zpravy/2014/Zakon-o-verejnych-zakazkach-pripravuje-siroke-kole" TargetMode="External"/><Relationship Id="rId128" Type="http://schemas.openxmlformats.org/officeDocument/2006/relationships/hyperlink" Target="http://www.mpo.cz/dokument83642.html" TargetMode="External"/><Relationship Id="rId149" Type="http://schemas.openxmlformats.org/officeDocument/2006/relationships/hyperlink" Target="http://portal.gov.cz/app/zakony/zakonPar.jsp?idBiblio=49857&amp;fulltext=&amp;nr=406~2F2000&amp;part=&amp;name=&amp;rpp=15" TargetMode="External"/><Relationship Id="rId5" Type="http://schemas.openxmlformats.org/officeDocument/2006/relationships/webSettings" Target="webSettings.xml"/><Relationship Id="rId95" Type="http://schemas.openxmlformats.org/officeDocument/2006/relationships/hyperlink" Target="http://www.strukturalni-fondy.cz" TargetMode="External"/><Relationship Id="rId160" Type="http://schemas.openxmlformats.org/officeDocument/2006/relationships/hyperlink" Target="http://www.vlada.cz/assets/media-centrum/aktualne/Strategie-mezinarodni-konkurenceschopnosti-Ceske-republiky.pdf" TargetMode="External"/><Relationship Id="rId181" Type="http://schemas.openxmlformats.org/officeDocument/2006/relationships/hyperlink" Target="http://tacr.cz/" TargetMode="External"/><Relationship Id="rId216" Type="http://schemas.openxmlformats.org/officeDocument/2006/relationships/hyperlink" Target="http://www.praha.eu/jnp/cz/home/index.html" TargetMode="External"/><Relationship Id="rId237" Type="http://schemas.openxmlformats.org/officeDocument/2006/relationships/hyperlink" Target="http://www.agrocr.cz/" TargetMode="External"/><Relationship Id="rId258" Type="http://schemas.openxmlformats.org/officeDocument/2006/relationships/hyperlink" Target="http://www.asociacenno.cz/" TargetMode="External"/><Relationship Id="rId22" Type="http://schemas.openxmlformats.org/officeDocument/2006/relationships/footer" Target="footer3.xml"/><Relationship Id="rId43" Type="http://schemas.openxmlformats.org/officeDocument/2006/relationships/header" Target="header14.xml"/><Relationship Id="rId64" Type="http://schemas.openxmlformats.org/officeDocument/2006/relationships/hyperlink" Target="http://www.vlada.cz/cz/ppov/vvzpo/dokumenty/narodni-plan-vytvareni-rovnych-prilezitosti-pro-osoby-se-zdravotnim-postizenim-na-obdobi-2010---2014-70026/" TargetMode="External"/><Relationship Id="rId118" Type="http://schemas.openxmlformats.org/officeDocument/2006/relationships/hyperlink" Target="http://www.mpo.cz/dokument119071.html" TargetMode="External"/><Relationship Id="rId139" Type="http://schemas.openxmlformats.org/officeDocument/2006/relationships/hyperlink" Target="http://www.mpo.cz/dokument144140.html" TargetMode="External"/><Relationship Id="rId85" Type="http://schemas.openxmlformats.org/officeDocument/2006/relationships/hyperlink" Target="http://www.uohs.cz/cs/verejna-podpora/manualy-metodiky-a-dalsi-dokumenty.html" TargetMode="External"/><Relationship Id="rId150" Type="http://schemas.openxmlformats.org/officeDocument/2006/relationships/hyperlink" Target="http://portal.gov.cz/app/zakony/zakonPar.jsp?idBiblio=49962&amp;fulltext=&amp;nr=458~2F2000&amp;part=&amp;name=&amp;rpp=15" TargetMode="External"/><Relationship Id="rId171" Type="http://schemas.openxmlformats.org/officeDocument/2006/relationships/hyperlink" Target="http://www.mmr.cz/cs/Uvodni-strana" TargetMode="External"/><Relationship Id="rId192" Type="http://schemas.openxmlformats.org/officeDocument/2006/relationships/hyperlink" Target="http://www.asociacekraju.cz/" TargetMode="External"/><Relationship Id="rId206" Type="http://schemas.openxmlformats.org/officeDocument/2006/relationships/hyperlink" Target="http://www.socr.cz/" TargetMode="External"/><Relationship Id="rId227" Type="http://schemas.openxmlformats.org/officeDocument/2006/relationships/hyperlink" Target="http://www.sps.cz/index.ASP" TargetMode="External"/><Relationship Id="rId248" Type="http://schemas.openxmlformats.org/officeDocument/2006/relationships/hyperlink" Target="http://www.kzps.cz/" TargetMode="External"/><Relationship Id="rId269" Type="http://schemas.openxmlformats.org/officeDocument/2006/relationships/hyperlink" Target="http://www.smocr.cz/" TargetMode="External"/><Relationship Id="rId12" Type="http://schemas.openxmlformats.org/officeDocument/2006/relationships/image" Target="media/image4.emf"/><Relationship Id="rId33" Type="http://schemas.openxmlformats.org/officeDocument/2006/relationships/header" Target="header9.xml"/><Relationship Id="rId108" Type="http://schemas.openxmlformats.org/officeDocument/2006/relationships/hyperlink" Target="http://www.msmt.cz/strukturalni-fondy/ris3-strategie-cr" TargetMode="External"/><Relationship Id="rId129" Type="http://schemas.openxmlformats.org/officeDocument/2006/relationships/hyperlink" Target="http://www.mpo.cz/assets/cz/e-komunikace-a-posta/Internet/2013/4/Digi_esko_v.2.0.pdf" TargetMode="External"/><Relationship Id="rId54" Type="http://schemas.openxmlformats.org/officeDocument/2006/relationships/header" Target="header18.xml"/><Relationship Id="rId75" Type="http://schemas.openxmlformats.org/officeDocument/2006/relationships/hyperlink" Target="http://www.portal-vz.cz/cs/Jak-na-zadavani-verejnych-zakazek/Legislativa-a-Judikatura/Legislativa/Narodni-legislativa-aktualni-a-uplne-zneni-z-(1)" TargetMode="External"/><Relationship Id="rId96" Type="http://schemas.openxmlformats.org/officeDocument/2006/relationships/hyperlink" Target="http://portal.cenia.cz/eiasea/static/sea_legislativa" TargetMode="External"/><Relationship Id="rId140" Type="http://schemas.openxmlformats.org/officeDocument/2006/relationships/hyperlink" Target="http://www.vlada.cz/assets/ppov/lrv/ria/metodiky/Uplne-zneni-Obecnych-zasad-_ucinnost-od-1-2--2014_.pdf" TargetMode="External"/><Relationship Id="rId161" Type="http://schemas.openxmlformats.org/officeDocument/2006/relationships/hyperlink" Target="http://www.mpo.cz/dokument119071.html" TargetMode="External"/><Relationship Id="rId182" Type="http://schemas.openxmlformats.org/officeDocument/2006/relationships/hyperlink" Target="http://www.cmzrb.cz/" TargetMode="External"/><Relationship Id="rId217" Type="http://schemas.openxmlformats.org/officeDocument/2006/relationships/hyperlink" Target="http://www.msmt.cz/" TargetMode="External"/><Relationship Id="rId6" Type="http://schemas.openxmlformats.org/officeDocument/2006/relationships/footnotes" Target="footnotes.xml"/><Relationship Id="rId238" Type="http://schemas.openxmlformats.org/officeDocument/2006/relationships/hyperlink" Target="http://www.spcr.cz/" TargetMode="External"/><Relationship Id="rId259" Type="http://schemas.openxmlformats.org/officeDocument/2006/relationships/hyperlink" Target="http://nsmascr.cz/o-nas/mistni-akncni-skupiny/" TargetMode="External"/><Relationship Id="rId23" Type="http://schemas.openxmlformats.org/officeDocument/2006/relationships/header" Target="header4.xml"/><Relationship Id="rId119" Type="http://schemas.openxmlformats.org/officeDocument/2006/relationships/hyperlink" Target="http://www.mpo.cz/dokument83642.html" TargetMode="External"/><Relationship Id="rId270" Type="http://schemas.openxmlformats.org/officeDocument/2006/relationships/hyperlink" Target="https://www.czech-ba.cz/" TargetMode="External"/><Relationship Id="rId44" Type="http://schemas.openxmlformats.org/officeDocument/2006/relationships/footer" Target="footer14.xml"/><Relationship Id="rId60" Type="http://schemas.openxmlformats.org/officeDocument/2006/relationships/hyperlink" Target="http://www.strukturalni-fondy.cz/cs/Fondy-EU/2014-2020/Metodicke-pokyny/Metodika-rozvoje-lidskych-zdroju" TargetMode="External"/><Relationship Id="rId65" Type="http://schemas.openxmlformats.org/officeDocument/2006/relationships/hyperlink" Target="http://www.vlada.cz/cz/ppov/vvzpo/dokumenty/zprava-o-plneni-opatreni-narodniho-planu-vytvareni-rovnych-prilezitosti-pro-osoby-se-zdravotnim-postizenim-na-obdobi-2010-2014-v-roce-2012-110987/" TargetMode="External"/><Relationship Id="rId81" Type="http://schemas.openxmlformats.org/officeDocument/2006/relationships/hyperlink" Target="http://www.strukturalni-fondy.cz/cs/Fondy-EU/2014-2020/Metodicke-pokyny/Metodika-rozvoje-lidskych-zdroju" TargetMode="External"/><Relationship Id="rId86" Type="http://schemas.openxmlformats.org/officeDocument/2006/relationships/hyperlink" Target="http://eagri.cz/public/web/mze/farmar/registr-podpor-de-minimis/" TargetMode="External"/><Relationship Id="rId130" Type="http://schemas.openxmlformats.org/officeDocument/2006/relationships/hyperlink" Target="http://www.mpo.cz/dokument119071.html" TargetMode="External"/><Relationship Id="rId135" Type="http://schemas.openxmlformats.org/officeDocument/2006/relationships/hyperlink" Target="http://www.vlada.cz/assets/media-centrum/aktualne/Strategie-mezinarodni-konkurenceschopnosti-Ceske-republiky.pdf" TargetMode="External"/><Relationship Id="rId151" Type="http://schemas.openxmlformats.org/officeDocument/2006/relationships/hyperlink" Target="http://www.eru.cz/dias-browse_articles.php?parentId=91&amp;deep=off&amp;type=" TargetMode="External"/><Relationship Id="rId156" Type="http://schemas.openxmlformats.org/officeDocument/2006/relationships/hyperlink" Target="http://portal.gov.cz/app/zakony/zakonPar.jsp?idBiblio=49962&amp;fulltext=&amp;nr=458~2F2000&amp;part=&amp;name=&amp;rpp=15" TargetMode="External"/><Relationship Id="rId177" Type="http://schemas.openxmlformats.org/officeDocument/2006/relationships/hyperlink" Target="http://www.mdcr.cz/cs/default.htm" TargetMode="External"/><Relationship Id="rId198" Type="http://schemas.openxmlformats.org/officeDocument/2006/relationships/hyperlink" Target="http://www.mkcr.cz/" TargetMode="External"/><Relationship Id="rId172" Type="http://schemas.openxmlformats.org/officeDocument/2006/relationships/hyperlink" Target="http://www.mfcr.cz/cps/rde/xchg/" TargetMode="External"/><Relationship Id="rId193" Type="http://schemas.openxmlformats.org/officeDocument/2006/relationships/hyperlink" Target="http://www.asociacenno.cz/" TargetMode="External"/><Relationship Id="rId202" Type="http://schemas.openxmlformats.org/officeDocument/2006/relationships/hyperlink" Target="http://www.jic.cz/" TargetMode="External"/><Relationship Id="rId207" Type="http://schemas.openxmlformats.org/officeDocument/2006/relationships/hyperlink" Target="http://www.smocr.cz/" TargetMode="External"/><Relationship Id="rId223" Type="http://schemas.openxmlformats.org/officeDocument/2006/relationships/hyperlink" Target="http://www.komora.cz/" TargetMode="External"/><Relationship Id="rId228" Type="http://schemas.openxmlformats.org/officeDocument/2006/relationships/hyperlink" Target="http://www.scmvd.cz/" TargetMode="External"/><Relationship Id="rId244" Type="http://schemas.openxmlformats.org/officeDocument/2006/relationships/hyperlink" Target="http://apes.cz/" TargetMode="External"/><Relationship Id="rId249" Type="http://schemas.openxmlformats.org/officeDocument/2006/relationships/hyperlink" Target="http://www.tscr.cz/" TargetMode="External"/><Relationship Id="rId13" Type="http://schemas.openxmlformats.org/officeDocument/2006/relationships/image" Target="media/image5.emf"/><Relationship Id="rId18" Type="http://schemas.openxmlformats.org/officeDocument/2006/relationships/chart" Target="charts/chart4.xml"/><Relationship Id="rId39" Type="http://schemas.openxmlformats.org/officeDocument/2006/relationships/header" Target="header12.xml"/><Relationship Id="rId109" Type="http://schemas.openxmlformats.org/officeDocument/2006/relationships/hyperlink" Target="http://www.msmt.cz/strukturalni-fondy/ris3-strategie-cr" TargetMode="External"/><Relationship Id="rId260" Type="http://schemas.openxmlformats.org/officeDocument/2006/relationships/hyperlink" Target="http://www.ctu.cz/" TargetMode="External"/><Relationship Id="rId265" Type="http://schemas.openxmlformats.org/officeDocument/2006/relationships/hyperlink" Target="http://www.smocr.cz/" TargetMode="External"/><Relationship Id="rId34" Type="http://schemas.openxmlformats.org/officeDocument/2006/relationships/footer" Target="footer9.xml"/><Relationship Id="rId50" Type="http://schemas.openxmlformats.org/officeDocument/2006/relationships/header" Target="header17.xml"/><Relationship Id="rId55" Type="http://schemas.openxmlformats.org/officeDocument/2006/relationships/footer" Target="footer18.xml"/><Relationship Id="rId76" Type="http://schemas.openxmlformats.org/officeDocument/2006/relationships/hyperlink" Target="http://www.portal-vz.cz/cs/Jak-na-zadavani-verejnych-zakazek/Metodiky-stanoviska/Metodicke-pokyny" TargetMode="External"/><Relationship Id="rId97" Type="http://schemas.openxmlformats.org/officeDocument/2006/relationships/hyperlink" Target="http://portal.cenia.cz/eiasea/static/eia_legislativa" TargetMode="External"/><Relationship Id="rId104" Type="http://schemas.openxmlformats.org/officeDocument/2006/relationships/hyperlink" Target="http://portal.cenia.cz/eiasea/view/SEA100_koncepce" TargetMode="External"/><Relationship Id="rId120" Type="http://schemas.openxmlformats.org/officeDocument/2006/relationships/hyperlink" Target="http://www.mpo.cz/assets/cz/e-komunikace-a-posta/Internet/2013/4/Digi_esko_v.2.0.pdf" TargetMode="External"/><Relationship Id="rId125" Type="http://schemas.openxmlformats.org/officeDocument/2006/relationships/hyperlink" Target="http://www.mpo.cz/assets/cz/e-komunikace-a-posta/Internet/2013/4/Digi_esko_v.2.0.pdf" TargetMode="External"/><Relationship Id="rId141" Type="http://schemas.openxmlformats.org/officeDocument/2006/relationships/hyperlink" Target="http://portal.gov.cz/app/zakony/zakonPar.jsp?idBiblio=49857&amp;fulltext=&amp;nr=406~2F2000&amp;part=&amp;name=&amp;rpp=15" TargetMode="External"/><Relationship Id="rId146" Type="http://schemas.openxmlformats.org/officeDocument/2006/relationships/hyperlink" Target="http://portal.gov.cz/app/zakony/zakonPar.jsp?idBiblio=49857&amp;fulltext=&amp;nr=406~2F2000&amp;part=&amp;name=&amp;rpp=15" TargetMode="External"/><Relationship Id="rId167" Type="http://schemas.openxmlformats.org/officeDocument/2006/relationships/hyperlink" Target="http://www.vlada.cz/assets/evropske-zalezitosti/aktualne/NPR-2014.pdf" TargetMode="External"/><Relationship Id="rId188" Type="http://schemas.openxmlformats.org/officeDocument/2006/relationships/hyperlink" Target="http://www.smscr.cz/" TargetMode="External"/><Relationship Id="rId7" Type="http://schemas.openxmlformats.org/officeDocument/2006/relationships/endnotes" Target="endnotes.xml"/><Relationship Id="rId71" Type="http://schemas.openxmlformats.org/officeDocument/2006/relationships/hyperlink" Target="http://www.portal-vz.cz/cs/Jak-na-zadavani-verejnych-zakazek/Metodiky-stanoviska" TargetMode="External"/><Relationship Id="rId92" Type="http://schemas.openxmlformats.org/officeDocument/2006/relationships/hyperlink" Target="http://www.strukturalni-fondy.cz" TargetMode="External"/><Relationship Id="rId162" Type="http://schemas.openxmlformats.org/officeDocument/2006/relationships/hyperlink" Target="http://www.vlada.cz/assets/evropske-zalezitosti/aktualne/NPR-2014.pdf" TargetMode="External"/><Relationship Id="rId183" Type="http://schemas.openxmlformats.org/officeDocument/2006/relationships/hyperlink" Target="http://www.vyzkum.cz/FrontClanek.aspx?idsekce=496" TargetMode="External"/><Relationship Id="rId213" Type="http://schemas.openxmlformats.org/officeDocument/2006/relationships/hyperlink" Target="http://crc.muni.cz/" TargetMode="External"/><Relationship Id="rId218" Type="http://schemas.openxmlformats.org/officeDocument/2006/relationships/hyperlink" Target="http://www.mkcr.cz/" TargetMode="External"/><Relationship Id="rId234" Type="http://schemas.openxmlformats.org/officeDocument/2006/relationships/hyperlink" Target="http://www.praha.eu/jnp/cz/home/index.html" TargetMode="External"/><Relationship Id="rId239" Type="http://schemas.openxmlformats.org/officeDocument/2006/relationships/hyperlink" Target="http://www.smocr.cz/" TargetMode="External"/><Relationship Id="rId2" Type="http://schemas.openxmlformats.org/officeDocument/2006/relationships/numbering" Target="numbering.xml"/><Relationship Id="rId29" Type="http://schemas.openxmlformats.org/officeDocument/2006/relationships/header" Target="header7.xml"/><Relationship Id="rId250" Type="http://schemas.openxmlformats.org/officeDocument/2006/relationships/hyperlink" Target="http://www.csres.cz/" TargetMode="External"/><Relationship Id="rId255" Type="http://schemas.openxmlformats.org/officeDocument/2006/relationships/hyperlink" Target="http://www.smocr.cz/" TargetMode="External"/><Relationship Id="rId271" Type="http://schemas.openxmlformats.org/officeDocument/2006/relationships/hyperlink" Target="http://cmzrb.cz" TargetMode="External"/><Relationship Id="rId24" Type="http://schemas.openxmlformats.org/officeDocument/2006/relationships/footer" Target="footer4.xml"/><Relationship Id="rId40" Type="http://schemas.openxmlformats.org/officeDocument/2006/relationships/footer" Target="footer12.xml"/><Relationship Id="rId45" Type="http://schemas.openxmlformats.org/officeDocument/2006/relationships/header" Target="header15.xml"/><Relationship Id="rId66" Type="http://schemas.openxmlformats.org/officeDocument/2006/relationships/hyperlink" Target="http://www.strukturalni-fondy.cz/cs/Fondy-EU/2014-2020/Metodicke-pokyny/Metodika-rozvoje-lidskych-zdroju" TargetMode="External"/><Relationship Id="rId87" Type="http://schemas.openxmlformats.org/officeDocument/2006/relationships/hyperlink" Target="http://www.uohs.cz/cs/verejna-podpora/akuality-z-verejne-podpory.html" TargetMode="External"/><Relationship Id="rId110" Type="http://schemas.openxmlformats.org/officeDocument/2006/relationships/hyperlink" Target="http://www.msmt.cz/strukturalni-fondy/ris3-strategie-cr" TargetMode="External"/><Relationship Id="rId115" Type="http://schemas.openxmlformats.org/officeDocument/2006/relationships/hyperlink" Target="http://databaze-strategie.cz/cz/mv/strategie/strategicky-ramec-rozvoje-verejne-spravy-ceske-republiky-pro-obdobi-2014-2020" TargetMode="External"/><Relationship Id="rId131" Type="http://schemas.openxmlformats.org/officeDocument/2006/relationships/hyperlink" Target="http://www.mpo.cz/assets/cz/e-komunikace-a-posta/Internet/2013/4/Digi_esko_v.2.0.pdf" TargetMode="External"/><Relationship Id="rId136" Type="http://schemas.openxmlformats.org/officeDocument/2006/relationships/hyperlink" Target="http://www.vlada.cz/assets/evropske-zalezitosti/aktualne/NPR-2014.pdf" TargetMode="External"/><Relationship Id="rId157" Type="http://schemas.openxmlformats.org/officeDocument/2006/relationships/hyperlink" Target="http://portal.gov.cz/app/zakony/zakonPar.jsp?idBiblio=49962&amp;fulltext=&amp;nr=458~2F2000&amp;part=&amp;name=&amp;rpp=15" TargetMode="External"/><Relationship Id="rId178" Type="http://schemas.openxmlformats.org/officeDocument/2006/relationships/hyperlink" Target="http://czechinvest.org/" TargetMode="External"/><Relationship Id="rId61" Type="http://schemas.openxmlformats.org/officeDocument/2006/relationships/hyperlink" Target="http://www.ochrance.cz/en/discrimination/" TargetMode="External"/><Relationship Id="rId82" Type="http://schemas.openxmlformats.org/officeDocument/2006/relationships/hyperlink" Target="http://www.strukturalni-fondy.cz/getmedia/6e797383-75f7-4dcb-b10b-9c4301670366/Metodicky-pokyn-k-rozvoji-lidskych-zdroju-v-programovem-obdobi-2014-2020-a-v-programovem-obdobi-2007-2013.pdf" TargetMode="External"/><Relationship Id="rId152" Type="http://schemas.openxmlformats.org/officeDocument/2006/relationships/hyperlink" Target="http://portal.gov.cz/app/zakony/zakonPar.jsp?idBiblio=77573&amp;fulltext=&amp;nr=165~2F2012&amp;part=&amp;name=&amp;rpp=15" TargetMode="External"/><Relationship Id="rId173" Type="http://schemas.openxmlformats.org/officeDocument/2006/relationships/hyperlink" Target="http://mzp.cz/" TargetMode="External"/><Relationship Id="rId194" Type="http://schemas.openxmlformats.org/officeDocument/2006/relationships/hyperlink" Target="http://nsmascr.cz/o-nas/mistni-akncni-skupiny/" TargetMode="External"/><Relationship Id="rId199" Type="http://schemas.openxmlformats.org/officeDocument/2006/relationships/hyperlink" Target="http://www.mdcr.cz/cs/default.htm" TargetMode="External"/><Relationship Id="rId203" Type="http://schemas.openxmlformats.org/officeDocument/2006/relationships/hyperlink" Target="http://www.komora.cz/" TargetMode="External"/><Relationship Id="rId208" Type="http://schemas.openxmlformats.org/officeDocument/2006/relationships/hyperlink" Target="http://www.avo.cz/" TargetMode="External"/><Relationship Id="rId229" Type="http://schemas.openxmlformats.org/officeDocument/2006/relationships/hyperlink" Target="http://www.amsp.cz/" TargetMode="External"/><Relationship Id="rId19" Type="http://schemas.openxmlformats.org/officeDocument/2006/relationships/image" Target="media/image7.png"/><Relationship Id="rId224" Type="http://schemas.openxmlformats.org/officeDocument/2006/relationships/hyperlink" Target="http://www.cmzrb.cz/" TargetMode="External"/><Relationship Id="rId240" Type="http://schemas.openxmlformats.org/officeDocument/2006/relationships/hyperlink" Target="http://www.spds.cz/" TargetMode="External"/><Relationship Id="rId245" Type="http://schemas.openxmlformats.org/officeDocument/2006/relationships/hyperlink" Target="http://www.oze.cz/" TargetMode="External"/><Relationship Id="rId261" Type="http://schemas.openxmlformats.org/officeDocument/2006/relationships/hyperlink" Target="http://www.vse.cz/" TargetMode="External"/><Relationship Id="rId266" Type="http://schemas.openxmlformats.org/officeDocument/2006/relationships/hyperlink" Target="https://www.czech-ba.cz/" TargetMode="External"/><Relationship Id="rId14" Type="http://schemas.openxmlformats.org/officeDocument/2006/relationships/chart" Target="charts/chart1.xm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header" Target="header19.xml"/><Relationship Id="rId77" Type="http://schemas.openxmlformats.org/officeDocument/2006/relationships/hyperlink" Target="http://www.vestnikverejnychzakazek.cz/" TargetMode="External"/><Relationship Id="rId100" Type="http://schemas.openxmlformats.org/officeDocument/2006/relationships/hyperlink" Target="http://portal.cenia.cz/eiasea/view/eia100_cr" TargetMode="External"/><Relationship Id="rId105" Type="http://schemas.openxmlformats.org/officeDocument/2006/relationships/hyperlink" Target="http://portal.cenia.cz/eiasea/osoby/osoby" TargetMode="External"/><Relationship Id="rId126" Type="http://schemas.openxmlformats.org/officeDocument/2006/relationships/hyperlink" Target="http://www.mpo.cz/dokument119071.html" TargetMode="External"/><Relationship Id="rId147" Type="http://schemas.openxmlformats.org/officeDocument/2006/relationships/hyperlink" Target="http://portal.gov.cz/app/zakony/zakonPar.jsp?idBiblio=49962&amp;fulltext=&amp;nr=458~2F2000&amp;part=&amp;name=&amp;rpp=15" TargetMode="External"/><Relationship Id="rId168" Type="http://schemas.openxmlformats.org/officeDocument/2006/relationships/hyperlink" Target="http://www.esfcr.cz/file/8938/" TargetMode="External"/><Relationship Id="rId8" Type="http://schemas.openxmlformats.org/officeDocument/2006/relationships/header" Target="header1.xml"/><Relationship Id="rId51" Type="http://schemas.openxmlformats.org/officeDocument/2006/relationships/footer" Target="footer17.xml"/><Relationship Id="rId72" Type="http://schemas.openxmlformats.org/officeDocument/2006/relationships/hyperlink" Target="http://www.portal-vz.cz/cs/Jak-na-zadavani-verejnych-zakazek/Metodiky-stanoviska/Stanoviska/Stanoviska-expertni-skupiny-MMR-k-ZVZ" TargetMode="External"/><Relationship Id="rId93" Type="http://schemas.openxmlformats.org/officeDocument/2006/relationships/hyperlink" Target="http://www.compet.cz" TargetMode="External"/><Relationship Id="rId98" Type="http://schemas.openxmlformats.org/officeDocument/2006/relationships/hyperlink" Target="http://www.mzp.cz/cz/posuzovani_vlivu_zivotni_prostredi" TargetMode="External"/><Relationship Id="rId121" Type="http://schemas.openxmlformats.org/officeDocument/2006/relationships/hyperlink" Target="http://www.mpo.cz/dokument119071.html" TargetMode="External"/><Relationship Id="rId142" Type="http://schemas.openxmlformats.org/officeDocument/2006/relationships/hyperlink" Target="http://portal.gov.cz/app/zakony/zakonPar.jsp?idBiblio=78282&amp;fulltext=&amp;nr=318~2F2012&amp;part=&amp;name=&amp;rpp=15" TargetMode="External"/><Relationship Id="rId163" Type="http://schemas.openxmlformats.org/officeDocument/2006/relationships/hyperlink" Target="http://www.mpo.cz/dokument144140.html" TargetMode="External"/><Relationship Id="rId184" Type="http://schemas.openxmlformats.org/officeDocument/2006/relationships/hyperlink" Target="http://www.spcr.cz/" TargetMode="External"/><Relationship Id="rId189" Type="http://schemas.openxmlformats.org/officeDocument/2006/relationships/hyperlink" Target="http://www.cmkos.cz/" TargetMode="External"/><Relationship Id="rId219" Type="http://schemas.openxmlformats.org/officeDocument/2006/relationships/hyperlink" Target="http://www.mpsv.cz/cs/" TargetMode="External"/><Relationship Id="rId3" Type="http://schemas.openxmlformats.org/officeDocument/2006/relationships/styles" Target="styles.xml"/><Relationship Id="rId214" Type="http://schemas.openxmlformats.org/officeDocument/2006/relationships/hyperlink" Target="http://www.utb.cz/" TargetMode="External"/><Relationship Id="rId230" Type="http://schemas.openxmlformats.org/officeDocument/2006/relationships/hyperlink" Target="http://www.aipcr.cz/" TargetMode="External"/><Relationship Id="rId235" Type="http://schemas.openxmlformats.org/officeDocument/2006/relationships/hyperlink" Target="http://www.komora.cz/" TargetMode="External"/><Relationship Id="rId251" Type="http://schemas.openxmlformats.org/officeDocument/2006/relationships/hyperlink" Target="http://www.sanceprobudovy.cz/cs.html?start=20" TargetMode="External"/><Relationship Id="rId256" Type="http://schemas.openxmlformats.org/officeDocument/2006/relationships/hyperlink" Target="http://www.socr.cz/" TargetMode="External"/><Relationship Id="rId25" Type="http://schemas.openxmlformats.org/officeDocument/2006/relationships/header" Target="header5.xml"/><Relationship Id="rId46" Type="http://schemas.openxmlformats.org/officeDocument/2006/relationships/footer" Target="footer15.xml"/><Relationship Id="rId67" Type="http://schemas.openxmlformats.org/officeDocument/2006/relationships/hyperlink" Target="http://www.vlada.cz/cz/ppov/vvzpo/dokumenty/narodni-plan-vytvareni-rovnych-prilezitosti-pro-osoby-se-zdravotnim-postizenim-na-obdobi-2010---2014-70026/" TargetMode="External"/><Relationship Id="rId116" Type="http://schemas.openxmlformats.org/officeDocument/2006/relationships/hyperlink" Target="http://www.msmt.cz/uploads/OP_VVV/Narodni_RIS3_strategie_schvalena_vladou_8._12._2014.pdf" TargetMode="External"/><Relationship Id="rId137" Type="http://schemas.openxmlformats.org/officeDocument/2006/relationships/hyperlink" Target="http://www.mpo.cz/dokument144140.html" TargetMode="External"/><Relationship Id="rId158" Type="http://schemas.openxmlformats.org/officeDocument/2006/relationships/hyperlink" Target="http://portal.gov.cz/app/zakony/zakonPar.jsp?idBiblio=49962&amp;fulltext=&amp;nr=458~2F2000&amp;part=&amp;name=&amp;rpp=15" TargetMode="External"/><Relationship Id="rId272" Type="http://schemas.openxmlformats.org/officeDocument/2006/relationships/header" Target="header21.xml"/><Relationship Id="rId20" Type="http://schemas.openxmlformats.org/officeDocument/2006/relationships/image" Target="media/image8.png"/><Relationship Id="rId41" Type="http://schemas.openxmlformats.org/officeDocument/2006/relationships/header" Target="header13.xml"/><Relationship Id="rId62" Type="http://schemas.openxmlformats.org/officeDocument/2006/relationships/hyperlink" Target="http://www.mpsv.cz/cs/12152" TargetMode="External"/><Relationship Id="rId83" Type="http://schemas.openxmlformats.org/officeDocument/2006/relationships/hyperlink" Target="http://www.uohs.cz/cs/legislativa/verejna-podpora.html" TargetMode="External"/><Relationship Id="rId88" Type="http://schemas.openxmlformats.org/officeDocument/2006/relationships/hyperlink" Target="http://www.vzdelavaninsrr.cz/" TargetMode="External"/><Relationship Id="rId111" Type="http://schemas.openxmlformats.org/officeDocument/2006/relationships/hyperlink" Target="http://www.mpo.cz/dokument83642.html" TargetMode="External"/><Relationship Id="rId132" Type="http://schemas.openxmlformats.org/officeDocument/2006/relationships/hyperlink" Target="http://www.mpo.cz/assets/cz/e-komunikace-a-posta/Internet/2013/4/Digi_esko_v.2.0.pdf" TargetMode="External"/><Relationship Id="rId153" Type="http://schemas.openxmlformats.org/officeDocument/2006/relationships/hyperlink" Target="http://www.eru.cz/dias-browse_articles.php?parentId=384&amp;deep=off&amp;type=" TargetMode="External"/><Relationship Id="rId174" Type="http://schemas.openxmlformats.org/officeDocument/2006/relationships/hyperlink" Target="http://www.mpsv.cz/cs/" TargetMode="External"/><Relationship Id="rId179" Type="http://schemas.openxmlformats.org/officeDocument/2006/relationships/hyperlink" Target="http://www.komora.cz/" TargetMode="External"/><Relationship Id="rId195" Type="http://schemas.openxmlformats.org/officeDocument/2006/relationships/hyperlink" Target="http://www.czso.cz/" TargetMode="External"/><Relationship Id="rId209" Type="http://schemas.openxmlformats.org/officeDocument/2006/relationships/hyperlink" Target="http://www.aipcr.cz/" TargetMode="External"/><Relationship Id="rId190" Type="http://schemas.openxmlformats.org/officeDocument/2006/relationships/hyperlink" Target="http://www.kzps.cz/" TargetMode="External"/><Relationship Id="rId204" Type="http://schemas.openxmlformats.org/officeDocument/2006/relationships/hyperlink" Target="http://www.pkcr.cz/" TargetMode="External"/><Relationship Id="rId220" Type="http://schemas.openxmlformats.org/officeDocument/2006/relationships/hyperlink" Target="http://www.mdcr.cz/cs/default.htm" TargetMode="External"/><Relationship Id="rId225" Type="http://schemas.openxmlformats.org/officeDocument/2006/relationships/hyperlink" Target="http://www.spcr.cz/" TargetMode="External"/><Relationship Id="rId241" Type="http://schemas.openxmlformats.org/officeDocument/2006/relationships/hyperlink" Target="http://www.amsp.cz/" TargetMode="External"/><Relationship Id="rId246" Type="http://schemas.openxmlformats.org/officeDocument/2006/relationships/hyperlink" Target="http://www.asvep.cz/" TargetMode="External"/><Relationship Id="rId267" Type="http://schemas.openxmlformats.org/officeDocument/2006/relationships/hyperlink" Target="http://www.cvca.cz" TargetMode="External"/><Relationship Id="rId15" Type="http://schemas.openxmlformats.org/officeDocument/2006/relationships/chart" Target="charts/chart2.xml"/><Relationship Id="rId36" Type="http://schemas.openxmlformats.org/officeDocument/2006/relationships/footer" Target="footer10.xml"/><Relationship Id="rId57" Type="http://schemas.openxmlformats.org/officeDocument/2006/relationships/footer" Target="footer19.xml"/><Relationship Id="rId106" Type="http://schemas.openxmlformats.org/officeDocument/2006/relationships/hyperlink" Target="http://www.s-f.cz/cs/Fondy-EU/2014-2020/Metodicke-pokyny" TargetMode="External"/><Relationship Id="rId127" Type="http://schemas.openxmlformats.org/officeDocument/2006/relationships/hyperlink" Target="http://www.czso.cz/csu/redakce.nsf/i/informacni_ekonomika" TargetMode="External"/><Relationship Id="rId262" Type="http://schemas.openxmlformats.org/officeDocument/2006/relationships/hyperlink" Target="http://www.praha.eu/jnp/cz/home/index.html" TargetMode="Externa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image" Target="media/image9.png"/><Relationship Id="rId73" Type="http://schemas.openxmlformats.org/officeDocument/2006/relationships/hyperlink" Target="http://www.portal-vz.cz/cs/Aktuality" TargetMode="External"/><Relationship Id="rId78" Type="http://schemas.openxmlformats.org/officeDocument/2006/relationships/hyperlink" Target="http://www.portal-vz.cz/cs/Aktuality/Informace-k-postupu-pri-uverejnovani-v-souvislosti" TargetMode="External"/><Relationship Id="rId94" Type="http://schemas.openxmlformats.org/officeDocument/2006/relationships/hyperlink" Target="http://www.mze.cz" TargetMode="External"/><Relationship Id="rId99" Type="http://schemas.openxmlformats.org/officeDocument/2006/relationships/hyperlink" Target="http://portal.cenia.cz/eiasea/view/eia100_cr" TargetMode="External"/><Relationship Id="rId101" Type="http://schemas.openxmlformats.org/officeDocument/2006/relationships/hyperlink" Target="http://portal.cenia.cz/eiasea/view/SEA100_koncepce" TargetMode="External"/><Relationship Id="rId122" Type="http://schemas.openxmlformats.org/officeDocument/2006/relationships/hyperlink" Target="http://www.mpo.cz/assets/cz/e-komunikace-a-posta/Internet/2013/4/Digi_esko_v.2.0.pdf" TargetMode="External"/><Relationship Id="rId143" Type="http://schemas.openxmlformats.org/officeDocument/2006/relationships/hyperlink" Target="http://portal.gov.cz/app/zakony/zakonPar.jsp?idBiblio=49857&amp;fulltext=&amp;nr=406~2F2000&amp;part=&amp;name=&amp;rpp=15" TargetMode="External"/><Relationship Id="rId148" Type="http://schemas.openxmlformats.org/officeDocument/2006/relationships/hyperlink" Target="http://www.eru.cz/dias-browse_articles.php?parentId=91&amp;deep=off&amp;type=" TargetMode="External"/><Relationship Id="rId164" Type="http://schemas.openxmlformats.org/officeDocument/2006/relationships/hyperlink" Target="http://www.mpo.cz/dokument144140.html" TargetMode="External"/><Relationship Id="rId169" Type="http://schemas.openxmlformats.org/officeDocument/2006/relationships/header" Target="header20.xml"/><Relationship Id="rId185" Type="http://schemas.openxmlformats.org/officeDocument/2006/relationships/hyperlink" Target="http://www.socr.cz/"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pkcr.cz/" TargetMode="External"/><Relationship Id="rId210" Type="http://schemas.openxmlformats.org/officeDocument/2006/relationships/hyperlink" Target="http://www.amsp.cz/" TargetMode="External"/><Relationship Id="rId215" Type="http://schemas.openxmlformats.org/officeDocument/2006/relationships/hyperlink" Target="http://nsmascr.cz/o-nas/mistni-akncni-skupiny/" TargetMode="External"/><Relationship Id="rId236" Type="http://schemas.openxmlformats.org/officeDocument/2006/relationships/hyperlink" Target="http://www.pkcr.cz/" TargetMode="External"/><Relationship Id="rId257" Type="http://schemas.openxmlformats.org/officeDocument/2006/relationships/hyperlink" Target="http://www.amsp.cz/" TargetMode="External"/><Relationship Id="rId26" Type="http://schemas.openxmlformats.org/officeDocument/2006/relationships/footer" Target="footer5.xml"/><Relationship Id="rId231" Type="http://schemas.openxmlformats.org/officeDocument/2006/relationships/hyperlink" Target="http://www.asociacenno.cz/" TargetMode="External"/><Relationship Id="rId252" Type="http://schemas.openxmlformats.org/officeDocument/2006/relationships/hyperlink" Target="http://www.praha.eu/jnp/cz/home/index.html" TargetMode="External"/><Relationship Id="rId273" Type="http://schemas.openxmlformats.org/officeDocument/2006/relationships/footer" Target="footer21.xml"/><Relationship Id="rId47" Type="http://schemas.openxmlformats.org/officeDocument/2006/relationships/hyperlink" Target="http://eur-lex.europa.eu/LexUriServ/LexUriServ.do?uri=CONSLEG:2006R1828:20091013:EN:HTML" TargetMode="External"/><Relationship Id="rId68" Type="http://schemas.openxmlformats.org/officeDocument/2006/relationships/hyperlink" Target="http://www.portal-vz.cz/cs/Jak-na-zadavani-verejnych-zakazek/Legislativa-a-Judikatura/Legislativa/Narodni-legislativa-aktualni-a-uplne-zneni-z-(1)" TargetMode="External"/><Relationship Id="rId89" Type="http://schemas.openxmlformats.org/officeDocument/2006/relationships/hyperlink" Target="http://www.strukturalni-fondy.cz" TargetMode="External"/><Relationship Id="rId112" Type="http://schemas.openxmlformats.org/officeDocument/2006/relationships/hyperlink" Target="http://www.mpo.cz/assets/cz/e-komunikace-a-posta/Internet/2013/4/Digi_esko_v.2.0.pdf" TargetMode="External"/><Relationship Id="rId133" Type="http://schemas.openxmlformats.org/officeDocument/2006/relationships/hyperlink" Target="http://www.mpo.cz/dokument83642.html" TargetMode="External"/><Relationship Id="rId154" Type="http://schemas.openxmlformats.org/officeDocument/2006/relationships/hyperlink" Target="http://databaze-strategie.cz/cz/mpo/strategie/narodni-akcni-plan-cr-pro-energii-z-obnovitelnych-zdroju-2010-2020" TargetMode="External"/><Relationship Id="rId175" Type="http://schemas.openxmlformats.org/officeDocument/2006/relationships/hyperlink" Target="http://www.msmt.cz/" TargetMode="External"/><Relationship Id="rId196" Type="http://schemas.openxmlformats.org/officeDocument/2006/relationships/hyperlink" Target="http://www.praha.eu/jnp/cz/home/index.html" TargetMode="External"/><Relationship Id="rId200" Type="http://schemas.openxmlformats.org/officeDocument/2006/relationships/hyperlink" Target="http://tacr.cz/" TargetMode="External"/><Relationship Id="rId16" Type="http://schemas.openxmlformats.org/officeDocument/2006/relationships/chart" Target="charts/chart3.xml"/><Relationship Id="rId221" Type="http://schemas.openxmlformats.org/officeDocument/2006/relationships/hyperlink" Target="http://www.jic.cz/" TargetMode="External"/><Relationship Id="rId242" Type="http://schemas.openxmlformats.org/officeDocument/2006/relationships/hyperlink" Target="http://www.asociacenno.cz/" TargetMode="External"/><Relationship Id="rId263" Type="http://schemas.openxmlformats.org/officeDocument/2006/relationships/hyperlink" Target="http://www.vlada.cz/cz/ppov/ekonomicka-rada/narodni-ekonomicka-rada-vlady-51371/" TargetMode="External"/><Relationship Id="rId37" Type="http://schemas.openxmlformats.org/officeDocument/2006/relationships/header" Target="header11.xml"/><Relationship Id="rId58" Type="http://schemas.openxmlformats.org/officeDocument/2006/relationships/hyperlink" Target="http://www.ochrance.cz/en/discrimination/" TargetMode="External"/><Relationship Id="rId79" Type="http://schemas.openxmlformats.org/officeDocument/2006/relationships/hyperlink" Target="http://www.portal-vz.cz/cs/Spoluprace-a-vymena-informaci/Info-forum/Otazky-a-odpovedi" TargetMode="External"/><Relationship Id="rId102" Type="http://schemas.openxmlformats.org/officeDocument/2006/relationships/hyperlink" Target="http://www.mzp.cz/cz/posuzovani_vlivu_zivotni_prostredi" TargetMode="External"/><Relationship Id="rId123" Type="http://schemas.openxmlformats.org/officeDocument/2006/relationships/hyperlink" Target="http://www.mvcr.cz/odk2/clanek/odbor-verejne-spravy-dozoru-a-kontroly.aspx?q=Y2hudW09OQ%3d%3d" TargetMode="External"/><Relationship Id="rId144" Type="http://schemas.openxmlformats.org/officeDocument/2006/relationships/hyperlink" Target="http://portal.gov.cz/app/zakony/zakonPar.jsp?idBiblio=78282&amp;fulltext=&amp;nr=318~2F2012&amp;part=&amp;name=&amp;rpp=15" TargetMode="External"/><Relationship Id="rId90" Type="http://schemas.openxmlformats.org/officeDocument/2006/relationships/hyperlink" Target="http://www.strukturalni-fondy.cz/cs/Fondy-EU/2014-2020/Metodicke-pokyny/Metodika-rozvoje-lidskych-zdroju" TargetMode="External"/><Relationship Id="rId165" Type="http://schemas.openxmlformats.org/officeDocument/2006/relationships/hyperlink" Target="http://www.vlada.cz/assets/media-centrum/aktualne/Strategie-mezinarodni-konkurenceschopnosti-Ceske-republiky.pdf" TargetMode="External"/><Relationship Id="rId186" Type="http://schemas.openxmlformats.org/officeDocument/2006/relationships/hyperlink" Target="http://www.sps.cz/index.ASP" TargetMode="External"/><Relationship Id="rId211" Type="http://schemas.openxmlformats.org/officeDocument/2006/relationships/hyperlink" Target="http://www.asociacenno.cz/" TargetMode="External"/><Relationship Id="rId232" Type="http://schemas.openxmlformats.org/officeDocument/2006/relationships/hyperlink" Target="http://nsmascr.cz/o-nas/mistni-akncni-skupiny/" TargetMode="External"/><Relationship Id="rId253" Type="http://schemas.openxmlformats.org/officeDocument/2006/relationships/hyperlink" Target="http://www.mdcr.cz/cs/default.htm" TargetMode="External"/><Relationship Id="rId274" Type="http://schemas.openxmlformats.org/officeDocument/2006/relationships/fontTable" Target="fontTable.xml"/><Relationship Id="rId27" Type="http://schemas.openxmlformats.org/officeDocument/2006/relationships/header" Target="header6.xml"/><Relationship Id="rId48" Type="http://schemas.openxmlformats.org/officeDocument/2006/relationships/header" Target="header16.xml"/><Relationship Id="rId69" Type="http://schemas.openxmlformats.org/officeDocument/2006/relationships/hyperlink" Target="http://www.portal-vz.cz/cs/Jak-na-zadavani-verejnych-zakazek/Metodiky-stanoviska" TargetMode="External"/><Relationship Id="rId113" Type="http://schemas.openxmlformats.org/officeDocument/2006/relationships/hyperlink" Target="http://www.mpo.cz/dokument119071.html" TargetMode="External"/><Relationship Id="rId134" Type="http://schemas.openxmlformats.org/officeDocument/2006/relationships/hyperlink" Target="http://www.mpo.cz/assets/cz/e-komunikace-a-posta/Internet/2013/4/Digi_esko_v.2.0.pdf" TargetMode="External"/><Relationship Id="rId80" Type="http://schemas.openxmlformats.org/officeDocument/2006/relationships/hyperlink" Target="http://www.mmr.cz/cs/Verejne-zakazky/Verejne-zakazky-a-PPP/Informace-Udalosti/Konference-Pripravovane-zmeny-v-oblasti-verejneho%20" TargetMode="External"/><Relationship Id="rId155" Type="http://schemas.openxmlformats.org/officeDocument/2006/relationships/hyperlink" Target="http://portal.gov.cz/app/zakony/zakonPar.jsp?idBiblio=49962&amp;fulltext=&amp;nr=458~2F2000&amp;part=&amp;name=&amp;rpp=15" TargetMode="External"/><Relationship Id="rId176" Type="http://schemas.openxmlformats.org/officeDocument/2006/relationships/hyperlink" Target="http://eagri.cz/public/web/mze/ministerstvo-zemedelstvi/" TargetMode="External"/><Relationship Id="rId197" Type="http://schemas.openxmlformats.org/officeDocument/2006/relationships/hyperlink" Target="http://www.msmt.cz/" TargetMode="External"/><Relationship Id="rId201" Type="http://schemas.openxmlformats.org/officeDocument/2006/relationships/hyperlink" Target="http://www.tc.cz/cs/" TargetMode="External"/><Relationship Id="rId222" Type="http://schemas.openxmlformats.org/officeDocument/2006/relationships/hyperlink" Target="http://tacr.cz/" TargetMode="External"/><Relationship Id="rId243" Type="http://schemas.openxmlformats.org/officeDocument/2006/relationships/hyperlink" Target="http://adtt.cz/" TargetMode="External"/><Relationship Id="rId264" Type="http://schemas.openxmlformats.org/officeDocument/2006/relationships/hyperlink" Target="http://www.cmzrb.cz/" TargetMode="External"/><Relationship Id="rId17" Type="http://schemas.openxmlformats.org/officeDocument/2006/relationships/image" Target="media/image6.png"/><Relationship Id="rId38" Type="http://schemas.openxmlformats.org/officeDocument/2006/relationships/footer" Target="footer11.xml"/><Relationship Id="rId59" Type="http://schemas.openxmlformats.org/officeDocument/2006/relationships/hyperlink" Target="http://www.vlada.cz/cz/ppov/zmocnenec-vlady-pro-lidska-prava/organizace-sekce-lp/organizace-sekce-lidskych-prav-107606/" TargetMode="External"/><Relationship Id="rId103" Type="http://schemas.openxmlformats.org/officeDocument/2006/relationships/hyperlink" Target="http://portal.cenia.cz/eiasea/view/eia100_cr" TargetMode="External"/><Relationship Id="rId124" Type="http://schemas.openxmlformats.org/officeDocument/2006/relationships/hyperlink" Target="http://databaze-strategie.cz/cz/mv/strategie/strategicky-ramec-rozvoje-verejne-spravy-ceske-republiky-pro-obdobi-2014-2020" TargetMode="External"/><Relationship Id="rId70" Type="http://schemas.openxmlformats.org/officeDocument/2006/relationships/hyperlink" Target="http://www.strukturalni-fondy.cz/cs/Fondy-EU/Narodni-organ-pro-koordinaci/Dokumenty" TargetMode="External"/><Relationship Id="rId91" Type="http://schemas.openxmlformats.org/officeDocument/2006/relationships/hyperlink" Target="http://www.uohs.cz/cs/verejna-podpora.html" TargetMode="External"/><Relationship Id="rId145" Type="http://schemas.openxmlformats.org/officeDocument/2006/relationships/hyperlink" Target="http://ec.europa.eu/energy/efficiency/eed/reporting_en.htm" TargetMode="External"/><Relationship Id="rId166" Type="http://schemas.openxmlformats.org/officeDocument/2006/relationships/hyperlink" Target="http://www.mpo.cz/dokument119071.html" TargetMode="External"/><Relationship Id="rId187" Type="http://schemas.openxmlformats.org/officeDocument/2006/relationships/hyperlink" Target="http://www.smocr.cz/" TargetMode="External"/><Relationship Id="rId1" Type="http://schemas.openxmlformats.org/officeDocument/2006/relationships/customXml" Target="../customXml/item1.xml"/><Relationship Id="rId212" Type="http://schemas.openxmlformats.org/officeDocument/2006/relationships/hyperlink" Target="http://www.kzps.cz/" TargetMode="External"/><Relationship Id="rId233" Type="http://schemas.openxmlformats.org/officeDocument/2006/relationships/hyperlink" Target="http://fpvs.cz/" TargetMode="External"/><Relationship Id="rId254" Type="http://schemas.openxmlformats.org/officeDocument/2006/relationships/hyperlink" Target="http://www.spcr.cz/" TargetMode="External"/><Relationship Id="rId28" Type="http://schemas.openxmlformats.org/officeDocument/2006/relationships/footer" Target="footer6.xml"/><Relationship Id="rId49" Type="http://schemas.openxmlformats.org/officeDocument/2006/relationships/footer" Target="footer16.xml"/><Relationship Id="rId114" Type="http://schemas.openxmlformats.org/officeDocument/2006/relationships/hyperlink" Target="http://www.mvcr.cz/odk2/clanek/odbor-verejne-spravy-dozoru-a-kontroly.aspx?q=Y2hudW09OQ%3d%3d" TargetMode="External"/><Relationship Id="rId27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www.oecd.org/science/inno/236758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energetick&#225;%20n&#225;ro&#269;nost%20-%20graf.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KVET%20-%20graf.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prstDash val="solid"/>
            </a:ln>
          </c:spPr>
          <c:invertIfNegative val="0"/>
          <c:dPt>
            <c:idx val="3"/>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rgbClr val="FF0000"/>
                </a:solidFill>
                <a:prstDash val="solid"/>
              </a:ln>
            </c:spPr>
            <c:extLst>
              <c:ext xmlns:c16="http://schemas.microsoft.com/office/drawing/2014/chart" uri="{C3380CC4-5D6E-409C-BE32-E72D297353CC}">
                <c16:uniqueId val="{00000001-8853-49B8-9977-03A5CCAF36FE}"/>
              </c:ext>
            </c:extLst>
          </c:dPt>
          <c:dPt>
            <c:idx val="17"/>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ln>
            </c:spPr>
            <c:extLst>
              <c:ext xmlns:c16="http://schemas.microsoft.com/office/drawing/2014/chart" uri="{C3380CC4-5D6E-409C-BE32-E72D297353CC}">
                <c16:uniqueId val="{00000003-8853-49B8-9977-03A5CCAF36FE}"/>
              </c:ext>
            </c:extLst>
          </c:dPt>
          <c:dPt>
            <c:idx val="19"/>
            <c:invertIfNegative val="0"/>
            <c:bubble3D val="0"/>
            <c:spPr>
              <a:solidFill>
                <a:schemeClr val="accent3">
                  <a:lumMod val="50000"/>
                </a:schemeClr>
              </a:solidFill>
              <a:ln>
                <a:solidFill>
                  <a:schemeClr val="accent3">
                    <a:lumMod val="50000"/>
                  </a:schemeClr>
                </a:solidFill>
                <a:prstDash val="solid"/>
              </a:ln>
            </c:spPr>
            <c:extLst>
              <c:ext xmlns:c16="http://schemas.microsoft.com/office/drawing/2014/chart" uri="{C3380CC4-5D6E-409C-BE32-E72D297353CC}">
                <c16:uniqueId val="{00000005-8853-49B8-9977-03A5CCAF36FE}"/>
              </c:ext>
            </c:extLst>
          </c:dPt>
          <c:cat>
            <c:strRef>
              <c:f>Data!$A$6:$A$34</c:f>
              <c:strCache>
                <c:ptCount val="29"/>
                <c:pt idx="0">
                  <c:v>Bulharsko</c:v>
                </c:pt>
                <c:pt idx="1">
                  <c:v>Estonsko</c:v>
                </c:pt>
                <c:pt idx="2">
                  <c:v>Rumunsko</c:v>
                </c:pt>
                <c:pt idx="3">
                  <c:v>Česko</c:v>
                </c:pt>
                <c:pt idx="4">
                  <c:v>Slovensko</c:v>
                </c:pt>
                <c:pt idx="5">
                  <c:v>Lotyšsko</c:v>
                </c:pt>
                <c:pt idx="6">
                  <c:v>Polsko</c:v>
                </c:pt>
                <c:pt idx="7">
                  <c:v>Litva</c:v>
                </c:pt>
                <c:pt idx="8">
                  <c:v>Maďarsko</c:v>
                </c:pt>
                <c:pt idx="9">
                  <c:v>Slovinsko</c:v>
                </c:pt>
                <c:pt idx="10">
                  <c:v>Chorvatsko</c:v>
                </c:pt>
                <c:pt idx="11">
                  <c:v>Finsko</c:v>
                </c:pt>
                <c:pt idx="12">
                  <c:v>Belgie</c:v>
                </c:pt>
                <c:pt idx="13">
                  <c:v>Kypr</c:v>
                </c:pt>
                <c:pt idx="14">
                  <c:v>Řecko</c:v>
                </c:pt>
                <c:pt idx="15">
                  <c:v>Nizozemí</c:v>
                </c:pt>
                <c:pt idx="16">
                  <c:v>Švédsko</c:v>
                </c:pt>
                <c:pt idx="17">
                  <c:v>Malta</c:v>
                </c:pt>
                <c:pt idx="18">
                  <c:v>Portugalsko</c:v>
                </c:pt>
                <c:pt idx="19">
                  <c:v>EU-28</c:v>
                </c:pt>
                <c:pt idx="20">
                  <c:v>Francie</c:v>
                </c:pt>
                <c:pt idx="21">
                  <c:v>Španělsko</c:v>
                </c:pt>
                <c:pt idx="22">
                  <c:v>Lucembursko</c:v>
                </c:pt>
                <c:pt idx="23">
                  <c:v>Německo</c:v>
                </c:pt>
                <c:pt idx="24">
                  <c:v>Rakousko</c:v>
                </c:pt>
                <c:pt idx="25">
                  <c:v>Itálie</c:v>
                </c:pt>
                <c:pt idx="26">
                  <c:v>Velká Británie</c:v>
                </c:pt>
                <c:pt idx="27">
                  <c:v>Dánsko</c:v>
                </c:pt>
                <c:pt idx="28">
                  <c:v>Irsko</c:v>
                </c:pt>
              </c:strCache>
            </c:strRef>
          </c:cat>
          <c:val>
            <c:numRef>
              <c:f>Data!$B$6:$B$34</c:f>
              <c:numCache>
                <c:formatCode>General</c:formatCode>
                <c:ptCount val="29"/>
                <c:pt idx="0">
                  <c:v>669.9</c:v>
                </c:pt>
                <c:pt idx="1">
                  <c:v>481</c:v>
                </c:pt>
                <c:pt idx="2">
                  <c:v>378.8</c:v>
                </c:pt>
                <c:pt idx="3">
                  <c:v>355.4</c:v>
                </c:pt>
                <c:pt idx="4">
                  <c:v>329.3</c:v>
                </c:pt>
                <c:pt idx="5">
                  <c:v>328.6</c:v>
                </c:pt>
                <c:pt idx="6">
                  <c:v>298.7</c:v>
                </c:pt>
                <c:pt idx="7">
                  <c:v>291.60000000000002</c:v>
                </c:pt>
                <c:pt idx="8">
                  <c:v>268.7</c:v>
                </c:pt>
                <c:pt idx="9">
                  <c:v>227.7</c:v>
                </c:pt>
                <c:pt idx="10">
                  <c:v>224.9</c:v>
                </c:pt>
                <c:pt idx="11">
                  <c:v>204</c:v>
                </c:pt>
                <c:pt idx="12">
                  <c:v>172.2</c:v>
                </c:pt>
                <c:pt idx="13">
                  <c:v>167</c:v>
                </c:pt>
                <c:pt idx="14">
                  <c:v>165.7</c:v>
                </c:pt>
                <c:pt idx="15">
                  <c:v>149.4</c:v>
                </c:pt>
                <c:pt idx="16">
                  <c:v>148.19999999999999</c:v>
                </c:pt>
                <c:pt idx="17">
                  <c:v>148</c:v>
                </c:pt>
                <c:pt idx="18">
                  <c:v>146.5</c:v>
                </c:pt>
                <c:pt idx="19">
                  <c:v>143.19999999999999</c:v>
                </c:pt>
                <c:pt idx="20">
                  <c:v>142.9</c:v>
                </c:pt>
                <c:pt idx="21">
                  <c:v>136.4</c:v>
                </c:pt>
                <c:pt idx="22">
                  <c:v>133.80000000000001</c:v>
                </c:pt>
                <c:pt idx="23">
                  <c:v>129.19999999999999</c:v>
                </c:pt>
                <c:pt idx="24">
                  <c:v>123.9</c:v>
                </c:pt>
                <c:pt idx="25">
                  <c:v>117.3</c:v>
                </c:pt>
                <c:pt idx="26">
                  <c:v>105.1</c:v>
                </c:pt>
                <c:pt idx="27">
                  <c:v>87.2</c:v>
                </c:pt>
                <c:pt idx="28">
                  <c:v>82.8</c:v>
                </c:pt>
              </c:numCache>
            </c:numRef>
          </c:val>
          <c:extLst>
            <c:ext xmlns:c16="http://schemas.microsoft.com/office/drawing/2014/chart" uri="{C3380CC4-5D6E-409C-BE32-E72D297353CC}">
              <c16:uniqueId val="{00000006-8853-49B8-9977-03A5CCAF36FE}"/>
            </c:ext>
          </c:extLst>
        </c:ser>
        <c:dLbls>
          <c:showLegendKey val="0"/>
          <c:showVal val="0"/>
          <c:showCatName val="0"/>
          <c:showSerName val="0"/>
          <c:showPercent val="0"/>
          <c:showBubbleSize val="0"/>
        </c:dLbls>
        <c:gapWidth val="39"/>
        <c:axId val="648129016"/>
        <c:axId val="648129408"/>
      </c:barChart>
      <c:catAx>
        <c:axId val="648129016"/>
        <c:scaling>
          <c:orientation val="minMax"/>
        </c:scaling>
        <c:delete val="0"/>
        <c:axPos val="b"/>
        <c:numFmt formatCode="General" sourceLinked="1"/>
        <c:majorTickMark val="out"/>
        <c:minorTickMark val="none"/>
        <c:tickLblPos val="nextTo"/>
        <c:crossAx val="648129408"/>
        <c:crosses val="autoZero"/>
        <c:auto val="1"/>
        <c:lblAlgn val="ctr"/>
        <c:lblOffset val="100"/>
        <c:noMultiLvlLbl val="0"/>
      </c:catAx>
      <c:valAx>
        <c:axId val="648129408"/>
        <c:scaling>
          <c:orientation val="minMax"/>
        </c:scaling>
        <c:delete val="0"/>
        <c:axPos val="l"/>
        <c:majorGridlines/>
        <c:title>
          <c:tx>
            <c:rich>
              <a:bodyPr rot="-5400000" vert="horz"/>
              <a:lstStyle/>
              <a:p>
                <a:pPr>
                  <a:defRPr/>
                </a:pPr>
                <a:r>
                  <a:rPr lang="cs-CZ"/>
                  <a:t>Kilogram ropného ekvivalentu na 1000 EUR</a:t>
                </a:r>
              </a:p>
            </c:rich>
          </c:tx>
          <c:overlay val="0"/>
        </c:title>
        <c:numFmt formatCode="#,##0" sourceLinked="0"/>
        <c:majorTickMark val="out"/>
        <c:minorTickMark val="none"/>
        <c:tickLblPos val="nextTo"/>
        <c:crossAx val="6481290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7406054506344644"/>
          <c:y val="3.178484107579465E-2"/>
        </c:manualLayout>
      </c:layout>
      <c:overlay val="0"/>
      <c:spPr>
        <a:noFill/>
        <a:ln w="25400">
          <a:noFill/>
        </a:ln>
      </c:spPr>
    </c:title>
    <c:autoTitleDeleted val="0"/>
    <c:plotArea>
      <c:layout>
        <c:manualLayout>
          <c:layoutTarget val="inner"/>
          <c:xMode val="edge"/>
          <c:yMode val="edge"/>
          <c:x val="0.13157906813457118"/>
          <c:y val="0.15647940441554828"/>
          <c:w val="0.84586543800795755"/>
          <c:h val="0.51833802712650323"/>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'[souhrnna_zprava_kvalita_cez_2013-v1.xls]Histor'!$E$13:$G$13</c:f>
              <c:numCache>
                <c:formatCode>0.000</c:formatCode>
                <c:ptCount val="3"/>
                <c:pt idx="0">
                  <c:v>2.0075401765303784</c:v>
                </c:pt>
                <c:pt idx="1">
                  <c:v>2.3114113136021843</c:v>
                </c:pt>
                <c:pt idx="2">
                  <c:v>1.9303374638077269</c:v>
                </c:pt>
              </c:numCache>
            </c:numRef>
          </c:val>
          <c:extLst>
            <c:ext xmlns:c16="http://schemas.microsoft.com/office/drawing/2014/chart" uri="{C3380CC4-5D6E-409C-BE32-E72D297353CC}">
              <c16:uniqueId val="{00000000-50B1-4107-B8DE-0CCD8F3E9A87}"/>
            </c:ext>
          </c:extLst>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'[souhrnna_zprava_kvalita_cez_2013-v1.xls]Histor'!$E$15:$G$15</c:f>
              <c:numCache>
                <c:formatCode>0.000</c:formatCode>
                <c:ptCount val="3"/>
                <c:pt idx="0">
                  <c:v>0.17992851380722388</c:v>
                </c:pt>
                <c:pt idx="1">
                  <c:v>0.16334996349958411</c:v>
                </c:pt>
                <c:pt idx="2">
                  <c:v>0.21873989569182625</c:v>
                </c:pt>
              </c:numCache>
            </c:numRef>
          </c:val>
          <c:extLst>
            <c:ext xmlns:c16="http://schemas.microsoft.com/office/drawing/2014/chart" uri="{C3380CC4-5D6E-409C-BE32-E72D297353CC}">
              <c16:uniqueId val="{00000001-50B1-4107-B8DE-0CCD8F3E9A87}"/>
            </c:ext>
          </c:extLst>
        </c:ser>
        <c:ser>
          <c:idx val="3"/>
          <c:order val="2"/>
          <c:tx>
            <c:v>neplánovaná ostatní</c:v>
          </c:tx>
          <c:spPr>
            <a:solidFill>
              <a:srgbClr val="C0C0C0"/>
            </a:solidFill>
            <a:ln w="25400">
              <a:noFill/>
            </a:ln>
          </c:spPr>
          <c:invertIfNegative val="0"/>
          <c:val>
            <c:numRef>
              <c:f>'[souhrnna_zprava_kvalita_cez_2013-v1.xls]Histor'!$E$19:$G$19</c:f>
              <c:numCache>
                <c:formatCode>0.000</c:formatCode>
                <c:ptCount val="3"/>
                <c:pt idx="0">
                  <c:v>0.14584513143451749</c:v>
                </c:pt>
                <c:pt idx="1">
                  <c:v>0.12291960352236081</c:v>
                </c:pt>
                <c:pt idx="2">
                  <c:v>0.45098894308548926</c:v>
                </c:pt>
              </c:numCache>
            </c:numRef>
          </c:val>
          <c:extLst>
            <c:ext xmlns:c16="http://schemas.microsoft.com/office/drawing/2014/chart" uri="{C3380CC4-5D6E-409C-BE32-E72D297353CC}">
              <c16:uniqueId val="{00000002-50B1-4107-B8DE-0CCD8F3E9A87}"/>
            </c:ext>
          </c:extLst>
        </c:ser>
        <c:ser>
          <c:idx val="4"/>
          <c:order val="3"/>
          <c:tx>
            <c:v>plánovaná</c:v>
          </c:tx>
          <c:spPr>
            <a:solidFill>
              <a:srgbClr val="CCFFFF"/>
            </a:solidFill>
            <a:ln w="25400">
              <a:noFill/>
            </a:ln>
          </c:spPr>
          <c:invertIfNegative val="0"/>
          <c:val>
            <c:numRef>
              <c:f>'[souhrnna_zprava_kvalita_cez_2013-v1.xls]Histor'!$E$9:$G$9</c:f>
              <c:numCache>
                <c:formatCode>0.000</c:formatCode>
                <c:ptCount val="3"/>
                <c:pt idx="0">
                  <c:v>0.54135432777320136</c:v>
                </c:pt>
                <c:pt idx="1">
                  <c:v>0.49927508081831051</c:v>
                </c:pt>
                <c:pt idx="2">
                  <c:v>0.51292576224716169</c:v>
                </c:pt>
              </c:numCache>
            </c:numRef>
          </c:val>
          <c:extLst>
            <c:ext xmlns:c16="http://schemas.microsoft.com/office/drawing/2014/chart" uri="{C3380CC4-5D6E-409C-BE32-E72D297353CC}">
              <c16:uniqueId val="{00000003-50B1-4107-B8DE-0CCD8F3E9A87}"/>
            </c:ext>
          </c:extLst>
        </c:ser>
        <c:dLbls>
          <c:showLegendKey val="0"/>
          <c:showVal val="0"/>
          <c:showCatName val="0"/>
          <c:showSerName val="0"/>
          <c:showPercent val="0"/>
          <c:showBubbleSize val="0"/>
        </c:dLbls>
        <c:gapWidth val="150"/>
        <c:overlap val="100"/>
        <c:axId val="648130192"/>
        <c:axId val="648130584"/>
      </c:barChart>
      <c:catAx>
        <c:axId val="648130192"/>
        <c:scaling>
          <c:orientation val="minMax"/>
        </c:scaling>
        <c:delete val="0"/>
        <c:axPos val="b"/>
        <c:title>
          <c:tx>
            <c:rich>
              <a:bodyPr/>
              <a:lstStyle/>
              <a:p>
                <a:pPr>
                  <a:defRPr sz="825" b="0" i="0" u="none" strike="noStrike" baseline="0">
                    <a:solidFill>
                      <a:srgbClr val="000000"/>
                    </a:solidFill>
                    <a:latin typeface="Arial"/>
                    <a:ea typeface="Arial"/>
                    <a:cs typeface="Arial"/>
                  </a:defRPr>
                </a:pPr>
                <a:r>
                  <a:rPr lang="cs-CZ"/>
                  <a:t>Rok</a:t>
                </a:r>
              </a:p>
            </c:rich>
          </c:tx>
          <c:layout>
            <c:manualLayout>
              <c:xMode val="edge"/>
              <c:yMode val="edge"/>
              <c:x val="0.53383498115367167"/>
              <c:y val="0.7481670292435943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648130584"/>
        <c:crosses val="autoZero"/>
        <c:auto val="1"/>
        <c:lblAlgn val="ctr"/>
        <c:lblOffset val="100"/>
        <c:tickLblSkip val="1"/>
        <c:tickMarkSkip val="1"/>
        <c:noMultiLvlLbl val="0"/>
      </c:catAx>
      <c:valAx>
        <c:axId val="648130584"/>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SAIFI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[1/rok]</a:t>
                </a:r>
              </a:p>
            </c:rich>
          </c:tx>
          <c:layout>
            <c:manualLayout>
              <c:xMode val="edge"/>
              <c:yMode val="edge"/>
              <c:x val="2.6315789473684216E-2"/>
              <c:y val="0.310513704124393"/>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648130192"/>
        <c:crosses val="autoZero"/>
        <c:crossBetween val="between"/>
      </c:valAx>
      <c:spPr>
        <a:noFill/>
        <a:ln w="12700">
          <a:solidFill>
            <a:srgbClr val="808080"/>
          </a:solidFill>
          <a:prstDash val="solid"/>
        </a:ln>
      </c:spPr>
    </c:plotArea>
    <c:legend>
      <c:legendPos val="r"/>
      <c:layout>
        <c:manualLayout>
          <c:xMode val="edge"/>
          <c:yMode val="edge"/>
          <c:x val="1.8796992481203006E-2"/>
          <c:y val="0.78484210256114073"/>
          <c:w val="0.96240680441260629"/>
          <c:h val="0.2053792297967644"/>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8245687710088933"/>
          <c:y val="3.178484107579465E-2"/>
        </c:manualLayout>
      </c:layout>
      <c:overlay val="0"/>
      <c:spPr>
        <a:noFill/>
        <a:ln w="25400">
          <a:noFill/>
        </a:ln>
      </c:spPr>
    </c:title>
    <c:autoTitleDeleted val="0"/>
    <c:plotArea>
      <c:layout>
        <c:manualLayout>
          <c:layoutTarget val="inner"/>
          <c:xMode val="edge"/>
          <c:yMode val="edge"/>
          <c:x val="0.12982478382809728"/>
          <c:y val="0.15647940441554828"/>
          <c:w val="0.84912426179458289"/>
          <c:h val="0.52322800851448958"/>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'[souhrnna_zprava_kvalita_cez_2013-v1.xls]Histor'!$E$29:$G$29</c:f>
              <c:numCache>
                <c:formatCode>0.000</c:formatCode>
                <c:ptCount val="3"/>
                <c:pt idx="0">
                  <c:v>128.81142615382029</c:v>
                </c:pt>
                <c:pt idx="1">
                  <c:v>133.73791416157408</c:v>
                </c:pt>
                <c:pt idx="2">
                  <c:v>107.5787546667846</c:v>
                </c:pt>
              </c:numCache>
            </c:numRef>
          </c:val>
          <c:extLst>
            <c:ext xmlns:c16="http://schemas.microsoft.com/office/drawing/2014/chart" uri="{C3380CC4-5D6E-409C-BE32-E72D297353CC}">
              <c16:uniqueId val="{00000000-DD79-45D3-B76F-78FC499D2CC0}"/>
            </c:ext>
          </c:extLst>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'[souhrnna_zprava_kvalita_cez_2013-v1.xls]Histor'!$E$31:$G$31</c:f>
              <c:numCache>
                <c:formatCode>0.000</c:formatCode>
                <c:ptCount val="3"/>
                <c:pt idx="0">
                  <c:v>12.52167788330406</c:v>
                </c:pt>
                <c:pt idx="1">
                  <c:v>10.992021668335616</c:v>
                </c:pt>
                <c:pt idx="2">
                  <c:v>13.66637764196841</c:v>
                </c:pt>
              </c:numCache>
            </c:numRef>
          </c:val>
          <c:extLst>
            <c:ext xmlns:c16="http://schemas.microsoft.com/office/drawing/2014/chart" uri="{C3380CC4-5D6E-409C-BE32-E72D297353CC}">
              <c16:uniqueId val="{00000001-DD79-45D3-B76F-78FC499D2CC0}"/>
            </c:ext>
          </c:extLst>
        </c:ser>
        <c:ser>
          <c:idx val="3"/>
          <c:order val="2"/>
          <c:tx>
            <c:v>neplánovaná ostatní</c:v>
          </c:tx>
          <c:spPr>
            <a:solidFill>
              <a:srgbClr val="C0C0C0"/>
            </a:solidFill>
            <a:ln w="25400">
              <a:noFill/>
            </a:ln>
          </c:spPr>
          <c:invertIfNegative val="0"/>
          <c:val>
            <c:numRef>
              <c:f>'[souhrnna_zprava_kvalita_cez_2013-v1.xls]Histor'!$E$35:$G$35</c:f>
              <c:numCache>
                <c:formatCode>0.000</c:formatCode>
                <c:ptCount val="3"/>
                <c:pt idx="0">
                  <c:v>7.4139720385757766</c:v>
                </c:pt>
                <c:pt idx="1">
                  <c:v>23.018415726716221</c:v>
                </c:pt>
                <c:pt idx="2">
                  <c:v>123.1409234002795</c:v>
                </c:pt>
              </c:numCache>
            </c:numRef>
          </c:val>
          <c:extLst>
            <c:ext xmlns:c16="http://schemas.microsoft.com/office/drawing/2014/chart" uri="{C3380CC4-5D6E-409C-BE32-E72D297353CC}">
              <c16:uniqueId val="{00000002-DD79-45D3-B76F-78FC499D2CC0}"/>
            </c:ext>
          </c:extLst>
        </c:ser>
        <c:ser>
          <c:idx val="4"/>
          <c:order val="3"/>
          <c:tx>
            <c:v>plánovaná</c:v>
          </c:tx>
          <c:spPr>
            <a:solidFill>
              <a:srgbClr val="CCFFFF"/>
            </a:solidFill>
            <a:ln w="25400">
              <a:noFill/>
            </a:ln>
          </c:spPr>
          <c:invertIfNegative val="0"/>
          <c:val>
            <c:numRef>
              <c:f>'[souhrnna_zprava_kvalita_cez_2013-v1.xls]Histor'!$E$25:$G$25</c:f>
              <c:numCache>
                <c:formatCode>0.000</c:formatCode>
                <c:ptCount val="3"/>
                <c:pt idx="0">
                  <c:v>147.91428897642521</c:v>
                </c:pt>
                <c:pt idx="1">
                  <c:v>145.36741617149431</c:v>
                </c:pt>
                <c:pt idx="2">
                  <c:v>157.51059450338823</c:v>
                </c:pt>
              </c:numCache>
            </c:numRef>
          </c:val>
          <c:extLst>
            <c:ext xmlns:c16="http://schemas.microsoft.com/office/drawing/2014/chart" uri="{C3380CC4-5D6E-409C-BE32-E72D297353CC}">
              <c16:uniqueId val="{00000003-DD79-45D3-B76F-78FC499D2CC0}"/>
            </c:ext>
          </c:extLst>
        </c:ser>
        <c:dLbls>
          <c:showLegendKey val="0"/>
          <c:showVal val="0"/>
          <c:showCatName val="0"/>
          <c:showSerName val="0"/>
          <c:showPercent val="0"/>
          <c:showBubbleSize val="0"/>
        </c:dLbls>
        <c:gapWidth val="150"/>
        <c:overlap val="100"/>
        <c:axId val="644677352"/>
        <c:axId val="644678136"/>
      </c:barChart>
      <c:catAx>
        <c:axId val="644677352"/>
        <c:scaling>
          <c:orientation val="minMax"/>
        </c:scaling>
        <c:delete val="0"/>
        <c:axPos val="b"/>
        <c:title>
          <c:tx>
            <c:rich>
              <a:bodyPr/>
              <a:lstStyle/>
              <a:p>
                <a:pPr>
                  <a:defRPr sz="900" b="0" i="0" u="none" strike="noStrike" baseline="0">
                    <a:solidFill>
                      <a:srgbClr val="000000"/>
                    </a:solidFill>
                    <a:latin typeface="Arial"/>
                    <a:ea typeface="Arial"/>
                    <a:cs typeface="Arial"/>
                  </a:defRPr>
                </a:pPr>
                <a:r>
                  <a:rPr lang="cs-CZ"/>
                  <a:t>Rok</a:t>
                </a:r>
              </a:p>
            </c:rich>
          </c:tx>
          <c:layout>
            <c:manualLayout>
              <c:xMode val="edge"/>
              <c:yMode val="edge"/>
              <c:x val="0.53157986830593551"/>
              <c:y val="0.7457220414685333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644678136"/>
        <c:crosses val="autoZero"/>
        <c:auto val="1"/>
        <c:lblAlgn val="ctr"/>
        <c:lblOffset val="100"/>
        <c:tickLblSkip val="1"/>
        <c:tickMarkSkip val="1"/>
        <c:noMultiLvlLbl val="0"/>
      </c:catAx>
      <c:valAx>
        <c:axId val="644678136"/>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SAIDI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[min/rok]</a:t>
                </a:r>
              </a:p>
            </c:rich>
          </c:tx>
          <c:layout>
            <c:manualLayout>
              <c:xMode val="edge"/>
              <c:yMode val="edge"/>
              <c:x val="2.4561403508771947E-2"/>
              <c:y val="0.293398789698965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644677352"/>
        <c:crosses val="autoZero"/>
        <c:crossBetween val="between"/>
      </c:valAx>
      <c:spPr>
        <a:noFill/>
        <a:ln w="12700">
          <a:solidFill>
            <a:srgbClr val="808080"/>
          </a:solidFill>
          <a:prstDash val="solid"/>
        </a:ln>
      </c:spPr>
    </c:plotArea>
    <c:legend>
      <c:legendPos val="r"/>
      <c:layout>
        <c:manualLayout>
          <c:xMode val="edge"/>
          <c:yMode val="edge"/>
          <c:x val="8.771929824561403E-3"/>
          <c:y val="0.78239711478607954"/>
          <c:w val="0.95965078049454389"/>
          <c:h val="0.2053792297967644"/>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6">
                    <a:lumMod val="40000"/>
                    <a:lumOff val="60000"/>
                  </a:schemeClr>
                </a:gs>
                <a:gs pos="67000">
                  <a:srgbClr val="FF7A00"/>
                </a:gs>
                <a:gs pos="100000">
                  <a:schemeClr val="accent6">
                    <a:lumMod val="50000"/>
                  </a:schemeClr>
                </a:gs>
              </a:gsLst>
              <a:lin ang="5400000" scaled="0"/>
            </a:gradFill>
            <a:ln>
              <a:solidFill>
                <a:schemeClr val="accent6">
                  <a:lumMod val="75000"/>
                </a:schemeClr>
              </a:solidFill>
            </a:ln>
          </c:spPr>
          <c:invertIfNegative val="0"/>
          <c:dPt>
            <c:idx val="11"/>
            <c:invertIfNegative val="0"/>
            <c:bubble3D val="0"/>
            <c:spPr>
              <a:solidFill>
                <a:schemeClr val="accent6">
                  <a:lumMod val="75000"/>
                </a:schemeClr>
              </a:solidFill>
              <a:ln>
                <a:solidFill>
                  <a:schemeClr val="accent6">
                    <a:lumMod val="75000"/>
                  </a:schemeClr>
                </a:solidFill>
              </a:ln>
            </c:spPr>
            <c:extLst>
              <c:ext xmlns:c16="http://schemas.microsoft.com/office/drawing/2014/chart" uri="{C3380CC4-5D6E-409C-BE32-E72D297353CC}">
                <c16:uniqueId val="{00000001-051D-492C-8516-DFD9528A1E1A}"/>
              </c:ext>
            </c:extLst>
          </c:dPt>
          <c:dPt>
            <c:idx val="16"/>
            <c:invertIfNegative val="0"/>
            <c:bubble3D val="0"/>
            <c:spPr>
              <a:gradFill>
                <a:gsLst>
                  <a:gs pos="0">
                    <a:schemeClr val="accent6">
                      <a:lumMod val="40000"/>
                      <a:lumOff val="60000"/>
                    </a:schemeClr>
                  </a:gs>
                  <a:gs pos="67000">
                    <a:srgbClr val="FF7A00"/>
                  </a:gs>
                  <a:gs pos="100000">
                    <a:schemeClr val="accent6">
                      <a:lumMod val="50000"/>
                    </a:schemeClr>
                  </a:gs>
                </a:gsLst>
                <a:lin ang="5400000" scaled="0"/>
              </a:gradFill>
              <a:ln w="19050">
                <a:solidFill>
                  <a:srgbClr val="FF0000"/>
                </a:solidFill>
              </a:ln>
            </c:spPr>
            <c:extLst>
              <c:ext xmlns:c16="http://schemas.microsoft.com/office/drawing/2014/chart" uri="{C3380CC4-5D6E-409C-BE32-E72D297353CC}">
                <c16:uniqueId val="{00000003-051D-492C-8516-DFD9528A1E1A}"/>
              </c:ext>
            </c:extLst>
          </c:dPt>
          <c:cat>
            <c:strRef>
              <c:f>Sheet0!$A$5:$A$33</c:f>
              <c:strCache>
                <c:ptCount val="29"/>
                <c:pt idx="0">
                  <c:v>Malta</c:v>
                </c:pt>
                <c:pt idx="1">
                  <c:v>Kypr</c:v>
                </c:pt>
                <c:pt idx="2">
                  <c:v>Francie</c:v>
                </c:pt>
                <c:pt idx="3">
                  <c:v>Řecko</c:v>
                </c:pt>
                <c:pt idx="4">
                  <c:v>Velká Británie</c:v>
                </c:pt>
                <c:pt idx="5">
                  <c:v>Bulharsko</c:v>
                </c:pt>
                <c:pt idx="6">
                  <c:v>Irsko</c:v>
                </c:pt>
                <c:pt idx="7">
                  <c:v>Slovinsko</c:v>
                </c:pt>
                <c:pt idx="8">
                  <c:v>Španělsko</c:v>
                </c:pt>
                <c:pt idx="9">
                  <c:v>Švédsko</c:v>
                </c:pt>
                <c:pt idx="10">
                  <c:v>Estonsko</c:v>
                </c:pt>
                <c:pt idx="11">
                  <c:v>EU-27</c:v>
                </c:pt>
                <c:pt idx="12">
                  <c:v>Itálie</c:v>
                </c:pt>
                <c:pt idx="13">
                  <c:v>Rumunsko</c:v>
                </c:pt>
                <c:pt idx="14">
                  <c:v>Lucembursko</c:v>
                </c:pt>
                <c:pt idx="15">
                  <c:v>Portugalsko</c:v>
                </c:pt>
                <c:pt idx="16">
                  <c:v>Česko</c:v>
                </c:pt>
                <c:pt idx="17">
                  <c:v>Německo</c:v>
                </c:pt>
                <c:pt idx="18">
                  <c:v>Rakousko</c:v>
                </c:pt>
                <c:pt idx="19">
                  <c:v>Belgie</c:v>
                </c:pt>
                <c:pt idx="20">
                  <c:v>Polsko</c:v>
                </c:pt>
                <c:pt idx="21">
                  <c:v>Maďarsko</c:v>
                </c:pt>
                <c:pt idx="22">
                  <c:v>Chorvatsko</c:v>
                </c:pt>
                <c:pt idx="23">
                  <c:v>Slovensko</c:v>
                </c:pt>
                <c:pt idx="24">
                  <c:v>Nizozemí</c:v>
                </c:pt>
                <c:pt idx="25">
                  <c:v>Finsko</c:v>
                </c:pt>
                <c:pt idx="26">
                  <c:v>Litva</c:v>
                </c:pt>
                <c:pt idx="27">
                  <c:v>Dánsko</c:v>
                </c:pt>
                <c:pt idx="28">
                  <c:v>Lotyšsko</c:v>
                </c:pt>
              </c:strCache>
            </c:strRef>
          </c:cat>
          <c:val>
            <c:numRef>
              <c:f>Sheet0!$B$5:$B$33</c:f>
              <c:numCache>
                <c:formatCode>General</c:formatCode>
                <c:ptCount val="29"/>
                <c:pt idx="0">
                  <c:v>0</c:v>
                </c:pt>
                <c:pt idx="1">
                  <c:v>0.9</c:v>
                </c:pt>
                <c:pt idx="2">
                  <c:v>2.8</c:v>
                </c:pt>
                <c:pt idx="3">
                  <c:v>4.5</c:v>
                </c:pt>
                <c:pt idx="4">
                  <c:v>6.3</c:v>
                </c:pt>
                <c:pt idx="5">
                  <c:v>6.7</c:v>
                </c:pt>
                <c:pt idx="6">
                  <c:v>7.1</c:v>
                </c:pt>
                <c:pt idx="7">
                  <c:v>7.1</c:v>
                </c:pt>
                <c:pt idx="8">
                  <c:v>7.6</c:v>
                </c:pt>
                <c:pt idx="9">
                  <c:v>10</c:v>
                </c:pt>
                <c:pt idx="10">
                  <c:v>10.4</c:v>
                </c:pt>
                <c:pt idx="11">
                  <c:v>11.2</c:v>
                </c:pt>
                <c:pt idx="12">
                  <c:v>11.5</c:v>
                </c:pt>
                <c:pt idx="13">
                  <c:v>11.7</c:v>
                </c:pt>
                <c:pt idx="14">
                  <c:v>12.1</c:v>
                </c:pt>
                <c:pt idx="15">
                  <c:v>12.7</c:v>
                </c:pt>
                <c:pt idx="16">
                  <c:v>12.8</c:v>
                </c:pt>
                <c:pt idx="17">
                  <c:v>13.1</c:v>
                </c:pt>
                <c:pt idx="18">
                  <c:v>15.7</c:v>
                </c:pt>
                <c:pt idx="19">
                  <c:v>16</c:v>
                </c:pt>
                <c:pt idx="20">
                  <c:v>16.600000000000001</c:v>
                </c:pt>
                <c:pt idx="21">
                  <c:v>16.600000000000001</c:v>
                </c:pt>
                <c:pt idx="22">
                  <c:v>20.399999999999999</c:v>
                </c:pt>
                <c:pt idx="23">
                  <c:v>24.5</c:v>
                </c:pt>
                <c:pt idx="24">
                  <c:v>32.5</c:v>
                </c:pt>
                <c:pt idx="25">
                  <c:v>36.200000000000003</c:v>
                </c:pt>
                <c:pt idx="26">
                  <c:v>37.5</c:v>
                </c:pt>
                <c:pt idx="27">
                  <c:v>46.2</c:v>
                </c:pt>
                <c:pt idx="28">
                  <c:v>47.4</c:v>
                </c:pt>
              </c:numCache>
            </c:numRef>
          </c:val>
          <c:extLst>
            <c:ext xmlns:c16="http://schemas.microsoft.com/office/drawing/2014/chart" uri="{C3380CC4-5D6E-409C-BE32-E72D297353CC}">
              <c16:uniqueId val="{00000004-051D-492C-8516-DFD9528A1E1A}"/>
            </c:ext>
          </c:extLst>
        </c:ser>
        <c:dLbls>
          <c:showLegendKey val="0"/>
          <c:showVal val="0"/>
          <c:showCatName val="0"/>
          <c:showSerName val="0"/>
          <c:showPercent val="0"/>
          <c:showBubbleSize val="0"/>
        </c:dLbls>
        <c:gapWidth val="40"/>
        <c:axId val="379258568"/>
        <c:axId val="379258960"/>
      </c:barChart>
      <c:catAx>
        <c:axId val="379258568"/>
        <c:scaling>
          <c:orientation val="minMax"/>
        </c:scaling>
        <c:delete val="0"/>
        <c:axPos val="b"/>
        <c:numFmt formatCode="General" sourceLinked="1"/>
        <c:majorTickMark val="out"/>
        <c:minorTickMark val="none"/>
        <c:tickLblPos val="nextTo"/>
        <c:crossAx val="379258960"/>
        <c:crosses val="autoZero"/>
        <c:auto val="1"/>
        <c:lblAlgn val="ctr"/>
        <c:lblOffset val="100"/>
        <c:noMultiLvlLbl val="0"/>
      </c:catAx>
      <c:valAx>
        <c:axId val="379258960"/>
        <c:scaling>
          <c:orientation val="minMax"/>
        </c:scaling>
        <c:delete val="0"/>
        <c:axPos val="l"/>
        <c:majorGridlines/>
        <c:title>
          <c:tx>
            <c:rich>
              <a:bodyPr rot="-5400000" vert="horz"/>
              <a:lstStyle/>
              <a:p>
                <a:pPr>
                  <a:defRPr/>
                </a:pPr>
                <a:r>
                  <a:rPr lang="cs-CZ"/>
                  <a:t>% z hrubé výroby elektřiny </a:t>
                </a:r>
              </a:p>
            </c:rich>
          </c:tx>
          <c:overlay val="0"/>
        </c:title>
        <c:numFmt formatCode="General" sourceLinked="1"/>
        <c:majorTickMark val="out"/>
        <c:minorTickMark val="none"/>
        <c:tickLblPos val="nextTo"/>
        <c:crossAx val="3792585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0C014-2DBD-434A-A877-91D7508C6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3514</TotalTime>
  <Pages>251</Pages>
  <Words>78470</Words>
  <Characters>462973</Characters>
  <Application>Microsoft Office Word</Application>
  <DocSecurity>0</DocSecurity>
  <Lines>3858</Lines>
  <Paragraphs>1080</Paragraphs>
  <ScaleCrop>false</ScaleCrop>
  <HeadingPairs>
    <vt:vector size="2" baseType="variant">
      <vt:variant>
        <vt:lpstr>Název</vt:lpstr>
      </vt:variant>
      <vt:variant>
        <vt:i4>1</vt:i4>
      </vt:variant>
    </vt:vector>
  </HeadingPairs>
  <TitlesOfParts>
    <vt:vector size="1" baseType="lpstr">
      <vt:lpstr>MINISTERSTVO PRŮMYSLU A OBCHODU</vt:lpstr>
    </vt:vector>
  </TitlesOfParts>
  <Company>Ministerstvo průmyslu a obchodu</Company>
  <LinksUpToDate>false</LinksUpToDate>
  <CharactersWithSpaces>540363</CharactersWithSpaces>
  <SharedDoc>false</SharedDoc>
  <HLinks>
    <vt:vector size="1806" baseType="variant">
      <vt:variant>
        <vt:i4>1835074</vt:i4>
      </vt:variant>
      <vt:variant>
        <vt:i4>1458</vt:i4>
      </vt:variant>
      <vt:variant>
        <vt:i4>0</vt:i4>
      </vt:variant>
      <vt:variant>
        <vt:i4>5</vt:i4>
      </vt:variant>
      <vt:variant>
        <vt:lpwstr>http://cmzrb.cz/</vt:lpwstr>
      </vt:variant>
      <vt:variant>
        <vt:lpwstr/>
      </vt:variant>
      <vt:variant>
        <vt:i4>5308440</vt:i4>
      </vt:variant>
      <vt:variant>
        <vt:i4>1455</vt:i4>
      </vt:variant>
      <vt:variant>
        <vt:i4>0</vt:i4>
      </vt:variant>
      <vt:variant>
        <vt:i4>5</vt:i4>
      </vt:variant>
      <vt:variant>
        <vt:lpwstr>https://www.czech-ba.cz/</vt:lpwstr>
      </vt:variant>
      <vt:variant>
        <vt:lpwstr/>
      </vt:variant>
      <vt:variant>
        <vt:i4>589834</vt:i4>
      </vt:variant>
      <vt:variant>
        <vt:i4>1452</vt:i4>
      </vt:variant>
      <vt:variant>
        <vt:i4>0</vt:i4>
      </vt:variant>
      <vt:variant>
        <vt:i4>5</vt:i4>
      </vt:variant>
      <vt:variant>
        <vt:lpwstr>http://www.smocr.cz/</vt:lpwstr>
      </vt:variant>
      <vt:variant>
        <vt:lpwstr/>
      </vt:variant>
      <vt:variant>
        <vt:i4>2490417</vt:i4>
      </vt:variant>
      <vt:variant>
        <vt:i4>1449</vt:i4>
      </vt:variant>
      <vt:variant>
        <vt:i4>0</vt:i4>
      </vt:variant>
      <vt:variant>
        <vt:i4>5</vt:i4>
      </vt:variant>
      <vt:variant>
        <vt:lpwstr>http://www.mmr.cz/cs/Uvodni-strana</vt:lpwstr>
      </vt:variant>
      <vt:variant>
        <vt:lpwstr/>
      </vt:variant>
      <vt:variant>
        <vt:i4>8323108</vt:i4>
      </vt:variant>
      <vt:variant>
        <vt:i4>1446</vt:i4>
      </vt:variant>
      <vt:variant>
        <vt:i4>0</vt:i4>
      </vt:variant>
      <vt:variant>
        <vt:i4>5</vt:i4>
      </vt:variant>
      <vt:variant>
        <vt:lpwstr>http://www.cvca.cz/</vt:lpwstr>
      </vt:variant>
      <vt:variant>
        <vt:lpwstr/>
      </vt:variant>
      <vt:variant>
        <vt:i4>5308440</vt:i4>
      </vt:variant>
      <vt:variant>
        <vt:i4>1443</vt:i4>
      </vt:variant>
      <vt:variant>
        <vt:i4>0</vt:i4>
      </vt:variant>
      <vt:variant>
        <vt:i4>5</vt:i4>
      </vt:variant>
      <vt:variant>
        <vt:lpwstr>https://www.czech-ba.cz/</vt:lpwstr>
      </vt:variant>
      <vt:variant>
        <vt:lpwstr/>
      </vt:variant>
      <vt:variant>
        <vt:i4>589834</vt:i4>
      </vt:variant>
      <vt:variant>
        <vt:i4>1440</vt:i4>
      </vt:variant>
      <vt:variant>
        <vt:i4>0</vt:i4>
      </vt:variant>
      <vt:variant>
        <vt:i4>5</vt:i4>
      </vt:variant>
      <vt:variant>
        <vt:lpwstr>http://www.smocr.cz/</vt:lpwstr>
      </vt:variant>
      <vt:variant>
        <vt:lpwstr/>
      </vt:variant>
      <vt:variant>
        <vt:i4>1835035</vt:i4>
      </vt:variant>
      <vt:variant>
        <vt:i4>1437</vt:i4>
      </vt:variant>
      <vt:variant>
        <vt:i4>0</vt:i4>
      </vt:variant>
      <vt:variant>
        <vt:i4>5</vt:i4>
      </vt:variant>
      <vt:variant>
        <vt:lpwstr>http://www.cmzrb.cz/</vt:lpwstr>
      </vt:variant>
      <vt:variant>
        <vt:lpwstr/>
      </vt:variant>
      <vt:variant>
        <vt:i4>1572878</vt:i4>
      </vt:variant>
      <vt:variant>
        <vt:i4>1434</vt:i4>
      </vt:variant>
      <vt:variant>
        <vt:i4>0</vt:i4>
      </vt:variant>
      <vt:variant>
        <vt:i4>5</vt:i4>
      </vt:variant>
      <vt:variant>
        <vt:lpwstr>http://www.vlada.cz/cz/ppov/ekonomicka-rada/narodni-ekonomicka-rada-vlady-51371/</vt:lpwstr>
      </vt:variant>
      <vt:variant>
        <vt:lpwstr/>
      </vt:variant>
      <vt:variant>
        <vt:i4>3997757</vt:i4>
      </vt:variant>
      <vt:variant>
        <vt:i4>1431</vt:i4>
      </vt:variant>
      <vt:variant>
        <vt:i4>0</vt:i4>
      </vt:variant>
      <vt:variant>
        <vt:i4>5</vt:i4>
      </vt:variant>
      <vt:variant>
        <vt:lpwstr>http://www.praha.eu/jnp/cz/home/index.html</vt:lpwstr>
      </vt:variant>
      <vt:variant>
        <vt:lpwstr/>
      </vt:variant>
      <vt:variant>
        <vt:i4>7602295</vt:i4>
      </vt:variant>
      <vt:variant>
        <vt:i4>1428</vt:i4>
      </vt:variant>
      <vt:variant>
        <vt:i4>0</vt:i4>
      </vt:variant>
      <vt:variant>
        <vt:i4>5</vt:i4>
      </vt:variant>
      <vt:variant>
        <vt:lpwstr>http://www.vse.cz/</vt:lpwstr>
      </vt:variant>
      <vt:variant>
        <vt:lpwstr/>
      </vt:variant>
      <vt:variant>
        <vt:i4>7405680</vt:i4>
      </vt:variant>
      <vt:variant>
        <vt:i4>1425</vt:i4>
      </vt:variant>
      <vt:variant>
        <vt:i4>0</vt:i4>
      </vt:variant>
      <vt:variant>
        <vt:i4>5</vt:i4>
      </vt:variant>
      <vt:variant>
        <vt:lpwstr>http://www.ctu.cz/</vt:lpwstr>
      </vt:variant>
      <vt:variant>
        <vt:lpwstr/>
      </vt:variant>
      <vt:variant>
        <vt:i4>6553716</vt:i4>
      </vt:variant>
      <vt:variant>
        <vt:i4>1422</vt:i4>
      </vt:variant>
      <vt:variant>
        <vt:i4>0</vt:i4>
      </vt:variant>
      <vt:variant>
        <vt:i4>5</vt:i4>
      </vt:variant>
      <vt:variant>
        <vt:lpwstr>http://nsmascr.cz/o-nas/mistni-akncni-skupiny/</vt:lpwstr>
      </vt:variant>
      <vt:variant>
        <vt:lpwstr/>
      </vt:variant>
      <vt:variant>
        <vt:i4>6422654</vt:i4>
      </vt:variant>
      <vt:variant>
        <vt:i4>1419</vt:i4>
      </vt:variant>
      <vt:variant>
        <vt:i4>0</vt:i4>
      </vt:variant>
      <vt:variant>
        <vt:i4>5</vt:i4>
      </vt:variant>
      <vt:variant>
        <vt:lpwstr>http://www.asociacenno.cz/</vt:lpwstr>
      </vt:variant>
      <vt:variant>
        <vt:lpwstr/>
      </vt:variant>
      <vt:variant>
        <vt:i4>7143470</vt:i4>
      </vt:variant>
      <vt:variant>
        <vt:i4>1416</vt:i4>
      </vt:variant>
      <vt:variant>
        <vt:i4>0</vt:i4>
      </vt:variant>
      <vt:variant>
        <vt:i4>5</vt:i4>
      </vt:variant>
      <vt:variant>
        <vt:lpwstr>http://www.amsp.cz/</vt:lpwstr>
      </vt:variant>
      <vt:variant>
        <vt:lpwstr/>
      </vt:variant>
      <vt:variant>
        <vt:i4>7274542</vt:i4>
      </vt:variant>
      <vt:variant>
        <vt:i4>1413</vt:i4>
      </vt:variant>
      <vt:variant>
        <vt:i4>0</vt:i4>
      </vt:variant>
      <vt:variant>
        <vt:i4>5</vt:i4>
      </vt:variant>
      <vt:variant>
        <vt:lpwstr>http://www.socr.cz/</vt:lpwstr>
      </vt:variant>
      <vt:variant>
        <vt:lpwstr/>
      </vt:variant>
      <vt:variant>
        <vt:i4>589834</vt:i4>
      </vt:variant>
      <vt:variant>
        <vt:i4>1410</vt:i4>
      </vt:variant>
      <vt:variant>
        <vt:i4>0</vt:i4>
      </vt:variant>
      <vt:variant>
        <vt:i4>5</vt:i4>
      </vt:variant>
      <vt:variant>
        <vt:lpwstr>http://www.smocr.cz/</vt:lpwstr>
      </vt:variant>
      <vt:variant>
        <vt:lpwstr/>
      </vt:variant>
      <vt:variant>
        <vt:i4>7274545</vt:i4>
      </vt:variant>
      <vt:variant>
        <vt:i4>1407</vt:i4>
      </vt:variant>
      <vt:variant>
        <vt:i4>0</vt:i4>
      </vt:variant>
      <vt:variant>
        <vt:i4>5</vt:i4>
      </vt:variant>
      <vt:variant>
        <vt:lpwstr>http://www.spcr.cz/</vt:lpwstr>
      </vt:variant>
      <vt:variant>
        <vt:lpwstr/>
      </vt:variant>
      <vt:variant>
        <vt:i4>983058</vt:i4>
      </vt:variant>
      <vt:variant>
        <vt:i4>1404</vt:i4>
      </vt:variant>
      <vt:variant>
        <vt:i4>0</vt:i4>
      </vt:variant>
      <vt:variant>
        <vt:i4>5</vt:i4>
      </vt:variant>
      <vt:variant>
        <vt:lpwstr>http://www.mdcr.cz/cs/default.htm</vt:lpwstr>
      </vt:variant>
      <vt:variant>
        <vt:lpwstr/>
      </vt:variant>
      <vt:variant>
        <vt:i4>3997757</vt:i4>
      </vt:variant>
      <vt:variant>
        <vt:i4>1401</vt:i4>
      </vt:variant>
      <vt:variant>
        <vt:i4>0</vt:i4>
      </vt:variant>
      <vt:variant>
        <vt:i4>5</vt:i4>
      </vt:variant>
      <vt:variant>
        <vt:lpwstr>http://www.praha.eu/jnp/cz/home/index.html</vt:lpwstr>
      </vt:variant>
      <vt:variant>
        <vt:lpwstr/>
      </vt:variant>
      <vt:variant>
        <vt:i4>262160</vt:i4>
      </vt:variant>
      <vt:variant>
        <vt:i4>1398</vt:i4>
      </vt:variant>
      <vt:variant>
        <vt:i4>0</vt:i4>
      </vt:variant>
      <vt:variant>
        <vt:i4>5</vt:i4>
      </vt:variant>
      <vt:variant>
        <vt:lpwstr>http://www.sanceprobudovy.cz/cs.html?start=20</vt:lpwstr>
      </vt:variant>
      <vt:variant>
        <vt:lpwstr/>
      </vt:variant>
      <vt:variant>
        <vt:i4>327698</vt:i4>
      </vt:variant>
      <vt:variant>
        <vt:i4>1395</vt:i4>
      </vt:variant>
      <vt:variant>
        <vt:i4>0</vt:i4>
      </vt:variant>
      <vt:variant>
        <vt:i4>5</vt:i4>
      </vt:variant>
      <vt:variant>
        <vt:lpwstr>http://www.csres.cz/</vt:lpwstr>
      </vt:variant>
      <vt:variant>
        <vt:lpwstr/>
      </vt:variant>
      <vt:variant>
        <vt:i4>6815794</vt:i4>
      </vt:variant>
      <vt:variant>
        <vt:i4>1392</vt:i4>
      </vt:variant>
      <vt:variant>
        <vt:i4>0</vt:i4>
      </vt:variant>
      <vt:variant>
        <vt:i4>5</vt:i4>
      </vt:variant>
      <vt:variant>
        <vt:lpwstr>http://www.tscr.cz/</vt:lpwstr>
      </vt:variant>
      <vt:variant>
        <vt:lpwstr/>
      </vt:variant>
      <vt:variant>
        <vt:i4>6553658</vt:i4>
      </vt:variant>
      <vt:variant>
        <vt:i4>1389</vt:i4>
      </vt:variant>
      <vt:variant>
        <vt:i4>0</vt:i4>
      </vt:variant>
      <vt:variant>
        <vt:i4>5</vt:i4>
      </vt:variant>
      <vt:variant>
        <vt:lpwstr>http://www.kzps.cz/</vt:lpwstr>
      </vt:variant>
      <vt:variant>
        <vt:lpwstr/>
      </vt:variant>
      <vt:variant>
        <vt:i4>6553716</vt:i4>
      </vt:variant>
      <vt:variant>
        <vt:i4>1386</vt:i4>
      </vt:variant>
      <vt:variant>
        <vt:i4>0</vt:i4>
      </vt:variant>
      <vt:variant>
        <vt:i4>5</vt:i4>
      </vt:variant>
      <vt:variant>
        <vt:lpwstr>http://nsmascr.cz/o-nas/mistni-akncni-skupiny/</vt:lpwstr>
      </vt:variant>
      <vt:variant>
        <vt:lpwstr/>
      </vt:variant>
      <vt:variant>
        <vt:i4>18</vt:i4>
      </vt:variant>
      <vt:variant>
        <vt:i4>1383</vt:i4>
      </vt:variant>
      <vt:variant>
        <vt:i4>0</vt:i4>
      </vt:variant>
      <vt:variant>
        <vt:i4>5</vt:i4>
      </vt:variant>
      <vt:variant>
        <vt:lpwstr>http://www.asvep.cz/</vt:lpwstr>
      </vt:variant>
      <vt:variant>
        <vt:lpwstr/>
      </vt:variant>
      <vt:variant>
        <vt:i4>7143550</vt:i4>
      </vt:variant>
      <vt:variant>
        <vt:i4>1380</vt:i4>
      </vt:variant>
      <vt:variant>
        <vt:i4>0</vt:i4>
      </vt:variant>
      <vt:variant>
        <vt:i4>5</vt:i4>
      </vt:variant>
      <vt:variant>
        <vt:lpwstr>http://www.oze.cz/</vt:lpwstr>
      </vt:variant>
      <vt:variant>
        <vt:lpwstr/>
      </vt:variant>
      <vt:variant>
        <vt:i4>8061033</vt:i4>
      </vt:variant>
      <vt:variant>
        <vt:i4>1377</vt:i4>
      </vt:variant>
      <vt:variant>
        <vt:i4>0</vt:i4>
      </vt:variant>
      <vt:variant>
        <vt:i4>5</vt:i4>
      </vt:variant>
      <vt:variant>
        <vt:lpwstr>http://apes.cz/</vt:lpwstr>
      </vt:variant>
      <vt:variant>
        <vt:lpwstr/>
      </vt:variant>
      <vt:variant>
        <vt:i4>6946938</vt:i4>
      </vt:variant>
      <vt:variant>
        <vt:i4>1374</vt:i4>
      </vt:variant>
      <vt:variant>
        <vt:i4>0</vt:i4>
      </vt:variant>
      <vt:variant>
        <vt:i4>5</vt:i4>
      </vt:variant>
      <vt:variant>
        <vt:lpwstr>http://adtt.cz/</vt:lpwstr>
      </vt:variant>
      <vt:variant>
        <vt:lpwstr/>
      </vt:variant>
      <vt:variant>
        <vt:i4>6422654</vt:i4>
      </vt:variant>
      <vt:variant>
        <vt:i4>1371</vt:i4>
      </vt:variant>
      <vt:variant>
        <vt:i4>0</vt:i4>
      </vt:variant>
      <vt:variant>
        <vt:i4>5</vt:i4>
      </vt:variant>
      <vt:variant>
        <vt:lpwstr>http://www.asociacenno.cz/</vt:lpwstr>
      </vt:variant>
      <vt:variant>
        <vt:lpwstr/>
      </vt:variant>
      <vt:variant>
        <vt:i4>7143470</vt:i4>
      </vt:variant>
      <vt:variant>
        <vt:i4>1368</vt:i4>
      </vt:variant>
      <vt:variant>
        <vt:i4>0</vt:i4>
      </vt:variant>
      <vt:variant>
        <vt:i4>5</vt:i4>
      </vt:variant>
      <vt:variant>
        <vt:lpwstr>http://www.amsp.cz/</vt:lpwstr>
      </vt:variant>
      <vt:variant>
        <vt:lpwstr/>
      </vt:variant>
      <vt:variant>
        <vt:i4>6815792</vt:i4>
      </vt:variant>
      <vt:variant>
        <vt:i4>1365</vt:i4>
      </vt:variant>
      <vt:variant>
        <vt:i4>0</vt:i4>
      </vt:variant>
      <vt:variant>
        <vt:i4>5</vt:i4>
      </vt:variant>
      <vt:variant>
        <vt:lpwstr>http://www.spds.cz/</vt:lpwstr>
      </vt:variant>
      <vt:variant>
        <vt:lpwstr/>
      </vt:variant>
      <vt:variant>
        <vt:i4>589834</vt:i4>
      </vt:variant>
      <vt:variant>
        <vt:i4>1362</vt:i4>
      </vt:variant>
      <vt:variant>
        <vt:i4>0</vt:i4>
      </vt:variant>
      <vt:variant>
        <vt:i4>5</vt:i4>
      </vt:variant>
      <vt:variant>
        <vt:lpwstr>http://www.smocr.cz/</vt:lpwstr>
      </vt:variant>
      <vt:variant>
        <vt:lpwstr/>
      </vt:variant>
      <vt:variant>
        <vt:i4>7274545</vt:i4>
      </vt:variant>
      <vt:variant>
        <vt:i4>1359</vt:i4>
      </vt:variant>
      <vt:variant>
        <vt:i4>0</vt:i4>
      </vt:variant>
      <vt:variant>
        <vt:i4>5</vt:i4>
      </vt:variant>
      <vt:variant>
        <vt:lpwstr>http://www.spcr.cz/</vt:lpwstr>
      </vt:variant>
      <vt:variant>
        <vt:lpwstr/>
      </vt:variant>
      <vt:variant>
        <vt:i4>983113</vt:i4>
      </vt:variant>
      <vt:variant>
        <vt:i4>1356</vt:i4>
      </vt:variant>
      <vt:variant>
        <vt:i4>0</vt:i4>
      </vt:variant>
      <vt:variant>
        <vt:i4>5</vt:i4>
      </vt:variant>
      <vt:variant>
        <vt:lpwstr>http://www.agrocr.cz/</vt:lpwstr>
      </vt:variant>
      <vt:variant>
        <vt:lpwstr/>
      </vt:variant>
      <vt:variant>
        <vt:i4>7077930</vt:i4>
      </vt:variant>
      <vt:variant>
        <vt:i4>1353</vt:i4>
      </vt:variant>
      <vt:variant>
        <vt:i4>0</vt:i4>
      </vt:variant>
      <vt:variant>
        <vt:i4>5</vt:i4>
      </vt:variant>
      <vt:variant>
        <vt:lpwstr>http://www.pkcr.cz/</vt:lpwstr>
      </vt:variant>
      <vt:variant>
        <vt:lpwstr/>
      </vt:variant>
      <vt:variant>
        <vt:i4>720978</vt:i4>
      </vt:variant>
      <vt:variant>
        <vt:i4>1350</vt:i4>
      </vt:variant>
      <vt:variant>
        <vt:i4>0</vt:i4>
      </vt:variant>
      <vt:variant>
        <vt:i4>5</vt:i4>
      </vt:variant>
      <vt:variant>
        <vt:lpwstr>http://www.komora.cz/</vt:lpwstr>
      </vt:variant>
      <vt:variant>
        <vt:lpwstr/>
      </vt:variant>
      <vt:variant>
        <vt:i4>3997757</vt:i4>
      </vt:variant>
      <vt:variant>
        <vt:i4>1347</vt:i4>
      </vt:variant>
      <vt:variant>
        <vt:i4>0</vt:i4>
      </vt:variant>
      <vt:variant>
        <vt:i4>5</vt:i4>
      </vt:variant>
      <vt:variant>
        <vt:lpwstr>http://www.praha.eu/jnp/cz/home/index.html</vt:lpwstr>
      </vt:variant>
      <vt:variant>
        <vt:lpwstr/>
      </vt:variant>
      <vt:variant>
        <vt:i4>7274601</vt:i4>
      </vt:variant>
      <vt:variant>
        <vt:i4>1344</vt:i4>
      </vt:variant>
      <vt:variant>
        <vt:i4>0</vt:i4>
      </vt:variant>
      <vt:variant>
        <vt:i4>5</vt:i4>
      </vt:variant>
      <vt:variant>
        <vt:lpwstr>http://fpvs.cz/</vt:lpwstr>
      </vt:variant>
      <vt:variant>
        <vt:lpwstr/>
      </vt:variant>
      <vt:variant>
        <vt:i4>6553716</vt:i4>
      </vt:variant>
      <vt:variant>
        <vt:i4>1341</vt:i4>
      </vt:variant>
      <vt:variant>
        <vt:i4>0</vt:i4>
      </vt:variant>
      <vt:variant>
        <vt:i4>5</vt:i4>
      </vt:variant>
      <vt:variant>
        <vt:lpwstr>http://nsmascr.cz/o-nas/mistni-akncni-skupiny/</vt:lpwstr>
      </vt:variant>
      <vt:variant>
        <vt:lpwstr/>
      </vt:variant>
      <vt:variant>
        <vt:i4>6422654</vt:i4>
      </vt:variant>
      <vt:variant>
        <vt:i4>1338</vt:i4>
      </vt:variant>
      <vt:variant>
        <vt:i4>0</vt:i4>
      </vt:variant>
      <vt:variant>
        <vt:i4>5</vt:i4>
      </vt:variant>
      <vt:variant>
        <vt:lpwstr>http://www.asociacenno.cz/</vt:lpwstr>
      </vt:variant>
      <vt:variant>
        <vt:lpwstr/>
      </vt:variant>
      <vt:variant>
        <vt:i4>262158</vt:i4>
      </vt:variant>
      <vt:variant>
        <vt:i4>1335</vt:i4>
      </vt:variant>
      <vt:variant>
        <vt:i4>0</vt:i4>
      </vt:variant>
      <vt:variant>
        <vt:i4>5</vt:i4>
      </vt:variant>
      <vt:variant>
        <vt:lpwstr>http://www.aipcr.cz/</vt:lpwstr>
      </vt:variant>
      <vt:variant>
        <vt:lpwstr/>
      </vt:variant>
      <vt:variant>
        <vt:i4>7143470</vt:i4>
      </vt:variant>
      <vt:variant>
        <vt:i4>1332</vt:i4>
      </vt:variant>
      <vt:variant>
        <vt:i4>0</vt:i4>
      </vt:variant>
      <vt:variant>
        <vt:i4>5</vt:i4>
      </vt:variant>
      <vt:variant>
        <vt:lpwstr>http://www.amsp.cz/</vt:lpwstr>
      </vt:variant>
      <vt:variant>
        <vt:lpwstr/>
      </vt:variant>
      <vt:variant>
        <vt:i4>1900561</vt:i4>
      </vt:variant>
      <vt:variant>
        <vt:i4>1329</vt:i4>
      </vt:variant>
      <vt:variant>
        <vt:i4>0</vt:i4>
      </vt:variant>
      <vt:variant>
        <vt:i4>5</vt:i4>
      </vt:variant>
      <vt:variant>
        <vt:lpwstr>http://www.scmvd.cz/</vt:lpwstr>
      </vt:variant>
      <vt:variant>
        <vt:lpwstr/>
      </vt:variant>
      <vt:variant>
        <vt:i4>3211360</vt:i4>
      </vt:variant>
      <vt:variant>
        <vt:i4>1326</vt:i4>
      </vt:variant>
      <vt:variant>
        <vt:i4>0</vt:i4>
      </vt:variant>
      <vt:variant>
        <vt:i4>5</vt:i4>
      </vt:variant>
      <vt:variant>
        <vt:lpwstr>http://www.sps.cz/index.ASP</vt:lpwstr>
      </vt:variant>
      <vt:variant>
        <vt:lpwstr/>
      </vt:variant>
      <vt:variant>
        <vt:i4>7274542</vt:i4>
      </vt:variant>
      <vt:variant>
        <vt:i4>1323</vt:i4>
      </vt:variant>
      <vt:variant>
        <vt:i4>0</vt:i4>
      </vt:variant>
      <vt:variant>
        <vt:i4>5</vt:i4>
      </vt:variant>
      <vt:variant>
        <vt:lpwstr>http://www.socr.cz/</vt:lpwstr>
      </vt:variant>
      <vt:variant>
        <vt:lpwstr/>
      </vt:variant>
      <vt:variant>
        <vt:i4>7274545</vt:i4>
      </vt:variant>
      <vt:variant>
        <vt:i4>1320</vt:i4>
      </vt:variant>
      <vt:variant>
        <vt:i4>0</vt:i4>
      </vt:variant>
      <vt:variant>
        <vt:i4>5</vt:i4>
      </vt:variant>
      <vt:variant>
        <vt:lpwstr>http://www.spcr.cz/</vt:lpwstr>
      </vt:variant>
      <vt:variant>
        <vt:lpwstr/>
      </vt:variant>
      <vt:variant>
        <vt:i4>1835035</vt:i4>
      </vt:variant>
      <vt:variant>
        <vt:i4>1317</vt:i4>
      </vt:variant>
      <vt:variant>
        <vt:i4>0</vt:i4>
      </vt:variant>
      <vt:variant>
        <vt:i4>5</vt:i4>
      </vt:variant>
      <vt:variant>
        <vt:lpwstr>http://www.cmzrb.cz/</vt:lpwstr>
      </vt:variant>
      <vt:variant>
        <vt:lpwstr/>
      </vt:variant>
      <vt:variant>
        <vt:i4>720978</vt:i4>
      </vt:variant>
      <vt:variant>
        <vt:i4>1314</vt:i4>
      </vt:variant>
      <vt:variant>
        <vt:i4>0</vt:i4>
      </vt:variant>
      <vt:variant>
        <vt:i4>5</vt:i4>
      </vt:variant>
      <vt:variant>
        <vt:lpwstr>http://www.komora.cz/</vt:lpwstr>
      </vt:variant>
      <vt:variant>
        <vt:lpwstr/>
      </vt:variant>
      <vt:variant>
        <vt:i4>6815865</vt:i4>
      </vt:variant>
      <vt:variant>
        <vt:i4>1311</vt:i4>
      </vt:variant>
      <vt:variant>
        <vt:i4>0</vt:i4>
      </vt:variant>
      <vt:variant>
        <vt:i4>5</vt:i4>
      </vt:variant>
      <vt:variant>
        <vt:lpwstr>http://tacr.cz/</vt:lpwstr>
      </vt:variant>
      <vt:variant>
        <vt:lpwstr/>
      </vt:variant>
      <vt:variant>
        <vt:i4>7209069</vt:i4>
      </vt:variant>
      <vt:variant>
        <vt:i4>1308</vt:i4>
      </vt:variant>
      <vt:variant>
        <vt:i4>0</vt:i4>
      </vt:variant>
      <vt:variant>
        <vt:i4>5</vt:i4>
      </vt:variant>
      <vt:variant>
        <vt:lpwstr>http://www.jic.cz/</vt:lpwstr>
      </vt:variant>
      <vt:variant>
        <vt:lpwstr/>
      </vt:variant>
      <vt:variant>
        <vt:i4>983058</vt:i4>
      </vt:variant>
      <vt:variant>
        <vt:i4>1305</vt:i4>
      </vt:variant>
      <vt:variant>
        <vt:i4>0</vt:i4>
      </vt:variant>
      <vt:variant>
        <vt:i4>5</vt:i4>
      </vt:variant>
      <vt:variant>
        <vt:lpwstr>http://www.mdcr.cz/cs/default.htm</vt:lpwstr>
      </vt:variant>
      <vt:variant>
        <vt:lpwstr/>
      </vt:variant>
      <vt:variant>
        <vt:i4>2949225</vt:i4>
      </vt:variant>
      <vt:variant>
        <vt:i4>1302</vt:i4>
      </vt:variant>
      <vt:variant>
        <vt:i4>0</vt:i4>
      </vt:variant>
      <vt:variant>
        <vt:i4>5</vt:i4>
      </vt:variant>
      <vt:variant>
        <vt:lpwstr>http://www.mpsv.cz/cs/</vt:lpwstr>
      </vt:variant>
      <vt:variant>
        <vt:lpwstr/>
      </vt:variant>
      <vt:variant>
        <vt:i4>7405610</vt:i4>
      </vt:variant>
      <vt:variant>
        <vt:i4>1299</vt:i4>
      </vt:variant>
      <vt:variant>
        <vt:i4>0</vt:i4>
      </vt:variant>
      <vt:variant>
        <vt:i4>5</vt:i4>
      </vt:variant>
      <vt:variant>
        <vt:lpwstr>http://www.mkcr.cz/</vt:lpwstr>
      </vt:variant>
      <vt:variant>
        <vt:lpwstr/>
      </vt:variant>
      <vt:variant>
        <vt:i4>8323124</vt:i4>
      </vt:variant>
      <vt:variant>
        <vt:i4>1296</vt:i4>
      </vt:variant>
      <vt:variant>
        <vt:i4>0</vt:i4>
      </vt:variant>
      <vt:variant>
        <vt:i4>5</vt:i4>
      </vt:variant>
      <vt:variant>
        <vt:lpwstr>http://www.msmt.cz/</vt:lpwstr>
      </vt:variant>
      <vt:variant>
        <vt:lpwstr/>
      </vt:variant>
      <vt:variant>
        <vt:i4>3997757</vt:i4>
      </vt:variant>
      <vt:variant>
        <vt:i4>1293</vt:i4>
      </vt:variant>
      <vt:variant>
        <vt:i4>0</vt:i4>
      </vt:variant>
      <vt:variant>
        <vt:i4>5</vt:i4>
      </vt:variant>
      <vt:variant>
        <vt:lpwstr>http://www.praha.eu/jnp/cz/home/index.html</vt:lpwstr>
      </vt:variant>
      <vt:variant>
        <vt:lpwstr/>
      </vt:variant>
      <vt:variant>
        <vt:i4>6553716</vt:i4>
      </vt:variant>
      <vt:variant>
        <vt:i4>1290</vt:i4>
      </vt:variant>
      <vt:variant>
        <vt:i4>0</vt:i4>
      </vt:variant>
      <vt:variant>
        <vt:i4>5</vt:i4>
      </vt:variant>
      <vt:variant>
        <vt:lpwstr>http://nsmascr.cz/o-nas/mistni-akncni-skupiny/</vt:lpwstr>
      </vt:variant>
      <vt:variant>
        <vt:lpwstr/>
      </vt:variant>
      <vt:variant>
        <vt:i4>7340144</vt:i4>
      </vt:variant>
      <vt:variant>
        <vt:i4>1287</vt:i4>
      </vt:variant>
      <vt:variant>
        <vt:i4>0</vt:i4>
      </vt:variant>
      <vt:variant>
        <vt:i4>5</vt:i4>
      </vt:variant>
      <vt:variant>
        <vt:lpwstr>http://www.utb.cz/</vt:lpwstr>
      </vt:variant>
      <vt:variant>
        <vt:lpwstr/>
      </vt:variant>
      <vt:variant>
        <vt:i4>8126506</vt:i4>
      </vt:variant>
      <vt:variant>
        <vt:i4>1284</vt:i4>
      </vt:variant>
      <vt:variant>
        <vt:i4>0</vt:i4>
      </vt:variant>
      <vt:variant>
        <vt:i4>5</vt:i4>
      </vt:variant>
      <vt:variant>
        <vt:lpwstr>http://crc.muni.cz/</vt:lpwstr>
      </vt:variant>
      <vt:variant>
        <vt:lpwstr/>
      </vt:variant>
      <vt:variant>
        <vt:i4>6553658</vt:i4>
      </vt:variant>
      <vt:variant>
        <vt:i4>1281</vt:i4>
      </vt:variant>
      <vt:variant>
        <vt:i4>0</vt:i4>
      </vt:variant>
      <vt:variant>
        <vt:i4>5</vt:i4>
      </vt:variant>
      <vt:variant>
        <vt:lpwstr>http://www.kzps.cz/</vt:lpwstr>
      </vt:variant>
      <vt:variant>
        <vt:lpwstr/>
      </vt:variant>
      <vt:variant>
        <vt:i4>6422654</vt:i4>
      </vt:variant>
      <vt:variant>
        <vt:i4>1278</vt:i4>
      </vt:variant>
      <vt:variant>
        <vt:i4>0</vt:i4>
      </vt:variant>
      <vt:variant>
        <vt:i4>5</vt:i4>
      </vt:variant>
      <vt:variant>
        <vt:lpwstr>http://www.asociacenno.cz/</vt:lpwstr>
      </vt:variant>
      <vt:variant>
        <vt:lpwstr/>
      </vt:variant>
      <vt:variant>
        <vt:i4>7143470</vt:i4>
      </vt:variant>
      <vt:variant>
        <vt:i4>1275</vt:i4>
      </vt:variant>
      <vt:variant>
        <vt:i4>0</vt:i4>
      </vt:variant>
      <vt:variant>
        <vt:i4>5</vt:i4>
      </vt:variant>
      <vt:variant>
        <vt:lpwstr>http://www.amsp.cz/</vt:lpwstr>
      </vt:variant>
      <vt:variant>
        <vt:lpwstr/>
      </vt:variant>
      <vt:variant>
        <vt:i4>262158</vt:i4>
      </vt:variant>
      <vt:variant>
        <vt:i4>1272</vt:i4>
      </vt:variant>
      <vt:variant>
        <vt:i4>0</vt:i4>
      </vt:variant>
      <vt:variant>
        <vt:i4>5</vt:i4>
      </vt:variant>
      <vt:variant>
        <vt:lpwstr>http://www.aipcr.cz/</vt:lpwstr>
      </vt:variant>
      <vt:variant>
        <vt:lpwstr/>
      </vt:variant>
      <vt:variant>
        <vt:i4>6881394</vt:i4>
      </vt:variant>
      <vt:variant>
        <vt:i4>1269</vt:i4>
      </vt:variant>
      <vt:variant>
        <vt:i4>0</vt:i4>
      </vt:variant>
      <vt:variant>
        <vt:i4>5</vt:i4>
      </vt:variant>
      <vt:variant>
        <vt:lpwstr>http://www.avo.cz/</vt:lpwstr>
      </vt:variant>
      <vt:variant>
        <vt:lpwstr/>
      </vt:variant>
      <vt:variant>
        <vt:i4>589834</vt:i4>
      </vt:variant>
      <vt:variant>
        <vt:i4>1266</vt:i4>
      </vt:variant>
      <vt:variant>
        <vt:i4>0</vt:i4>
      </vt:variant>
      <vt:variant>
        <vt:i4>5</vt:i4>
      </vt:variant>
      <vt:variant>
        <vt:lpwstr>http://www.smocr.cz/</vt:lpwstr>
      </vt:variant>
      <vt:variant>
        <vt:lpwstr/>
      </vt:variant>
      <vt:variant>
        <vt:i4>7274542</vt:i4>
      </vt:variant>
      <vt:variant>
        <vt:i4>1263</vt:i4>
      </vt:variant>
      <vt:variant>
        <vt:i4>0</vt:i4>
      </vt:variant>
      <vt:variant>
        <vt:i4>5</vt:i4>
      </vt:variant>
      <vt:variant>
        <vt:lpwstr>http://www.socr.cz/</vt:lpwstr>
      </vt:variant>
      <vt:variant>
        <vt:lpwstr/>
      </vt:variant>
      <vt:variant>
        <vt:i4>7274545</vt:i4>
      </vt:variant>
      <vt:variant>
        <vt:i4>1260</vt:i4>
      </vt:variant>
      <vt:variant>
        <vt:i4>0</vt:i4>
      </vt:variant>
      <vt:variant>
        <vt:i4>5</vt:i4>
      </vt:variant>
      <vt:variant>
        <vt:lpwstr>http://www.spcr.cz/</vt:lpwstr>
      </vt:variant>
      <vt:variant>
        <vt:lpwstr/>
      </vt:variant>
      <vt:variant>
        <vt:i4>7077930</vt:i4>
      </vt:variant>
      <vt:variant>
        <vt:i4>1257</vt:i4>
      </vt:variant>
      <vt:variant>
        <vt:i4>0</vt:i4>
      </vt:variant>
      <vt:variant>
        <vt:i4>5</vt:i4>
      </vt:variant>
      <vt:variant>
        <vt:lpwstr>http://www.pkcr.cz/</vt:lpwstr>
      </vt:variant>
      <vt:variant>
        <vt:lpwstr/>
      </vt:variant>
      <vt:variant>
        <vt:i4>720978</vt:i4>
      </vt:variant>
      <vt:variant>
        <vt:i4>1254</vt:i4>
      </vt:variant>
      <vt:variant>
        <vt:i4>0</vt:i4>
      </vt:variant>
      <vt:variant>
        <vt:i4>5</vt:i4>
      </vt:variant>
      <vt:variant>
        <vt:lpwstr>http://www.komora.cz/</vt:lpwstr>
      </vt:variant>
      <vt:variant>
        <vt:lpwstr/>
      </vt:variant>
      <vt:variant>
        <vt:i4>7209069</vt:i4>
      </vt:variant>
      <vt:variant>
        <vt:i4>1251</vt:i4>
      </vt:variant>
      <vt:variant>
        <vt:i4>0</vt:i4>
      </vt:variant>
      <vt:variant>
        <vt:i4>5</vt:i4>
      </vt:variant>
      <vt:variant>
        <vt:lpwstr>http://www.jic.cz/</vt:lpwstr>
      </vt:variant>
      <vt:variant>
        <vt:lpwstr/>
      </vt:variant>
      <vt:variant>
        <vt:i4>4653068</vt:i4>
      </vt:variant>
      <vt:variant>
        <vt:i4>1248</vt:i4>
      </vt:variant>
      <vt:variant>
        <vt:i4>0</vt:i4>
      </vt:variant>
      <vt:variant>
        <vt:i4>5</vt:i4>
      </vt:variant>
      <vt:variant>
        <vt:lpwstr>http://www.tc.cz/cs/</vt:lpwstr>
      </vt:variant>
      <vt:variant>
        <vt:lpwstr/>
      </vt:variant>
      <vt:variant>
        <vt:i4>6815865</vt:i4>
      </vt:variant>
      <vt:variant>
        <vt:i4>1245</vt:i4>
      </vt:variant>
      <vt:variant>
        <vt:i4>0</vt:i4>
      </vt:variant>
      <vt:variant>
        <vt:i4>5</vt:i4>
      </vt:variant>
      <vt:variant>
        <vt:lpwstr>http://tacr.cz/</vt:lpwstr>
      </vt:variant>
      <vt:variant>
        <vt:lpwstr/>
      </vt:variant>
      <vt:variant>
        <vt:i4>983058</vt:i4>
      </vt:variant>
      <vt:variant>
        <vt:i4>1242</vt:i4>
      </vt:variant>
      <vt:variant>
        <vt:i4>0</vt:i4>
      </vt:variant>
      <vt:variant>
        <vt:i4>5</vt:i4>
      </vt:variant>
      <vt:variant>
        <vt:lpwstr>http://www.mdcr.cz/cs/default.htm</vt:lpwstr>
      </vt:variant>
      <vt:variant>
        <vt:lpwstr/>
      </vt:variant>
      <vt:variant>
        <vt:i4>7405610</vt:i4>
      </vt:variant>
      <vt:variant>
        <vt:i4>1239</vt:i4>
      </vt:variant>
      <vt:variant>
        <vt:i4>0</vt:i4>
      </vt:variant>
      <vt:variant>
        <vt:i4>5</vt:i4>
      </vt:variant>
      <vt:variant>
        <vt:lpwstr>http://www.mkcr.cz/</vt:lpwstr>
      </vt:variant>
      <vt:variant>
        <vt:lpwstr/>
      </vt:variant>
      <vt:variant>
        <vt:i4>8323124</vt:i4>
      </vt:variant>
      <vt:variant>
        <vt:i4>1236</vt:i4>
      </vt:variant>
      <vt:variant>
        <vt:i4>0</vt:i4>
      </vt:variant>
      <vt:variant>
        <vt:i4>5</vt:i4>
      </vt:variant>
      <vt:variant>
        <vt:lpwstr>http://www.msmt.cz/</vt:lpwstr>
      </vt:variant>
      <vt:variant>
        <vt:lpwstr/>
      </vt:variant>
      <vt:variant>
        <vt:i4>3997757</vt:i4>
      </vt:variant>
      <vt:variant>
        <vt:i4>1233</vt:i4>
      </vt:variant>
      <vt:variant>
        <vt:i4>0</vt:i4>
      </vt:variant>
      <vt:variant>
        <vt:i4>5</vt:i4>
      </vt:variant>
      <vt:variant>
        <vt:lpwstr>http://www.praha.eu/jnp/cz/home/index.html</vt:lpwstr>
      </vt:variant>
      <vt:variant>
        <vt:lpwstr/>
      </vt:variant>
      <vt:variant>
        <vt:i4>7274534</vt:i4>
      </vt:variant>
      <vt:variant>
        <vt:i4>1230</vt:i4>
      </vt:variant>
      <vt:variant>
        <vt:i4>0</vt:i4>
      </vt:variant>
      <vt:variant>
        <vt:i4>5</vt:i4>
      </vt:variant>
      <vt:variant>
        <vt:lpwstr>http://www.czso.cz/</vt:lpwstr>
      </vt:variant>
      <vt:variant>
        <vt:lpwstr/>
      </vt:variant>
      <vt:variant>
        <vt:i4>6553716</vt:i4>
      </vt:variant>
      <vt:variant>
        <vt:i4>1227</vt:i4>
      </vt:variant>
      <vt:variant>
        <vt:i4>0</vt:i4>
      </vt:variant>
      <vt:variant>
        <vt:i4>5</vt:i4>
      </vt:variant>
      <vt:variant>
        <vt:lpwstr>http://nsmascr.cz/o-nas/mistni-akncni-skupiny/</vt:lpwstr>
      </vt:variant>
      <vt:variant>
        <vt:lpwstr/>
      </vt:variant>
      <vt:variant>
        <vt:i4>6422654</vt:i4>
      </vt:variant>
      <vt:variant>
        <vt:i4>1224</vt:i4>
      </vt:variant>
      <vt:variant>
        <vt:i4>0</vt:i4>
      </vt:variant>
      <vt:variant>
        <vt:i4>5</vt:i4>
      </vt:variant>
      <vt:variant>
        <vt:lpwstr>http://www.asociacenno.cz/</vt:lpwstr>
      </vt:variant>
      <vt:variant>
        <vt:lpwstr/>
      </vt:variant>
      <vt:variant>
        <vt:i4>1835016</vt:i4>
      </vt:variant>
      <vt:variant>
        <vt:i4>1221</vt:i4>
      </vt:variant>
      <vt:variant>
        <vt:i4>0</vt:i4>
      </vt:variant>
      <vt:variant>
        <vt:i4>5</vt:i4>
      </vt:variant>
      <vt:variant>
        <vt:lpwstr>http://www.asociacekraju.cz/</vt:lpwstr>
      </vt:variant>
      <vt:variant>
        <vt:lpwstr/>
      </vt:variant>
      <vt:variant>
        <vt:i4>7143470</vt:i4>
      </vt:variant>
      <vt:variant>
        <vt:i4>1218</vt:i4>
      </vt:variant>
      <vt:variant>
        <vt:i4>0</vt:i4>
      </vt:variant>
      <vt:variant>
        <vt:i4>5</vt:i4>
      </vt:variant>
      <vt:variant>
        <vt:lpwstr>http://www.amsp.cz/</vt:lpwstr>
      </vt:variant>
      <vt:variant>
        <vt:lpwstr/>
      </vt:variant>
      <vt:variant>
        <vt:i4>6553658</vt:i4>
      </vt:variant>
      <vt:variant>
        <vt:i4>1215</vt:i4>
      </vt:variant>
      <vt:variant>
        <vt:i4>0</vt:i4>
      </vt:variant>
      <vt:variant>
        <vt:i4>5</vt:i4>
      </vt:variant>
      <vt:variant>
        <vt:lpwstr>http://www.kzps.cz/</vt:lpwstr>
      </vt:variant>
      <vt:variant>
        <vt:lpwstr/>
      </vt:variant>
      <vt:variant>
        <vt:i4>1835014</vt:i4>
      </vt:variant>
      <vt:variant>
        <vt:i4>1212</vt:i4>
      </vt:variant>
      <vt:variant>
        <vt:i4>0</vt:i4>
      </vt:variant>
      <vt:variant>
        <vt:i4>5</vt:i4>
      </vt:variant>
      <vt:variant>
        <vt:lpwstr>http://www.cmkos.cz/</vt:lpwstr>
      </vt:variant>
      <vt:variant>
        <vt:lpwstr/>
      </vt:variant>
      <vt:variant>
        <vt:i4>1376266</vt:i4>
      </vt:variant>
      <vt:variant>
        <vt:i4>1209</vt:i4>
      </vt:variant>
      <vt:variant>
        <vt:i4>0</vt:i4>
      </vt:variant>
      <vt:variant>
        <vt:i4>5</vt:i4>
      </vt:variant>
      <vt:variant>
        <vt:lpwstr>http://www.smscr.cz/</vt:lpwstr>
      </vt:variant>
      <vt:variant>
        <vt:lpwstr/>
      </vt:variant>
      <vt:variant>
        <vt:i4>589834</vt:i4>
      </vt:variant>
      <vt:variant>
        <vt:i4>1206</vt:i4>
      </vt:variant>
      <vt:variant>
        <vt:i4>0</vt:i4>
      </vt:variant>
      <vt:variant>
        <vt:i4>5</vt:i4>
      </vt:variant>
      <vt:variant>
        <vt:lpwstr>http://www.smocr.cz/</vt:lpwstr>
      </vt:variant>
      <vt:variant>
        <vt:lpwstr/>
      </vt:variant>
      <vt:variant>
        <vt:i4>3211360</vt:i4>
      </vt:variant>
      <vt:variant>
        <vt:i4>1203</vt:i4>
      </vt:variant>
      <vt:variant>
        <vt:i4>0</vt:i4>
      </vt:variant>
      <vt:variant>
        <vt:i4>5</vt:i4>
      </vt:variant>
      <vt:variant>
        <vt:lpwstr>http://www.sps.cz/index.ASP</vt:lpwstr>
      </vt:variant>
      <vt:variant>
        <vt:lpwstr/>
      </vt:variant>
      <vt:variant>
        <vt:i4>7274542</vt:i4>
      </vt:variant>
      <vt:variant>
        <vt:i4>1200</vt:i4>
      </vt:variant>
      <vt:variant>
        <vt:i4>0</vt:i4>
      </vt:variant>
      <vt:variant>
        <vt:i4>5</vt:i4>
      </vt:variant>
      <vt:variant>
        <vt:lpwstr>http://www.socr.cz/</vt:lpwstr>
      </vt:variant>
      <vt:variant>
        <vt:lpwstr/>
      </vt:variant>
      <vt:variant>
        <vt:i4>7274545</vt:i4>
      </vt:variant>
      <vt:variant>
        <vt:i4>1197</vt:i4>
      </vt:variant>
      <vt:variant>
        <vt:i4>0</vt:i4>
      </vt:variant>
      <vt:variant>
        <vt:i4>5</vt:i4>
      </vt:variant>
      <vt:variant>
        <vt:lpwstr>http://www.spcr.cz/</vt:lpwstr>
      </vt:variant>
      <vt:variant>
        <vt:lpwstr/>
      </vt:variant>
      <vt:variant>
        <vt:i4>5898269</vt:i4>
      </vt:variant>
      <vt:variant>
        <vt:i4>1194</vt:i4>
      </vt:variant>
      <vt:variant>
        <vt:i4>0</vt:i4>
      </vt:variant>
      <vt:variant>
        <vt:i4>5</vt:i4>
      </vt:variant>
      <vt:variant>
        <vt:lpwstr>http://www.vyzkum.cz/FrontClanek.aspx?idsekce=496</vt:lpwstr>
      </vt:variant>
      <vt:variant>
        <vt:lpwstr/>
      </vt:variant>
      <vt:variant>
        <vt:i4>1835035</vt:i4>
      </vt:variant>
      <vt:variant>
        <vt:i4>1191</vt:i4>
      </vt:variant>
      <vt:variant>
        <vt:i4>0</vt:i4>
      </vt:variant>
      <vt:variant>
        <vt:i4>5</vt:i4>
      </vt:variant>
      <vt:variant>
        <vt:lpwstr>http://www.cmzrb.cz/</vt:lpwstr>
      </vt:variant>
      <vt:variant>
        <vt:lpwstr/>
      </vt:variant>
      <vt:variant>
        <vt:i4>6815865</vt:i4>
      </vt:variant>
      <vt:variant>
        <vt:i4>1188</vt:i4>
      </vt:variant>
      <vt:variant>
        <vt:i4>0</vt:i4>
      </vt:variant>
      <vt:variant>
        <vt:i4>5</vt:i4>
      </vt:variant>
      <vt:variant>
        <vt:lpwstr>http://tacr.cz/</vt:lpwstr>
      </vt:variant>
      <vt:variant>
        <vt:lpwstr/>
      </vt:variant>
      <vt:variant>
        <vt:i4>7077930</vt:i4>
      </vt:variant>
      <vt:variant>
        <vt:i4>1185</vt:i4>
      </vt:variant>
      <vt:variant>
        <vt:i4>0</vt:i4>
      </vt:variant>
      <vt:variant>
        <vt:i4>5</vt:i4>
      </vt:variant>
      <vt:variant>
        <vt:lpwstr>http://www.pkcr.cz/</vt:lpwstr>
      </vt:variant>
      <vt:variant>
        <vt:lpwstr/>
      </vt:variant>
      <vt:variant>
        <vt:i4>720978</vt:i4>
      </vt:variant>
      <vt:variant>
        <vt:i4>1182</vt:i4>
      </vt:variant>
      <vt:variant>
        <vt:i4>0</vt:i4>
      </vt:variant>
      <vt:variant>
        <vt:i4>5</vt:i4>
      </vt:variant>
      <vt:variant>
        <vt:lpwstr>http://www.komora.cz/</vt:lpwstr>
      </vt:variant>
      <vt:variant>
        <vt:lpwstr/>
      </vt:variant>
      <vt:variant>
        <vt:i4>3276832</vt:i4>
      </vt:variant>
      <vt:variant>
        <vt:i4>1179</vt:i4>
      </vt:variant>
      <vt:variant>
        <vt:i4>0</vt:i4>
      </vt:variant>
      <vt:variant>
        <vt:i4>5</vt:i4>
      </vt:variant>
      <vt:variant>
        <vt:lpwstr>http://czechinvest.org/</vt:lpwstr>
      </vt:variant>
      <vt:variant>
        <vt:lpwstr/>
      </vt:variant>
      <vt:variant>
        <vt:i4>983058</vt:i4>
      </vt:variant>
      <vt:variant>
        <vt:i4>1176</vt:i4>
      </vt:variant>
      <vt:variant>
        <vt:i4>0</vt:i4>
      </vt:variant>
      <vt:variant>
        <vt:i4>5</vt:i4>
      </vt:variant>
      <vt:variant>
        <vt:lpwstr>http://www.mdcr.cz/cs/default.htm</vt:lpwstr>
      </vt:variant>
      <vt:variant>
        <vt:lpwstr/>
      </vt:variant>
      <vt:variant>
        <vt:i4>1638426</vt:i4>
      </vt:variant>
      <vt:variant>
        <vt:i4>1173</vt:i4>
      </vt:variant>
      <vt:variant>
        <vt:i4>0</vt:i4>
      </vt:variant>
      <vt:variant>
        <vt:i4>5</vt:i4>
      </vt:variant>
      <vt:variant>
        <vt:lpwstr>http://eagri.cz/public/web/mze/ministerstvo-zemedelstvi/</vt:lpwstr>
      </vt:variant>
      <vt:variant>
        <vt:lpwstr/>
      </vt:variant>
      <vt:variant>
        <vt:i4>8323124</vt:i4>
      </vt:variant>
      <vt:variant>
        <vt:i4>1170</vt:i4>
      </vt:variant>
      <vt:variant>
        <vt:i4>0</vt:i4>
      </vt:variant>
      <vt:variant>
        <vt:i4>5</vt:i4>
      </vt:variant>
      <vt:variant>
        <vt:lpwstr>http://www.msmt.cz/</vt:lpwstr>
      </vt:variant>
      <vt:variant>
        <vt:lpwstr/>
      </vt:variant>
      <vt:variant>
        <vt:i4>2949225</vt:i4>
      </vt:variant>
      <vt:variant>
        <vt:i4>1167</vt:i4>
      </vt:variant>
      <vt:variant>
        <vt:i4>0</vt:i4>
      </vt:variant>
      <vt:variant>
        <vt:i4>5</vt:i4>
      </vt:variant>
      <vt:variant>
        <vt:lpwstr>http://www.mpsv.cz/cs/</vt:lpwstr>
      </vt:variant>
      <vt:variant>
        <vt:lpwstr/>
      </vt:variant>
      <vt:variant>
        <vt:i4>7995431</vt:i4>
      </vt:variant>
      <vt:variant>
        <vt:i4>1164</vt:i4>
      </vt:variant>
      <vt:variant>
        <vt:i4>0</vt:i4>
      </vt:variant>
      <vt:variant>
        <vt:i4>5</vt:i4>
      </vt:variant>
      <vt:variant>
        <vt:lpwstr>http://mzp.cz/</vt:lpwstr>
      </vt:variant>
      <vt:variant>
        <vt:lpwstr/>
      </vt:variant>
      <vt:variant>
        <vt:i4>4784152</vt:i4>
      </vt:variant>
      <vt:variant>
        <vt:i4>1161</vt:i4>
      </vt:variant>
      <vt:variant>
        <vt:i4>0</vt:i4>
      </vt:variant>
      <vt:variant>
        <vt:i4>5</vt:i4>
      </vt:variant>
      <vt:variant>
        <vt:lpwstr>http://www.mfcr.cz/cps/rde/xchg/</vt:lpwstr>
      </vt:variant>
      <vt:variant>
        <vt:lpwstr/>
      </vt:variant>
      <vt:variant>
        <vt:i4>2490417</vt:i4>
      </vt:variant>
      <vt:variant>
        <vt:i4>1158</vt:i4>
      </vt:variant>
      <vt:variant>
        <vt:i4>0</vt:i4>
      </vt:variant>
      <vt:variant>
        <vt:i4>5</vt:i4>
      </vt:variant>
      <vt:variant>
        <vt:lpwstr>http://www.mmr.cz/cs/Uvodni-strana</vt:lpwstr>
      </vt:variant>
      <vt:variant>
        <vt:lpwstr/>
      </vt:variant>
      <vt:variant>
        <vt:i4>5111892</vt:i4>
      </vt:variant>
      <vt:variant>
        <vt:i4>1146</vt:i4>
      </vt:variant>
      <vt:variant>
        <vt:i4>0</vt:i4>
      </vt:variant>
      <vt:variant>
        <vt:i4>5</vt:i4>
      </vt:variant>
      <vt:variant>
        <vt:lpwstr>http://www.vlada.cz/assets/evropske-zalezitosti/aktualne/NPR-2014.pdf</vt:lpwstr>
      </vt:variant>
      <vt:variant>
        <vt:lpwstr/>
      </vt:variant>
      <vt:variant>
        <vt:i4>5963805</vt:i4>
      </vt:variant>
      <vt:variant>
        <vt:i4>1143</vt:i4>
      </vt:variant>
      <vt:variant>
        <vt:i4>0</vt:i4>
      </vt:variant>
      <vt:variant>
        <vt:i4>5</vt:i4>
      </vt:variant>
      <vt:variant>
        <vt:lpwstr>http://www.mpo.cz/dokument119071.html</vt:lpwstr>
      </vt:variant>
      <vt:variant>
        <vt:lpwstr/>
      </vt:variant>
      <vt:variant>
        <vt:i4>5767196</vt:i4>
      </vt:variant>
      <vt:variant>
        <vt:i4>1140</vt:i4>
      </vt:variant>
      <vt:variant>
        <vt:i4>0</vt:i4>
      </vt:variant>
      <vt:variant>
        <vt:i4>5</vt:i4>
      </vt:variant>
      <vt:variant>
        <vt:lpwstr>http://www.vlada.cz/assets/media-centrum/aktualne/Strategie-mezinarodni-konkurenceschopnosti-Ceske-republiky.pdf</vt:lpwstr>
      </vt:variant>
      <vt:variant>
        <vt:lpwstr/>
      </vt:variant>
      <vt:variant>
        <vt:i4>6160403</vt:i4>
      </vt:variant>
      <vt:variant>
        <vt:i4>1137</vt:i4>
      </vt:variant>
      <vt:variant>
        <vt:i4>0</vt:i4>
      </vt:variant>
      <vt:variant>
        <vt:i4>5</vt:i4>
      </vt:variant>
      <vt:variant>
        <vt:lpwstr>http://www.mpo.cz/dokument144140.html</vt:lpwstr>
      </vt:variant>
      <vt:variant>
        <vt:lpwstr/>
      </vt:variant>
      <vt:variant>
        <vt:i4>5111892</vt:i4>
      </vt:variant>
      <vt:variant>
        <vt:i4>1134</vt:i4>
      </vt:variant>
      <vt:variant>
        <vt:i4>0</vt:i4>
      </vt:variant>
      <vt:variant>
        <vt:i4>5</vt:i4>
      </vt:variant>
      <vt:variant>
        <vt:lpwstr>http://www.vlada.cz/assets/evropske-zalezitosti/aktualne/NPR-2014.pdf</vt:lpwstr>
      </vt:variant>
      <vt:variant>
        <vt:lpwstr/>
      </vt:variant>
      <vt:variant>
        <vt:i4>5963805</vt:i4>
      </vt:variant>
      <vt:variant>
        <vt:i4>1131</vt:i4>
      </vt:variant>
      <vt:variant>
        <vt:i4>0</vt:i4>
      </vt:variant>
      <vt:variant>
        <vt:i4>5</vt:i4>
      </vt:variant>
      <vt:variant>
        <vt:lpwstr>http://www.mpo.cz/dokument119071.html</vt:lpwstr>
      </vt:variant>
      <vt:variant>
        <vt:lpwstr/>
      </vt:variant>
      <vt:variant>
        <vt:i4>5767196</vt:i4>
      </vt:variant>
      <vt:variant>
        <vt:i4>1128</vt:i4>
      </vt:variant>
      <vt:variant>
        <vt:i4>0</vt:i4>
      </vt:variant>
      <vt:variant>
        <vt:i4>5</vt:i4>
      </vt:variant>
      <vt:variant>
        <vt:lpwstr>http://www.vlada.cz/assets/media-centrum/aktualne/Strategie-mezinarodni-konkurenceschopnosti-Ceske-republiky.pdf</vt:lpwstr>
      </vt:variant>
      <vt:variant>
        <vt:lpwstr/>
      </vt:variant>
      <vt:variant>
        <vt:i4>6750266</vt:i4>
      </vt:variant>
      <vt:variant>
        <vt:i4>1125</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1122</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1119</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1116</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1113</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1110</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1107</vt:i4>
      </vt:variant>
      <vt:variant>
        <vt:i4>0</vt:i4>
      </vt:variant>
      <vt:variant>
        <vt:i4>5</vt:i4>
      </vt:variant>
      <vt:variant>
        <vt:lpwstr>http://portal.gov.cz/app/zakony/zakonPar.jsp?idBiblio=49962&amp;fulltext=&amp;nr=458~2F2000&amp;part=&amp;name=&amp;rpp=15</vt:lpwstr>
      </vt:variant>
      <vt:variant>
        <vt:lpwstr>local-content</vt:lpwstr>
      </vt:variant>
      <vt:variant>
        <vt:i4>1310807</vt:i4>
      </vt:variant>
      <vt:variant>
        <vt:i4>1104</vt:i4>
      </vt:variant>
      <vt:variant>
        <vt:i4>0</vt:i4>
      </vt:variant>
      <vt:variant>
        <vt:i4>5</vt:i4>
      </vt:variant>
      <vt:variant>
        <vt:lpwstr>http://databaze-strategie.cz/cz/mpo/strategie/narodni-akcni-plan-cr-pro-energii-z-obnovitelnych-zdroju-2010-2020</vt:lpwstr>
      </vt:variant>
      <vt:variant>
        <vt:lpwstr/>
      </vt:variant>
      <vt:variant>
        <vt:i4>4915239</vt:i4>
      </vt:variant>
      <vt:variant>
        <vt:i4>1101</vt:i4>
      </vt:variant>
      <vt:variant>
        <vt:i4>0</vt:i4>
      </vt:variant>
      <vt:variant>
        <vt:i4>5</vt:i4>
      </vt:variant>
      <vt:variant>
        <vt:lpwstr>http://www.eru.cz/dias-browse_articles.php?parentId=384&amp;deep=off&amp;type=</vt:lpwstr>
      </vt:variant>
      <vt:variant>
        <vt:lpwstr/>
      </vt:variant>
      <vt:variant>
        <vt:i4>6357045</vt:i4>
      </vt:variant>
      <vt:variant>
        <vt:i4>1098</vt:i4>
      </vt:variant>
      <vt:variant>
        <vt:i4>0</vt:i4>
      </vt:variant>
      <vt:variant>
        <vt:i4>5</vt:i4>
      </vt:variant>
      <vt:variant>
        <vt:lpwstr>http://portal.gov.cz/app/zakony/zakonPar.jsp?idBiblio=77573&amp;fulltext=&amp;nr=165~2F2012&amp;part=&amp;name=&amp;rpp=15</vt:lpwstr>
      </vt:variant>
      <vt:variant>
        <vt:lpwstr>local-content</vt:lpwstr>
      </vt:variant>
      <vt:variant>
        <vt:i4>2162759</vt:i4>
      </vt:variant>
      <vt:variant>
        <vt:i4>1095</vt:i4>
      </vt:variant>
      <vt:variant>
        <vt:i4>0</vt:i4>
      </vt:variant>
      <vt:variant>
        <vt:i4>5</vt:i4>
      </vt:variant>
      <vt:variant>
        <vt:lpwstr>http://www.eru.cz/dias-browse_articles.php?parentId=91&amp;deep=off&amp;type=</vt:lpwstr>
      </vt:variant>
      <vt:variant>
        <vt:lpwstr/>
      </vt:variant>
      <vt:variant>
        <vt:i4>6750266</vt:i4>
      </vt:variant>
      <vt:variant>
        <vt:i4>1092</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1089</vt:i4>
      </vt:variant>
      <vt:variant>
        <vt:i4>0</vt:i4>
      </vt:variant>
      <vt:variant>
        <vt:i4>5</vt:i4>
      </vt:variant>
      <vt:variant>
        <vt:lpwstr>http://portal.gov.cz/app/zakony/zakonPar.jsp?idBiblio=49857&amp;fulltext=&amp;nr=406~2F2000&amp;part=&amp;name=&amp;rpp=15</vt:lpwstr>
      </vt:variant>
      <vt:variant>
        <vt:lpwstr>local-content</vt:lpwstr>
      </vt:variant>
      <vt:variant>
        <vt:i4>2162759</vt:i4>
      </vt:variant>
      <vt:variant>
        <vt:i4>1086</vt:i4>
      </vt:variant>
      <vt:variant>
        <vt:i4>0</vt:i4>
      </vt:variant>
      <vt:variant>
        <vt:i4>5</vt:i4>
      </vt:variant>
      <vt:variant>
        <vt:lpwstr>http://www.eru.cz/dias-browse_articles.php?parentId=91&amp;deep=off&amp;type=</vt:lpwstr>
      </vt:variant>
      <vt:variant>
        <vt:lpwstr/>
      </vt:variant>
      <vt:variant>
        <vt:i4>6750266</vt:i4>
      </vt:variant>
      <vt:variant>
        <vt:i4>1083</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1080</vt:i4>
      </vt:variant>
      <vt:variant>
        <vt:i4>0</vt:i4>
      </vt:variant>
      <vt:variant>
        <vt:i4>5</vt:i4>
      </vt:variant>
      <vt:variant>
        <vt:lpwstr>http://portal.gov.cz/app/zakony/zakonPar.jsp?idBiblio=49857&amp;fulltext=&amp;nr=406~2F2000&amp;part=&amp;name=&amp;rpp=15</vt:lpwstr>
      </vt:variant>
      <vt:variant>
        <vt:lpwstr>local-content</vt:lpwstr>
      </vt:variant>
      <vt:variant>
        <vt:i4>1245231</vt:i4>
      </vt:variant>
      <vt:variant>
        <vt:i4>1077</vt:i4>
      </vt:variant>
      <vt:variant>
        <vt:i4>0</vt:i4>
      </vt:variant>
      <vt:variant>
        <vt:i4>5</vt:i4>
      </vt:variant>
      <vt:variant>
        <vt:lpwstr>http://ec.europa.eu/energy/efficiency/eed/reporting_en.htm</vt:lpwstr>
      </vt:variant>
      <vt:variant>
        <vt:lpwstr/>
      </vt:variant>
      <vt:variant>
        <vt:i4>7209012</vt:i4>
      </vt:variant>
      <vt:variant>
        <vt:i4>1074</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1071</vt:i4>
      </vt:variant>
      <vt:variant>
        <vt:i4>0</vt:i4>
      </vt:variant>
      <vt:variant>
        <vt:i4>5</vt:i4>
      </vt:variant>
      <vt:variant>
        <vt:lpwstr>http://portal.gov.cz/app/zakony/zakonPar.jsp?idBiblio=49857&amp;fulltext=&amp;nr=406~2F2000&amp;part=&amp;name=&amp;rpp=15</vt:lpwstr>
      </vt:variant>
      <vt:variant>
        <vt:lpwstr>local-content</vt:lpwstr>
      </vt:variant>
      <vt:variant>
        <vt:i4>7209012</vt:i4>
      </vt:variant>
      <vt:variant>
        <vt:i4>1068</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1065</vt:i4>
      </vt:variant>
      <vt:variant>
        <vt:i4>0</vt:i4>
      </vt:variant>
      <vt:variant>
        <vt:i4>5</vt:i4>
      </vt:variant>
      <vt:variant>
        <vt:lpwstr>http://portal.gov.cz/app/zakony/zakonPar.jsp?idBiblio=49857&amp;fulltext=&amp;nr=406~2F2000&amp;part=&amp;name=&amp;rpp=15</vt:lpwstr>
      </vt:variant>
      <vt:variant>
        <vt:lpwstr>local-content</vt:lpwstr>
      </vt:variant>
      <vt:variant>
        <vt:i4>6291511</vt:i4>
      </vt:variant>
      <vt:variant>
        <vt:i4>1062</vt:i4>
      </vt:variant>
      <vt:variant>
        <vt:i4>0</vt:i4>
      </vt:variant>
      <vt:variant>
        <vt:i4>5</vt:i4>
      </vt:variant>
      <vt:variant>
        <vt:lpwstr>http://www.vlada.cz/assets/ppov/lrv/ria/metodiky/Uplne-zneni-Obecnych-zasad-_ucinnost-od-1-2--2014_.pdf</vt:lpwstr>
      </vt:variant>
      <vt:variant>
        <vt:lpwstr/>
      </vt:variant>
      <vt:variant>
        <vt:i4>1245205</vt:i4>
      </vt:variant>
      <vt:variant>
        <vt:i4>1059</vt:i4>
      </vt:variant>
      <vt:variant>
        <vt:i4>0</vt:i4>
      </vt:variant>
      <vt:variant>
        <vt:i4>5</vt:i4>
      </vt:variant>
      <vt:variant>
        <vt:lpwstr>http://www.sbirka.cz/POSL4TYD/NOVE/13-304.htm</vt:lpwstr>
      </vt:variant>
      <vt:variant>
        <vt:lpwstr/>
      </vt:variant>
      <vt:variant>
        <vt:i4>5111892</vt:i4>
      </vt:variant>
      <vt:variant>
        <vt:i4>1056</vt:i4>
      </vt:variant>
      <vt:variant>
        <vt:i4>0</vt:i4>
      </vt:variant>
      <vt:variant>
        <vt:i4>5</vt:i4>
      </vt:variant>
      <vt:variant>
        <vt:lpwstr>http://www.vlada.cz/assets/evropske-zalezitosti/aktualne/NPR-2014.pdf</vt:lpwstr>
      </vt:variant>
      <vt:variant>
        <vt:lpwstr/>
      </vt:variant>
      <vt:variant>
        <vt:i4>5767196</vt:i4>
      </vt:variant>
      <vt:variant>
        <vt:i4>1053</vt:i4>
      </vt:variant>
      <vt:variant>
        <vt:i4>0</vt:i4>
      </vt:variant>
      <vt:variant>
        <vt:i4>5</vt:i4>
      </vt:variant>
      <vt:variant>
        <vt:lpwstr>http://www.vlada.cz/assets/media-centrum/aktualne/Strategie-mezinarodni-konkurenceschopnosti-Ceske-republiky.pdf</vt:lpwstr>
      </vt:variant>
      <vt:variant>
        <vt:lpwstr/>
      </vt:variant>
      <vt:variant>
        <vt:i4>2424959</vt:i4>
      </vt:variant>
      <vt:variant>
        <vt:i4>1050</vt:i4>
      </vt:variant>
      <vt:variant>
        <vt:i4>0</vt:i4>
      </vt:variant>
      <vt:variant>
        <vt:i4>5</vt:i4>
      </vt:variant>
      <vt:variant>
        <vt:lpwstr>http://www.mpo.cz/assets/cz/e-komunikace-a-posta/Internet/2013/4/Digi_esko_v.2.0.pdf</vt:lpwstr>
      </vt:variant>
      <vt:variant>
        <vt:lpwstr/>
      </vt:variant>
      <vt:variant>
        <vt:i4>6225985</vt:i4>
      </vt:variant>
      <vt:variant>
        <vt:i4>1047</vt:i4>
      </vt:variant>
      <vt:variant>
        <vt:i4>0</vt:i4>
      </vt:variant>
      <vt:variant>
        <vt:i4>5</vt:i4>
      </vt:variant>
      <vt:variant>
        <vt:lpwstr>http://www.mpo.cz/dokument83642.html</vt:lpwstr>
      </vt:variant>
      <vt:variant>
        <vt:lpwstr/>
      </vt:variant>
      <vt:variant>
        <vt:i4>2424959</vt:i4>
      </vt:variant>
      <vt:variant>
        <vt:i4>1044</vt:i4>
      </vt:variant>
      <vt:variant>
        <vt:i4>0</vt:i4>
      </vt:variant>
      <vt:variant>
        <vt:i4>5</vt:i4>
      </vt:variant>
      <vt:variant>
        <vt:lpwstr>http://www.mpo.cz/assets/cz/e-komunikace-a-posta/Internet/2013/4/Digi_esko_v.2.0.pdf</vt:lpwstr>
      </vt:variant>
      <vt:variant>
        <vt:lpwstr/>
      </vt:variant>
      <vt:variant>
        <vt:i4>2424959</vt:i4>
      </vt:variant>
      <vt:variant>
        <vt:i4>1041</vt:i4>
      </vt:variant>
      <vt:variant>
        <vt:i4>0</vt:i4>
      </vt:variant>
      <vt:variant>
        <vt:i4>5</vt:i4>
      </vt:variant>
      <vt:variant>
        <vt:lpwstr>http://www.mpo.cz/assets/cz/e-komunikace-a-posta/Internet/2013/4/Digi_esko_v.2.0.pdf</vt:lpwstr>
      </vt:variant>
      <vt:variant>
        <vt:lpwstr/>
      </vt:variant>
      <vt:variant>
        <vt:i4>5963805</vt:i4>
      </vt:variant>
      <vt:variant>
        <vt:i4>1038</vt:i4>
      </vt:variant>
      <vt:variant>
        <vt:i4>0</vt:i4>
      </vt:variant>
      <vt:variant>
        <vt:i4>5</vt:i4>
      </vt:variant>
      <vt:variant>
        <vt:lpwstr>http://www.mpo.cz/dokument119071.html</vt:lpwstr>
      </vt:variant>
      <vt:variant>
        <vt:lpwstr/>
      </vt:variant>
      <vt:variant>
        <vt:i4>2424959</vt:i4>
      </vt:variant>
      <vt:variant>
        <vt:i4>1035</vt:i4>
      </vt:variant>
      <vt:variant>
        <vt:i4>0</vt:i4>
      </vt:variant>
      <vt:variant>
        <vt:i4>5</vt:i4>
      </vt:variant>
      <vt:variant>
        <vt:lpwstr>http://www.mpo.cz/assets/cz/e-komunikace-a-posta/Internet/2013/4/Digi_esko_v.2.0.pdf</vt:lpwstr>
      </vt:variant>
      <vt:variant>
        <vt:lpwstr/>
      </vt:variant>
      <vt:variant>
        <vt:i4>6225985</vt:i4>
      </vt:variant>
      <vt:variant>
        <vt:i4>1032</vt:i4>
      </vt:variant>
      <vt:variant>
        <vt:i4>0</vt:i4>
      </vt:variant>
      <vt:variant>
        <vt:i4>5</vt:i4>
      </vt:variant>
      <vt:variant>
        <vt:lpwstr>http://www.mpo.cz/dokument83642.html</vt:lpwstr>
      </vt:variant>
      <vt:variant>
        <vt:lpwstr/>
      </vt:variant>
      <vt:variant>
        <vt:i4>3014661</vt:i4>
      </vt:variant>
      <vt:variant>
        <vt:i4>1029</vt:i4>
      </vt:variant>
      <vt:variant>
        <vt:i4>0</vt:i4>
      </vt:variant>
      <vt:variant>
        <vt:i4>5</vt:i4>
      </vt:variant>
      <vt:variant>
        <vt:lpwstr>http://www.czso.cz/csu/redakce.nsf/i/informacni_ekonomika</vt:lpwstr>
      </vt:variant>
      <vt:variant>
        <vt:lpwstr/>
      </vt:variant>
      <vt:variant>
        <vt:i4>5963805</vt:i4>
      </vt:variant>
      <vt:variant>
        <vt:i4>1026</vt:i4>
      </vt:variant>
      <vt:variant>
        <vt:i4>0</vt:i4>
      </vt:variant>
      <vt:variant>
        <vt:i4>5</vt:i4>
      </vt:variant>
      <vt:variant>
        <vt:lpwstr>http://www.mpo.cz/dokument119071.html</vt:lpwstr>
      </vt:variant>
      <vt:variant>
        <vt:lpwstr/>
      </vt:variant>
      <vt:variant>
        <vt:i4>2424959</vt:i4>
      </vt:variant>
      <vt:variant>
        <vt:i4>1023</vt:i4>
      </vt:variant>
      <vt:variant>
        <vt:i4>0</vt:i4>
      </vt:variant>
      <vt:variant>
        <vt:i4>5</vt:i4>
      </vt:variant>
      <vt:variant>
        <vt:lpwstr>http://www.mpo.cz/assets/cz/e-komunikace-a-posta/Internet/2013/4/Digi_esko_v.2.0.pdf</vt:lpwstr>
      </vt:variant>
      <vt:variant>
        <vt:lpwstr/>
      </vt:variant>
      <vt:variant>
        <vt:i4>2424959</vt:i4>
      </vt:variant>
      <vt:variant>
        <vt:i4>1020</vt:i4>
      </vt:variant>
      <vt:variant>
        <vt:i4>0</vt:i4>
      </vt:variant>
      <vt:variant>
        <vt:i4>5</vt:i4>
      </vt:variant>
      <vt:variant>
        <vt:lpwstr>http://www.mpo.cz/assets/cz/e-komunikace-a-posta/Internet/2013/4/Digi_esko_v.2.0.pdf</vt:lpwstr>
      </vt:variant>
      <vt:variant>
        <vt:lpwstr/>
      </vt:variant>
      <vt:variant>
        <vt:i4>5963805</vt:i4>
      </vt:variant>
      <vt:variant>
        <vt:i4>1017</vt:i4>
      </vt:variant>
      <vt:variant>
        <vt:i4>0</vt:i4>
      </vt:variant>
      <vt:variant>
        <vt:i4>5</vt:i4>
      </vt:variant>
      <vt:variant>
        <vt:lpwstr>http://www.mpo.cz/dokument119071.html</vt:lpwstr>
      </vt:variant>
      <vt:variant>
        <vt:lpwstr/>
      </vt:variant>
      <vt:variant>
        <vt:i4>2424959</vt:i4>
      </vt:variant>
      <vt:variant>
        <vt:i4>1014</vt:i4>
      </vt:variant>
      <vt:variant>
        <vt:i4>0</vt:i4>
      </vt:variant>
      <vt:variant>
        <vt:i4>5</vt:i4>
      </vt:variant>
      <vt:variant>
        <vt:lpwstr>http://www.mpo.cz/assets/cz/e-komunikace-a-posta/Internet/2013/4/Digi_esko_v.2.0.pdf</vt:lpwstr>
      </vt:variant>
      <vt:variant>
        <vt:lpwstr/>
      </vt:variant>
      <vt:variant>
        <vt:i4>6225985</vt:i4>
      </vt:variant>
      <vt:variant>
        <vt:i4>1011</vt:i4>
      </vt:variant>
      <vt:variant>
        <vt:i4>0</vt:i4>
      </vt:variant>
      <vt:variant>
        <vt:i4>5</vt:i4>
      </vt:variant>
      <vt:variant>
        <vt:lpwstr>http://www.mpo.cz/dokument83642.html</vt:lpwstr>
      </vt:variant>
      <vt:variant>
        <vt:lpwstr/>
      </vt:variant>
      <vt:variant>
        <vt:i4>5963805</vt:i4>
      </vt:variant>
      <vt:variant>
        <vt:i4>1008</vt:i4>
      </vt:variant>
      <vt:variant>
        <vt:i4>0</vt:i4>
      </vt:variant>
      <vt:variant>
        <vt:i4>5</vt:i4>
      </vt:variant>
      <vt:variant>
        <vt:lpwstr>http://www.mpo.cz/dokument119071.html</vt:lpwstr>
      </vt:variant>
      <vt:variant>
        <vt:lpwstr/>
      </vt:variant>
      <vt:variant>
        <vt:i4>2424959</vt:i4>
      </vt:variant>
      <vt:variant>
        <vt:i4>1005</vt:i4>
      </vt:variant>
      <vt:variant>
        <vt:i4>0</vt:i4>
      </vt:variant>
      <vt:variant>
        <vt:i4>5</vt:i4>
      </vt:variant>
      <vt:variant>
        <vt:lpwstr>http://www.mpo.cz/assets/cz/e-komunikace-a-posta/Internet/2013/4/Digi_esko_v.2.0.pdf</vt:lpwstr>
      </vt:variant>
      <vt:variant>
        <vt:lpwstr/>
      </vt:variant>
      <vt:variant>
        <vt:i4>5963805</vt:i4>
      </vt:variant>
      <vt:variant>
        <vt:i4>1002</vt:i4>
      </vt:variant>
      <vt:variant>
        <vt:i4>0</vt:i4>
      </vt:variant>
      <vt:variant>
        <vt:i4>5</vt:i4>
      </vt:variant>
      <vt:variant>
        <vt:lpwstr>http://www.mpo.cz/dokument119071.html</vt:lpwstr>
      </vt:variant>
      <vt:variant>
        <vt:lpwstr/>
      </vt:variant>
      <vt:variant>
        <vt:i4>2424959</vt:i4>
      </vt:variant>
      <vt:variant>
        <vt:i4>999</vt:i4>
      </vt:variant>
      <vt:variant>
        <vt:i4>0</vt:i4>
      </vt:variant>
      <vt:variant>
        <vt:i4>5</vt:i4>
      </vt:variant>
      <vt:variant>
        <vt:lpwstr>http://www.mpo.cz/assets/cz/e-komunikace-a-posta/Internet/2013/4/Digi_esko_v.2.0.pdf</vt:lpwstr>
      </vt:variant>
      <vt:variant>
        <vt:lpwstr/>
      </vt:variant>
      <vt:variant>
        <vt:i4>6225985</vt:i4>
      </vt:variant>
      <vt:variant>
        <vt:i4>996</vt:i4>
      </vt:variant>
      <vt:variant>
        <vt:i4>0</vt:i4>
      </vt:variant>
      <vt:variant>
        <vt:i4>5</vt:i4>
      </vt:variant>
      <vt:variant>
        <vt:lpwstr>http://www.mpo.cz/dokument83642.html</vt:lpwstr>
      </vt:variant>
      <vt:variant>
        <vt:lpwstr/>
      </vt:variant>
      <vt:variant>
        <vt:i4>6226012</vt:i4>
      </vt:variant>
      <vt:variant>
        <vt:i4>993</vt:i4>
      </vt:variant>
      <vt:variant>
        <vt:i4>0</vt:i4>
      </vt:variant>
      <vt:variant>
        <vt:i4>5</vt:i4>
      </vt:variant>
      <vt:variant>
        <vt:lpwstr>http://portal.cenia.cz/eiasea/osoby/osoby</vt:lpwstr>
      </vt:variant>
      <vt:variant>
        <vt:lpwstr/>
      </vt:variant>
      <vt:variant>
        <vt:i4>655486</vt:i4>
      </vt:variant>
      <vt:variant>
        <vt:i4>990</vt:i4>
      </vt:variant>
      <vt:variant>
        <vt:i4>0</vt:i4>
      </vt:variant>
      <vt:variant>
        <vt:i4>5</vt:i4>
      </vt:variant>
      <vt:variant>
        <vt:lpwstr>http://portal.cenia.cz/eiasea/view/SEA100_koncepce</vt:lpwstr>
      </vt:variant>
      <vt:variant>
        <vt:lpwstr/>
      </vt:variant>
      <vt:variant>
        <vt:i4>7798802</vt:i4>
      </vt:variant>
      <vt:variant>
        <vt:i4>987</vt:i4>
      </vt:variant>
      <vt:variant>
        <vt:i4>0</vt:i4>
      </vt:variant>
      <vt:variant>
        <vt:i4>5</vt:i4>
      </vt:variant>
      <vt:variant>
        <vt:lpwstr>http://portal.cenia.cz/eiasea/view/eia100_cr</vt:lpwstr>
      </vt:variant>
      <vt:variant>
        <vt:lpwstr/>
      </vt:variant>
      <vt:variant>
        <vt:i4>5963834</vt:i4>
      </vt:variant>
      <vt:variant>
        <vt:i4>984</vt:i4>
      </vt:variant>
      <vt:variant>
        <vt:i4>0</vt:i4>
      </vt:variant>
      <vt:variant>
        <vt:i4>5</vt:i4>
      </vt:variant>
      <vt:variant>
        <vt:lpwstr>http://www.mzp.cz/cz/posuzovani_vlivu_zivotni_prostredi</vt:lpwstr>
      </vt:variant>
      <vt:variant>
        <vt:lpwstr/>
      </vt:variant>
      <vt:variant>
        <vt:i4>655486</vt:i4>
      </vt:variant>
      <vt:variant>
        <vt:i4>981</vt:i4>
      </vt:variant>
      <vt:variant>
        <vt:i4>0</vt:i4>
      </vt:variant>
      <vt:variant>
        <vt:i4>5</vt:i4>
      </vt:variant>
      <vt:variant>
        <vt:lpwstr>http://portal.cenia.cz/eiasea/view/SEA100_koncepce</vt:lpwstr>
      </vt:variant>
      <vt:variant>
        <vt:lpwstr/>
      </vt:variant>
      <vt:variant>
        <vt:i4>7798802</vt:i4>
      </vt:variant>
      <vt:variant>
        <vt:i4>978</vt:i4>
      </vt:variant>
      <vt:variant>
        <vt:i4>0</vt:i4>
      </vt:variant>
      <vt:variant>
        <vt:i4>5</vt:i4>
      </vt:variant>
      <vt:variant>
        <vt:lpwstr>http://portal.cenia.cz/eiasea/view/eia100_cr</vt:lpwstr>
      </vt:variant>
      <vt:variant>
        <vt:lpwstr/>
      </vt:variant>
      <vt:variant>
        <vt:i4>7798802</vt:i4>
      </vt:variant>
      <vt:variant>
        <vt:i4>975</vt:i4>
      </vt:variant>
      <vt:variant>
        <vt:i4>0</vt:i4>
      </vt:variant>
      <vt:variant>
        <vt:i4>5</vt:i4>
      </vt:variant>
      <vt:variant>
        <vt:lpwstr>http://portal.cenia.cz/eiasea/view/eia100_cr</vt:lpwstr>
      </vt:variant>
      <vt:variant>
        <vt:lpwstr/>
      </vt:variant>
      <vt:variant>
        <vt:i4>5963834</vt:i4>
      </vt:variant>
      <vt:variant>
        <vt:i4>972</vt:i4>
      </vt:variant>
      <vt:variant>
        <vt:i4>0</vt:i4>
      </vt:variant>
      <vt:variant>
        <vt:i4>5</vt:i4>
      </vt:variant>
      <vt:variant>
        <vt:lpwstr>http://www.mzp.cz/cz/posuzovani_vlivu_zivotni_prostredi</vt:lpwstr>
      </vt:variant>
      <vt:variant>
        <vt:lpwstr/>
      </vt:variant>
      <vt:variant>
        <vt:i4>393253</vt:i4>
      </vt:variant>
      <vt:variant>
        <vt:i4>969</vt:i4>
      </vt:variant>
      <vt:variant>
        <vt:i4>0</vt:i4>
      </vt:variant>
      <vt:variant>
        <vt:i4>5</vt:i4>
      </vt:variant>
      <vt:variant>
        <vt:lpwstr>http://portal.cenia.cz/eiasea/static/eia_legislativa</vt:lpwstr>
      </vt:variant>
      <vt:variant>
        <vt:lpwstr/>
      </vt:variant>
      <vt:variant>
        <vt:i4>1048617</vt:i4>
      </vt:variant>
      <vt:variant>
        <vt:i4>966</vt:i4>
      </vt:variant>
      <vt:variant>
        <vt:i4>0</vt:i4>
      </vt:variant>
      <vt:variant>
        <vt:i4>5</vt:i4>
      </vt:variant>
      <vt:variant>
        <vt:lpwstr>http://portal.cenia.cz/eiasea/static/sea_legislativa</vt:lpwstr>
      </vt:variant>
      <vt:variant>
        <vt:lpwstr/>
      </vt:variant>
      <vt:variant>
        <vt:i4>4784192</vt:i4>
      </vt:variant>
      <vt:variant>
        <vt:i4>963</vt:i4>
      </vt:variant>
      <vt:variant>
        <vt:i4>0</vt:i4>
      </vt:variant>
      <vt:variant>
        <vt:i4>5</vt:i4>
      </vt:variant>
      <vt:variant>
        <vt:lpwstr>http://www.strukturalni-fondy.cz/</vt:lpwstr>
      </vt:variant>
      <vt:variant>
        <vt:lpwstr/>
      </vt:variant>
      <vt:variant>
        <vt:i4>327748</vt:i4>
      </vt:variant>
      <vt:variant>
        <vt:i4>960</vt:i4>
      </vt:variant>
      <vt:variant>
        <vt:i4>0</vt:i4>
      </vt:variant>
      <vt:variant>
        <vt:i4>5</vt:i4>
      </vt:variant>
      <vt:variant>
        <vt:lpwstr>http://www.vzdelavaninsrr.cz/</vt:lpwstr>
      </vt:variant>
      <vt:variant>
        <vt:lpwstr/>
      </vt:variant>
      <vt:variant>
        <vt:i4>4390942</vt:i4>
      </vt:variant>
      <vt:variant>
        <vt:i4>957</vt:i4>
      </vt:variant>
      <vt:variant>
        <vt:i4>0</vt:i4>
      </vt:variant>
      <vt:variant>
        <vt:i4>5</vt:i4>
      </vt:variant>
      <vt:variant>
        <vt:lpwstr>http://www.uohs.cz/cs/verejna-podpora/akuality-z-verejne-podpory.html</vt:lpwstr>
      </vt:variant>
      <vt:variant>
        <vt:lpwstr/>
      </vt:variant>
      <vt:variant>
        <vt:i4>393281</vt:i4>
      </vt:variant>
      <vt:variant>
        <vt:i4>954</vt:i4>
      </vt:variant>
      <vt:variant>
        <vt:i4>0</vt:i4>
      </vt:variant>
      <vt:variant>
        <vt:i4>5</vt:i4>
      </vt:variant>
      <vt:variant>
        <vt:lpwstr>http://eagri.cz/public/web/mze/farmar/registr-podpor-de-minimis/</vt:lpwstr>
      </vt:variant>
      <vt:variant>
        <vt:lpwstr/>
      </vt:variant>
      <vt:variant>
        <vt:i4>1048581</vt:i4>
      </vt:variant>
      <vt:variant>
        <vt:i4>951</vt:i4>
      </vt:variant>
      <vt:variant>
        <vt:i4>0</vt:i4>
      </vt:variant>
      <vt:variant>
        <vt:i4>5</vt:i4>
      </vt:variant>
      <vt:variant>
        <vt:lpwstr>http://www.uohs.cz/cs/verejna-podpora/manualy-metodiky-a-dalsi-dokumenty.html</vt:lpwstr>
      </vt:variant>
      <vt:variant>
        <vt:lpwstr/>
      </vt:variant>
      <vt:variant>
        <vt:i4>7012387</vt:i4>
      </vt:variant>
      <vt:variant>
        <vt:i4>948</vt:i4>
      </vt:variant>
      <vt:variant>
        <vt:i4>0</vt:i4>
      </vt:variant>
      <vt:variant>
        <vt:i4>5</vt:i4>
      </vt:variant>
      <vt:variant>
        <vt:lpwstr>http://www.mfcr.cz/cs/legislativa/metodiky/2014/metodika-financnich-toku-a-kontroly-prog-17121</vt:lpwstr>
      </vt:variant>
      <vt:variant>
        <vt:lpwstr/>
      </vt:variant>
      <vt:variant>
        <vt:i4>8061042</vt:i4>
      </vt:variant>
      <vt:variant>
        <vt:i4>945</vt:i4>
      </vt:variant>
      <vt:variant>
        <vt:i4>0</vt:i4>
      </vt:variant>
      <vt:variant>
        <vt:i4>5</vt:i4>
      </vt:variant>
      <vt:variant>
        <vt:lpwstr>http://www.uohs.cz/cs/legislativa/verejna-podpora.html</vt:lpwstr>
      </vt:variant>
      <vt:variant>
        <vt:lpwstr/>
      </vt:variant>
      <vt:variant>
        <vt:i4>6029387</vt:i4>
      </vt:variant>
      <vt:variant>
        <vt:i4>942</vt:i4>
      </vt:variant>
      <vt:variant>
        <vt:i4>0</vt:i4>
      </vt:variant>
      <vt:variant>
        <vt:i4>5</vt:i4>
      </vt:variant>
      <vt:variant>
        <vt:lpwstr>http://www.portal-vz.cz/cs/Spoluprace-a-vymena-informaci/Info-forum/Otazky-a-odpovedi</vt:lpwstr>
      </vt:variant>
      <vt:variant>
        <vt:lpwstr/>
      </vt:variant>
      <vt:variant>
        <vt:i4>6946918</vt:i4>
      </vt:variant>
      <vt:variant>
        <vt:i4>939</vt:i4>
      </vt:variant>
      <vt:variant>
        <vt:i4>0</vt:i4>
      </vt:variant>
      <vt:variant>
        <vt:i4>5</vt:i4>
      </vt:variant>
      <vt:variant>
        <vt:lpwstr>http://www.vestnikverejnychzakazek.cz/</vt:lpwstr>
      </vt:variant>
      <vt:variant>
        <vt:lpwstr/>
      </vt:variant>
      <vt:variant>
        <vt:i4>6160476</vt:i4>
      </vt:variant>
      <vt:variant>
        <vt:i4>936</vt:i4>
      </vt:variant>
      <vt:variant>
        <vt:i4>0</vt:i4>
      </vt:variant>
      <vt:variant>
        <vt:i4>5</vt:i4>
      </vt:variant>
      <vt:variant>
        <vt:lpwstr>http://www.portal-vz.cz/cs/Jak-na-zadavani-verejnych-zakazek/Metodiky-stanoviska/Metodicke-pokyny</vt:lpwstr>
      </vt:variant>
      <vt:variant>
        <vt:lpwstr/>
      </vt:variant>
      <vt:variant>
        <vt:i4>7143463</vt:i4>
      </vt:variant>
      <vt:variant>
        <vt:i4>933</vt:i4>
      </vt:variant>
      <vt:variant>
        <vt:i4>0</vt:i4>
      </vt:variant>
      <vt:variant>
        <vt:i4>5</vt:i4>
      </vt:variant>
      <vt:variant>
        <vt:lpwstr>http://www.portal-vz.cz/cs/Jak-na-zadavani-verejnych-zakazek/Legislativa-a-Judikatura/Legislativa/Narodni-legislativa-aktualni-a-uplne-zneni-z-(1)</vt:lpwstr>
      </vt:variant>
      <vt:variant>
        <vt:lpwstr/>
      </vt:variant>
      <vt:variant>
        <vt:i4>7798907</vt:i4>
      </vt:variant>
      <vt:variant>
        <vt:i4>930</vt:i4>
      </vt:variant>
      <vt:variant>
        <vt:i4>0</vt:i4>
      </vt:variant>
      <vt:variant>
        <vt:i4>5</vt:i4>
      </vt:variant>
      <vt:variant>
        <vt:lpwstr>http://www.strukturalni-fondy.cz/cs/Fondy-EU/Narodni-organ-pro-koordinaci/Dokumenty</vt:lpwstr>
      </vt:variant>
      <vt:variant>
        <vt:lpwstr/>
      </vt:variant>
      <vt:variant>
        <vt:i4>5242944</vt:i4>
      </vt:variant>
      <vt:variant>
        <vt:i4>927</vt:i4>
      </vt:variant>
      <vt:variant>
        <vt:i4>0</vt:i4>
      </vt:variant>
      <vt:variant>
        <vt:i4>5</vt:i4>
      </vt:variant>
      <vt:variant>
        <vt:lpwstr>http://www.portal-vz.cz/cs/Jak-na-zadavani-verejnych-zakazek/Metodiky-stanoviska</vt:lpwstr>
      </vt:variant>
      <vt:variant>
        <vt:lpwstr/>
      </vt:variant>
      <vt:variant>
        <vt:i4>7143463</vt:i4>
      </vt:variant>
      <vt:variant>
        <vt:i4>924</vt:i4>
      </vt:variant>
      <vt:variant>
        <vt:i4>0</vt:i4>
      </vt:variant>
      <vt:variant>
        <vt:i4>5</vt:i4>
      </vt:variant>
      <vt:variant>
        <vt:lpwstr>http://www.portal-vz.cz/cs/Jak-na-zadavani-verejnych-zakazek/Legislativa-a-Judikatura/Legislativa/Narodni-legislativa-aktualni-a-uplne-zneni-z-(1)</vt:lpwstr>
      </vt:variant>
      <vt:variant>
        <vt:lpwstr/>
      </vt:variant>
      <vt:variant>
        <vt:i4>8060984</vt:i4>
      </vt:variant>
      <vt:variant>
        <vt:i4>921</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2490407</vt:i4>
      </vt:variant>
      <vt:variant>
        <vt:i4>918</vt:i4>
      </vt:variant>
      <vt:variant>
        <vt:i4>0</vt:i4>
      </vt:variant>
      <vt:variant>
        <vt:i4>5</vt:i4>
      </vt:variant>
      <vt:variant>
        <vt:lpwstr>http://www.vlada.cz/cz/ppov/vvzpo/dokumenty/zprava-o-plneni-opatreni-narodniho-planu-vytvareni-rovnych-prilezitosti-pro-osoby-se-zdravotnim-postizenim-na-obdobi-2010-2014-v-roce-2012-110987/</vt:lpwstr>
      </vt:variant>
      <vt:variant>
        <vt:lpwstr/>
      </vt:variant>
      <vt:variant>
        <vt:i4>8060984</vt:i4>
      </vt:variant>
      <vt:variant>
        <vt:i4>915</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2752617</vt:i4>
      </vt:variant>
      <vt:variant>
        <vt:i4>912</vt:i4>
      </vt:variant>
      <vt:variant>
        <vt:i4>0</vt:i4>
      </vt:variant>
      <vt:variant>
        <vt:i4>5</vt:i4>
      </vt:variant>
      <vt:variant>
        <vt:lpwstr>http://www.mpsv.cz/cs/12152</vt:lpwstr>
      </vt:variant>
      <vt:variant>
        <vt:lpwstr/>
      </vt:variant>
      <vt:variant>
        <vt:i4>6029333</vt:i4>
      </vt:variant>
      <vt:variant>
        <vt:i4>909</vt:i4>
      </vt:variant>
      <vt:variant>
        <vt:i4>0</vt:i4>
      </vt:variant>
      <vt:variant>
        <vt:i4>5</vt:i4>
      </vt:variant>
      <vt:variant>
        <vt:lpwstr>http://www.ochrance.cz/en/discrimination/</vt:lpwstr>
      </vt:variant>
      <vt:variant>
        <vt:lpwstr/>
      </vt:variant>
      <vt:variant>
        <vt:i4>6029333</vt:i4>
      </vt:variant>
      <vt:variant>
        <vt:i4>906</vt:i4>
      </vt:variant>
      <vt:variant>
        <vt:i4>0</vt:i4>
      </vt:variant>
      <vt:variant>
        <vt:i4>5</vt:i4>
      </vt:variant>
      <vt:variant>
        <vt:lpwstr>http://www.ochrance.cz/en/discrimination/</vt:lpwstr>
      </vt:variant>
      <vt:variant>
        <vt:lpwstr/>
      </vt:variant>
      <vt:variant>
        <vt:i4>3145831</vt:i4>
      </vt:variant>
      <vt:variant>
        <vt:i4>888</vt:i4>
      </vt:variant>
      <vt:variant>
        <vt:i4>0</vt:i4>
      </vt:variant>
      <vt:variant>
        <vt:i4>5</vt:i4>
      </vt:variant>
      <vt:variant>
        <vt:lpwstr>http://eur-lex.europa.eu/LexUriServ/LexUriServ.do?uri=CONSLEG:2006R1828:20091013:EN:HTML</vt:lpwstr>
      </vt:variant>
      <vt:variant>
        <vt:lpwstr>E0079#E0079</vt:lpwstr>
      </vt:variant>
      <vt:variant>
        <vt:i4>1507389</vt:i4>
      </vt:variant>
      <vt:variant>
        <vt:i4>704</vt:i4>
      </vt:variant>
      <vt:variant>
        <vt:i4>0</vt:i4>
      </vt:variant>
      <vt:variant>
        <vt:i4>5</vt:i4>
      </vt:variant>
      <vt:variant>
        <vt:lpwstr/>
      </vt:variant>
      <vt:variant>
        <vt:lpwstr>_Toc390179910</vt:lpwstr>
      </vt:variant>
      <vt:variant>
        <vt:i4>1441853</vt:i4>
      </vt:variant>
      <vt:variant>
        <vt:i4>698</vt:i4>
      </vt:variant>
      <vt:variant>
        <vt:i4>0</vt:i4>
      </vt:variant>
      <vt:variant>
        <vt:i4>5</vt:i4>
      </vt:variant>
      <vt:variant>
        <vt:lpwstr/>
      </vt:variant>
      <vt:variant>
        <vt:lpwstr>_Toc390179909</vt:lpwstr>
      </vt:variant>
      <vt:variant>
        <vt:i4>1441853</vt:i4>
      </vt:variant>
      <vt:variant>
        <vt:i4>692</vt:i4>
      </vt:variant>
      <vt:variant>
        <vt:i4>0</vt:i4>
      </vt:variant>
      <vt:variant>
        <vt:i4>5</vt:i4>
      </vt:variant>
      <vt:variant>
        <vt:lpwstr/>
      </vt:variant>
      <vt:variant>
        <vt:lpwstr>_Toc390179908</vt:lpwstr>
      </vt:variant>
      <vt:variant>
        <vt:i4>1441853</vt:i4>
      </vt:variant>
      <vt:variant>
        <vt:i4>686</vt:i4>
      </vt:variant>
      <vt:variant>
        <vt:i4>0</vt:i4>
      </vt:variant>
      <vt:variant>
        <vt:i4>5</vt:i4>
      </vt:variant>
      <vt:variant>
        <vt:lpwstr/>
      </vt:variant>
      <vt:variant>
        <vt:lpwstr>_Toc390179907</vt:lpwstr>
      </vt:variant>
      <vt:variant>
        <vt:i4>1441853</vt:i4>
      </vt:variant>
      <vt:variant>
        <vt:i4>680</vt:i4>
      </vt:variant>
      <vt:variant>
        <vt:i4>0</vt:i4>
      </vt:variant>
      <vt:variant>
        <vt:i4>5</vt:i4>
      </vt:variant>
      <vt:variant>
        <vt:lpwstr/>
      </vt:variant>
      <vt:variant>
        <vt:lpwstr>_Toc390179906</vt:lpwstr>
      </vt:variant>
      <vt:variant>
        <vt:i4>1441853</vt:i4>
      </vt:variant>
      <vt:variant>
        <vt:i4>674</vt:i4>
      </vt:variant>
      <vt:variant>
        <vt:i4>0</vt:i4>
      </vt:variant>
      <vt:variant>
        <vt:i4>5</vt:i4>
      </vt:variant>
      <vt:variant>
        <vt:lpwstr/>
      </vt:variant>
      <vt:variant>
        <vt:lpwstr>_Toc390179905</vt:lpwstr>
      </vt:variant>
      <vt:variant>
        <vt:i4>1441853</vt:i4>
      </vt:variant>
      <vt:variant>
        <vt:i4>668</vt:i4>
      </vt:variant>
      <vt:variant>
        <vt:i4>0</vt:i4>
      </vt:variant>
      <vt:variant>
        <vt:i4>5</vt:i4>
      </vt:variant>
      <vt:variant>
        <vt:lpwstr/>
      </vt:variant>
      <vt:variant>
        <vt:lpwstr>_Toc390179904</vt:lpwstr>
      </vt:variant>
      <vt:variant>
        <vt:i4>1441853</vt:i4>
      </vt:variant>
      <vt:variant>
        <vt:i4>662</vt:i4>
      </vt:variant>
      <vt:variant>
        <vt:i4>0</vt:i4>
      </vt:variant>
      <vt:variant>
        <vt:i4>5</vt:i4>
      </vt:variant>
      <vt:variant>
        <vt:lpwstr/>
      </vt:variant>
      <vt:variant>
        <vt:lpwstr>_Toc390179903</vt:lpwstr>
      </vt:variant>
      <vt:variant>
        <vt:i4>1441853</vt:i4>
      </vt:variant>
      <vt:variant>
        <vt:i4>656</vt:i4>
      </vt:variant>
      <vt:variant>
        <vt:i4>0</vt:i4>
      </vt:variant>
      <vt:variant>
        <vt:i4>5</vt:i4>
      </vt:variant>
      <vt:variant>
        <vt:lpwstr/>
      </vt:variant>
      <vt:variant>
        <vt:lpwstr>_Toc390179902</vt:lpwstr>
      </vt:variant>
      <vt:variant>
        <vt:i4>1441853</vt:i4>
      </vt:variant>
      <vt:variant>
        <vt:i4>650</vt:i4>
      </vt:variant>
      <vt:variant>
        <vt:i4>0</vt:i4>
      </vt:variant>
      <vt:variant>
        <vt:i4>5</vt:i4>
      </vt:variant>
      <vt:variant>
        <vt:lpwstr/>
      </vt:variant>
      <vt:variant>
        <vt:lpwstr>_Toc390179901</vt:lpwstr>
      </vt:variant>
      <vt:variant>
        <vt:i4>1441853</vt:i4>
      </vt:variant>
      <vt:variant>
        <vt:i4>644</vt:i4>
      </vt:variant>
      <vt:variant>
        <vt:i4>0</vt:i4>
      </vt:variant>
      <vt:variant>
        <vt:i4>5</vt:i4>
      </vt:variant>
      <vt:variant>
        <vt:lpwstr/>
      </vt:variant>
      <vt:variant>
        <vt:lpwstr>_Toc390179900</vt:lpwstr>
      </vt:variant>
      <vt:variant>
        <vt:i4>2031676</vt:i4>
      </vt:variant>
      <vt:variant>
        <vt:i4>638</vt:i4>
      </vt:variant>
      <vt:variant>
        <vt:i4>0</vt:i4>
      </vt:variant>
      <vt:variant>
        <vt:i4>5</vt:i4>
      </vt:variant>
      <vt:variant>
        <vt:lpwstr/>
      </vt:variant>
      <vt:variant>
        <vt:lpwstr>_Toc390179899</vt:lpwstr>
      </vt:variant>
      <vt:variant>
        <vt:i4>2031676</vt:i4>
      </vt:variant>
      <vt:variant>
        <vt:i4>632</vt:i4>
      </vt:variant>
      <vt:variant>
        <vt:i4>0</vt:i4>
      </vt:variant>
      <vt:variant>
        <vt:i4>5</vt:i4>
      </vt:variant>
      <vt:variant>
        <vt:lpwstr/>
      </vt:variant>
      <vt:variant>
        <vt:lpwstr>_Toc390179898</vt:lpwstr>
      </vt:variant>
      <vt:variant>
        <vt:i4>2031676</vt:i4>
      </vt:variant>
      <vt:variant>
        <vt:i4>626</vt:i4>
      </vt:variant>
      <vt:variant>
        <vt:i4>0</vt:i4>
      </vt:variant>
      <vt:variant>
        <vt:i4>5</vt:i4>
      </vt:variant>
      <vt:variant>
        <vt:lpwstr/>
      </vt:variant>
      <vt:variant>
        <vt:lpwstr>_Toc390179897</vt:lpwstr>
      </vt:variant>
      <vt:variant>
        <vt:i4>2031676</vt:i4>
      </vt:variant>
      <vt:variant>
        <vt:i4>620</vt:i4>
      </vt:variant>
      <vt:variant>
        <vt:i4>0</vt:i4>
      </vt:variant>
      <vt:variant>
        <vt:i4>5</vt:i4>
      </vt:variant>
      <vt:variant>
        <vt:lpwstr/>
      </vt:variant>
      <vt:variant>
        <vt:lpwstr>_Toc390179896</vt:lpwstr>
      </vt:variant>
      <vt:variant>
        <vt:i4>2031676</vt:i4>
      </vt:variant>
      <vt:variant>
        <vt:i4>614</vt:i4>
      </vt:variant>
      <vt:variant>
        <vt:i4>0</vt:i4>
      </vt:variant>
      <vt:variant>
        <vt:i4>5</vt:i4>
      </vt:variant>
      <vt:variant>
        <vt:lpwstr/>
      </vt:variant>
      <vt:variant>
        <vt:lpwstr>_Toc390179895</vt:lpwstr>
      </vt:variant>
      <vt:variant>
        <vt:i4>2031676</vt:i4>
      </vt:variant>
      <vt:variant>
        <vt:i4>608</vt:i4>
      </vt:variant>
      <vt:variant>
        <vt:i4>0</vt:i4>
      </vt:variant>
      <vt:variant>
        <vt:i4>5</vt:i4>
      </vt:variant>
      <vt:variant>
        <vt:lpwstr/>
      </vt:variant>
      <vt:variant>
        <vt:lpwstr>_Toc390179894</vt:lpwstr>
      </vt:variant>
      <vt:variant>
        <vt:i4>2031676</vt:i4>
      </vt:variant>
      <vt:variant>
        <vt:i4>602</vt:i4>
      </vt:variant>
      <vt:variant>
        <vt:i4>0</vt:i4>
      </vt:variant>
      <vt:variant>
        <vt:i4>5</vt:i4>
      </vt:variant>
      <vt:variant>
        <vt:lpwstr/>
      </vt:variant>
      <vt:variant>
        <vt:lpwstr>_Toc390179893</vt:lpwstr>
      </vt:variant>
      <vt:variant>
        <vt:i4>2031676</vt:i4>
      </vt:variant>
      <vt:variant>
        <vt:i4>596</vt:i4>
      </vt:variant>
      <vt:variant>
        <vt:i4>0</vt:i4>
      </vt:variant>
      <vt:variant>
        <vt:i4>5</vt:i4>
      </vt:variant>
      <vt:variant>
        <vt:lpwstr/>
      </vt:variant>
      <vt:variant>
        <vt:lpwstr>_Toc390179892</vt:lpwstr>
      </vt:variant>
      <vt:variant>
        <vt:i4>2031676</vt:i4>
      </vt:variant>
      <vt:variant>
        <vt:i4>590</vt:i4>
      </vt:variant>
      <vt:variant>
        <vt:i4>0</vt:i4>
      </vt:variant>
      <vt:variant>
        <vt:i4>5</vt:i4>
      </vt:variant>
      <vt:variant>
        <vt:lpwstr/>
      </vt:variant>
      <vt:variant>
        <vt:lpwstr>_Toc390179891</vt:lpwstr>
      </vt:variant>
      <vt:variant>
        <vt:i4>2031676</vt:i4>
      </vt:variant>
      <vt:variant>
        <vt:i4>584</vt:i4>
      </vt:variant>
      <vt:variant>
        <vt:i4>0</vt:i4>
      </vt:variant>
      <vt:variant>
        <vt:i4>5</vt:i4>
      </vt:variant>
      <vt:variant>
        <vt:lpwstr/>
      </vt:variant>
      <vt:variant>
        <vt:lpwstr>_Toc390179890</vt:lpwstr>
      </vt:variant>
      <vt:variant>
        <vt:i4>1966140</vt:i4>
      </vt:variant>
      <vt:variant>
        <vt:i4>578</vt:i4>
      </vt:variant>
      <vt:variant>
        <vt:i4>0</vt:i4>
      </vt:variant>
      <vt:variant>
        <vt:i4>5</vt:i4>
      </vt:variant>
      <vt:variant>
        <vt:lpwstr/>
      </vt:variant>
      <vt:variant>
        <vt:lpwstr>_Toc390179889</vt:lpwstr>
      </vt:variant>
      <vt:variant>
        <vt:i4>1966140</vt:i4>
      </vt:variant>
      <vt:variant>
        <vt:i4>572</vt:i4>
      </vt:variant>
      <vt:variant>
        <vt:i4>0</vt:i4>
      </vt:variant>
      <vt:variant>
        <vt:i4>5</vt:i4>
      </vt:variant>
      <vt:variant>
        <vt:lpwstr/>
      </vt:variant>
      <vt:variant>
        <vt:lpwstr>_Toc390179888</vt:lpwstr>
      </vt:variant>
      <vt:variant>
        <vt:i4>1966140</vt:i4>
      </vt:variant>
      <vt:variant>
        <vt:i4>566</vt:i4>
      </vt:variant>
      <vt:variant>
        <vt:i4>0</vt:i4>
      </vt:variant>
      <vt:variant>
        <vt:i4>5</vt:i4>
      </vt:variant>
      <vt:variant>
        <vt:lpwstr/>
      </vt:variant>
      <vt:variant>
        <vt:lpwstr>_Toc390179887</vt:lpwstr>
      </vt:variant>
      <vt:variant>
        <vt:i4>1966140</vt:i4>
      </vt:variant>
      <vt:variant>
        <vt:i4>560</vt:i4>
      </vt:variant>
      <vt:variant>
        <vt:i4>0</vt:i4>
      </vt:variant>
      <vt:variant>
        <vt:i4>5</vt:i4>
      </vt:variant>
      <vt:variant>
        <vt:lpwstr/>
      </vt:variant>
      <vt:variant>
        <vt:lpwstr>_Toc390179886</vt:lpwstr>
      </vt:variant>
      <vt:variant>
        <vt:i4>1966140</vt:i4>
      </vt:variant>
      <vt:variant>
        <vt:i4>554</vt:i4>
      </vt:variant>
      <vt:variant>
        <vt:i4>0</vt:i4>
      </vt:variant>
      <vt:variant>
        <vt:i4>5</vt:i4>
      </vt:variant>
      <vt:variant>
        <vt:lpwstr/>
      </vt:variant>
      <vt:variant>
        <vt:lpwstr>_Toc390179885</vt:lpwstr>
      </vt:variant>
      <vt:variant>
        <vt:i4>1966140</vt:i4>
      </vt:variant>
      <vt:variant>
        <vt:i4>548</vt:i4>
      </vt:variant>
      <vt:variant>
        <vt:i4>0</vt:i4>
      </vt:variant>
      <vt:variant>
        <vt:i4>5</vt:i4>
      </vt:variant>
      <vt:variant>
        <vt:lpwstr/>
      </vt:variant>
      <vt:variant>
        <vt:lpwstr>_Toc390179884</vt:lpwstr>
      </vt:variant>
      <vt:variant>
        <vt:i4>1966140</vt:i4>
      </vt:variant>
      <vt:variant>
        <vt:i4>542</vt:i4>
      </vt:variant>
      <vt:variant>
        <vt:i4>0</vt:i4>
      </vt:variant>
      <vt:variant>
        <vt:i4>5</vt:i4>
      </vt:variant>
      <vt:variant>
        <vt:lpwstr/>
      </vt:variant>
      <vt:variant>
        <vt:lpwstr>_Toc390179883</vt:lpwstr>
      </vt:variant>
      <vt:variant>
        <vt:i4>1966140</vt:i4>
      </vt:variant>
      <vt:variant>
        <vt:i4>536</vt:i4>
      </vt:variant>
      <vt:variant>
        <vt:i4>0</vt:i4>
      </vt:variant>
      <vt:variant>
        <vt:i4>5</vt:i4>
      </vt:variant>
      <vt:variant>
        <vt:lpwstr/>
      </vt:variant>
      <vt:variant>
        <vt:lpwstr>_Toc390179882</vt:lpwstr>
      </vt:variant>
      <vt:variant>
        <vt:i4>1966140</vt:i4>
      </vt:variant>
      <vt:variant>
        <vt:i4>530</vt:i4>
      </vt:variant>
      <vt:variant>
        <vt:i4>0</vt:i4>
      </vt:variant>
      <vt:variant>
        <vt:i4>5</vt:i4>
      </vt:variant>
      <vt:variant>
        <vt:lpwstr/>
      </vt:variant>
      <vt:variant>
        <vt:lpwstr>_Toc390179881</vt:lpwstr>
      </vt:variant>
      <vt:variant>
        <vt:i4>1966140</vt:i4>
      </vt:variant>
      <vt:variant>
        <vt:i4>524</vt:i4>
      </vt:variant>
      <vt:variant>
        <vt:i4>0</vt:i4>
      </vt:variant>
      <vt:variant>
        <vt:i4>5</vt:i4>
      </vt:variant>
      <vt:variant>
        <vt:lpwstr/>
      </vt:variant>
      <vt:variant>
        <vt:lpwstr>_Toc390179880</vt:lpwstr>
      </vt:variant>
      <vt:variant>
        <vt:i4>1114172</vt:i4>
      </vt:variant>
      <vt:variant>
        <vt:i4>518</vt:i4>
      </vt:variant>
      <vt:variant>
        <vt:i4>0</vt:i4>
      </vt:variant>
      <vt:variant>
        <vt:i4>5</vt:i4>
      </vt:variant>
      <vt:variant>
        <vt:lpwstr/>
      </vt:variant>
      <vt:variant>
        <vt:lpwstr>_Toc390179879</vt:lpwstr>
      </vt:variant>
      <vt:variant>
        <vt:i4>1114172</vt:i4>
      </vt:variant>
      <vt:variant>
        <vt:i4>512</vt:i4>
      </vt:variant>
      <vt:variant>
        <vt:i4>0</vt:i4>
      </vt:variant>
      <vt:variant>
        <vt:i4>5</vt:i4>
      </vt:variant>
      <vt:variant>
        <vt:lpwstr/>
      </vt:variant>
      <vt:variant>
        <vt:lpwstr>_Toc390179878</vt:lpwstr>
      </vt:variant>
      <vt:variant>
        <vt:i4>1114172</vt:i4>
      </vt:variant>
      <vt:variant>
        <vt:i4>506</vt:i4>
      </vt:variant>
      <vt:variant>
        <vt:i4>0</vt:i4>
      </vt:variant>
      <vt:variant>
        <vt:i4>5</vt:i4>
      </vt:variant>
      <vt:variant>
        <vt:lpwstr/>
      </vt:variant>
      <vt:variant>
        <vt:lpwstr>_Toc390179877</vt:lpwstr>
      </vt:variant>
      <vt:variant>
        <vt:i4>1114172</vt:i4>
      </vt:variant>
      <vt:variant>
        <vt:i4>500</vt:i4>
      </vt:variant>
      <vt:variant>
        <vt:i4>0</vt:i4>
      </vt:variant>
      <vt:variant>
        <vt:i4>5</vt:i4>
      </vt:variant>
      <vt:variant>
        <vt:lpwstr/>
      </vt:variant>
      <vt:variant>
        <vt:lpwstr>_Toc390179876</vt:lpwstr>
      </vt:variant>
      <vt:variant>
        <vt:i4>1114172</vt:i4>
      </vt:variant>
      <vt:variant>
        <vt:i4>494</vt:i4>
      </vt:variant>
      <vt:variant>
        <vt:i4>0</vt:i4>
      </vt:variant>
      <vt:variant>
        <vt:i4>5</vt:i4>
      </vt:variant>
      <vt:variant>
        <vt:lpwstr/>
      </vt:variant>
      <vt:variant>
        <vt:lpwstr>_Toc390179875</vt:lpwstr>
      </vt:variant>
      <vt:variant>
        <vt:i4>1114172</vt:i4>
      </vt:variant>
      <vt:variant>
        <vt:i4>488</vt:i4>
      </vt:variant>
      <vt:variant>
        <vt:i4>0</vt:i4>
      </vt:variant>
      <vt:variant>
        <vt:i4>5</vt:i4>
      </vt:variant>
      <vt:variant>
        <vt:lpwstr/>
      </vt:variant>
      <vt:variant>
        <vt:lpwstr>_Toc390179874</vt:lpwstr>
      </vt:variant>
      <vt:variant>
        <vt:i4>1114172</vt:i4>
      </vt:variant>
      <vt:variant>
        <vt:i4>482</vt:i4>
      </vt:variant>
      <vt:variant>
        <vt:i4>0</vt:i4>
      </vt:variant>
      <vt:variant>
        <vt:i4>5</vt:i4>
      </vt:variant>
      <vt:variant>
        <vt:lpwstr/>
      </vt:variant>
      <vt:variant>
        <vt:lpwstr>_Toc390179873</vt:lpwstr>
      </vt:variant>
      <vt:variant>
        <vt:i4>1114172</vt:i4>
      </vt:variant>
      <vt:variant>
        <vt:i4>476</vt:i4>
      </vt:variant>
      <vt:variant>
        <vt:i4>0</vt:i4>
      </vt:variant>
      <vt:variant>
        <vt:i4>5</vt:i4>
      </vt:variant>
      <vt:variant>
        <vt:lpwstr/>
      </vt:variant>
      <vt:variant>
        <vt:lpwstr>_Toc390179872</vt:lpwstr>
      </vt:variant>
      <vt:variant>
        <vt:i4>1114172</vt:i4>
      </vt:variant>
      <vt:variant>
        <vt:i4>470</vt:i4>
      </vt:variant>
      <vt:variant>
        <vt:i4>0</vt:i4>
      </vt:variant>
      <vt:variant>
        <vt:i4>5</vt:i4>
      </vt:variant>
      <vt:variant>
        <vt:lpwstr/>
      </vt:variant>
      <vt:variant>
        <vt:lpwstr>_Toc390179871</vt:lpwstr>
      </vt:variant>
      <vt:variant>
        <vt:i4>1114172</vt:i4>
      </vt:variant>
      <vt:variant>
        <vt:i4>464</vt:i4>
      </vt:variant>
      <vt:variant>
        <vt:i4>0</vt:i4>
      </vt:variant>
      <vt:variant>
        <vt:i4>5</vt:i4>
      </vt:variant>
      <vt:variant>
        <vt:lpwstr/>
      </vt:variant>
      <vt:variant>
        <vt:lpwstr>_Toc390179870</vt:lpwstr>
      </vt:variant>
      <vt:variant>
        <vt:i4>1048636</vt:i4>
      </vt:variant>
      <vt:variant>
        <vt:i4>458</vt:i4>
      </vt:variant>
      <vt:variant>
        <vt:i4>0</vt:i4>
      </vt:variant>
      <vt:variant>
        <vt:i4>5</vt:i4>
      </vt:variant>
      <vt:variant>
        <vt:lpwstr/>
      </vt:variant>
      <vt:variant>
        <vt:lpwstr>_Toc390179869</vt:lpwstr>
      </vt:variant>
      <vt:variant>
        <vt:i4>1048636</vt:i4>
      </vt:variant>
      <vt:variant>
        <vt:i4>452</vt:i4>
      </vt:variant>
      <vt:variant>
        <vt:i4>0</vt:i4>
      </vt:variant>
      <vt:variant>
        <vt:i4>5</vt:i4>
      </vt:variant>
      <vt:variant>
        <vt:lpwstr/>
      </vt:variant>
      <vt:variant>
        <vt:lpwstr>_Toc390179868</vt:lpwstr>
      </vt:variant>
      <vt:variant>
        <vt:i4>1048636</vt:i4>
      </vt:variant>
      <vt:variant>
        <vt:i4>446</vt:i4>
      </vt:variant>
      <vt:variant>
        <vt:i4>0</vt:i4>
      </vt:variant>
      <vt:variant>
        <vt:i4>5</vt:i4>
      </vt:variant>
      <vt:variant>
        <vt:lpwstr/>
      </vt:variant>
      <vt:variant>
        <vt:lpwstr>_Toc390179867</vt:lpwstr>
      </vt:variant>
      <vt:variant>
        <vt:i4>1048636</vt:i4>
      </vt:variant>
      <vt:variant>
        <vt:i4>440</vt:i4>
      </vt:variant>
      <vt:variant>
        <vt:i4>0</vt:i4>
      </vt:variant>
      <vt:variant>
        <vt:i4>5</vt:i4>
      </vt:variant>
      <vt:variant>
        <vt:lpwstr/>
      </vt:variant>
      <vt:variant>
        <vt:lpwstr>_Toc390179866</vt:lpwstr>
      </vt:variant>
      <vt:variant>
        <vt:i4>1048636</vt:i4>
      </vt:variant>
      <vt:variant>
        <vt:i4>434</vt:i4>
      </vt:variant>
      <vt:variant>
        <vt:i4>0</vt:i4>
      </vt:variant>
      <vt:variant>
        <vt:i4>5</vt:i4>
      </vt:variant>
      <vt:variant>
        <vt:lpwstr/>
      </vt:variant>
      <vt:variant>
        <vt:lpwstr>_Toc390179865</vt:lpwstr>
      </vt:variant>
      <vt:variant>
        <vt:i4>1048636</vt:i4>
      </vt:variant>
      <vt:variant>
        <vt:i4>428</vt:i4>
      </vt:variant>
      <vt:variant>
        <vt:i4>0</vt:i4>
      </vt:variant>
      <vt:variant>
        <vt:i4>5</vt:i4>
      </vt:variant>
      <vt:variant>
        <vt:lpwstr/>
      </vt:variant>
      <vt:variant>
        <vt:lpwstr>_Toc390179864</vt:lpwstr>
      </vt:variant>
      <vt:variant>
        <vt:i4>1048636</vt:i4>
      </vt:variant>
      <vt:variant>
        <vt:i4>422</vt:i4>
      </vt:variant>
      <vt:variant>
        <vt:i4>0</vt:i4>
      </vt:variant>
      <vt:variant>
        <vt:i4>5</vt:i4>
      </vt:variant>
      <vt:variant>
        <vt:lpwstr/>
      </vt:variant>
      <vt:variant>
        <vt:lpwstr>_Toc390179863</vt:lpwstr>
      </vt:variant>
      <vt:variant>
        <vt:i4>1048636</vt:i4>
      </vt:variant>
      <vt:variant>
        <vt:i4>416</vt:i4>
      </vt:variant>
      <vt:variant>
        <vt:i4>0</vt:i4>
      </vt:variant>
      <vt:variant>
        <vt:i4>5</vt:i4>
      </vt:variant>
      <vt:variant>
        <vt:lpwstr/>
      </vt:variant>
      <vt:variant>
        <vt:lpwstr>_Toc390179862</vt:lpwstr>
      </vt:variant>
      <vt:variant>
        <vt:i4>1048636</vt:i4>
      </vt:variant>
      <vt:variant>
        <vt:i4>410</vt:i4>
      </vt:variant>
      <vt:variant>
        <vt:i4>0</vt:i4>
      </vt:variant>
      <vt:variant>
        <vt:i4>5</vt:i4>
      </vt:variant>
      <vt:variant>
        <vt:lpwstr/>
      </vt:variant>
      <vt:variant>
        <vt:lpwstr>_Toc390179861</vt:lpwstr>
      </vt:variant>
      <vt:variant>
        <vt:i4>1048636</vt:i4>
      </vt:variant>
      <vt:variant>
        <vt:i4>404</vt:i4>
      </vt:variant>
      <vt:variant>
        <vt:i4>0</vt:i4>
      </vt:variant>
      <vt:variant>
        <vt:i4>5</vt:i4>
      </vt:variant>
      <vt:variant>
        <vt:lpwstr/>
      </vt:variant>
      <vt:variant>
        <vt:lpwstr>_Toc390179860</vt:lpwstr>
      </vt:variant>
      <vt:variant>
        <vt:i4>1245244</vt:i4>
      </vt:variant>
      <vt:variant>
        <vt:i4>398</vt:i4>
      </vt:variant>
      <vt:variant>
        <vt:i4>0</vt:i4>
      </vt:variant>
      <vt:variant>
        <vt:i4>5</vt:i4>
      </vt:variant>
      <vt:variant>
        <vt:lpwstr/>
      </vt:variant>
      <vt:variant>
        <vt:lpwstr>_Toc390179859</vt:lpwstr>
      </vt:variant>
      <vt:variant>
        <vt:i4>1245244</vt:i4>
      </vt:variant>
      <vt:variant>
        <vt:i4>392</vt:i4>
      </vt:variant>
      <vt:variant>
        <vt:i4>0</vt:i4>
      </vt:variant>
      <vt:variant>
        <vt:i4>5</vt:i4>
      </vt:variant>
      <vt:variant>
        <vt:lpwstr/>
      </vt:variant>
      <vt:variant>
        <vt:lpwstr>_Toc390179858</vt:lpwstr>
      </vt:variant>
      <vt:variant>
        <vt:i4>1245244</vt:i4>
      </vt:variant>
      <vt:variant>
        <vt:i4>386</vt:i4>
      </vt:variant>
      <vt:variant>
        <vt:i4>0</vt:i4>
      </vt:variant>
      <vt:variant>
        <vt:i4>5</vt:i4>
      </vt:variant>
      <vt:variant>
        <vt:lpwstr/>
      </vt:variant>
      <vt:variant>
        <vt:lpwstr>_Toc390179857</vt:lpwstr>
      </vt:variant>
      <vt:variant>
        <vt:i4>1245244</vt:i4>
      </vt:variant>
      <vt:variant>
        <vt:i4>380</vt:i4>
      </vt:variant>
      <vt:variant>
        <vt:i4>0</vt:i4>
      </vt:variant>
      <vt:variant>
        <vt:i4>5</vt:i4>
      </vt:variant>
      <vt:variant>
        <vt:lpwstr/>
      </vt:variant>
      <vt:variant>
        <vt:lpwstr>_Toc390179856</vt:lpwstr>
      </vt:variant>
      <vt:variant>
        <vt:i4>1245244</vt:i4>
      </vt:variant>
      <vt:variant>
        <vt:i4>374</vt:i4>
      </vt:variant>
      <vt:variant>
        <vt:i4>0</vt:i4>
      </vt:variant>
      <vt:variant>
        <vt:i4>5</vt:i4>
      </vt:variant>
      <vt:variant>
        <vt:lpwstr/>
      </vt:variant>
      <vt:variant>
        <vt:lpwstr>_Toc390179855</vt:lpwstr>
      </vt:variant>
      <vt:variant>
        <vt:i4>1245244</vt:i4>
      </vt:variant>
      <vt:variant>
        <vt:i4>368</vt:i4>
      </vt:variant>
      <vt:variant>
        <vt:i4>0</vt:i4>
      </vt:variant>
      <vt:variant>
        <vt:i4>5</vt:i4>
      </vt:variant>
      <vt:variant>
        <vt:lpwstr/>
      </vt:variant>
      <vt:variant>
        <vt:lpwstr>_Toc390179854</vt:lpwstr>
      </vt:variant>
      <vt:variant>
        <vt:i4>1245244</vt:i4>
      </vt:variant>
      <vt:variant>
        <vt:i4>362</vt:i4>
      </vt:variant>
      <vt:variant>
        <vt:i4>0</vt:i4>
      </vt:variant>
      <vt:variant>
        <vt:i4>5</vt:i4>
      </vt:variant>
      <vt:variant>
        <vt:lpwstr/>
      </vt:variant>
      <vt:variant>
        <vt:lpwstr>_Toc390179853</vt:lpwstr>
      </vt:variant>
      <vt:variant>
        <vt:i4>1245244</vt:i4>
      </vt:variant>
      <vt:variant>
        <vt:i4>356</vt:i4>
      </vt:variant>
      <vt:variant>
        <vt:i4>0</vt:i4>
      </vt:variant>
      <vt:variant>
        <vt:i4>5</vt:i4>
      </vt:variant>
      <vt:variant>
        <vt:lpwstr/>
      </vt:variant>
      <vt:variant>
        <vt:lpwstr>_Toc390179852</vt:lpwstr>
      </vt:variant>
      <vt:variant>
        <vt:i4>1245244</vt:i4>
      </vt:variant>
      <vt:variant>
        <vt:i4>350</vt:i4>
      </vt:variant>
      <vt:variant>
        <vt:i4>0</vt:i4>
      </vt:variant>
      <vt:variant>
        <vt:i4>5</vt:i4>
      </vt:variant>
      <vt:variant>
        <vt:lpwstr/>
      </vt:variant>
      <vt:variant>
        <vt:lpwstr>_Toc390179851</vt:lpwstr>
      </vt:variant>
      <vt:variant>
        <vt:i4>1245244</vt:i4>
      </vt:variant>
      <vt:variant>
        <vt:i4>344</vt:i4>
      </vt:variant>
      <vt:variant>
        <vt:i4>0</vt:i4>
      </vt:variant>
      <vt:variant>
        <vt:i4>5</vt:i4>
      </vt:variant>
      <vt:variant>
        <vt:lpwstr/>
      </vt:variant>
      <vt:variant>
        <vt:lpwstr>_Toc390179850</vt:lpwstr>
      </vt:variant>
      <vt:variant>
        <vt:i4>1179708</vt:i4>
      </vt:variant>
      <vt:variant>
        <vt:i4>338</vt:i4>
      </vt:variant>
      <vt:variant>
        <vt:i4>0</vt:i4>
      </vt:variant>
      <vt:variant>
        <vt:i4>5</vt:i4>
      </vt:variant>
      <vt:variant>
        <vt:lpwstr/>
      </vt:variant>
      <vt:variant>
        <vt:lpwstr>_Toc390179849</vt:lpwstr>
      </vt:variant>
      <vt:variant>
        <vt:i4>1179708</vt:i4>
      </vt:variant>
      <vt:variant>
        <vt:i4>332</vt:i4>
      </vt:variant>
      <vt:variant>
        <vt:i4>0</vt:i4>
      </vt:variant>
      <vt:variant>
        <vt:i4>5</vt:i4>
      </vt:variant>
      <vt:variant>
        <vt:lpwstr/>
      </vt:variant>
      <vt:variant>
        <vt:lpwstr>_Toc390179848</vt:lpwstr>
      </vt:variant>
      <vt:variant>
        <vt:i4>1179708</vt:i4>
      </vt:variant>
      <vt:variant>
        <vt:i4>326</vt:i4>
      </vt:variant>
      <vt:variant>
        <vt:i4>0</vt:i4>
      </vt:variant>
      <vt:variant>
        <vt:i4>5</vt:i4>
      </vt:variant>
      <vt:variant>
        <vt:lpwstr/>
      </vt:variant>
      <vt:variant>
        <vt:lpwstr>_Toc390179847</vt:lpwstr>
      </vt:variant>
      <vt:variant>
        <vt:i4>1179708</vt:i4>
      </vt:variant>
      <vt:variant>
        <vt:i4>320</vt:i4>
      </vt:variant>
      <vt:variant>
        <vt:i4>0</vt:i4>
      </vt:variant>
      <vt:variant>
        <vt:i4>5</vt:i4>
      </vt:variant>
      <vt:variant>
        <vt:lpwstr/>
      </vt:variant>
      <vt:variant>
        <vt:lpwstr>_Toc390179846</vt:lpwstr>
      </vt:variant>
      <vt:variant>
        <vt:i4>1179708</vt:i4>
      </vt:variant>
      <vt:variant>
        <vt:i4>314</vt:i4>
      </vt:variant>
      <vt:variant>
        <vt:i4>0</vt:i4>
      </vt:variant>
      <vt:variant>
        <vt:i4>5</vt:i4>
      </vt:variant>
      <vt:variant>
        <vt:lpwstr/>
      </vt:variant>
      <vt:variant>
        <vt:lpwstr>_Toc390179845</vt:lpwstr>
      </vt:variant>
      <vt:variant>
        <vt:i4>1179708</vt:i4>
      </vt:variant>
      <vt:variant>
        <vt:i4>308</vt:i4>
      </vt:variant>
      <vt:variant>
        <vt:i4>0</vt:i4>
      </vt:variant>
      <vt:variant>
        <vt:i4>5</vt:i4>
      </vt:variant>
      <vt:variant>
        <vt:lpwstr/>
      </vt:variant>
      <vt:variant>
        <vt:lpwstr>_Toc390179844</vt:lpwstr>
      </vt:variant>
      <vt:variant>
        <vt:i4>1179708</vt:i4>
      </vt:variant>
      <vt:variant>
        <vt:i4>302</vt:i4>
      </vt:variant>
      <vt:variant>
        <vt:i4>0</vt:i4>
      </vt:variant>
      <vt:variant>
        <vt:i4>5</vt:i4>
      </vt:variant>
      <vt:variant>
        <vt:lpwstr/>
      </vt:variant>
      <vt:variant>
        <vt:lpwstr>_Toc390179843</vt:lpwstr>
      </vt:variant>
      <vt:variant>
        <vt:i4>1179708</vt:i4>
      </vt:variant>
      <vt:variant>
        <vt:i4>296</vt:i4>
      </vt:variant>
      <vt:variant>
        <vt:i4>0</vt:i4>
      </vt:variant>
      <vt:variant>
        <vt:i4>5</vt:i4>
      </vt:variant>
      <vt:variant>
        <vt:lpwstr/>
      </vt:variant>
      <vt:variant>
        <vt:lpwstr>_Toc390179842</vt:lpwstr>
      </vt:variant>
      <vt:variant>
        <vt:i4>1179708</vt:i4>
      </vt:variant>
      <vt:variant>
        <vt:i4>290</vt:i4>
      </vt:variant>
      <vt:variant>
        <vt:i4>0</vt:i4>
      </vt:variant>
      <vt:variant>
        <vt:i4>5</vt:i4>
      </vt:variant>
      <vt:variant>
        <vt:lpwstr/>
      </vt:variant>
      <vt:variant>
        <vt:lpwstr>_Toc390179841</vt:lpwstr>
      </vt:variant>
      <vt:variant>
        <vt:i4>1179708</vt:i4>
      </vt:variant>
      <vt:variant>
        <vt:i4>284</vt:i4>
      </vt:variant>
      <vt:variant>
        <vt:i4>0</vt:i4>
      </vt:variant>
      <vt:variant>
        <vt:i4>5</vt:i4>
      </vt:variant>
      <vt:variant>
        <vt:lpwstr/>
      </vt:variant>
      <vt:variant>
        <vt:lpwstr>_Toc390179840</vt:lpwstr>
      </vt:variant>
      <vt:variant>
        <vt:i4>1376316</vt:i4>
      </vt:variant>
      <vt:variant>
        <vt:i4>278</vt:i4>
      </vt:variant>
      <vt:variant>
        <vt:i4>0</vt:i4>
      </vt:variant>
      <vt:variant>
        <vt:i4>5</vt:i4>
      </vt:variant>
      <vt:variant>
        <vt:lpwstr/>
      </vt:variant>
      <vt:variant>
        <vt:lpwstr>_Toc390179839</vt:lpwstr>
      </vt:variant>
      <vt:variant>
        <vt:i4>1376316</vt:i4>
      </vt:variant>
      <vt:variant>
        <vt:i4>272</vt:i4>
      </vt:variant>
      <vt:variant>
        <vt:i4>0</vt:i4>
      </vt:variant>
      <vt:variant>
        <vt:i4>5</vt:i4>
      </vt:variant>
      <vt:variant>
        <vt:lpwstr/>
      </vt:variant>
      <vt:variant>
        <vt:lpwstr>_Toc390179838</vt:lpwstr>
      </vt:variant>
      <vt:variant>
        <vt:i4>1376316</vt:i4>
      </vt:variant>
      <vt:variant>
        <vt:i4>266</vt:i4>
      </vt:variant>
      <vt:variant>
        <vt:i4>0</vt:i4>
      </vt:variant>
      <vt:variant>
        <vt:i4>5</vt:i4>
      </vt:variant>
      <vt:variant>
        <vt:lpwstr/>
      </vt:variant>
      <vt:variant>
        <vt:lpwstr>_Toc390179837</vt:lpwstr>
      </vt:variant>
      <vt:variant>
        <vt:i4>1376316</vt:i4>
      </vt:variant>
      <vt:variant>
        <vt:i4>260</vt:i4>
      </vt:variant>
      <vt:variant>
        <vt:i4>0</vt:i4>
      </vt:variant>
      <vt:variant>
        <vt:i4>5</vt:i4>
      </vt:variant>
      <vt:variant>
        <vt:lpwstr/>
      </vt:variant>
      <vt:variant>
        <vt:lpwstr>_Toc390179836</vt:lpwstr>
      </vt:variant>
      <vt:variant>
        <vt:i4>1376316</vt:i4>
      </vt:variant>
      <vt:variant>
        <vt:i4>254</vt:i4>
      </vt:variant>
      <vt:variant>
        <vt:i4>0</vt:i4>
      </vt:variant>
      <vt:variant>
        <vt:i4>5</vt:i4>
      </vt:variant>
      <vt:variant>
        <vt:lpwstr/>
      </vt:variant>
      <vt:variant>
        <vt:lpwstr>_Toc390179835</vt:lpwstr>
      </vt:variant>
      <vt:variant>
        <vt:i4>1376316</vt:i4>
      </vt:variant>
      <vt:variant>
        <vt:i4>248</vt:i4>
      </vt:variant>
      <vt:variant>
        <vt:i4>0</vt:i4>
      </vt:variant>
      <vt:variant>
        <vt:i4>5</vt:i4>
      </vt:variant>
      <vt:variant>
        <vt:lpwstr/>
      </vt:variant>
      <vt:variant>
        <vt:lpwstr>_Toc390179834</vt:lpwstr>
      </vt:variant>
      <vt:variant>
        <vt:i4>1376316</vt:i4>
      </vt:variant>
      <vt:variant>
        <vt:i4>242</vt:i4>
      </vt:variant>
      <vt:variant>
        <vt:i4>0</vt:i4>
      </vt:variant>
      <vt:variant>
        <vt:i4>5</vt:i4>
      </vt:variant>
      <vt:variant>
        <vt:lpwstr/>
      </vt:variant>
      <vt:variant>
        <vt:lpwstr>_Toc390179833</vt:lpwstr>
      </vt:variant>
      <vt:variant>
        <vt:i4>1376316</vt:i4>
      </vt:variant>
      <vt:variant>
        <vt:i4>236</vt:i4>
      </vt:variant>
      <vt:variant>
        <vt:i4>0</vt:i4>
      </vt:variant>
      <vt:variant>
        <vt:i4>5</vt:i4>
      </vt:variant>
      <vt:variant>
        <vt:lpwstr/>
      </vt:variant>
      <vt:variant>
        <vt:lpwstr>_Toc390179832</vt:lpwstr>
      </vt:variant>
      <vt:variant>
        <vt:i4>1376316</vt:i4>
      </vt:variant>
      <vt:variant>
        <vt:i4>230</vt:i4>
      </vt:variant>
      <vt:variant>
        <vt:i4>0</vt:i4>
      </vt:variant>
      <vt:variant>
        <vt:i4>5</vt:i4>
      </vt:variant>
      <vt:variant>
        <vt:lpwstr/>
      </vt:variant>
      <vt:variant>
        <vt:lpwstr>_Toc390179831</vt:lpwstr>
      </vt:variant>
      <vt:variant>
        <vt:i4>1376316</vt:i4>
      </vt:variant>
      <vt:variant>
        <vt:i4>224</vt:i4>
      </vt:variant>
      <vt:variant>
        <vt:i4>0</vt:i4>
      </vt:variant>
      <vt:variant>
        <vt:i4>5</vt:i4>
      </vt:variant>
      <vt:variant>
        <vt:lpwstr/>
      </vt:variant>
      <vt:variant>
        <vt:lpwstr>_Toc390179830</vt:lpwstr>
      </vt:variant>
      <vt:variant>
        <vt:i4>1310780</vt:i4>
      </vt:variant>
      <vt:variant>
        <vt:i4>218</vt:i4>
      </vt:variant>
      <vt:variant>
        <vt:i4>0</vt:i4>
      </vt:variant>
      <vt:variant>
        <vt:i4>5</vt:i4>
      </vt:variant>
      <vt:variant>
        <vt:lpwstr/>
      </vt:variant>
      <vt:variant>
        <vt:lpwstr>_Toc390179829</vt:lpwstr>
      </vt:variant>
      <vt:variant>
        <vt:i4>1310780</vt:i4>
      </vt:variant>
      <vt:variant>
        <vt:i4>212</vt:i4>
      </vt:variant>
      <vt:variant>
        <vt:i4>0</vt:i4>
      </vt:variant>
      <vt:variant>
        <vt:i4>5</vt:i4>
      </vt:variant>
      <vt:variant>
        <vt:lpwstr/>
      </vt:variant>
      <vt:variant>
        <vt:lpwstr>_Toc390179828</vt:lpwstr>
      </vt:variant>
      <vt:variant>
        <vt:i4>1310780</vt:i4>
      </vt:variant>
      <vt:variant>
        <vt:i4>206</vt:i4>
      </vt:variant>
      <vt:variant>
        <vt:i4>0</vt:i4>
      </vt:variant>
      <vt:variant>
        <vt:i4>5</vt:i4>
      </vt:variant>
      <vt:variant>
        <vt:lpwstr/>
      </vt:variant>
      <vt:variant>
        <vt:lpwstr>_Toc390179827</vt:lpwstr>
      </vt:variant>
      <vt:variant>
        <vt:i4>1310780</vt:i4>
      </vt:variant>
      <vt:variant>
        <vt:i4>200</vt:i4>
      </vt:variant>
      <vt:variant>
        <vt:i4>0</vt:i4>
      </vt:variant>
      <vt:variant>
        <vt:i4>5</vt:i4>
      </vt:variant>
      <vt:variant>
        <vt:lpwstr/>
      </vt:variant>
      <vt:variant>
        <vt:lpwstr>_Toc390179826</vt:lpwstr>
      </vt:variant>
      <vt:variant>
        <vt:i4>1310780</vt:i4>
      </vt:variant>
      <vt:variant>
        <vt:i4>194</vt:i4>
      </vt:variant>
      <vt:variant>
        <vt:i4>0</vt:i4>
      </vt:variant>
      <vt:variant>
        <vt:i4>5</vt:i4>
      </vt:variant>
      <vt:variant>
        <vt:lpwstr/>
      </vt:variant>
      <vt:variant>
        <vt:lpwstr>_Toc390179825</vt:lpwstr>
      </vt:variant>
      <vt:variant>
        <vt:i4>1310780</vt:i4>
      </vt:variant>
      <vt:variant>
        <vt:i4>188</vt:i4>
      </vt:variant>
      <vt:variant>
        <vt:i4>0</vt:i4>
      </vt:variant>
      <vt:variant>
        <vt:i4>5</vt:i4>
      </vt:variant>
      <vt:variant>
        <vt:lpwstr/>
      </vt:variant>
      <vt:variant>
        <vt:lpwstr>_Toc390179824</vt:lpwstr>
      </vt:variant>
      <vt:variant>
        <vt:i4>1310780</vt:i4>
      </vt:variant>
      <vt:variant>
        <vt:i4>182</vt:i4>
      </vt:variant>
      <vt:variant>
        <vt:i4>0</vt:i4>
      </vt:variant>
      <vt:variant>
        <vt:i4>5</vt:i4>
      </vt:variant>
      <vt:variant>
        <vt:lpwstr/>
      </vt:variant>
      <vt:variant>
        <vt:lpwstr>_Toc390179823</vt:lpwstr>
      </vt:variant>
      <vt:variant>
        <vt:i4>1310780</vt:i4>
      </vt:variant>
      <vt:variant>
        <vt:i4>176</vt:i4>
      </vt:variant>
      <vt:variant>
        <vt:i4>0</vt:i4>
      </vt:variant>
      <vt:variant>
        <vt:i4>5</vt:i4>
      </vt:variant>
      <vt:variant>
        <vt:lpwstr/>
      </vt:variant>
      <vt:variant>
        <vt:lpwstr>_Toc390179822</vt:lpwstr>
      </vt:variant>
      <vt:variant>
        <vt:i4>1310780</vt:i4>
      </vt:variant>
      <vt:variant>
        <vt:i4>170</vt:i4>
      </vt:variant>
      <vt:variant>
        <vt:i4>0</vt:i4>
      </vt:variant>
      <vt:variant>
        <vt:i4>5</vt:i4>
      </vt:variant>
      <vt:variant>
        <vt:lpwstr/>
      </vt:variant>
      <vt:variant>
        <vt:lpwstr>_Toc390179821</vt:lpwstr>
      </vt:variant>
      <vt:variant>
        <vt:i4>1310780</vt:i4>
      </vt:variant>
      <vt:variant>
        <vt:i4>164</vt:i4>
      </vt:variant>
      <vt:variant>
        <vt:i4>0</vt:i4>
      </vt:variant>
      <vt:variant>
        <vt:i4>5</vt:i4>
      </vt:variant>
      <vt:variant>
        <vt:lpwstr/>
      </vt:variant>
      <vt:variant>
        <vt:lpwstr>_Toc390179820</vt:lpwstr>
      </vt:variant>
      <vt:variant>
        <vt:i4>1507388</vt:i4>
      </vt:variant>
      <vt:variant>
        <vt:i4>158</vt:i4>
      </vt:variant>
      <vt:variant>
        <vt:i4>0</vt:i4>
      </vt:variant>
      <vt:variant>
        <vt:i4>5</vt:i4>
      </vt:variant>
      <vt:variant>
        <vt:lpwstr/>
      </vt:variant>
      <vt:variant>
        <vt:lpwstr>_Toc390179819</vt:lpwstr>
      </vt:variant>
      <vt:variant>
        <vt:i4>1507388</vt:i4>
      </vt:variant>
      <vt:variant>
        <vt:i4>152</vt:i4>
      </vt:variant>
      <vt:variant>
        <vt:i4>0</vt:i4>
      </vt:variant>
      <vt:variant>
        <vt:i4>5</vt:i4>
      </vt:variant>
      <vt:variant>
        <vt:lpwstr/>
      </vt:variant>
      <vt:variant>
        <vt:lpwstr>_Toc390179818</vt:lpwstr>
      </vt:variant>
      <vt:variant>
        <vt:i4>1507388</vt:i4>
      </vt:variant>
      <vt:variant>
        <vt:i4>146</vt:i4>
      </vt:variant>
      <vt:variant>
        <vt:i4>0</vt:i4>
      </vt:variant>
      <vt:variant>
        <vt:i4>5</vt:i4>
      </vt:variant>
      <vt:variant>
        <vt:lpwstr/>
      </vt:variant>
      <vt:variant>
        <vt:lpwstr>_Toc390179817</vt:lpwstr>
      </vt:variant>
      <vt:variant>
        <vt:i4>1507388</vt:i4>
      </vt:variant>
      <vt:variant>
        <vt:i4>140</vt:i4>
      </vt:variant>
      <vt:variant>
        <vt:i4>0</vt:i4>
      </vt:variant>
      <vt:variant>
        <vt:i4>5</vt:i4>
      </vt:variant>
      <vt:variant>
        <vt:lpwstr/>
      </vt:variant>
      <vt:variant>
        <vt:lpwstr>_Toc390179816</vt:lpwstr>
      </vt:variant>
      <vt:variant>
        <vt:i4>1507388</vt:i4>
      </vt:variant>
      <vt:variant>
        <vt:i4>134</vt:i4>
      </vt:variant>
      <vt:variant>
        <vt:i4>0</vt:i4>
      </vt:variant>
      <vt:variant>
        <vt:i4>5</vt:i4>
      </vt:variant>
      <vt:variant>
        <vt:lpwstr/>
      </vt:variant>
      <vt:variant>
        <vt:lpwstr>_Toc390179815</vt:lpwstr>
      </vt:variant>
      <vt:variant>
        <vt:i4>1507388</vt:i4>
      </vt:variant>
      <vt:variant>
        <vt:i4>128</vt:i4>
      </vt:variant>
      <vt:variant>
        <vt:i4>0</vt:i4>
      </vt:variant>
      <vt:variant>
        <vt:i4>5</vt:i4>
      </vt:variant>
      <vt:variant>
        <vt:lpwstr/>
      </vt:variant>
      <vt:variant>
        <vt:lpwstr>_Toc390179814</vt:lpwstr>
      </vt:variant>
      <vt:variant>
        <vt:i4>1507388</vt:i4>
      </vt:variant>
      <vt:variant>
        <vt:i4>122</vt:i4>
      </vt:variant>
      <vt:variant>
        <vt:i4>0</vt:i4>
      </vt:variant>
      <vt:variant>
        <vt:i4>5</vt:i4>
      </vt:variant>
      <vt:variant>
        <vt:lpwstr/>
      </vt:variant>
      <vt:variant>
        <vt:lpwstr>_Toc390179813</vt:lpwstr>
      </vt:variant>
      <vt:variant>
        <vt:i4>1507388</vt:i4>
      </vt:variant>
      <vt:variant>
        <vt:i4>116</vt:i4>
      </vt:variant>
      <vt:variant>
        <vt:i4>0</vt:i4>
      </vt:variant>
      <vt:variant>
        <vt:i4>5</vt:i4>
      </vt:variant>
      <vt:variant>
        <vt:lpwstr/>
      </vt:variant>
      <vt:variant>
        <vt:lpwstr>_Toc390179812</vt:lpwstr>
      </vt:variant>
      <vt:variant>
        <vt:i4>1507388</vt:i4>
      </vt:variant>
      <vt:variant>
        <vt:i4>110</vt:i4>
      </vt:variant>
      <vt:variant>
        <vt:i4>0</vt:i4>
      </vt:variant>
      <vt:variant>
        <vt:i4>5</vt:i4>
      </vt:variant>
      <vt:variant>
        <vt:lpwstr/>
      </vt:variant>
      <vt:variant>
        <vt:lpwstr>_Toc390179811</vt:lpwstr>
      </vt:variant>
      <vt:variant>
        <vt:i4>1507388</vt:i4>
      </vt:variant>
      <vt:variant>
        <vt:i4>104</vt:i4>
      </vt:variant>
      <vt:variant>
        <vt:i4>0</vt:i4>
      </vt:variant>
      <vt:variant>
        <vt:i4>5</vt:i4>
      </vt:variant>
      <vt:variant>
        <vt:lpwstr/>
      </vt:variant>
      <vt:variant>
        <vt:lpwstr>_Toc390179810</vt:lpwstr>
      </vt:variant>
      <vt:variant>
        <vt:i4>1441852</vt:i4>
      </vt:variant>
      <vt:variant>
        <vt:i4>98</vt:i4>
      </vt:variant>
      <vt:variant>
        <vt:i4>0</vt:i4>
      </vt:variant>
      <vt:variant>
        <vt:i4>5</vt:i4>
      </vt:variant>
      <vt:variant>
        <vt:lpwstr/>
      </vt:variant>
      <vt:variant>
        <vt:lpwstr>_Toc390179809</vt:lpwstr>
      </vt:variant>
      <vt:variant>
        <vt:i4>1441852</vt:i4>
      </vt:variant>
      <vt:variant>
        <vt:i4>92</vt:i4>
      </vt:variant>
      <vt:variant>
        <vt:i4>0</vt:i4>
      </vt:variant>
      <vt:variant>
        <vt:i4>5</vt:i4>
      </vt:variant>
      <vt:variant>
        <vt:lpwstr/>
      </vt:variant>
      <vt:variant>
        <vt:lpwstr>_Toc390179808</vt:lpwstr>
      </vt:variant>
      <vt:variant>
        <vt:i4>1441852</vt:i4>
      </vt:variant>
      <vt:variant>
        <vt:i4>86</vt:i4>
      </vt:variant>
      <vt:variant>
        <vt:i4>0</vt:i4>
      </vt:variant>
      <vt:variant>
        <vt:i4>5</vt:i4>
      </vt:variant>
      <vt:variant>
        <vt:lpwstr/>
      </vt:variant>
      <vt:variant>
        <vt:lpwstr>_Toc390179807</vt:lpwstr>
      </vt:variant>
      <vt:variant>
        <vt:i4>1441852</vt:i4>
      </vt:variant>
      <vt:variant>
        <vt:i4>80</vt:i4>
      </vt:variant>
      <vt:variant>
        <vt:i4>0</vt:i4>
      </vt:variant>
      <vt:variant>
        <vt:i4>5</vt:i4>
      </vt:variant>
      <vt:variant>
        <vt:lpwstr/>
      </vt:variant>
      <vt:variant>
        <vt:lpwstr>_Toc390179806</vt:lpwstr>
      </vt:variant>
      <vt:variant>
        <vt:i4>1441852</vt:i4>
      </vt:variant>
      <vt:variant>
        <vt:i4>74</vt:i4>
      </vt:variant>
      <vt:variant>
        <vt:i4>0</vt:i4>
      </vt:variant>
      <vt:variant>
        <vt:i4>5</vt:i4>
      </vt:variant>
      <vt:variant>
        <vt:lpwstr/>
      </vt:variant>
      <vt:variant>
        <vt:lpwstr>_Toc390179805</vt:lpwstr>
      </vt:variant>
      <vt:variant>
        <vt:i4>1441852</vt:i4>
      </vt:variant>
      <vt:variant>
        <vt:i4>68</vt:i4>
      </vt:variant>
      <vt:variant>
        <vt:i4>0</vt:i4>
      </vt:variant>
      <vt:variant>
        <vt:i4>5</vt:i4>
      </vt:variant>
      <vt:variant>
        <vt:lpwstr/>
      </vt:variant>
      <vt:variant>
        <vt:lpwstr>_Toc390179804</vt:lpwstr>
      </vt:variant>
      <vt:variant>
        <vt:i4>1441852</vt:i4>
      </vt:variant>
      <vt:variant>
        <vt:i4>62</vt:i4>
      </vt:variant>
      <vt:variant>
        <vt:i4>0</vt:i4>
      </vt:variant>
      <vt:variant>
        <vt:i4>5</vt:i4>
      </vt:variant>
      <vt:variant>
        <vt:lpwstr/>
      </vt:variant>
      <vt:variant>
        <vt:lpwstr>_Toc390179803</vt:lpwstr>
      </vt:variant>
      <vt:variant>
        <vt:i4>1441852</vt:i4>
      </vt:variant>
      <vt:variant>
        <vt:i4>56</vt:i4>
      </vt:variant>
      <vt:variant>
        <vt:i4>0</vt:i4>
      </vt:variant>
      <vt:variant>
        <vt:i4>5</vt:i4>
      </vt:variant>
      <vt:variant>
        <vt:lpwstr/>
      </vt:variant>
      <vt:variant>
        <vt:lpwstr>_Toc390179802</vt:lpwstr>
      </vt:variant>
      <vt:variant>
        <vt:i4>1441852</vt:i4>
      </vt:variant>
      <vt:variant>
        <vt:i4>50</vt:i4>
      </vt:variant>
      <vt:variant>
        <vt:i4>0</vt:i4>
      </vt:variant>
      <vt:variant>
        <vt:i4>5</vt:i4>
      </vt:variant>
      <vt:variant>
        <vt:lpwstr/>
      </vt:variant>
      <vt:variant>
        <vt:lpwstr>_Toc390179801</vt:lpwstr>
      </vt:variant>
      <vt:variant>
        <vt:i4>1441852</vt:i4>
      </vt:variant>
      <vt:variant>
        <vt:i4>44</vt:i4>
      </vt:variant>
      <vt:variant>
        <vt:i4>0</vt:i4>
      </vt:variant>
      <vt:variant>
        <vt:i4>5</vt:i4>
      </vt:variant>
      <vt:variant>
        <vt:lpwstr/>
      </vt:variant>
      <vt:variant>
        <vt:lpwstr>_Toc390179800</vt:lpwstr>
      </vt:variant>
      <vt:variant>
        <vt:i4>2031667</vt:i4>
      </vt:variant>
      <vt:variant>
        <vt:i4>38</vt:i4>
      </vt:variant>
      <vt:variant>
        <vt:i4>0</vt:i4>
      </vt:variant>
      <vt:variant>
        <vt:i4>5</vt:i4>
      </vt:variant>
      <vt:variant>
        <vt:lpwstr/>
      </vt:variant>
      <vt:variant>
        <vt:lpwstr>_Toc390179799</vt:lpwstr>
      </vt:variant>
      <vt:variant>
        <vt:i4>2031667</vt:i4>
      </vt:variant>
      <vt:variant>
        <vt:i4>32</vt:i4>
      </vt:variant>
      <vt:variant>
        <vt:i4>0</vt:i4>
      </vt:variant>
      <vt:variant>
        <vt:i4>5</vt:i4>
      </vt:variant>
      <vt:variant>
        <vt:lpwstr/>
      </vt:variant>
      <vt:variant>
        <vt:lpwstr>_Toc390179798</vt:lpwstr>
      </vt:variant>
      <vt:variant>
        <vt:i4>2031667</vt:i4>
      </vt:variant>
      <vt:variant>
        <vt:i4>26</vt:i4>
      </vt:variant>
      <vt:variant>
        <vt:i4>0</vt:i4>
      </vt:variant>
      <vt:variant>
        <vt:i4>5</vt:i4>
      </vt:variant>
      <vt:variant>
        <vt:lpwstr/>
      </vt:variant>
      <vt:variant>
        <vt:lpwstr>_Toc390179797</vt:lpwstr>
      </vt:variant>
      <vt:variant>
        <vt:i4>2031667</vt:i4>
      </vt:variant>
      <vt:variant>
        <vt:i4>20</vt:i4>
      </vt:variant>
      <vt:variant>
        <vt:i4>0</vt:i4>
      </vt:variant>
      <vt:variant>
        <vt:i4>5</vt:i4>
      </vt:variant>
      <vt:variant>
        <vt:lpwstr/>
      </vt:variant>
      <vt:variant>
        <vt:lpwstr>_Toc390179796</vt:lpwstr>
      </vt:variant>
      <vt:variant>
        <vt:i4>2031667</vt:i4>
      </vt:variant>
      <vt:variant>
        <vt:i4>14</vt:i4>
      </vt:variant>
      <vt:variant>
        <vt:i4>0</vt:i4>
      </vt:variant>
      <vt:variant>
        <vt:i4>5</vt:i4>
      </vt:variant>
      <vt:variant>
        <vt:lpwstr/>
      </vt:variant>
      <vt:variant>
        <vt:lpwstr>_Toc390179795</vt:lpwstr>
      </vt:variant>
      <vt:variant>
        <vt:i4>2031667</vt:i4>
      </vt:variant>
      <vt:variant>
        <vt:i4>8</vt:i4>
      </vt:variant>
      <vt:variant>
        <vt:i4>0</vt:i4>
      </vt:variant>
      <vt:variant>
        <vt:i4>5</vt:i4>
      </vt:variant>
      <vt:variant>
        <vt:lpwstr/>
      </vt:variant>
      <vt:variant>
        <vt:lpwstr>_Toc390179794</vt:lpwstr>
      </vt:variant>
      <vt:variant>
        <vt:i4>2031667</vt:i4>
      </vt:variant>
      <vt:variant>
        <vt:i4>2</vt:i4>
      </vt:variant>
      <vt:variant>
        <vt:i4>0</vt:i4>
      </vt:variant>
      <vt:variant>
        <vt:i4>5</vt:i4>
      </vt:variant>
      <vt:variant>
        <vt:lpwstr/>
      </vt:variant>
      <vt:variant>
        <vt:lpwstr>_Toc390179793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PRŮMYSLU A OBCHODU</dc:title>
  <dc:creator>MPO</dc:creator>
  <cp:lastModifiedBy>Tůma Petr</cp:lastModifiedBy>
  <cp:revision>760</cp:revision>
  <cp:lastPrinted>2015-04-09T10:47:00Z</cp:lastPrinted>
  <dcterms:created xsi:type="dcterms:W3CDTF">2015-01-09T13:46:00Z</dcterms:created>
  <dcterms:modified xsi:type="dcterms:W3CDTF">2023-03-06T13:29:00Z</dcterms:modified>
</cp:coreProperties>
</file>