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F6" w:rsidRDefault="00BE09F6" w:rsidP="00987E64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4"/>
          <w:szCs w:val="24"/>
        </w:rPr>
      </w:pPr>
    </w:p>
    <w:p w:rsidR="00987E64" w:rsidRPr="00FA4450" w:rsidRDefault="00987E64" w:rsidP="00987E64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4"/>
          <w:szCs w:val="24"/>
        </w:rPr>
      </w:pPr>
      <w:r w:rsidRPr="00FA4450">
        <w:rPr>
          <w:rFonts w:ascii="Calibri" w:hAnsi="Calibri"/>
          <w:b/>
          <w:sz w:val="24"/>
          <w:szCs w:val="24"/>
        </w:rPr>
        <w:t>VYMEZENÍ ZVÝHODNĚNÝCH REGIONŮ</w:t>
      </w:r>
    </w:p>
    <w:p w:rsidR="00987E64" w:rsidRPr="00FA4450" w:rsidRDefault="00987E64" w:rsidP="00987E64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</w:p>
    <w:p w:rsidR="00987E64" w:rsidRDefault="00987E64" w:rsidP="00BE09F6">
      <w:pPr>
        <w:overflowPunct/>
        <w:autoSpaceDE/>
        <w:autoSpaceDN/>
        <w:adjustRightInd/>
        <w:textAlignment w:val="auto"/>
        <w:rPr>
          <w:rFonts w:ascii="Calibri" w:hAnsi="Calibri"/>
          <w:b/>
        </w:rPr>
      </w:pPr>
      <w:r w:rsidRPr="00CB0D65">
        <w:rPr>
          <w:rFonts w:ascii="Calibri" w:hAnsi="Calibri"/>
          <w:b/>
          <w:sz w:val="24"/>
          <w:szCs w:val="24"/>
          <w:u w:val="single"/>
        </w:rPr>
        <w:t>Okresy</w:t>
      </w:r>
      <w:r w:rsidRPr="00FA4450">
        <w:rPr>
          <w:rFonts w:ascii="Calibri" w:hAnsi="Calibri"/>
          <w:b/>
          <w:sz w:val="24"/>
          <w:szCs w:val="24"/>
        </w:rPr>
        <w:t xml:space="preserve"> s podílem nezaměstnaných osob</w:t>
      </w:r>
      <w:r w:rsidR="009D04B2">
        <w:rPr>
          <w:rFonts w:ascii="Calibri" w:hAnsi="Calibri"/>
          <w:b/>
          <w:sz w:val="24"/>
          <w:szCs w:val="24"/>
        </w:rPr>
        <w:t xml:space="preserve"> </w:t>
      </w:r>
      <w:r w:rsidRPr="00FA4450">
        <w:rPr>
          <w:rFonts w:ascii="Calibri" w:hAnsi="Calibri"/>
          <w:b/>
          <w:sz w:val="24"/>
          <w:szCs w:val="24"/>
        </w:rPr>
        <w:t xml:space="preserve">vyšším než je průměrný podíl nezaměstnaných osob v ČR za </w:t>
      </w:r>
      <w:r w:rsidR="002D2636">
        <w:rPr>
          <w:rFonts w:ascii="Calibri" w:hAnsi="Calibri"/>
          <w:b/>
          <w:sz w:val="24"/>
          <w:szCs w:val="24"/>
        </w:rPr>
        <w:t>leden</w:t>
      </w:r>
      <w:r>
        <w:rPr>
          <w:rFonts w:ascii="Calibri" w:hAnsi="Calibri"/>
          <w:b/>
          <w:sz w:val="24"/>
          <w:szCs w:val="24"/>
        </w:rPr>
        <w:t xml:space="preserve"> </w:t>
      </w:r>
      <w:r w:rsidRPr="00FA4450">
        <w:rPr>
          <w:rFonts w:ascii="Calibri" w:hAnsi="Calibri"/>
          <w:b/>
          <w:sz w:val="24"/>
          <w:szCs w:val="24"/>
        </w:rPr>
        <w:t>20</w:t>
      </w:r>
      <w:r w:rsidR="002B067B">
        <w:rPr>
          <w:rFonts w:ascii="Calibri" w:hAnsi="Calibri"/>
          <w:b/>
          <w:sz w:val="24"/>
          <w:szCs w:val="24"/>
        </w:rPr>
        <w:t>1</w:t>
      </w:r>
      <w:r w:rsidR="002D2636">
        <w:rPr>
          <w:rFonts w:ascii="Calibri" w:hAnsi="Calibri"/>
          <w:b/>
          <w:sz w:val="24"/>
          <w:szCs w:val="24"/>
        </w:rPr>
        <w:t>9</w:t>
      </w:r>
      <w:r w:rsidR="00BE09F6">
        <w:rPr>
          <w:rFonts w:ascii="Calibri" w:hAnsi="Calibri"/>
          <w:b/>
          <w:sz w:val="24"/>
          <w:szCs w:val="24"/>
        </w:rPr>
        <w:t xml:space="preserve">, </w:t>
      </w:r>
      <w:r>
        <w:rPr>
          <w:rFonts w:ascii="Calibri" w:hAnsi="Calibri"/>
          <w:b/>
          <w:sz w:val="24"/>
          <w:szCs w:val="24"/>
        </w:rPr>
        <w:t>dle údajů zveřejněných MPSV</w:t>
      </w:r>
      <w:r w:rsidR="00BE09F6">
        <w:rPr>
          <w:rFonts w:ascii="Calibri" w:hAnsi="Calibri"/>
          <w:b/>
          <w:sz w:val="24"/>
          <w:szCs w:val="24"/>
        </w:rPr>
        <w:t xml:space="preserve"> -</w:t>
      </w:r>
      <w:r>
        <w:rPr>
          <w:rFonts w:ascii="Calibri" w:hAnsi="Calibri"/>
          <w:b/>
          <w:sz w:val="24"/>
          <w:szCs w:val="24"/>
        </w:rPr>
        <w:t xml:space="preserve"> </w:t>
      </w:r>
      <w:hyperlink r:id="rId7" w:history="1">
        <w:r w:rsidR="008D2E7D" w:rsidRPr="00AA47B6">
          <w:rPr>
            <w:rStyle w:val="Hypertextovodkaz"/>
            <w:rFonts w:ascii="Calibri" w:hAnsi="Calibri"/>
            <w:b/>
          </w:rPr>
          <w:t>http://portal.mpsv.cz/sz/stat/nz/mes</w:t>
        </w:r>
      </w:hyperlink>
      <w:r w:rsidRPr="00BE09F6">
        <w:rPr>
          <w:rFonts w:ascii="Calibri" w:hAnsi="Calibri"/>
          <w:b/>
        </w:rPr>
        <w:t>:</w:t>
      </w:r>
    </w:p>
    <w:p w:rsidR="00BE09F6" w:rsidRPr="00BE09F6" w:rsidRDefault="00BE09F6" w:rsidP="00BE09F6">
      <w:pPr>
        <w:overflowPunct/>
        <w:autoSpaceDE/>
        <w:autoSpaceDN/>
        <w:adjustRightInd/>
        <w:textAlignment w:val="auto"/>
        <w:rPr>
          <w:rFonts w:ascii="Calibri" w:hAnsi="Calibri"/>
          <w:b/>
          <w:sz w:val="16"/>
          <w:szCs w:val="16"/>
        </w:rPr>
      </w:pP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Brno-město</w:t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Brněnské metropolitní oblasti</w:t>
      </w:r>
    </w:p>
    <w:p w:rsidR="00393BD8" w:rsidRDefault="00B74F15" w:rsidP="00243681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243681">
        <w:rPr>
          <w:rFonts w:asciiTheme="minorHAnsi" w:hAnsiTheme="minorHAnsi"/>
          <w:sz w:val="24"/>
          <w:szCs w:val="24"/>
        </w:rPr>
        <w:t>Bruntál</w:t>
      </w:r>
    </w:p>
    <w:p w:rsidR="00243681" w:rsidRPr="00243681" w:rsidRDefault="00243681" w:rsidP="00243681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Břeclav</w:t>
      </w:r>
      <w:r w:rsidR="00E81AC8">
        <w:rPr>
          <w:rFonts w:asciiTheme="minorHAnsi" w:hAnsiTheme="minorHAnsi"/>
          <w:sz w:val="24"/>
          <w:szCs w:val="24"/>
        </w:rPr>
        <w:t xml:space="preserve"> </w:t>
      </w:r>
      <w:r w:rsidR="00E81AC8">
        <w:rPr>
          <w:rFonts w:asciiTheme="minorHAnsi" w:hAnsiTheme="minorHAnsi"/>
          <w:sz w:val="24"/>
          <w:szCs w:val="24"/>
        </w:rPr>
        <w:tab/>
      </w:r>
      <w:r w:rsidR="00E81AC8">
        <w:rPr>
          <w:rFonts w:asciiTheme="minorHAnsi" w:hAnsiTheme="minorHAnsi"/>
          <w:sz w:val="24"/>
          <w:szCs w:val="24"/>
        </w:rPr>
        <w:tab/>
      </w:r>
      <w:r w:rsidR="00E81AC8" w:rsidRPr="00950A0A">
        <w:rPr>
          <w:rFonts w:asciiTheme="minorHAnsi" w:hAnsiTheme="minorHAnsi"/>
          <w:sz w:val="24"/>
          <w:szCs w:val="24"/>
        </w:rPr>
        <w:t>okres (částečně) spadá do území ITI Brněnské metropolitní oblasti</w:t>
      </w:r>
    </w:p>
    <w:p w:rsidR="00E64A3C" w:rsidRDefault="00E64A3C" w:rsidP="0010619A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Český Krumlov</w:t>
      </w:r>
    </w:p>
    <w:p w:rsidR="00AC3E01" w:rsidRPr="00AC3E01" w:rsidRDefault="00B74F15" w:rsidP="00AC3E01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Děčín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Hodonín</w:t>
      </w:r>
    </w:p>
    <w:p w:rsidR="007946F5" w:rsidRDefault="00B74F15" w:rsidP="002924B8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Chomutov</w:t>
      </w:r>
    </w:p>
    <w:p w:rsidR="00AC3E01" w:rsidRPr="008B05CB" w:rsidRDefault="00AC3E01" w:rsidP="002924B8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8B05CB">
        <w:rPr>
          <w:rFonts w:asciiTheme="minorHAnsi" w:hAnsiTheme="minorHAnsi"/>
          <w:sz w:val="24"/>
          <w:szCs w:val="24"/>
        </w:rPr>
        <w:t>Jablonec n. Nisou</w:t>
      </w:r>
    </w:p>
    <w:p w:rsidR="00B74F15" w:rsidRDefault="00B74F15" w:rsidP="000A2C99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Jeseník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Karviná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Ostravské metropolitní oblasti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Kladno</w:t>
      </w:r>
    </w:p>
    <w:p w:rsidR="00B74F15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Kolín</w:t>
      </w:r>
    </w:p>
    <w:p w:rsidR="008D2E7D" w:rsidRDefault="008D2E7D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Kroměříž</w:t>
      </w:r>
    </w:p>
    <w:p w:rsidR="00243681" w:rsidRPr="00950A0A" w:rsidRDefault="00243681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Kutná Hora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Liberec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Litoměřice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Louny</w:t>
      </w:r>
    </w:p>
    <w:p w:rsidR="00D917A5" w:rsidRPr="00950A0A" w:rsidRDefault="00D917A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Mělník</w:t>
      </w:r>
    </w:p>
    <w:p w:rsidR="00B74F15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Most</w:t>
      </w:r>
    </w:p>
    <w:p w:rsidR="00031F25" w:rsidRDefault="00031F2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Náchod</w:t>
      </w:r>
    </w:p>
    <w:p w:rsidR="00031F25" w:rsidRPr="00950A0A" w:rsidRDefault="00031F2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Nový Jičín</w:t>
      </w:r>
      <w:r w:rsidRPr="00031F2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ab/>
      </w:r>
      <w:r w:rsidRPr="00950A0A">
        <w:rPr>
          <w:rFonts w:asciiTheme="minorHAnsi" w:hAnsiTheme="minorHAnsi"/>
          <w:sz w:val="24"/>
          <w:szCs w:val="24"/>
        </w:rPr>
        <w:t>okres (částečně) spadá do území ITI Ostravské metropolitní oblasti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Nymburk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Ostrava-město</w:t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Ostravské metropolitní oblasti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Přerov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Olomoucké aglomerace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Příbram</w:t>
      </w:r>
    </w:p>
    <w:p w:rsidR="00393BD8" w:rsidRPr="00950A0A" w:rsidRDefault="00393BD8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Semily</w:t>
      </w:r>
    </w:p>
    <w:p w:rsidR="00393BD8" w:rsidRDefault="00B74F15" w:rsidP="0010619A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Sokolov</w:t>
      </w:r>
    </w:p>
    <w:p w:rsidR="00D917A5" w:rsidRPr="007946F5" w:rsidRDefault="00B74F15" w:rsidP="007946F5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Šumperk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Olomoucké aglomerace</w:t>
      </w:r>
    </w:p>
    <w:p w:rsidR="00031F25" w:rsidRDefault="00031F2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Tábor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Teplice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Třebíč</w:t>
      </w:r>
    </w:p>
    <w:p w:rsidR="00B74F15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Ústí nad Labem</w:t>
      </w:r>
    </w:p>
    <w:p w:rsidR="00031F25" w:rsidRPr="00950A0A" w:rsidRDefault="00031F2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Vsetín</w:t>
      </w:r>
    </w:p>
    <w:p w:rsidR="00B74F15" w:rsidRPr="00950A0A" w:rsidRDefault="00B74F15" w:rsidP="005318BB">
      <w:pPr>
        <w:pStyle w:val="Odstavecseseznamem"/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Znojmo</w:t>
      </w:r>
      <w:r w:rsidR="00950A0A" w:rsidRPr="00950A0A">
        <w:rPr>
          <w:rFonts w:asciiTheme="minorHAnsi" w:hAnsiTheme="minorHAnsi"/>
          <w:sz w:val="24"/>
          <w:szCs w:val="24"/>
        </w:rPr>
        <w:tab/>
      </w:r>
      <w:r w:rsidR="00950A0A" w:rsidRPr="00950A0A">
        <w:rPr>
          <w:rFonts w:asciiTheme="minorHAnsi" w:hAnsiTheme="minorHAnsi"/>
          <w:sz w:val="24"/>
          <w:szCs w:val="24"/>
        </w:rPr>
        <w:tab/>
        <w:t>okres (částečně) spadá do území ITI Brněnské metropolitní oblasti</w:t>
      </w:r>
    </w:p>
    <w:p w:rsidR="00AD47D8" w:rsidRPr="00FE53EB" w:rsidRDefault="00FB48C4" w:rsidP="00FE53EB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120"/>
        <w:ind w:left="425" w:hanging="425"/>
        <w:textAlignment w:val="auto"/>
        <w:rPr>
          <w:rFonts w:asciiTheme="minorHAnsi" w:hAnsiTheme="minorHAnsi"/>
          <w:sz w:val="24"/>
          <w:szCs w:val="24"/>
        </w:rPr>
      </w:pPr>
      <w:r w:rsidRPr="00950A0A">
        <w:rPr>
          <w:rFonts w:asciiTheme="minorHAnsi" w:hAnsiTheme="minorHAnsi"/>
          <w:sz w:val="24"/>
          <w:szCs w:val="24"/>
        </w:rPr>
        <w:t>Žďár nad Sázavou</w:t>
      </w:r>
    </w:p>
    <w:p w:rsidR="009D04B2" w:rsidRDefault="00AD47D8" w:rsidP="002D2636">
      <w:pPr>
        <w:overflowPunct/>
        <w:autoSpaceDE/>
        <w:autoSpaceDN/>
        <w:adjustRightInd/>
        <w:spacing w:after="60"/>
        <w:textAlignment w:val="auto"/>
        <w:rPr>
          <w:rFonts w:asciiTheme="minorHAnsi" w:hAnsiTheme="minorHAnsi"/>
          <w:i/>
          <w:sz w:val="24"/>
          <w:szCs w:val="24"/>
        </w:rPr>
      </w:pPr>
      <w:r w:rsidRPr="009D04B2">
        <w:rPr>
          <w:rFonts w:asciiTheme="minorHAnsi" w:hAnsiTheme="minorHAnsi"/>
          <w:sz w:val="24"/>
          <w:szCs w:val="24"/>
        </w:rPr>
        <w:t xml:space="preserve">Toto vymezení zvýhodněných regionů platí </w:t>
      </w:r>
      <w:r w:rsidR="00D532CE" w:rsidRPr="009D04B2">
        <w:rPr>
          <w:rFonts w:asciiTheme="minorHAnsi" w:hAnsiTheme="minorHAnsi"/>
          <w:sz w:val="24"/>
          <w:szCs w:val="24"/>
        </w:rPr>
        <w:t>k </w:t>
      </w:r>
      <w:r w:rsidR="008D2E7D">
        <w:rPr>
          <w:rFonts w:asciiTheme="minorHAnsi" w:hAnsiTheme="minorHAnsi"/>
          <w:sz w:val="24"/>
          <w:szCs w:val="24"/>
        </w:rPr>
        <w:t>31</w:t>
      </w:r>
      <w:r w:rsidR="007F1943">
        <w:rPr>
          <w:rFonts w:asciiTheme="minorHAnsi" w:hAnsiTheme="minorHAnsi"/>
          <w:sz w:val="24"/>
          <w:szCs w:val="24"/>
        </w:rPr>
        <w:t xml:space="preserve">. </w:t>
      </w:r>
      <w:r w:rsidR="00232AC1">
        <w:rPr>
          <w:rFonts w:asciiTheme="minorHAnsi" w:hAnsiTheme="minorHAnsi"/>
          <w:sz w:val="24"/>
          <w:szCs w:val="24"/>
        </w:rPr>
        <w:t>1</w:t>
      </w:r>
      <w:r w:rsidR="002924B8" w:rsidRPr="009D04B2">
        <w:rPr>
          <w:rFonts w:asciiTheme="minorHAnsi" w:hAnsiTheme="minorHAnsi"/>
          <w:sz w:val="24"/>
          <w:szCs w:val="24"/>
        </w:rPr>
        <w:t xml:space="preserve">. </w:t>
      </w:r>
      <w:r w:rsidR="002D2636">
        <w:rPr>
          <w:rFonts w:asciiTheme="minorHAnsi" w:hAnsiTheme="minorHAnsi"/>
          <w:sz w:val="24"/>
          <w:szCs w:val="24"/>
        </w:rPr>
        <w:t>2019</w:t>
      </w:r>
      <w:r w:rsidR="00E80E74" w:rsidRPr="009D04B2">
        <w:rPr>
          <w:rFonts w:asciiTheme="minorHAnsi" w:hAnsiTheme="minorHAnsi"/>
          <w:sz w:val="24"/>
          <w:szCs w:val="24"/>
        </w:rPr>
        <w:t xml:space="preserve"> </w:t>
      </w:r>
      <w:r w:rsidRPr="009D04B2">
        <w:rPr>
          <w:rFonts w:asciiTheme="minorHAnsi" w:hAnsiTheme="minorHAnsi"/>
          <w:sz w:val="24"/>
          <w:szCs w:val="24"/>
        </w:rPr>
        <w:t xml:space="preserve">pro výzvy OP PIK vyhlášené </w:t>
      </w:r>
      <w:r w:rsidR="00343828">
        <w:rPr>
          <w:rFonts w:asciiTheme="minorHAnsi" w:hAnsiTheme="minorHAnsi"/>
          <w:sz w:val="24"/>
          <w:szCs w:val="24"/>
        </w:rPr>
        <w:br/>
      </w:r>
      <w:r w:rsidR="00C86109" w:rsidRPr="009D04B2">
        <w:rPr>
          <w:rFonts w:asciiTheme="minorHAnsi" w:hAnsiTheme="minorHAnsi"/>
          <w:sz w:val="24"/>
          <w:szCs w:val="24"/>
        </w:rPr>
        <w:t>v</w:t>
      </w:r>
      <w:r w:rsidR="001B14AD" w:rsidRPr="009D04B2">
        <w:rPr>
          <w:rFonts w:asciiTheme="minorHAnsi" w:hAnsiTheme="minorHAnsi"/>
          <w:sz w:val="24"/>
          <w:szCs w:val="24"/>
        </w:rPr>
        <w:t xml:space="preserve"> </w:t>
      </w:r>
      <w:r w:rsidR="002D2636">
        <w:rPr>
          <w:rFonts w:asciiTheme="minorHAnsi" w:hAnsiTheme="minorHAnsi"/>
          <w:sz w:val="24"/>
          <w:szCs w:val="24"/>
        </w:rPr>
        <w:t>únor</w:t>
      </w:r>
      <w:r w:rsidR="008D2E7D">
        <w:rPr>
          <w:rFonts w:asciiTheme="minorHAnsi" w:hAnsiTheme="minorHAnsi"/>
          <w:sz w:val="24"/>
          <w:szCs w:val="24"/>
        </w:rPr>
        <w:t>u</w:t>
      </w:r>
      <w:r w:rsidR="00965D7D" w:rsidRPr="009D04B2">
        <w:rPr>
          <w:rFonts w:asciiTheme="minorHAnsi" w:hAnsiTheme="minorHAnsi"/>
          <w:sz w:val="24"/>
          <w:szCs w:val="24"/>
        </w:rPr>
        <w:t xml:space="preserve"> </w:t>
      </w:r>
      <w:r w:rsidR="008D2E7D">
        <w:rPr>
          <w:rFonts w:asciiTheme="minorHAnsi" w:hAnsiTheme="minorHAnsi"/>
          <w:sz w:val="24"/>
          <w:szCs w:val="24"/>
        </w:rPr>
        <w:t>2019</w:t>
      </w:r>
      <w:r w:rsidRPr="009D04B2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p w:rsidR="007946F5" w:rsidRPr="009D04B2" w:rsidRDefault="007946F5" w:rsidP="00AD47D8">
      <w:pPr>
        <w:overflowPunct/>
        <w:autoSpaceDE/>
        <w:autoSpaceDN/>
        <w:adjustRightInd/>
        <w:textAlignment w:val="auto"/>
        <w:rPr>
          <w:rFonts w:asciiTheme="minorHAnsi" w:hAnsiTheme="minorHAnsi"/>
          <w:i/>
          <w:sz w:val="24"/>
          <w:szCs w:val="24"/>
        </w:rPr>
      </w:pPr>
      <w:r w:rsidRPr="009D04B2">
        <w:rPr>
          <w:rFonts w:asciiTheme="minorHAnsi" w:hAnsiTheme="minorHAnsi"/>
          <w:i/>
          <w:sz w:val="24"/>
          <w:szCs w:val="24"/>
        </w:rPr>
        <w:t>Poznámka:</w:t>
      </w:r>
      <w:r w:rsidR="00FE53EB" w:rsidRPr="009D04B2">
        <w:rPr>
          <w:rFonts w:asciiTheme="minorHAnsi" w:hAnsiTheme="minorHAnsi"/>
          <w:i/>
          <w:sz w:val="24"/>
          <w:szCs w:val="24"/>
        </w:rPr>
        <w:t xml:space="preserve"> Dlouhodobě rekordně nízká </w:t>
      </w:r>
      <w:r w:rsidR="00130F64" w:rsidRPr="009D04B2">
        <w:rPr>
          <w:rFonts w:asciiTheme="minorHAnsi" w:hAnsiTheme="minorHAnsi"/>
          <w:i/>
          <w:sz w:val="24"/>
          <w:szCs w:val="24"/>
        </w:rPr>
        <w:t>m</w:t>
      </w:r>
      <w:r w:rsidRPr="009D04B2">
        <w:rPr>
          <w:rFonts w:asciiTheme="minorHAnsi" w:hAnsiTheme="minorHAnsi"/>
          <w:i/>
          <w:sz w:val="24"/>
          <w:szCs w:val="24"/>
        </w:rPr>
        <w:t>íra nezaměstnanosti</w:t>
      </w:r>
      <w:r w:rsidR="00142B70">
        <w:rPr>
          <w:rFonts w:asciiTheme="minorHAnsi" w:hAnsiTheme="minorHAnsi"/>
          <w:i/>
          <w:sz w:val="24"/>
          <w:szCs w:val="24"/>
        </w:rPr>
        <w:t xml:space="preserve"> v ČR</w:t>
      </w:r>
      <w:r w:rsidRPr="009D04B2">
        <w:rPr>
          <w:rFonts w:asciiTheme="minorHAnsi" w:hAnsiTheme="minorHAnsi"/>
          <w:i/>
          <w:sz w:val="24"/>
          <w:szCs w:val="24"/>
        </w:rPr>
        <w:t xml:space="preserve"> </w:t>
      </w:r>
      <w:r w:rsidR="00142B70">
        <w:rPr>
          <w:rFonts w:asciiTheme="minorHAnsi" w:hAnsiTheme="minorHAnsi"/>
          <w:i/>
          <w:sz w:val="24"/>
          <w:szCs w:val="24"/>
        </w:rPr>
        <w:t>na</w:t>
      </w:r>
      <w:r w:rsidR="00AF170B" w:rsidRPr="009D04B2">
        <w:rPr>
          <w:rFonts w:asciiTheme="minorHAnsi" w:hAnsiTheme="minorHAnsi"/>
          <w:i/>
          <w:sz w:val="24"/>
          <w:szCs w:val="24"/>
        </w:rPr>
        <w:t xml:space="preserve"> </w:t>
      </w:r>
      <w:r w:rsidR="0020306F">
        <w:rPr>
          <w:rFonts w:asciiTheme="minorHAnsi" w:hAnsiTheme="minorHAnsi"/>
          <w:i/>
          <w:sz w:val="24"/>
          <w:szCs w:val="24"/>
        </w:rPr>
        <w:t>k</w:t>
      </w:r>
      <w:r w:rsidR="00AF170B" w:rsidRPr="009D04B2">
        <w:rPr>
          <w:rFonts w:asciiTheme="minorHAnsi" w:hAnsiTheme="minorHAnsi"/>
          <w:i/>
          <w:sz w:val="24"/>
          <w:szCs w:val="24"/>
        </w:rPr>
        <w:t>onci</w:t>
      </w:r>
      <w:r w:rsidRPr="009D04B2">
        <w:rPr>
          <w:rFonts w:asciiTheme="minorHAnsi" w:hAnsiTheme="minorHAnsi"/>
          <w:i/>
          <w:sz w:val="24"/>
          <w:szCs w:val="24"/>
        </w:rPr>
        <w:t> </w:t>
      </w:r>
      <w:r w:rsidR="008D2E7D">
        <w:rPr>
          <w:rFonts w:asciiTheme="minorHAnsi" w:hAnsiTheme="minorHAnsi"/>
          <w:i/>
          <w:sz w:val="24"/>
          <w:szCs w:val="24"/>
        </w:rPr>
        <w:t>prosince</w:t>
      </w:r>
      <w:r w:rsidR="00E64A3C">
        <w:rPr>
          <w:rFonts w:asciiTheme="minorHAnsi" w:hAnsiTheme="minorHAnsi"/>
          <w:i/>
          <w:sz w:val="24"/>
          <w:szCs w:val="24"/>
        </w:rPr>
        <w:t xml:space="preserve"> </w:t>
      </w:r>
      <w:r w:rsidR="00A535E9">
        <w:rPr>
          <w:rFonts w:asciiTheme="minorHAnsi" w:hAnsiTheme="minorHAnsi"/>
          <w:i/>
          <w:sz w:val="24"/>
          <w:szCs w:val="24"/>
        </w:rPr>
        <w:t xml:space="preserve">vzrostla </w:t>
      </w:r>
      <w:r w:rsidR="00243681">
        <w:rPr>
          <w:rFonts w:asciiTheme="minorHAnsi" w:hAnsiTheme="minorHAnsi"/>
          <w:i/>
          <w:sz w:val="24"/>
          <w:szCs w:val="24"/>
        </w:rPr>
        <w:t xml:space="preserve">na </w:t>
      </w:r>
      <w:r w:rsidR="002D2636">
        <w:rPr>
          <w:rFonts w:asciiTheme="minorHAnsi" w:hAnsiTheme="minorHAnsi"/>
          <w:i/>
          <w:sz w:val="24"/>
          <w:szCs w:val="24"/>
        </w:rPr>
        <w:t>3,3</w:t>
      </w:r>
      <w:r w:rsidR="009D04B2" w:rsidRPr="009D04B2">
        <w:rPr>
          <w:rFonts w:asciiTheme="minorHAnsi" w:hAnsiTheme="minorHAnsi"/>
          <w:i/>
          <w:sz w:val="24"/>
          <w:szCs w:val="24"/>
        </w:rPr>
        <w:t>%. P</w:t>
      </w:r>
      <w:r w:rsidR="009E540D" w:rsidRPr="009D04B2">
        <w:rPr>
          <w:rFonts w:asciiTheme="minorHAnsi" w:hAnsiTheme="minorHAnsi"/>
          <w:i/>
          <w:sz w:val="24"/>
          <w:szCs w:val="24"/>
        </w:rPr>
        <w:t>očet</w:t>
      </w:r>
      <w:r w:rsidR="002B067B" w:rsidRPr="009D04B2">
        <w:rPr>
          <w:rFonts w:asciiTheme="minorHAnsi" w:hAnsiTheme="minorHAnsi"/>
          <w:i/>
          <w:sz w:val="24"/>
          <w:szCs w:val="24"/>
        </w:rPr>
        <w:t xml:space="preserve"> </w:t>
      </w:r>
      <w:r w:rsidRPr="009D04B2">
        <w:rPr>
          <w:rFonts w:asciiTheme="minorHAnsi" w:hAnsiTheme="minorHAnsi"/>
          <w:i/>
          <w:sz w:val="24"/>
          <w:szCs w:val="24"/>
        </w:rPr>
        <w:t>okresů s nezaměs</w:t>
      </w:r>
      <w:r w:rsidR="00FE53EB" w:rsidRPr="009D04B2">
        <w:rPr>
          <w:rFonts w:asciiTheme="minorHAnsi" w:hAnsiTheme="minorHAnsi"/>
          <w:i/>
          <w:sz w:val="24"/>
          <w:szCs w:val="24"/>
        </w:rPr>
        <w:t>tnaností vyšší než průměr ČR</w:t>
      </w:r>
      <w:r w:rsidR="009D04B2" w:rsidRPr="009D04B2">
        <w:rPr>
          <w:rFonts w:asciiTheme="minorHAnsi" w:hAnsiTheme="minorHAnsi"/>
          <w:i/>
          <w:sz w:val="24"/>
          <w:szCs w:val="24"/>
        </w:rPr>
        <w:t xml:space="preserve"> </w:t>
      </w:r>
      <w:r w:rsidR="00E64A3C">
        <w:rPr>
          <w:rFonts w:asciiTheme="minorHAnsi" w:hAnsiTheme="minorHAnsi"/>
          <w:i/>
          <w:sz w:val="24"/>
          <w:szCs w:val="24"/>
        </w:rPr>
        <w:t>vzrostl</w:t>
      </w:r>
      <w:r w:rsidR="00142B70">
        <w:rPr>
          <w:rFonts w:asciiTheme="minorHAnsi" w:hAnsiTheme="minorHAnsi"/>
          <w:i/>
          <w:sz w:val="24"/>
          <w:szCs w:val="24"/>
        </w:rPr>
        <w:t xml:space="preserve"> </w:t>
      </w:r>
      <w:r w:rsidR="00163B6C">
        <w:rPr>
          <w:rFonts w:asciiTheme="minorHAnsi" w:hAnsiTheme="minorHAnsi"/>
          <w:i/>
          <w:sz w:val="24"/>
          <w:szCs w:val="24"/>
        </w:rPr>
        <w:t>n</w:t>
      </w:r>
      <w:r w:rsidR="001A36BE">
        <w:rPr>
          <w:rFonts w:asciiTheme="minorHAnsi" w:hAnsiTheme="minorHAnsi"/>
          <w:i/>
          <w:sz w:val="24"/>
          <w:szCs w:val="24"/>
        </w:rPr>
        <w:t>a</w:t>
      </w:r>
      <w:r w:rsidR="007F1943">
        <w:rPr>
          <w:rFonts w:asciiTheme="minorHAnsi" w:hAnsiTheme="minorHAnsi"/>
          <w:i/>
          <w:sz w:val="24"/>
          <w:szCs w:val="24"/>
        </w:rPr>
        <w:t xml:space="preserve"> </w:t>
      </w:r>
      <w:r w:rsidR="001A36BE">
        <w:rPr>
          <w:rFonts w:asciiTheme="minorHAnsi" w:hAnsiTheme="minorHAnsi"/>
          <w:i/>
          <w:sz w:val="24"/>
          <w:szCs w:val="24"/>
        </w:rPr>
        <w:t>celkov</w:t>
      </w:r>
      <w:r w:rsidR="00E64A3C">
        <w:rPr>
          <w:rFonts w:asciiTheme="minorHAnsi" w:hAnsiTheme="minorHAnsi"/>
          <w:i/>
          <w:sz w:val="24"/>
          <w:szCs w:val="24"/>
        </w:rPr>
        <w:t>ý</w:t>
      </w:r>
      <w:r w:rsidR="001A36BE">
        <w:rPr>
          <w:rFonts w:asciiTheme="minorHAnsi" w:hAnsiTheme="minorHAnsi"/>
          <w:i/>
          <w:sz w:val="24"/>
          <w:szCs w:val="24"/>
        </w:rPr>
        <w:t xml:space="preserve"> </w:t>
      </w:r>
      <w:r w:rsidR="007F1943">
        <w:rPr>
          <w:rFonts w:asciiTheme="minorHAnsi" w:hAnsiTheme="minorHAnsi"/>
          <w:i/>
          <w:sz w:val="24"/>
          <w:szCs w:val="24"/>
        </w:rPr>
        <w:t>poč</w:t>
      </w:r>
      <w:r w:rsidR="00E64A3C">
        <w:rPr>
          <w:rFonts w:asciiTheme="minorHAnsi" w:hAnsiTheme="minorHAnsi"/>
          <w:i/>
          <w:sz w:val="24"/>
          <w:szCs w:val="24"/>
        </w:rPr>
        <w:t>e</w:t>
      </w:r>
      <w:r w:rsidR="001A36BE">
        <w:rPr>
          <w:rFonts w:asciiTheme="minorHAnsi" w:hAnsiTheme="minorHAnsi"/>
          <w:i/>
          <w:sz w:val="24"/>
          <w:szCs w:val="24"/>
        </w:rPr>
        <w:t>t</w:t>
      </w:r>
      <w:r w:rsidR="002D2636">
        <w:rPr>
          <w:rFonts w:asciiTheme="minorHAnsi" w:hAnsiTheme="minorHAnsi"/>
          <w:i/>
          <w:sz w:val="24"/>
          <w:szCs w:val="24"/>
        </w:rPr>
        <w:t xml:space="preserve"> 35</w:t>
      </w:r>
      <w:r w:rsidR="009D04B2" w:rsidRPr="009D04B2">
        <w:rPr>
          <w:rFonts w:asciiTheme="minorHAnsi" w:hAnsiTheme="minorHAnsi"/>
          <w:i/>
          <w:sz w:val="24"/>
          <w:szCs w:val="24"/>
        </w:rPr>
        <w:t>.</w:t>
      </w:r>
      <w:r w:rsidR="008B05CB" w:rsidRPr="009D04B2">
        <w:rPr>
          <w:rFonts w:asciiTheme="minorHAnsi" w:hAnsiTheme="minorHAnsi"/>
          <w:i/>
          <w:sz w:val="24"/>
          <w:szCs w:val="24"/>
        </w:rPr>
        <w:t xml:space="preserve"> </w:t>
      </w:r>
    </w:p>
    <w:sectPr w:rsidR="007946F5" w:rsidRPr="009D04B2" w:rsidSect="009976B3">
      <w:headerReference w:type="default" r:id="rId8"/>
      <w:footerReference w:type="default" r:id="rId9"/>
      <w:pgSz w:w="11906" w:h="16838"/>
      <w:pgMar w:top="82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3C" w:rsidRDefault="00C0043C">
      <w:r>
        <w:separator/>
      </w:r>
    </w:p>
  </w:endnote>
  <w:endnote w:type="continuationSeparator" w:id="0">
    <w:p w:rsidR="00C0043C" w:rsidRDefault="00C0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2B" w:rsidRPr="009A425D" w:rsidRDefault="00C0043C">
    <w:pPr>
      <w:pStyle w:val="Zpat"/>
      <w:jc w:val="center"/>
      <w:rPr>
        <w:rFonts w:ascii="Calibri" w:hAnsi="Calibri"/>
      </w:rPr>
    </w:pPr>
  </w:p>
  <w:p w:rsidR="008E592B" w:rsidRDefault="00C0043C" w:rsidP="006335FE">
    <w:pPr>
      <w:pStyle w:val="Zpat"/>
      <w:tabs>
        <w:tab w:val="clear" w:pos="4536"/>
        <w:tab w:val="center" w:pos="4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3C" w:rsidRDefault="00C0043C">
      <w:r>
        <w:separator/>
      </w:r>
    </w:p>
  </w:footnote>
  <w:footnote w:type="continuationSeparator" w:id="0">
    <w:p w:rsidR="00C0043C" w:rsidRDefault="00C00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5"/>
      <w:gridCol w:w="4639"/>
    </w:tblGrid>
    <w:tr w:rsidR="008E592B">
      <w:trPr>
        <w:trHeight w:val="1071"/>
      </w:trPr>
      <w:tc>
        <w:tcPr>
          <w:tcW w:w="4645" w:type="dxa"/>
        </w:tcPr>
        <w:p w:rsidR="008E592B" w:rsidRDefault="00987E64" w:rsidP="00011D98">
          <w:r>
            <w:rPr>
              <w:sz w:val="24"/>
            </w:rPr>
            <w:t xml:space="preserve">                        </w:t>
          </w:r>
        </w:p>
      </w:tc>
      <w:tc>
        <w:tcPr>
          <w:tcW w:w="4639" w:type="dxa"/>
        </w:tcPr>
        <w:p w:rsidR="008E592B" w:rsidRDefault="00C0043C" w:rsidP="00E33402">
          <w:pPr>
            <w:ind w:left="-70" w:right="72"/>
            <w:jc w:val="right"/>
          </w:pPr>
        </w:p>
        <w:p w:rsidR="008E592B" w:rsidRDefault="00987E64" w:rsidP="00E33402">
          <w:pPr>
            <w:ind w:left="-70" w:right="72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5715</wp:posOffset>
                </wp:positionV>
                <wp:extent cx="1009650" cy="469900"/>
                <wp:effectExtent l="0" t="0" r="0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E592B" w:rsidRDefault="00987E64" w:rsidP="00D4475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-174625</wp:posOffset>
          </wp:positionH>
          <wp:positionV relativeFrom="paragraph">
            <wp:posOffset>-628650</wp:posOffset>
          </wp:positionV>
          <wp:extent cx="2543175" cy="68580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895"/>
    <w:multiLevelType w:val="hybridMultilevel"/>
    <w:tmpl w:val="2D103F6E"/>
    <w:lvl w:ilvl="0" w:tplc="C42EAF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81CF4"/>
    <w:multiLevelType w:val="hybridMultilevel"/>
    <w:tmpl w:val="37D8C232"/>
    <w:lvl w:ilvl="0" w:tplc="4F2EE680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64"/>
    <w:rsid w:val="00031F25"/>
    <w:rsid w:val="00050848"/>
    <w:rsid w:val="000529BD"/>
    <w:rsid w:val="000A06E2"/>
    <w:rsid w:val="000A2C99"/>
    <w:rsid w:val="001012CF"/>
    <w:rsid w:val="0010619A"/>
    <w:rsid w:val="00130F64"/>
    <w:rsid w:val="00142B70"/>
    <w:rsid w:val="00163B6C"/>
    <w:rsid w:val="001A36BE"/>
    <w:rsid w:val="001B14AD"/>
    <w:rsid w:val="001F4B21"/>
    <w:rsid w:val="0020306F"/>
    <w:rsid w:val="00230FC6"/>
    <w:rsid w:val="00232AC1"/>
    <w:rsid w:val="002336EE"/>
    <w:rsid w:val="00243681"/>
    <w:rsid w:val="00273523"/>
    <w:rsid w:val="002924B8"/>
    <w:rsid w:val="002B067B"/>
    <w:rsid w:val="002C2164"/>
    <w:rsid w:val="002D2636"/>
    <w:rsid w:val="002F337E"/>
    <w:rsid w:val="00343828"/>
    <w:rsid w:val="00376132"/>
    <w:rsid w:val="00386803"/>
    <w:rsid w:val="00393BD8"/>
    <w:rsid w:val="003A65D8"/>
    <w:rsid w:val="00403549"/>
    <w:rsid w:val="0048398B"/>
    <w:rsid w:val="00517602"/>
    <w:rsid w:val="00522409"/>
    <w:rsid w:val="005318BB"/>
    <w:rsid w:val="00546698"/>
    <w:rsid w:val="005B724B"/>
    <w:rsid w:val="005C7251"/>
    <w:rsid w:val="005E4129"/>
    <w:rsid w:val="005F2060"/>
    <w:rsid w:val="006047EE"/>
    <w:rsid w:val="00617955"/>
    <w:rsid w:val="00633298"/>
    <w:rsid w:val="006857A9"/>
    <w:rsid w:val="006926AF"/>
    <w:rsid w:val="006C52C3"/>
    <w:rsid w:val="006E4978"/>
    <w:rsid w:val="006E679D"/>
    <w:rsid w:val="007049EB"/>
    <w:rsid w:val="00712229"/>
    <w:rsid w:val="0071745F"/>
    <w:rsid w:val="007946F5"/>
    <w:rsid w:val="007A2FB4"/>
    <w:rsid w:val="007E2437"/>
    <w:rsid w:val="007F1943"/>
    <w:rsid w:val="00850674"/>
    <w:rsid w:val="008B05CB"/>
    <w:rsid w:val="008D2E7D"/>
    <w:rsid w:val="008F5C6D"/>
    <w:rsid w:val="00923294"/>
    <w:rsid w:val="00950A0A"/>
    <w:rsid w:val="00965726"/>
    <w:rsid w:val="00965D7D"/>
    <w:rsid w:val="00987E64"/>
    <w:rsid w:val="009D04B2"/>
    <w:rsid w:val="009E540D"/>
    <w:rsid w:val="00A45001"/>
    <w:rsid w:val="00A535E9"/>
    <w:rsid w:val="00A63BD1"/>
    <w:rsid w:val="00A669E8"/>
    <w:rsid w:val="00AC3E01"/>
    <w:rsid w:val="00AD47D8"/>
    <w:rsid w:val="00AD6C52"/>
    <w:rsid w:val="00AF170B"/>
    <w:rsid w:val="00AF323D"/>
    <w:rsid w:val="00AF4B7D"/>
    <w:rsid w:val="00B74F15"/>
    <w:rsid w:val="00BA4906"/>
    <w:rsid w:val="00BA5467"/>
    <w:rsid w:val="00BD4E5D"/>
    <w:rsid w:val="00BE09F6"/>
    <w:rsid w:val="00C0043C"/>
    <w:rsid w:val="00C86109"/>
    <w:rsid w:val="00CA4444"/>
    <w:rsid w:val="00CB0D65"/>
    <w:rsid w:val="00CC3A9A"/>
    <w:rsid w:val="00CD29F0"/>
    <w:rsid w:val="00D51F34"/>
    <w:rsid w:val="00D532CE"/>
    <w:rsid w:val="00D917A5"/>
    <w:rsid w:val="00DC2B9F"/>
    <w:rsid w:val="00DE0776"/>
    <w:rsid w:val="00E4620D"/>
    <w:rsid w:val="00E64A3C"/>
    <w:rsid w:val="00E80E74"/>
    <w:rsid w:val="00E81AC8"/>
    <w:rsid w:val="00E87BA6"/>
    <w:rsid w:val="00EE0A57"/>
    <w:rsid w:val="00EF3C2E"/>
    <w:rsid w:val="00F032F2"/>
    <w:rsid w:val="00F16986"/>
    <w:rsid w:val="00F329A9"/>
    <w:rsid w:val="00FB3B08"/>
    <w:rsid w:val="00FB48C4"/>
    <w:rsid w:val="00FD1702"/>
    <w:rsid w:val="00FD50A6"/>
    <w:rsid w:val="00FD5982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EA19EE-36A5-4447-8903-82DFED12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E64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7E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7E64"/>
  </w:style>
  <w:style w:type="paragraph" w:styleId="Zpat">
    <w:name w:val="footer"/>
    <w:basedOn w:val="Normln"/>
    <w:link w:val="ZpatChar"/>
    <w:uiPriority w:val="99"/>
    <w:rsid w:val="00987E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7E64"/>
  </w:style>
  <w:style w:type="character" w:styleId="Hypertextovodkaz">
    <w:name w:val="Hyperlink"/>
    <w:uiPriority w:val="99"/>
    <w:rsid w:val="00987E6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18BB"/>
    <w:pPr>
      <w:ind w:left="720"/>
      <w:contextualSpacing/>
    </w:pPr>
  </w:style>
  <w:style w:type="paragraph" w:customStyle="1" w:styleId="Default">
    <w:name w:val="Default"/>
    <w:rsid w:val="00AD47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48398B"/>
    <w:pPr>
      <w:spacing w:line="360" w:lineRule="auto"/>
      <w:jc w:val="both"/>
    </w:pPr>
    <w:rPr>
      <w:color w:val="000000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48398B"/>
    <w:rPr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9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9F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87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mpsv.cz/sz/stat/nz/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2242C3AA.dotm</Template>
  <TotalTime>1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Rosol Pavel</dc:creator>
  <cp:keywords/>
  <dc:description/>
  <cp:lastModifiedBy>Zika Robert</cp:lastModifiedBy>
  <cp:revision>2</cp:revision>
  <cp:lastPrinted>2019-01-10T08:38:00Z</cp:lastPrinted>
  <dcterms:created xsi:type="dcterms:W3CDTF">2019-02-12T09:15:00Z</dcterms:created>
  <dcterms:modified xsi:type="dcterms:W3CDTF">2019-02-12T09:15:00Z</dcterms:modified>
</cp:coreProperties>
</file>