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BD801" w14:textId="77777777" w:rsidR="003E5FB8" w:rsidRPr="006E5361" w:rsidRDefault="003E5FB8" w:rsidP="003E5FB8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6E5361">
        <w:rPr>
          <w:rFonts w:asciiTheme="minorHAnsi" w:hAnsiTheme="minorHAnsi"/>
          <w:b/>
          <w:sz w:val="24"/>
          <w:szCs w:val="24"/>
        </w:rPr>
        <w:t>STATUT</w:t>
      </w:r>
    </w:p>
    <w:p w14:paraId="325A530A" w14:textId="77777777" w:rsidR="003E5FB8" w:rsidRPr="006E5361" w:rsidRDefault="003E5FB8" w:rsidP="003E5FB8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E3074B5" w14:textId="77777777" w:rsidR="003E5FB8" w:rsidRPr="006E5361" w:rsidRDefault="003E5FB8" w:rsidP="003E5FB8">
      <w:pPr>
        <w:pStyle w:val="Zkladntext"/>
        <w:jc w:val="center"/>
        <w:rPr>
          <w:rFonts w:cs="Calibri"/>
          <w:sz w:val="24"/>
          <w:szCs w:val="24"/>
        </w:rPr>
      </w:pPr>
      <w:r w:rsidRPr="006E5361">
        <w:rPr>
          <w:rFonts w:cs="Calibri"/>
          <w:b/>
          <w:sz w:val="24"/>
          <w:szCs w:val="24"/>
        </w:rPr>
        <w:t>výběrové komise Řídicího orgánu OP PIK</w:t>
      </w:r>
    </w:p>
    <w:p w14:paraId="33FA27EF" w14:textId="77777777" w:rsidR="003E5FB8" w:rsidRPr="006E5361" w:rsidRDefault="003E5FB8" w:rsidP="003E5FB8">
      <w:pPr>
        <w:pStyle w:val="Zkladntext"/>
        <w:jc w:val="center"/>
        <w:rPr>
          <w:rFonts w:cs="Calibri"/>
          <w:sz w:val="24"/>
          <w:szCs w:val="24"/>
        </w:rPr>
      </w:pPr>
    </w:p>
    <w:p w14:paraId="1EDAD00C" w14:textId="77777777" w:rsidR="003E5FB8" w:rsidRPr="006E5361" w:rsidRDefault="003E5FB8" w:rsidP="003E5FB8">
      <w:pPr>
        <w:pStyle w:val="Zkladntext"/>
        <w:jc w:val="center"/>
        <w:rPr>
          <w:rFonts w:cs="Calibri"/>
          <w:b/>
          <w:sz w:val="24"/>
          <w:szCs w:val="24"/>
        </w:rPr>
      </w:pPr>
      <w:r w:rsidRPr="006E5361">
        <w:rPr>
          <w:rFonts w:cs="Calibri"/>
          <w:b/>
          <w:sz w:val="24"/>
          <w:szCs w:val="24"/>
        </w:rPr>
        <w:t>Článek 1</w:t>
      </w:r>
    </w:p>
    <w:p w14:paraId="4B6C1621" w14:textId="77777777" w:rsidR="003E5FB8" w:rsidRPr="006E5361" w:rsidRDefault="003E5FB8" w:rsidP="003E5FB8">
      <w:pPr>
        <w:pStyle w:val="Zkladntext"/>
        <w:spacing w:after="240"/>
        <w:jc w:val="center"/>
        <w:rPr>
          <w:rFonts w:cs="Calibri"/>
          <w:b/>
          <w:sz w:val="24"/>
          <w:szCs w:val="24"/>
        </w:rPr>
      </w:pPr>
      <w:r w:rsidRPr="006E5361">
        <w:rPr>
          <w:rFonts w:cs="Calibri"/>
          <w:b/>
          <w:sz w:val="24"/>
          <w:szCs w:val="24"/>
        </w:rPr>
        <w:t>Úvodní ustanovení</w:t>
      </w:r>
    </w:p>
    <w:p w14:paraId="0C99CB8E" w14:textId="77777777" w:rsidR="003E5FB8" w:rsidRPr="006E5361" w:rsidRDefault="003E5FB8" w:rsidP="003E5FB8">
      <w:pPr>
        <w:pStyle w:val="Zkladntext"/>
        <w:numPr>
          <w:ilvl w:val="0"/>
          <w:numId w:val="5"/>
        </w:numPr>
        <w:jc w:val="both"/>
        <w:rPr>
          <w:rFonts w:cs="Calibri"/>
          <w:sz w:val="24"/>
          <w:szCs w:val="24"/>
        </w:rPr>
      </w:pPr>
      <w:r w:rsidRPr="006E5361">
        <w:rPr>
          <w:rFonts w:cs="Calibri"/>
          <w:sz w:val="24"/>
          <w:szCs w:val="24"/>
        </w:rPr>
        <w:t>Řídicí orgán Operačního programu Podnikání a inovace pro konkurenceschopnost zřizuje v souladu s platným Operačním manuálem a Metodickým pokynem MMR/NOK pro řízení výzev, hodnocení a výběr projektů v programovém období 2014 – 2020 (dále jen „Metodický pokyn MMR“) výběrovou komisi (dále jen „VK“). Součástí Statutu VK je i Etický kodex, který je závazný pro všechny účastníky jednání VK.</w:t>
      </w:r>
    </w:p>
    <w:p w14:paraId="0322B8B8" w14:textId="77777777" w:rsidR="003E5FB8" w:rsidRPr="006E5361" w:rsidRDefault="003E5FB8" w:rsidP="003E5FB8">
      <w:pPr>
        <w:pStyle w:val="Zkladntext"/>
        <w:numPr>
          <w:ilvl w:val="0"/>
          <w:numId w:val="5"/>
        </w:numPr>
        <w:jc w:val="both"/>
        <w:rPr>
          <w:rFonts w:cs="Calibri"/>
          <w:sz w:val="24"/>
          <w:szCs w:val="24"/>
        </w:rPr>
      </w:pPr>
      <w:r w:rsidRPr="006E5361">
        <w:rPr>
          <w:sz w:val="24"/>
          <w:szCs w:val="24"/>
        </w:rPr>
        <w:t>VK přijímá rozhodnutí o výběru již vyhodnocených projektů na základě zpracov</w:t>
      </w:r>
      <w:r w:rsidRPr="006E5361">
        <w:rPr>
          <w:rFonts w:cs="Calibri"/>
          <w:sz w:val="24"/>
          <w:szCs w:val="24"/>
        </w:rPr>
        <w:t>aných hodnocení, ve vazbě na výši vyhlášené alokace pro danou výzvu, resp. potvrzuje seznam projektů nedoporučených k podpoře, popř. také seznam projektů zařazených do zásobníku projektů.</w:t>
      </w:r>
    </w:p>
    <w:p w14:paraId="66150BCF" w14:textId="77777777" w:rsidR="003E5FB8" w:rsidRPr="006E5361" w:rsidRDefault="003E5FB8" w:rsidP="003E5FB8">
      <w:pPr>
        <w:pStyle w:val="Default"/>
        <w:numPr>
          <w:ilvl w:val="0"/>
          <w:numId w:val="5"/>
        </w:numPr>
        <w:spacing w:after="17"/>
        <w:jc w:val="both"/>
        <w:rPr>
          <w:rFonts w:asciiTheme="minorHAnsi" w:hAnsiTheme="minorHAnsi" w:cs="Calibri"/>
        </w:rPr>
      </w:pPr>
      <w:r w:rsidRPr="006E5361">
        <w:rPr>
          <w:rFonts w:asciiTheme="minorHAnsi" w:hAnsiTheme="minorHAnsi" w:cs="Calibri"/>
        </w:rPr>
        <w:t xml:space="preserve">VK se ustavuje na období, které je potřebné pro rozhodnutí o výběru žádostí o podporu z dané výzvy. </w:t>
      </w:r>
    </w:p>
    <w:p w14:paraId="50730168" w14:textId="77777777" w:rsidR="003E5FB8" w:rsidRPr="006E5361" w:rsidRDefault="003E5FB8" w:rsidP="003E5FB8">
      <w:pPr>
        <w:pStyle w:val="Default"/>
        <w:spacing w:after="17"/>
        <w:ind w:left="720"/>
        <w:jc w:val="both"/>
        <w:rPr>
          <w:rFonts w:asciiTheme="minorHAnsi" w:hAnsiTheme="minorHAnsi" w:cs="Calibri"/>
        </w:rPr>
      </w:pPr>
    </w:p>
    <w:p w14:paraId="6709D144" w14:textId="77777777" w:rsidR="003E5FB8" w:rsidRPr="006E5361" w:rsidRDefault="003E5FB8" w:rsidP="003E5FB8">
      <w:pPr>
        <w:pStyle w:val="Zkladntext"/>
        <w:numPr>
          <w:ilvl w:val="0"/>
          <w:numId w:val="5"/>
        </w:numPr>
        <w:jc w:val="both"/>
        <w:rPr>
          <w:rFonts w:cs="Calibri"/>
          <w:sz w:val="24"/>
          <w:szCs w:val="24"/>
        </w:rPr>
      </w:pPr>
      <w:r w:rsidRPr="006E5361">
        <w:rPr>
          <w:rFonts w:cs="Calibri"/>
          <w:sz w:val="24"/>
          <w:szCs w:val="24"/>
        </w:rPr>
        <w:t xml:space="preserve">Rozhodnutí VK jsou přijímána hlasováním jejích členů, přičemž pro schválení rozhodnutí je zapotřebí nadpoloviční většiny kladných hlasů všech přítomných osob; v případě rovnosti hlasů je rozhodující hlas předsedajícího jednání VK. Výsledek hlasování se protokolárně zaznamená v zápise z jednání VK, ze kterého musí být zřejmé, který člen a jak hlasoval. </w:t>
      </w:r>
    </w:p>
    <w:p w14:paraId="7EADF969" w14:textId="77777777" w:rsidR="003E5FB8" w:rsidRPr="006E5361" w:rsidRDefault="003E5FB8" w:rsidP="003E5FB8">
      <w:pPr>
        <w:pStyle w:val="Zkladntext"/>
        <w:spacing w:before="240"/>
        <w:jc w:val="center"/>
        <w:rPr>
          <w:rFonts w:cs="Calibri"/>
          <w:b/>
          <w:sz w:val="24"/>
          <w:szCs w:val="24"/>
        </w:rPr>
      </w:pPr>
      <w:r w:rsidRPr="006E5361">
        <w:rPr>
          <w:rFonts w:cs="Calibri"/>
          <w:b/>
          <w:sz w:val="24"/>
          <w:szCs w:val="24"/>
        </w:rPr>
        <w:t>Článek 2</w:t>
      </w:r>
    </w:p>
    <w:p w14:paraId="73463DEF" w14:textId="77777777" w:rsidR="003E5FB8" w:rsidRPr="006E5361" w:rsidRDefault="003E5FB8" w:rsidP="003E5FB8">
      <w:pPr>
        <w:pStyle w:val="Zkladntext"/>
        <w:spacing w:after="240"/>
        <w:jc w:val="center"/>
        <w:rPr>
          <w:rFonts w:cs="Calibri"/>
          <w:b/>
          <w:sz w:val="24"/>
          <w:szCs w:val="24"/>
        </w:rPr>
      </w:pPr>
      <w:r w:rsidRPr="006E5361">
        <w:rPr>
          <w:rFonts w:cs="Calibri"/>
          <w:b/>
          <w:sz w:val="24"/>
          <w:szCs w:val="24"/>
        </w:rPr>
        <w:t>Pravomoci a působnost</w:t>
      </w:r>
    </w:p>
    <w:p w14:paraId="68C2DF5A" w14:textId="77777777" w:rsidR="003E5FB8" w:rsidRPr="006E5361" w:rsidRDefault="003E5FB8" w:rsidP="003E5FB8">
      <w:pPr>
        <w:pStyle w:val="Default"/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 w:cs="Calibri"/>
        </w:rPr>
      </w:pPr>
      <w:r w:rsidRPr="006E5361">
        <w:rPr>
          <w:rFonts w:asciiTheme="minorHAnsi" w:hAnsiTheme="minorHAnsi" w:cs="Calibri"/>
        </w:rPr>
        <w:t xml:space="preserve">VK projednává žádosti o podporu, které úspěšně prošly věcným hodnocením a Řídicí orgán je VK předloží k projednání dle pravidel stanovených v řídicí dokumentaci OP PIK. </w:t>
      </w:r>
    </w:p>
    <w:p w14:paraId="16FF5E55" w14:textId="77777777" w:rsidR="003E5FB8" w:rsidRPr="006E5361" w:rsidRDefault="003E5FB8" w:rsidP="003E5FB8">
      <w:pPr>
        <w:pStyle w:val="Default"/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 w:cs="Calibri"/>
        </w:rPr>
      </w:pPr>
      <w:r w:rsidRPr="006E5361">
        <w:rPr>
          <w:rFonts w:asciiTheme="minorHAnsi" w:hAnsiTheme="minorHAnsi" w:cs="Calibri"/>
        </w:rPr>
        <w:t>VK rozhoduje o doporučených žádostech o podporu v rámci programů podpory OP PIK.</w:t>
      </w:r>
    </w:p>
    <w:p w14:paraId="5DD2A62A" w14:textId="77777777" w:rsidR="003E5FB8" w:rsidRPr="006E5361" w:rsidRDefault="003E5FB8" w:rsidP="003E5FB8">
      <w:pPr>
        <w:pStyle w:val="Odstavecseseznamem"/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VK a její členové nesmí zasahovat do výsledků již ukončeného hodnocení a respektuje výsledky hodnocení projektů (a pořadí projektů dle bodového ohodnocení), které provedli hodnotitelé (nesmí vstupovat do výsledků již ukončené kontroly přijatelnosti, formálních náležitostí, věcného hodnocení, CBA a analýzy rizik)</w:t>
      </w:r>
    </w:p>
    <w:p w14:paraId="753D7771" w14:textId="77777777" w:rsidR="003E5FB8" w:rsidRPr="006E5361" w:rsidRDefault="003E5FB8" w:rsidP="003E5FB8">
      <w:pPr>
        <w:pStyle w:val="Zkladntext"/>
        <w:numPr>
          <w:ilvl w:val="0"/>
          <w:numId w:val="14"/>
        </w:numPr>
        <w:jc w:val="both"/>
        <w:rPr>
          <w:rFonts w:cs="Calibri"/>
          <w:sz w:val="24"/>
          <w:szCs w:val="24"/>
        </w:rPr>
      </w:pPr>
      <w:r w:rsidRPr="006E5361">
        <w:rPr>
          <w:rFonts w:cs="Calibri"/>
          <w:sz w:val="24"/>
          <w:szCs w:val="24"/>
        </w:rPr>
        <w:t>VK nemění stanovenou minimální bodovou hranici nezbytnou pro získání podpory.</w:t>
      </w:r>
    </w:p>
    <w:p w14:paraId="521C1041" w14:textId="77777777" w:rsidR="003E5FB8" w:rsidRPr="006E5361" w:rsidRDefault="003E5FB8" w:rsidP="003E5FB8">
      <w:pPr>
        <w:pStyle w:val="Odstavecseseznamem"/>
        <w:numPr>
          <w:ilvl w:val="0"/>
          <w:numId w:val="14"/>
        </w:numPr>
        <w:rPr>
          <w:rFonts w:asciiTheme="minorHAnsi" w:eastAsia="Calibri" w:hAnsiTheme="minorHAnsi" w:cs="Calibri"/>
          <w:color w:val="000000"/>
          <w:sz w:val="24"/>
          <w:szCs w:val="24"/>
          <w:lang w:eastAsia="en-US"/>
        </w:rPr>
      </w:pPr>
      <w:r w:rsidRPr="006E5361">
        <w:rPr>
          <w:rFonts w:asciiTheme="minorHAnsi" w:hAnsiTheme="minorHAnsi" w:cs="Calibri"/>
          <w:sz w:val="24"/>
          <w:szCs w:val="24"/>
        </w:rPr>
        <w:lastRenderedPageBreak/>
        <w:t>VK rozhoduje o zařazení žádosti o podporu do zásobníku projektů. Žádosti, které získaly minimální počet bodů, nezbytný pro doporučení projektu, ale na které již nezbyla ve výzvě alokace, jsou zařazeny do zásobníku projektů v sestupném pořadí dle dosaženého počtu bodů ve věcném hodnocení</w:t>
      </w:r>
      <w:r w:rsidRPr="006E5361" w:rsidDel="00634216">
        <w:rPr>
          <w:rFonts w:asciiTheme="minorHAnsi" w:hAnsiTheme="minorHAnsi" w:cs="Calibri"/>
          <w:sz w:val="24"/>
          <w:szCs w:val="24"/>
        </w:rPr>
        <w:t xml:space="preserve"> </w:t>
      </w:r>
      <w:r w:rsidRPr="006E5361">
        <w:rPr>
          <w:rFonts w:asciiTheme="minorHAnsi" w:hAnsiTheme="minorHAnsi" w:cs="Calibri"/>
          <w:sz w:val="24"/>
          <w:szCs w:val="24"/>
        </w:rPr>
        <w:t>´</w:t>
      </w:r>
      <w:r w:rsidRPr="006E5361">
        <w:rPr>
          <w:rFonts w:asciiTheme="minorHAnsi" w:hAnsiTheme="minorHAnsi"/>
          <w:sz w:val="24"/>
          <w:szCs w:val="24"/>
        </w:rPr>
        <w:t xml:space="preserve"> </w:t>
      </w:r>
      <w:r w:rsidRPr="006E5361">
        <w:rPr>
          <w:rFonts w:asciiTheme="minorHAnsi" w:eastAsia="Calibri" w:hAnsiTheme="minorHAnsi" w:cs="Calibri"/>
          <w:color w:val="000000"/>
          <w:sz w:val="24"/>
          <w:szCs w:val="24"/>
          <w:lang w:eastAsia="en-US"/>
        </w:rPr>
        <w:t>ve vztahu na výši disponibilní alokace prostředků pro danou výzvu.</w:t>
      </w:r>
    </w:p>
    <w:p w14:paraId="19A85E2A" w14:textId="77777777" w:rsidR="003E5FB8" w:rsidRPr="006E5361" w:rsidRDefault="003E5FB8" w:rsidP="003E5FB8">
      <w:pPr>
        <w:pStyle w:val="Default"/>
        <w:spacing w:after="120" w:line="276" w:lineRule="auto"/>
        <w:ind w:left="720"/>
        <w:jc w:val="both"/>
        <w:rPr>
          <w:rFonts w:asciiTheme="minorHAnsi" w:hAnsiTheme="minorHAnsi" w:cs="Calibri"/>
        </w:rPr>
      </w:pPr>
    </w:p>
    <w:p w14:paraId="6B312ED9" w14:textId="77777777" w:rsidR="003E5FB8" w:rsidRPr="006E5361" w:rsidRDefault="003E5FB8" w:rsidP="003E5FB8">
      <w:pPr>
        <w:pStyle w:val="Default"/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 w:cs="Calibri"/>
        </w:rPr>
      </w:pPr>
      <w:r w:rsidRPr="006E5361">
        <w:rPr>
          <w:rFonts w:asciiTheme="minorHAnsi" w:hAnsiTheme="minorHAnsi" w:cs="Calibri"/>
        </w:rPr>
        <w:t>VK přijímá rozhodnutí o potvrzení seznamu projektů doporučených k zamítnutí, a to jak ve vazbě na jejich hodnocení.</w:t>
      </w:r>
    </w:p>
    <w:p w14:paraId="58DF2082" w14:textId="77777777" w:rsidR="003E5FB8" w:rsidRPr="006E5361" w:rsidRDefault="003E5FB8" w:rsidP="003E5FB8">
      <w:pPr>
        <w:pStyle w:val="Default"/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 w:cs="Calibri"/>
        </w:rPr>
      </w:pPr>
      <w:r w:rsidRPr="006E5361">
        <w:rPr>
          <w:rFonts w:asciiTheme="minorHAnsi" w:hAnsiTheme="minorHAnsi" w:cs="Calibri"/>
        </w:rPr>
        <w:t xml:space="preserve">VK má pravomoc projednávané projekty nedoporučit, resp. neschválit k podpoře z OP PIK, pouze však z následujících důvodů: </w:t>
      </w:r>
    </w:p>
    <w:p w14:paraId="02EF07CD" w14:textId="77777777" w:rsidR="003E5FB8" w:rsidRPr="006E5361" w:rsidRDefault="003E5FB8" w:rsidP="003E5FB8">
      <w:pPr>
        <w:pStyle w:val="Zkladntext"/>
        <w:numPr>
          <w:ilvl w:val="1"/>
          <w:numId w:val="16"/>
        </w:numPr>
        <w:jc w:val="both"/>
        <w:rPr>
          <w:rFonts w:cs="Calibri"/>
          <w:sz w:val="24"/>
          <w:szCs w:val="24"/>
        </w:rPr>
      </w:pPr>
      <w:r w:rsidRPr="006E5361">
        <w:rPr>
          <w:rFonts w:cs="Calibri"/>
          <w:sz w:val="24"/>
          <w:szCs w:val="24"/>
        </w:rPr>
        <w:t>v případě 2 nedoporučujících posudků interních hodnotitelů či 1 nedoporučujícího posudku interního hodnotitele a jednoho nedoporučujícího posudku interního arbitra;</w:t>
      </w:r>
    </w:p>
    <w:p w14:paraId="270AFE85" w14:textId="77777777" w:rsidR="003E5FB8" w:rsidRPr="006E5361" w:rsidRDefault="003E5FB8" w:rsidP="003E5FB8">
      <w:pPr>
        <w:pStyle w:val="Zkladntext"/>
        <w:numPr>
          <w:ilvl w:val="1"/>
          <w:numId w:val="16"/>
        </w:numPr>
        <w:jc w:val="both"/>
        <w:rPr>
          <w:rFonts w:cs="Calibri"/>
          <w:sz w:val="24"/>
          <w:szCs w:val="24"/>
        </w:rPr>
      </w:pPr>
      <w:r w:rsidRPr="006E5361">
        <w:rPr>
          <w:rFonts w:cs="Calibri"/>
          <w:sz w:val="24"/>
          <w:szCs w:val="24"/>
        </w:rPr>
        <w:t>v případě prokázaného překryvu projektu s jiným již běžícím projektem, který má shodné klíčové aktivity, stejnou cílovou skupinu i stejné území dopadu;</w:t>
      </w:r>
    </w:p>
    <w:p w14:paraId="6BD2ECE3" w14:textId="77777777" w:rsidR="003E5FB8" w:rsidRPr="006E5361" w:rsidRDefault="003E5FB8" w:rsidP="003E5FB8">
      <w:pPr>
        <w:pStyle w:val="Zkladntext"/>
        <w:numPr>
          <w:ilvl w:val="1"/>
          <w:numId w:val="16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E5361">
        <w:rPr>
          <w:rFonts w:cs="Arial"/>
          <w:sz w:val="24"/>
          <w:szCs w:val="24"/>
        </w:rPr>
        <w:t>žadatel prokazatelně opakovaně neplnil své povinnosti v jiném projektu financovaném z OPPI či OPPIK</w:t>
      </w:r>
      <w:r w:rsidRPr="006E5361">
        <w:rPr>
          <w:rStyle w:val="Znakapoznpodarou"/>
          <w:rFonts w:cs="Arial"/>
          <w:sz w:val="24"/>
          <w:szCs w:val="24"/>
        </w:rPr>
        <w:footnoteReference w:id="1"/>
      </w:r>
      <w:r w:rsidRPr="006E5361">
        <w:rPr>
          <w:rFonts w:cs="Arial"/>
          <w:sz w:val="24"/>
          <w:szCs w:val="24"/>
        </w:rPr>
        <w:t>;</w:t>
      </w:r>
    </w:p>
    <w:p w14:paraId="15D6B6A1" w14:textId="77777777" w:rsidR="003E5FB8" w:rsidRPr="006E5361" w:rsidRDefault="003E5FB8" w:rsidP="003E5FB8">
      <w:pPr>
        <w:pStyle w:val="Odstavecseseznamem"/>
        <w:numPr>
          <w:ilvl w:val="1"/>
          <w:numId w:val="16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Theme="minorHAnsi" w:hAnsiTheme="minorHAnsi" w:cs="Arial"/>
          <w:sz w:val="24"/>
          <w:szCs w:val="24"/>
          <w:lang w:eastAsia="en-US"/>
        </w:rPr>
      </w:pPr>
      <w:r w:rsidRPr="006E5361">
        <w:rPr>
          <w:rFonts w:asciiTheme="minorHAnsi" w:hAnsiTheme="minorHAnsi" w:cs="Arial"/>
          <w:sz w:val="24"/>
          <w:szCs w:val="24"/>
          <w:lang w:eastAsia="en-US"/>
        </w:rPr>
        <w:t>disponibilní prostředky ve výzvě neumožní projekt podpořit v dostatečném rozsahu a není zároveň vytvářen zásobník projektů;</w:t>
      </w:r>
    </w:p>
    <w:p w14:paraId="69290332" w14:textId="77777777" w:rsidR="003E5FB8" w:rsidRPr="006E5361" w:rsidRDefault="003E5FB8" w:rsidP="003E5FB8">
      <w:pPr>
        <w:pStyle w:val="Odstavecseseznamem"/>
        <w:numPr>
          <w:ilvl w:val="1"/>
          <w:numId w:val="16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Theme="minorHAnsi" w:hAnsiTheme="minorHAnsi" w:cs="Arial"/>
          <w:sz w:val="24"/>
          <w:szCs w:val="24"/>
          <w:lang w:eastAsia="en-US"/>
        </w:rPr>
      </w:pPr>
      <w:r w:rsidRPr="006E5361">
        <w:rPr>
          <w:rFonts w:asciiTheme="minorHAnsi" w:hAnsiTheme="minorHAnsi" w:cs="Arial"/>
          <w:sz w:val="24"/>
          <w:szCs w:val="24"/>
          <w:lang w:eastAsia="en-US"/>
        </w:rPr>
        <w:t>ve výzvě jsou uvedeny další limity (např. podíl financí určený pro jednu skupinu subjektů) či další podmínky podpory a projekt nelze podpořit s ohledem na tyto limity;</w:t>
      </w:r>
    </w:p>
    <w:p w14:paraId="656C84A8" w14:textId="77777777" w:rsidR="003E5FB8" w:rsidRPr="006E5361" w:rsidRDefault="003E5FB8" w:rsidP="003E5FB8">
      <w:pPr>
        <w:pStyle w:val="Odstavecseseznamem"/>
        <w:numPr>
          <w:ilvl w:val="1"/>
          <w:numId w:val="16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Theme="minorHAnsi" w:hAnsiTheme="minorHAnsi" w:cs="Arial"/>
          <w:sz w:val="24"/>
          <w:szCs w:val="24"/>
          <w:lang w:eastAsia="en-US"/>
        </w:rPr>
      </w:pPr>
      <w:r w:rsidRPr="006E5361">
        <w:rPr>
          <w:rFonts w:asciiTheme="minorHAnsi" w:hAnsiTheme="minorHAnsi" w:cs="Arial"/>
          <w:sz w:val="24"/>
          <w:szCs w:val="24"/>
          <w:lang w:eastAsia="en-US"/>
        </w:rPr>
        <w:t>v případě prokázaného pochybení/excesu při hodnocení projektu některým z hodnotitelů nebo při zjištění nových závažných odborných skutečností, které hodnotitel v době prováděného hodnocení nemohl znát, a tyto prokazatelně brání vydání rozhodnutí o poskytnutí dotace.</w:t>
      </w:r>
    </w:p>
    <w:p w14:paraId="0F2A05AA" w14:textId="77777777" w:rsidR="003E5FB8" w:rsidRPr="006E5361" w:rsidRDefault="003E5FB8" w:rsidP="003E5FB8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Theme="minorHAnsi" w:hAnsiTheme="minorHAnsi" w:cs="Arial"/>
          <w:sz w:val="24"/>
          <w:szCs w:val="24"/>
          <w:lang w:eastAsia="en-US"/>
        </w:rPr>
      </w:pPr>
      <w:r w:rsidRPr="006E5361">
        <w:rPr>
          <w:rFonts w:asciiTheme="minorHAnsi" w:hAnsiTheme="minorHAnsi" w:cs="Arial"/>
          <w:sz w:val="24"/>
          <w:szCs w:val="24"/>
          <w:lang w:eastAsia="en-US"/>
        </w:rPr>
        <w:t>Ve všech výše uvedených případech pak žadatel o podporu má právo podat opravný prostředek proti následnému negativnímu rozhodnutí řídicího orgánu, tj. žádost o přezkum daného rozhodnutí, za podmínek stanovených v kapitole 8.2.4.3 Metodického pokynu MMR.</w:t>
      </w:r>
    </w:p>
    <w:p w14:paraId="5A27FC0F" w14:textId="77777777" w:rsidR="003E5FB8" w:rsidRPr="006E5361" w:rsidRDefault="003E5FB8" w:rsidP="003E5FB8">
      <w:pPr>
        <w:pStyle w:val="Zkladntext"/>
        <w:numPr>
          <w:ilvl w:val="0"/>
          <w:numId w:val="14"/>
        </w:numPr>
        <w:ind w:left="714" w:hanging="357"/>
        <w:jc w:val="both"/>
        <w:rPr>
          <w:rFonts w:cs="Calibri"/>
          <w:sz w:val="24"/>
          <w:szCs w:val="24"/>
        </w:rPr>
      </w:pPr>
      <w:r w:rsidRPr="006E5361">
        <w:rPr>
          <w:rFonts w:cs="Calibri"/>
          <w:sz w:val="24"/>
          <w:szCs w:val="24"/>
        </w:rPr>
        <w:t xml:space="preserve">VK má v souladu se schváleným programovým dokumentem (OP PIK) pravomoc projednávaný projekt vrátit k vyjádření se k jejím výhradám, které musí být v zápise </w:t>
      </w:r>
      <w:r w:rsidRPr="006E5361">
        <w:rPr>
          <w:rFonts w:cs="Calibri"/>
          <w:sz w:val="24"/>
          <w:szCs w:val="24"/>
        </w:rPr>
        <w:lastRenderedPageBreak/>
        <w:t>z jednání VK konkrétně formulovány a musí se na nich konsensuálně shodnout všichni členové VK, a to výhradně z následujících důvodů:</w:t>
      </w:r>
    </w:p>
    <w:p w14:paraId="4AFDB938" w14:textId="77777777" w:rsidR="003E5FB8" w:rsidRPr="006E5361" w:rsidRDefault="003E5FB8" w:rsidP="003E5FB8">
      <w:pPr>
        <w:pStyle w:val="Odstavecseseznamem"/>
        <w:numPr>
          <w:ilvl w:val="1"/>
          <w:numId w:val="20"/>
        </w:numPr>
        <w:spacing w:after="12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pokud bude mít vážné pochybnosti o relevantnosti posudku interního hodnotitele/interního arbitra nebo jeho určité části a potvrzení této pochybnosti by zjevně mělo vyústit v nedoporučení projektu k financování, </w:t>
      </w:r>
    </w:p>
    <w:p w14:paraId="02B77728" w14:textId="77777777" w:rsidR="003E5FB8" w:rsidRPr="006E5361" w:rsidRDefault="003E5FB8" w:rsidP="003E5FB8">
      <w:pPr>
        <w:pStyle w:val="Odstavecseseznamem"/>
        <w:numPr>
          <w:ilvl w:val="1"/>
          <w:numId w:val="20"/>
        </w:numPr>
        <w:spacing w:after="12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v případě podezření na procesní pochybení v některé etapě hodnocení projektu,</w:t>
      </w:r>
    </w:p>
    <w:p w14:paraId="5362FCE4" w14:textId="77777777" w:rsidR="003E5FB8" w:rsidRPr="006E5361" w:rsidRDefault="003E5FB8" w:rsidP="003E5FB8">
      <w:pPr>
        <w:pStyle w:val="Odstavecseseznamem"/>
        <w:numPr>
          <w:ilvl w:val="1"/>
          <w:numId w:val="20"/>
        </w:numPr>
        <w:spacing w:after="12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v případě zjištění nových závažných skutečností spojených s odbornými specifikami daného projektu, které by podle názoru členů VK mohly vést k odlišnému závěru hodnotitelů, pokud by tyto skutečnosti jim byly v době hodnocení známy; </w:t>
      </w:r>
    </w:p>
    <w:p w14:paraId="178C9BFD" w14:textId="77777777" w:rsidR="003E5FB8" w:rsidRPr="006E5361" w:rsidRDefault="003E5FB8" w:rsidP="003E5FB8">
      <w:pPr>
        <w:spacing w:after="120" w:line="276" w:lineRule="auto"/>
        <w:ind w:left="851"/>
        <w:jc w:val="both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v takovém odůvodněném případě důvody tohoto kroku však musí být dostatečně konkrétní, aby bylo jasné, na co má/mají hodnotitel/é reagovat, a musí být uvedeny písemně (k zachování auditní stopy); tento postup smí být použit pro příslušný případ pouze jednou, v případě nespokojenosti členů VK s vyjádřením lze postupovat výhradně podle bodu 7 tohoto článku. </w:t>
      </w:r>
    </w:p>
    <w:p w14:paraId="0848E545" w14:textId="77777777" w:rsidR="003E5FB8" w:rsidRPr="006E5361" w:rsidRDefault="003E5FB8" w:rsidP="003E5FB8">
      <w:pPr>
        <w:pStyle w:val="Zkladntext"/>
        <w:numPr>
          <w:ilvl w:val="0"/>
          <w:numId w:val="14"/>
        </w:numPr>
        <w:jc w:val="both"/>
        <w:rPr>
          <w:rFonts w:cs="Calibri"/>
          <w:sz w:val="24"/>
          <w:szCs w:val="24"/>
        </w:rPr>
      </w:pPr>
      <w:r w:rsidRPr="006E5361">
        <w:rPr>
          <w:rFonts w:cs="Calibri"/>
          <w:sz w:val="24"/>
          <w:szCs w:val="24"/>
        </w:rPr>
        <w:t>Členové VK podepisují zápis s výsledky jednání, výjimkou je situace, kdy vytvoření zápisu probíhá až po jednání. V tomto případě postačuje, pokud členové VK mají zápis k dispozici k připomínkám a jeho správnost stvrzuje podpisem předseda VK a zástupce útvaru, který zajišťuje činnost řídícího orgánu programu. Rozhodnutí výběrové komise musí být zaznamenáno v MS2014+, a to změnou stavu projektů a vložením zápisu z jednání výběrové komise (D4_01_F_Zápis z jednání výběrové komise). Zápis musí být do 15 dnů zveřejněn na internetových stránkách programu.</w:t>
      </w:r>
    </w:p>
    <w:p w14:paraId="6F904FEC" w14:textId="77777777" w:rsidR="003E5FB8" w:rsidRPr="006E5361" w:rsidRDefault="003E5FB8" w:rsidP="003E5FB8">
      <w:pPr>
        <w:pStyle w:val="Zkladntext"/>
        <w:ind w:left="360"/>
        <w:rPr>
          <w:rFonts w:cs="Calibri"/>
          <w:sz w:val="24"/>
          <w:szCs w:val="24"/>
        </w:rPr>
      </w:pPr>
      <w:r w:rsidRPr="006E5361">
        <w:rPr>
          <w:rFonts w:cs="Calibri"/>
          <w:sz w:val="24"/>
          <w:szCs w:val="24"/>
        </w:rPr>
        <w:t xml:space="preserve"> </w:t>
      </w:r>
    </w:p>
    <w:p w14:paraId="0E56F1FF" w14:textId="77777777" w:rsidR="003E5FB8" w:rsidRPr="006E5361" w:rsidRDefault="003E5FB8" w:rsidP="003E5FB8">
      <w:pPr>
        <w:spacing w:after="120"/>
        <w:jc w:val="center"/>
        <w:rPr>
          <w:rFonts w:asciiTheme="minorHAnsi" w:hAnsiTheme="minorHAnsi" w:cs="Calibri"/>
          <w:b/>
          <w:sz w:val="24"/>
          <w:szCs w:val="24"/>
        </w:rPr>
      </w:pPr>
    </w:p>
    <w:p w14:paraId="388E6E6C" w14:textId="77777777" w:rsidR="003E5FB8" w:rsidRPr="006E5361" w:rsidRDefault="003E5FB8" w:rsidP="003E5FB8">
      <w:pPr>
        <w:spacing w:after="120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3</w:t>
      </w:r>
    </w:p>
    <w:p w14:paraId="4B2EF435" w14:textId="77777777" w:rsidR="003E5FB8" w:rsidRPr="006E5361" w:rsidRDefault="003E5FB8" w:rsidP="003E5FB8">
      <w:pPr>
        <w:spacing w:after="240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Složení VK</w:t>
      </w:r>
    </w:p>
    <w:p w14:paraId="635B8053" w14:textId="77777777" w:rsidR="003E5FB8" w:rsidRPr="006E5361" w:rsidRDefault="003E5FB8" w:rsidP="003E5FB8">
      <w:pPr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Příslušná VK má v závislosti na složitosti programu podpory a rozsahu předložených projektů v rámci dané výzvy 3 – 7 členů, a to vždy lichý počet.</w:t>
      </w:r>
    </w:p>
    <w:p w14:paraId="4856DFA5" w14:textId="77777777" w:rsidR="003E5FB8" w:rsidRPr="006E5361" w:rsidRDefault="003E5FB8" w:rsidP="003E5FB8">
      <w:pPr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Členy příslušné VK včetně 1 – 2 náhradníků jmenuje NM Sekce 61000 z řad představených, popř. dalších zaměstnanců Sekce 61000 a zprostředkujícího subjektu (při převaze zástupců Řídicího orgánu, primárně z útvaru odpovědného za implementaci příslušné prioritní osy OP PIK, kteří však nebyli zároveň hodnotiteli/arbitry ani jednoho z posuzovaných projektů; z určených členů zároveň jmenuje předsedajícího VK. </w:t>
      </w:r>
    </w:p>
    <w:p w14:paraId="47CEA192" w14:textId="77777777" w:rsidR="003E5FB8" w:rsidRPr="006E5361" w:rsidRDefault="003E5FB8" w:rsidP="003E5FB8">
      <w:pPr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NM Sekce 61000 se může rozhodnout předsedat příslušné VK osobně.</w:t>
      </w:r>
    </w:p>
    <w:p w14:paraId="5D1935B4" w14:textId="77777777" w:rsidR="003E5FB8" w:rsidRPr="006E5361" w:rsidRDefault="003E5FB8" w:rsidP="003E5FB8">
      <w:pPr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lastRenderedPageBreak/>
        <w:t>Určení náhradníci se stávají členy VK v případech, kdy řádný člen se z objektivních důvodů nemůže již svolaného jednání VK osobně zúčastnit. Náhradník nemůže být předsedajícím VK; pokud náhradník nahrazuje v nezbytném případě určeného předsedajícího, novým předsedajícím je ten z původně určených členů, na němž se přítomní původně jmenovaní členové VK shodnou.</w:t>
      </w:r>
    </w:p>
    <w:p w14:paraId="2B2E282A" w14:textId="77777777" w:rsidR="003E5FB8" w:rsidRPr="006E5361" w:rsidRDefault="003E5FB8" w:rsidP="003E5FB8">
      <w:pPr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Nedojde-li k zahájení činnosti VK v původně stanoveném počtu členů (i s využitím určených náhradníků) anebo nedojde-li ke shodě na předsedajícím VK v případě popsaném v předchozím odstavci, VK nezahájí posuzování projektů a musí si stanovit náhradní termín jednání, na kterém budou splněny výše uvedené podmínky.</w:t>
      </w:r>
    </w:p>
    <w:p w14:paraId="24C78AB5" w14:textId="77777777" w:rsidR="003E5FB8" w:rsidRPr="006E5361" w:rsidRDefault="003E5FB8" w:rsidP="003E5FB8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 Členství ve VK a zaslání podkladů pro jednání je podmíněno předchozím podpisem Etického kodexu.</w:t>
      </w:r>
    </w:p>
    <w:p w14:paraId="1621051E" w14:textId="77777777" w:rsidR="003E5FB8" w:rsidRPr="006E5361" w:rsidRDefault="003E5FB8" w:rsidP="003E5FB8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Jednání VK se mohou jako pozorovatelé zúčastnit se souhlasem předsedajícího i náhradníci řádných členů VK, za předpokladu přijetí čestného prohlášení dle předchozího bodu.</w:t>
      </w:r>
    </w:p>
    <w:p w14:paraId="0BCE0EB1" w14:textId="77777777" w:rsidR="003E5FB8" w:rsidRPr="006E5361" w:rsidRDefault="003E5FB8" w:rsidP="003E5FB8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VK si může na své jednání, případně k jednání o posuzování jednotlivého projektu v případě uplatnění článku 3 bodu 9 přizvat zástupce nevládních organizací dozírajících na transparentnost využívání veřejných prostředků, popř. odborníky na danou věcnou oblast (zejména v případě posuzování projektů výzkumu, vývoje a inovací), kteří mohou se souhlasem předsedajícího uplatnit své připomínky a náměty, nemohou však zasahovat do rozhodování; u synergických výzev mohou být na jednání VK přizváni zástupci řídicího orgánu operačního programu zajišťujícího synergické vazby.</w:t>
      </w:r>
    </w:p>
    <w:p w14:paraId="7B165804" w14:textId="77777777" w:rsidR="003E5FB8" w:rsidRPr="006E5361" w:rsidRDefault="003E5FB8" w:rsidP="003E5FB8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Účast osob, které nejsou členy VK, je na zasedání VK podmíněna závazkem mlčenlivosti o procesu výběru a o projednávaných žádostech (týká se i členů Sekretariátu VK). </w:t>
      </w:r>
    </w:p>
    <w:p w14:paraId="233B88BE" w14:textId="77777777" w:rsidR="003E5FB8" w:rsidRPr="006E5361" w:rsidRDefault="003E5FB8" w:rsidP="003E5FB8">
      <w:pPr>
        <w:spacing w:before="120" w:after="120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4</w:t>
      </w:r>
    </w:p>
    <w:p w14:paraId="3DF99B18" w14:textId="77777777" w:rsidR="003E5FB8" w:rsidRPr="006E5361" w:rsidRDefault="003E5FB8" w:rsidP="003E5FB8">
      <w:pPr>
        <w:spacing w:after="240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Základní pravidla pro jednání VK</w:t>
      </w:r>
    </w:p>
    <w:p w14:paraId="2BBFB8CB" w14:textId="77777777" w:rsidR="003E5FB8" w:rsidRPr="006E5361" w:rsidRDefault="003E5FB8" w:rsidP="003E5FB8">
      <w:pPr>
        <w:spacing w:before="120"/>
        <w:jc w:val="center"/>
        <w:rPr>
          <w:rFonts w:asciiTheme="minorHAnsi" w:hAnsiTheme="minorHAnsi" w:cs="Calibri"/>
          <w:b/>
          <w:sz w:val="24"/>
          <w:szCs w:val="24"/>
        </w:rPr>
      </w:pPr>
    </w:p>
    <w:p w14:paraId="75210BC0" w14:textId="77777777" w:rsidR="003E5FB8" w:rsidRPr="006E5361" w:rsidRDefault="003E5FB8" w:rsidP="003E5FB8">
      <w:pPr>
        <w:numPr>
          <w:ilvl w:val="0"/>
          <w:numId w:val="9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Theme="minorHAnsi" w:eastAsia="Calibri" w:hAnsiTheme="minorHAnsi" w:cs="Calibri"/>
          <w:sz w:val="24"/>
          <w:szCs w:val="24"/>
          <w:lang w:eastAsia="en-US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Jednání </w:t>
      </w:r>
      <w:r w:rsidRPr="006E5361">
        <w:rPr>
          <w:rFonts w:asciiTheme="minorHAnsi" w:eastAsia="Calibri" w:hAnsiTheme="minorHAnsi" w:cs="Calibri"/>
          <w:sz w:val="24"/>
          <w:szCs w:val="24"/>
          <w:lang w:eastAsia="en-US"/>
        </w:rPr>
        <w:t xml:space="preserve">VK svolává určený předsedající VK.  </w:t>
      </w:r>
    </w:p>
    <w:p w14:paraId="0FCCB3F2" w14:textId="77777777" w:rsidR="003E5FB8" w:rsidRPr="006E5361" w:rsidRDefault="003E5FB8" w:rsidP="003E5FB8">
      <w:pPr>
        <w:numPr>
          <w:ilvl w:val="0"/>
          <w:numId w:val="9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Theme="minorHAnsi" w:eastAsia="Calibri" w:hAnsiTheme="minorHAnsi" w:cs="Calibri"/>
          <w:sz w:val="24"/>
          <w:szCs w:val="24"/>
          <w:lang w:eastAsia="en-US"/>
        </w:rPr>
      </w:pPr>
      <w:r w:rsidRPr="006E5361">
        <w:rPr>
          <w:rFonts w:asciiTheme="minorHAnsi" w:eastAsia="Calibri" w:hAnsiTheme="minorHAnsi" w:cs="Calibri"/>
          <w:sz w:val="24"/>
          <w:szCs w:val="24"/>
          <w:lang w:eastAsia="en-US"/>
        </w:rPr>
        <w:t>Předsedající VK odpovídá za maximální transparentnost jednání VK, v souladu s jejím jednacím řádem.</w:t>
      </w:r>
    </w:p>
    <w:p w14:paraId="3B2013AC" w14:textId="77777777" w:rsidR="003E5FB8" w:rsidRPr="006E5361" w:rsidRDefault="003E5FB8" w:rsidP="003E5FB8">
      <w:pPr>
        <w:numPr>
          <w:ilvl w:val="0"/>
          <w:numId w:val="9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Jednání VK je neveřejné; vedle řádných členů VK a dalších osob stanovených podle článku 3 bodů 7 a 8 se může zúčastnit i NM Sekce 61000; jednání se vždy účastní zástupce sekretariátu VK plnící úkoly podle článku 5.</w:t>
      </w:r>
    </w:p>
    <w:p w14:paraId="589F6F45" w14:textId="77777777" w:rsidR="003E5FB8" w:rsidRPr="006E5361" w:rsidRDefault="003E5FB8" w:rsidP="003E5FB8">
      <w:pPr>
        <w:numPr>
          <w:ilvl w:val="0"/>
          <w:numId w:val="9"/>
        </w:numPr>
        <w:overflowPunct/>
        <w:autoSpaceDE/>
        <w:autoSpaceDN/>
        <w:adjustRightInd/>
        <w:spacing w:before="120" w:after="120"/>
        <w:ind w:left="0" w:firstLine="0"/>
        <w:textAlignment w:val="auto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Z jednání VK je vždy pořízen písemný zápis. </w:t>
      </w:r>
    </w:p>
    <w:p w14:paraId="777C9656" w14:textId="77777777" w:rsidR="003E5FB8" w:rsidRPr="006E5361" w:rsidRDefault="003E5FB8" w:rsidP="003E5FB8">
      <w:pPr>
        <w:overflowPunct/>
        <w:autoSpaceDE/>
        <w:autoSpaceDN/>
        <w:adjustRightInd/>
        <w:spacing w:before="120" w:after="120"/>
        <w:textAlignment w:val="auto"/>
        <w:rPr>
          <w:rFonts w:asciiTheme="minorHAnsi" w:hAnsiTheme="minorHAnsi" w:cs="Calibri"/>
          <w:b/>
          <w:sz w:val="24"/>
          <w:szCs w:val="24"/>
        </w:rPr>
      </w:pPr>
    </w:p>
    <w:p w14:paraId="01A04D25" w14:textId="77777777" w:rsidR="003E5FB8" w:rsidRPr="006E5361" w:rsidRDefault="003E5FB8" w:rsidP="003E5FB8">
      <w:pPr>
        <w:spacing w:before="120" w:after="120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5</w:t>
      </w:r>
    </w:p>
    <w:p w14:paraId="7DBC2721" w14:textId="77777777" w:rsidR="003E5FB8" w:rsidRPr="006E5361" w:rsidRDefault="003E5FB8" w:rsidP="003E5FB8">
      <w:pPr>
        <w:spacing w:after="240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Sekretariát VK</w:t>
      </w:r>
    </w:p>
    <w:p w14:paraId="36362104" w14:textId="5043CE1C" w:rsidR="003E5FB8" w:rsidRPr="006E5361" w:rsidRDefault="003E5FB8" w:rsidP="003E5FB8">
      <w:pPr>
        <w:numPr>
          <w:ilvl w:val="0"/>
          <w:numId w:val="10"/>
        </w:numPr>
        <w:overflowPunct/>
        <w:autoSpaceDE/>
        <w:autoSpaceDN/>
        <w:adjustRightInd/>
        <w:spacing w:after="120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lastRenderedPageBreak/>
        <w:t>Funkci sekretariátu VK zajišťuje odbor</w:t>
      </w:r>
      <w:r w:rsidR="005E3C74">
        <w:rPr>
          <w:rFonts w:asciiTheme="minorHAnsi" w:hAnsiTheme="minorHAnsi" w:cs="Calibri"/>
          <w:sz w:val="24"/>
          <w:szCs w:val="24"/>
        </w:rPr>
        <w:t xml:space="preserve"> S61000</w:t>
      </w:r>
      <w:r w:rsidRPr="006E5361">
        <w:rPr>
          <w:rFonts w:asciiTheme="minorHAnsi" w:hAnsiTheme="minorHAnsi" w:cs="Calibri"/>
          <w:sz w:val="24"/>
          <w:szCs w:val="24"/>
        </w:rPr>
        <w:t xml:space="preserve"> </w:t>
      </w:r>
      <w:r w:rsidR="005E3C74">
        <w:rPr>
          <w:rFonts w:asciiTheme="minorHAnsi" w:hAnsiTheme="minorHAnsi" w:cs="Calibri"/>
          <w:sz w:val="24"/>
          <w:szCs w:val="24"/>
        </w:rPr>
        <w:t>implementující danou prioritní osu</w:t>
      </w:r>
    </w:p>
    <w:p w14:paraId="559D576A" w14:textId="77777777" w:rsidR="003E5FB8" w:rsidRPr="006E5361" w:rsidRDefault="003E5FB8" w:rsidP="003E5FB8">
      <w:pPr>
        <w:numPr>
          <w:ilvl w:val="0"/>
          <w:numId w:val="10"/>
        </w:numPr>
        <w:overflowPunct/>
        <w:autoSpaceDE/>
        <w:autoSpaceDN/>
        <w:adjustRightInd/>
        <w:spacing w:after="120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Sekretariát zajišťuje kontakt se členy VK.</w:t>
      </w:r>
    </w:p>
    <w:p w14:paraId="102F69DB" w14:textId="77777777" w:rsidR="003E5FB8" w:rsidRPr="006E5361" w:rsidRDefault="003E5FB8" w:rsidP="003E5FB8">
      <w:pPr>
        <w:pStyle w:val="Zkladntext"/>
        <w:numPr>
          <w:ilvl w:val="0"/>
          <w:numId w:val="10"/>
        </w:numPr>
        <w:jc w:val="both"/>
        <w:rPr>
          <w:rFonts w:cs="Calibri"/>
          <w:sz w:val="24"/>
          <w:szCs w:val="24"/>
        </w:rPr>
      </w:pPr>
      <w:r w:rsidRPr="006E5361">
        <w:rPr>
          <w:rFonts w:cs="Calibri"/>
          <w:sz w:val="24"/>
          <w:szCs w:val="24"/>
        </w:rPr>
        <w:t xml:space="preserve">Sekretariát informuje příslušné členy o svolání VK jeho předsedajícím minimálně 5 pracovních dnů před jejím konáním. </w:t>
      </w:r>
    </w:p>
    <w:p w14:paraId="05FCC310" w14:textId="77777777" w:rsidR="003E5FB8" w:rsidRPr="006E5361" w:rsidRDefault="003E5FB8" w:rsidP="003E5FB8">
      <w:pPr>
        <w:numPr>
          <w:ilvl w:val="0"/>
          <w:numId w:val="10"/>
        </w:numPr>
        <w:overflowPunct/>
        <w:autoSpaceDE/>
        <w:autoSpaceDN/>
        <w:adjustRightInd/>
        <w:spacing w:after="120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Sekretariát připravuje pro členy VK výstupy z věcného hodnocení žádostí jako podklad pro rozhodování VK.</w:t>
      </w:r>
    </w:p>
    <w:p w14:paraId="4CD401BF" w14:textId="77777777" w:rsidR="003E5FB8" w:rsidRPr="006E5361" w:rsidRDefault="003E5FB8" w:rsidP="003E5FB8">
      <w:pPr>
        <w:widowControl w:val="0"/>
        <w:numPr>
          <w:ilvl w:val="0"/>
          <w:numId w:val="10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Sekretariát zpracovává z jednání VK písemný zápis, který se zveřejní na internetových stránkách operačního programu nejpozději do 15 pracovních dní od data uskutečnění jednání.</w:t>
      </w:r>
    </w:p>
    <w:p w14:paraId="7C53DA6B" w14:textId="77777777" w:rsidR="003E5FB8" w:rsidRPr="006E5361" w:rsidRDefault="003E5FB8" w:rsidP="003E5FB8">
      <w:pPr>
        <w:tabs>
          <w:tab w:val="left" w:pos="426"/>
        </w:tabs>
        <w:ind w:left="360" w:right="382"/>
        <w:jc w:val="both"/>
        <w:rPr>
          <w:rFonts w:asciiTheme="minorHAnsi" w:hAnsiTheme="minorHAnsi" w:cs="Calibri"/>
          <w:sz w:val="24"/>
          <w:szCs w:val="24"/>
        </w:rPr>
      </w:pPr>
    </w:p>
    <w:p w14:paraId="37EF3980" w14:textId="77777777" w:rsidR="003E5FB8" w:rsidRPr="006E5361" w:rsidRDefault="003E5FB8" w:rsidP="003E5FB8">
      <w:pPr>
        <w:spacing w:before="120" w:after="120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6</w:t>
      </w:r>
    </w:p>
    <w:p w14:paraId="6F7DBC70" w14:textId="77777777" w:rsidR="003E5FB8" w:rsidRPr="006E5361" w:rsidRDefault="003E5FB8" w:rsidP="003E5FB8">
      <w:pPr>
        <w:spacing w:after="240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Jednací řád</w:t>
      </w:r>
    </w:p>
    <w:p w14:paraId="45B305D4" w14:textId="77777777" w:rsidR="003E5FB8" w:rsidRPr="006E5361" w:rsidRDefault="003E5FB8" w:rsidP="003E5FB8">
      <w:pPr>
        <w:pStyle w:val="StylZarovnatdoblokuPed6b1"/>
        <w:tabs>
          <w:tab w:val="num" w:pos="0"/>
        </w:tabs>
        <w:spacing w:after="120"/>
        <w:ind w:left="357" w:right="380" w:hanging="357"/>
        <w:rPr>
          <w:rFonts w:asciiTheme="minorHAnsi" w:hAnsiTheme="minorHAnsi" w:cs="Calibri"/>
          <w:szCs w:val="24"/>
        </w:rPr>
      </w:pPr>
      <w:r w:rsidRPr="006E5361">
        <w:rPr>
          <w:rFonts w:asciiTheme="minorHAnsi" w:hAnsiTheme="minorHAnsi" w:cs="Calibri"/>
          <w:szCs w:val="24"/>
        </w:rPr>
        <w:t>Jednací řád VK upravuje způsob jednání VK na jejích zasedáních.</w:t>
      </w:r>
    </w:p>
    <w:p w14:paraId="7FF37AA4" w14:textId="77777777" w:rsidR="003E5FB8" w:rsidRPr="006E5361" w:rsidRDefault="003E5FB8" w:rsidP="003E5FB8">
      <w:pPr>
        <w:pStyle w:val="StylZarovnatdoblokuPed6b1"/>
        <w:tabs>
          <w:tab w:val="num" w:pos="0"/>
        </w:tabs>
        <w:spacing w:after="120"/>
        <w:ind w:left="357" w:right="380" w:hanging="357"/>
        <w:rPr>
          <w:rFonts w:asciiTheme="minorHAnsi" w:hAnsiTheme="minorHAnsi" w:cs="Calibri"/>
          <w:szCs w:val="24"/>
        </w:rPr>
      </w:pPr>
      <w:r w:rsidRPr="006E5361">
        <w:rPr>
          <w:rFonts w:asciiTheme="minorHAnsi" w:hAnsiTheme="minorHAnsi" w:cs="Calibri"/>
          <w:szCs w:val="24"/>
        </w:rPr>
        <w:t>Jednací řád VK (jakož i jeho případné změny) schvaluje NM Sekce 61000.</w:t>
      </w:r>
    </w:p>
    <w:p w14:paraId="3AB4E39C" w14:textId="77777777"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14:paraId="488C9F3A" w14:textId="77777777" w:rsidR="003E5FB8" w:rsidRPr="006E5361" w:rsidRDefault="003E5FB8" w:rsidP="003E5FB8">
      <w:pPr>
        <w:spacing w:before="120" w:after="120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7</w:t>
      </w:r>
    </w:p>
    <w:p w14:paraId="55C55FD1" w14:textId="77777777" w:rsidR="003E5FB8" w:rsidRPr="006E5361" w:rsidRDefault="003E5FB8" w:rsidP="003E5FB8">
      <w:pPr>
        <w:spacing w:after="240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Platnost a účinnost Statutu VK</w:t>
      </w:r>
    </w:p>
    <w:p w14:paraId="0FF9B669" w14:textId="77777777"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Statut nabývá platnosti a účinnosti dnem jeho vydání.</w:t>
      </w:r>
    </w:p>
    <w:p w14:paraId="79D799AE" w14:textId="77777777"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14:paraId="5F2FA99C" w14:textId="77777777"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14:paraId="1C437848" w14:textId="77777777"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14:paraId="636A1EC5" w14:textId="77777777"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14:paraId="792B69BE" w14:textId="77777777"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14:paraId="118499BC" w14:textId="77777777"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14:paraId="270A7094" w14:textId="77777777"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14:paraId="568DA8D8" w14:textId="77777777"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14:paraId="13934076" w14:textId="77777777"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14:paraId="131CA81E" w14:textId="77777777"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14:paraId="4D6A31AF" w14:textId="77777777"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14:paraId="7E00D58C" w14:textId="77777777"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14:paraId="010D46F0" w14:textId="77777777"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14:paraId="75670807" w14:textId="77777777"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14:paraId="0CABE025" w14:textId="77777777"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14:paraId="38C2A42A" w14:textId="77777777"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14:paraId="1E20A5FE" w14:textId="77777777"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14:paraId="658CC6BB" w14:textId="77777777"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14:paraId="64B0DC62" w14:textId="77777777"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14:paraId="50EDF403" w14:textId="77777777"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14:paraId="428ABA2F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caps/>
          <w:sz w:val="24"/>
          <w:szCs w:val="24"/>
        </w:rPr>
      </w:pPr>
      <w:r w:rsidRPr="006E5361">
        <w:rPr>
          <w:rFonts w:asciiTheme="minorHAnsi" w:hAnsiTheme="minorHAnsi" w:cs="Calibri"/>
          <w:b/>
          <w:caps/>
          <w:sz w:val="24"/>
          <w:szCs w:val="24"/>
        </w:rPr>
        <w:t>JEDNACÍ ŘÁD</w:t>
      </w:r>
    </w:p>
    <w:p w14:paraId="5F158838" w14:textId="77777777" w:rsidR="003E5FB8" w:rsidRPr="006E5361" w:rsidRDefault="003E5FB8" w:rsidP="003E5FB8">
      <w:pPr>
        <w:pStyle w:val="Nzev"/>
        <w:spacing w:line="276" w:lineRule="auto"/>
        <w:ind w:left="714" w:hanging="357"/>
        <w:rPr>
          <w:rFonts w:asciiTheme="minorHAnsi" w:hAnsiTheme="minorHAnsi" w:cs="Calibri"/>
          <w:sz w:val="24"/>
        </w:rPr>
      </w:pPr>
      <w:r w:rsidRPr="006E5361">
        <w:rPr>
          <w:rFonts w:asciiTheme="minorHAnsi" w:hAnsiTheme="minorHAnsi" w:cs="Calibri"/>
          <w:sz w:val="24"/>
        </w:rPr>
        <w:t>Výběrové komise Řídicího orgánu OP PIK</w:t>
      </w:r>
    </w:p>
    <w:p w14:paraId="5817C2CE" w14:textId="77777777" w:rsidR="003E5FB8" w:rsidRPr="006E5361" w:rsidRDefault="003E5FB8" w:rsidP="003E5FB8">
      <w:pPr>
        <w:pStyle w:val="Nzev"/>
        <w:spacing w:line="276" w:lineRule="auto"/>
        <w:ind w:left="714" w:hanging="357"/>
        <w:rPr>
          <w:rFonts w:asciiTheme="minorHAnsi" w:hAnsiTheme="minorHAnsi" w:cs="Calibri"/>
          <w:sz w:val="24"/>
        </w:rPr>
      </w:pPr>
      <w:r w:rsidRPr="006E5361">
        <w:rPr>
          <w:rFonts w:asciiTheme="minorHAnsi" w:hAnsiTheme="minorHAnsi" w:cs="Calibri"/>
          <w:sz w:val="24"/>
        </w:rPr>
        <w:t>pro hodnocení projektů předložených v rámci výzev k jednotlivým programům podpory</w:t>
      </w:r>
    </w:p>
    <w:p w14:paraId="22993958" w14:textId="77777777" w:rsidR="003E5FB8" w:rsidRPr="006E5361" w:rsidRDefault="003E5FB8" w:rsidP="003E5FB8">
      <w:pPr>
        <w:pStyle w:val="Nzev"/>
        <w:spacing w:line="276" w:lineRule="auto"/>
        <w:ind w:left="714" w:hanging="357"/>
        <w:rPr>
          <w:rFonts w:asciiTheme="minorHAnsi" w:hAnsiTheme="minorHAnsi" w:cs="Calibri"/>
          <w:sz w:val="24"/>
        </w:rPr>
      </w:pPr>
    </w:p>
    <w:p w14:paraId="6B39BD02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Část I</w:t>
      </w:r>
    </w:p>
    <w:p w14:paraId="2114DFFA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OBECNÁ USTANOVENÍ</w:t>
      </w:r>
    </w:p>
    <w:p w14:paraId="38E1432D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</w:p>
    <w:p w14:paraId="34DAE885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1</w:t>
      </w:r>
    </w:p>
    <w:p w14:paraId="4D17019E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Úvodní ustanovení</w:t>
      </w:r>
    </w:p>
    <w:p w14:paraId="06A5F94C" w14:textId="77777777" w:rsidR="003E5FB8" w:rsidRPr="006E5361" w:rsidRDefault="003E5FB8" w:rsidP="003E5FB8">
      <w:pPr>
        <w:numPr>
          <w:ilvl w:val="0"/>
          <w:numId w:val="33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Jednací řád výběrové komise (dále jen „Jednací řád VK“) se vydává podle čl. 6 Statutu výběrové komise Řídicího orgánu Operačního programu Podnikání a inovace pro konkurenceschopnost.</w:t>
      </w:r>
    </w:p>
    <w:p w14:paraId="2859857E" w14:textId="77777777" w:rsidR="003E5FB8" w:rsidRPr="006E5361" w:rsidRDefault="003E5FB8" w:rsidP="003E5FB8">
      <w:pPr>
        <w:numPr>
          <w:ilvl w:val="0"/>
          <w:numId w:val="33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Jednací řád upravuje zejména způsob svolávání jednání VK, účasti, jednání a hlasování členů VK.</w:t>
      </w:r>
    </w:p>
    <w:p w14:paraId="0D63050C" w14:textId="77777777" w:rsidR="003E5FB8" w:rsidRPr="006E5361" w:rsidRDefault="003E5FB8" w:rsidP="003E5FB8">
      <w:pPr>
        <w:numPr>
          <w:ilvl w:val="0"/>
          <w:numId w:val="33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Administrativní činnosti spojené se svoláním a průběhem jednání a zpracováním hlasování (rozhodnutí) VK zabezpečuje Sekretariát VK. </w:t>
      </w:r>
    </w:p>
    <w:p w14:paraId="2AC561C5" w14:textId="77777777" w:rsidR="003E5FB8" w:rsidRPr="006E5361" w:rsidRDefault="003E5FB8" w:rsidP="003E5FB8">
      <w:pPr>
        <w:spacing w:after="120" w:line="276" w:lineRule="auto"/>
        <w:ind w:left="714" w:hanging="357"/>
        <w:rPr>
          <w:rFonts w:asciiTheme="minorHAnsi" w:hAnsiTheme="minorHAnsi" w:cs="Calibri"/>
          <w:sz w:val="24"/>
          <w:szCs w:val="24"/>
        </w:rPr>
      </w:pPr>
    </w:p>
    <w:p w14:paraId="7144962F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sz w:val="24"/>
          <w:szCs w:val="24"/>
        </w:rPr>
      </w:pPr>
    </w:p>
    <w:p w14:paraId="6F427E2F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Část II</w:t>
      </w:r>
    </w:p>
    <w:p w14:paraId="64EFCDAE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ČINNOST VK</w:t>
      </w:r>
    </w:p>
    <w:p w14:paraId="5EB268BF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</w:p>
    <w:p w14:paraId="7D694DBC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2</w:t>
      </w:r>
    </w:p>
    <w:p w14:paraId="4BD82A25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Svolání jednání VK</w:t>
      </w:r>
    </w:p>
    <w:p w14:paraId="3ED5A93B" w14:textId="77777777" w:rsidR="003E5FB8" w:rsidRPr="006E5361" w:rsidRDefault="003E5FB8" w:rsidP="003E5FB8">
      <w:pPr>
        <w:numPr>
          <w:ilvl w:val="0"/>
          <w:numId w:val="3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Sekretariát navrhuje program a datum jednání VK.</w:t>
      </w:r>
    </w:p>
    <w:p w14:paraId="25CA0378" w14:textId="77777777" w:rsidR="003E5FB8" w:rsidRPr="006E5361" w:rsidRDefault="003E5FB8" w:rsidP="003E5FB8">
      <w:pPr>
        <w:numPr>
          <w:ilvl w:val="0"/>
          <w:numId w:val="3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Po jmenování členů VK a jejího předsedajícího ze strany NM Sekce 61000 předsedající si s jednotlivými členy (případně náhradníky) potvrdí vhodnost navrženého data jednání VK.</w:t>
      </w:r>
    </w:p>
    <w:p w14:paraId="51F3CD90" w14:textId="77777777" w:rsidR="003E5FB8" w:rsidRPr="006E5361" w:rsidRDefault="003E5FB8" w:rsidP="003E5FB8">
      <w:pPr>
        <w:numPr>
          <w:ilvl w:val="0"/>
          <w:numId w:val="3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Pozvánka na jednání VK musí být všem členům VK a jejich náhradníkům doručena nejpozději 5 kalendářních dnů před jednáním VK. Ze závažného důvodu může předsedající tuto lhůtu zkrátit.</w:t>
      </w:r>
    </w:p>
    <w:p w14:paraId="1121E548" w14:textId="77777777" w:rsidR="003E5FB8" w:rsidRPr="006E5361" w:rsidRDefault="003E5FB8" w:rsidP="003E5FB8">
      <w:pPr>
        <w:numPr>
          <w:ilvl w:val="0"/>
          <w:numId w:val="3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Pozvánka na jednání VK obsahuje zejména den, místo, čas a předběžný program jednání a je všem členům a jejich náhradníkům zasílána</w:t>
      </w:r>
      <w:r w:rsidRPr="006E5361">
        <w:rPr>
          <w:rFonts w:asciiTheme="minorHAnsi" w:hAnsiTheme="minorHAnsi" w:cs="Calibri"/>
          <w:iCs/>
          <w:sz w:val="24"/>
          <w:szCs w:val="24"/>
        </w:rPr>
        <w:t xml:space="preserve"> prostřednictvím MS2014+.</w:t>
      </w:r>
    </w:p>
    <w:p w14:paraId="5C65B812" w14:textId="77777777" w:rsidR="003E5FB8" w:rsidRPr="006E5361" w:rsidRDefault="003E5FB8" w:rsidP="003E5FB8">
      <w:pPr>
        <w:numPr>
          <w:ilvl w:val="0"/>
          <w:numId w:val="3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Sekretariát </w:t>
      </w:r>
      <w:r w:rsidRPr="006E5361">
        <w:rPr>
          <w:rFonts w:asciiTheme="minorHAnsi" w:hAnsiTheme="minorHAnsi" w:cs="Calibri"/>
          <w:bCs/>
          <w:sz w:val="24"/>
          <w:szCs w:val="24"/>
        </w:rPr>
        <w:t xml:space="preserve">VK </w:t>
      </w:r>
      <w:r w:rsidRPr="006E5361">
        <w:rPr>
          <w:rFonts w:asciiTheme="minorHAnsi" w:hAnsiTheme="minorHAnsi" w:cs="Calibri"/>
          <w:sz w:val="24"/>
          <w:szCs w:val="24"/>
        </w:rPr>
        <w:t xml:space="preserve">připraví pro jednání </w:t>
      </w:r>
      <w:r w:rsidRPr="006E5361">
        <w:rPr>
          <w:rFonts w:asciiTheme="minorHAnsi" w:hAnsiTheme="minorHAnsi" w:cs="Calibri"/>
          <w:bCs/>
          <w:sz w:val="24"/>
          <w:szCs w:val="24"/>
        </w:rPr>
        <w:t>VK</w:t>
      </w:r>
      <w:r w:rsidRPr="006E5361">
        <w:rPr>
          <w:rFonts w:asciiTheme="minorHAnsi" w:hAnsiTheme="minorHAnsi" w:cs="Calibri"/>
          <w:sz w:val="24"/>
          <w:szCs w:val="24"/>
        </w:rPr>
        <w:t xml:space="preserve"> podklady a zprostředkuje/zpřístupní je přes MS2014+ členům a jejich náhradníkům </w:t>
      </w:r>
      <w:r w:rsidRPr="006E5361">
        <w:rPr>
          <w:rFonts w:asciiTheme="minorHAnsi" w:hAnsiTheme="minorHAnsi" w:cs="Calibri"/>
          <w:bCs/>
          <w:sz w:val="24"/>
          <w:szCs w:val="24"/>
        </w:rPr>
        <w:t>nejpozději</w:t>
      </w:r>
      <w:r w:rsidRPr="006E5361">
        <w:rPr>
          <w:rFonts w:asciiTheme="minorHAnsi" w:hAnsiTheme="minorHAnsi" w:cs="Calibri"/>
          <w:sz w:val="24"/>
          <w:szCs w:val="24"/>
        </w:rPr>
        <w:t xml:space="preserve"> 5 kalendářních dnů před jej</w:t>
      </w:r>
      <w:r w:rsidRPr="006E5361">
        <w:rPr>
          <w:rFonts w:asciiTheme="minorHAnsi" w:hAnsiTheme="minorHAnsi" w:cs="Calibri"/>
          <w:bCs/>
          <w:sz w:val="24"/>
          <w:szCs w:val="24"/>
        </w:rPr>
        <w:t>ím</w:t>
      </w:r>
      <w:r w:rsidRPr="006E5361">
        <w:rPr>
          <w:rFonts w:asciiTheme="minorHAnsi" w:hAnsiTheme="minorHAnsi" w:cs="Calibri"/>
          <w:sz w:val="24"/>
          <w:szCs w:val="24"/>
        </w:rPr>
        <w:t xml:space="preserve"> konáním.</w:t>
      </w:r>
    </w:p>
    <w:p w14:paraId="45537E3A" w14:textId="77777777" w:rsidR="003E5FB8" w:rsidRPr="006E5361" w:rsidRDefault="003E5FB8" w:rsidP="003E5FB8">
      <w:pPr>
        <w:spacing w:before="480"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3</w:t>
      </w:r>
    </w:p>
    <w:p w14:paraId="2F1E624B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Účast na jednání</w:t>
      </w:r>
    </w:p>
    <w:p w14:paraId="3BADAE50" w14:textId="77777777" w:rsidR="003E5FB8" w:rsidRPr="006E5361" w:rsidRDefault="003E5FB8" w:rsidP="003E5FB8">
      <w:pPr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left="714" w:hanging="357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Členové VK jmenovaní ze strany NM Sekce 61000 jsou povinni účastnit se jednání VK osobně.</w:t>
      </w:r>
    </w:p>
    <w:p w14:paraId="11050F74" w14:textId="77777777" w:rsidR="003E5FB8" w:rsidRPr="006E5361" w:rsidRDefault="003E5FB8" w:rsidP="003E5FB8">
      <w:pPr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Pokud se člen VK nemůže na jednání dostavit ze závažných důvodů anebo z důvodu jeho střetu zájmů ve smyslu článku 3 Etického kodexu, oznámí to neprodleně určenému předsedajícímu VK a na jeho místo nastupuje určený náhradník, jenž se tak stává hlasujícím členem VK pro celé dané výběrové kolo, tzn. minimálně od zahájení jednání VK do uzavření procesu výběru projektů. </w:t>
      </w:r>
    </w:p>
    <w:p w14:paraId="0A2E8732" w14:textId="77777777" w:rsidR="003E5FB8" w:rsidRPr="006E5361" w:rsidRDefault="003E5FB8" w:rsidP="003E5FB8">
      <w:pPr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Nemůže-li se jednání VK ze závažných důvodů zúčastnit určený předsedající VK, vyjedná s určenými členy VK (za spolupráce se Sekretariátem VK) jiný termín pro jednání VK, je-li to možné; pokud takovýto postup není možný, oznámí určený předsedající tuto situaci NM Sekce 61000, za jehož účinné spolupráce dojde k stanovení náhradníka členem VK a ke zvolení předsedajícího z původně stanovených členů VK.</w:t>
      </w:r>
    </w:p>
    <w:p w14:paraId="36054987" w14:textId="77777777" w:rsidR="003E5FB8" w:rsidRPr="006E5361" w:rsidRDefault="003E5FB8" w:rsidP="003E5FB8">
      <w:pPr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Není přípustné provádět výměnu členů a náhradníků VK v průběhu procesu výběru projektů, tj. od ukončení příjmu žádostí pro dané kolo výzvy do ukončení jednání VK. </w:t>
      </w:r>
    </w:p>
    <w:p w14:paraId="03E29B03" w14:textId="77777777" w:rsidR="003E5FB8" w:rsidRPr="006E5361" w:rsidRDefault="003E5FB8" w:rsidP="003E5FB8">
      <w:pPr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Jednání VK se vždy účastní zástupce Sekretariátu VK. Se souhlasem předsedajícího VK se jednání mohou zúčastnit i náhradníci další osoby uvedené v článku 3 bodu 8 Statutu VK.</w:t>
      </w:r>
    </w:p>
    <w:p w14:paraId="276162D6" w14:textId="77777777" w:rsidR="003E5FB8" w:rsidRPr="006E5361" w:rsidRDefault="003E5FB8" w:rsidP="003E5FB8">
      <w:pPr>
        <w:spacing w:after="120" w:line="276" w:lineRule="auto"/>
        <w:ind w:left="714" w:hanging="357"/>
        <w:rPr>
          <w:rFonts w:asciiTheme="minorHAnsi" w:hAnsiTheme="minorHAnsi" w:cs="Calibri"/>
          <w:sz w:val="24"/>
          <w:szCs w:val="24"/>
        </w:rPr>
      </w:pPr>
    </w:p>
    <w:p w14:paraId="5E196DAD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4</w:t>
      </w:r>
    </w:p>
    <w:p w14:paraId="1091800F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Jednání VK</w:t>
      </w:r>
    </w:p>
    <w:p w14:paraId="38EA7CBE" w14:textId="77777777" w:rsidR="003E5FB8" w:rsidRPr="006E5361" w:rsidRDefault="003E5FB8" w:rsidP="003E5FB8">
      <w:pPr>
        <w:pStyle w:val="Odstavecseseznamem"/>
        <w:numPr>
          <w:ilvl w:val="0"/>
          <w:numId w:val="44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Jednání VK řídí předsedající VK. </w:t>
      </w:r>
    </w:p>
    <w:p w14:paraId="16C04ED5" w14:textId="77777777" w:rsidR="003E5FB8" w:rsidRPr="006E5361" w:rsidRDefault="003E5FB8" w:rsidP="003E5FB8">
      <w:pPr>
        <w:pStyle w:val="Odstavecseseznamem"/>
        <w:widowControl w:val="0"/>
        <w:numPr>
          <w:ilvl w:val="0"/>
          <w:numId w:val="44"/>
        </w:numPr>
        <w:overflowPunct/>
        <w:autoSpaceDE/>
        <w:autoSpaceDN/>
        <w:spacing w:after="12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Členové VK rozhodují o podpoře/nepodpoře/vrácení do procesu hodnocení projektů veřejným hlasováním, a to zvednutím ruky pro návrh, proti návrhu, případně zdržuje-li se hlasování. Informace o způsobu hlasování každého člena se podrobně zapracují do zápisu z jednání VK. Nejdříve se hlasuje o dílčích protinávrzích, poté o návrhu ŘO OP PIK jako celku.</w:t>
      </w:r>
    </w:p>
    <w:p w14:paraId="6A9CF1A1" w14:textId="77777777" w:rsidR="003E5FB8" w:rsidRPr="006E5361" w:rsidRDefault="003E5FB8" w:rsidP="003E5FB8">
      <w:pPr>
        <w:pStyle w:val="Odstavecseseznamem"/>
        <w:numPr>
          <w:ilvl w:val="0"/>
          <w:numId w:val="44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VK je usnášeníschopná, pokud je přítomen plný počet stanovených členů, popř. jejich náhradníků. Členové a náhradníci vstupující do jednání VK dle článku 3 bod 2 tohoto jednacího řádu disponují hlasem rozhodujícím. </w:t>
      </w:r>
    </w:p>
    <w:p w14:paraId="21EEACCB" w14:textId="77777777" w:rsidR="003E5FB8" w:rsidRPr="006E5361" w:rsidRDefault="003E5FB8" w:rsidP="003E5FB8">
      <w:pPr>
        <w:pStyle w:val="Odstavecseseznamem"/>
        <w:numPr>
          <w:ilvl w:val="0"/>
          <w:numId w:val="44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V případě, že pro návrh ani proti návrhu nehlasuje většina přítomných členů VK (tzn., že většina členů se zdrží hlasování) není možné návrh považovat za projednaný. Předseda VK v takovém případě po diskusi s členy VK zformuluje nový návrh, o kterém VK hlasuje. Tento proces se opakuje, dokud není některý z návrhů přijat/zamítnut většinou hlasů přítomných členů VK.</w:t>
      </w:r>
    </w:p>
    <w:p w14:paraId="5C67B286" w14:textId="77777777" w:rsidR="003E5FB8" w:rsidRPr="006E5361" w:rsidRDefault="003E5FB8" w:rsidP="003E5FB8">
      <w:pPr>
        <w:pStyle w:val="Odstavecseseznamem"/>
        <w:numPr>
          <w:ilvl w:val="0"/>
          <w:numId w:val="44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V případě postupu podle článku 2 bodů 8 a 9 musí VK zformulovat konkrétní důvody svého postupu do zápisu z jednání VK. V případě postupu podle článku 2 bodu 9 navíc musí být zřejmé, jaké pochybnosti či nové skutečnosti mají být znovu ze strany hodnotitelů projektu znovu posouzeny a k čemu se tito mají detailně nově vyjádřit.</w:t>
      </w:r>
    </w:p>
    <w:p w14:paraId="1138A329" w14:textId="77777777" w:rsidR="003E5FB8" w:rsidRPr="006E5361" w:rsidRDefault="003E5FB8" w:rsidP="003E5FB8">
      <w:pPr>
        <w:pStyle w:val="Odstavecseseznamem"/>
        <w:numPr>
          <w:ilvl w:val="0"/>
          <w:numId w:val="44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VK nesmí pro své jednání o žádostech o podporu zvolit jiné pravomoci a hlediska pro posuzování žádostí o podporu než ty, které byly uvedeny v platné výzvě.</w:t>
      </w:r>
    </w:p>
    <w:p w14:paraId="44D825A0" w14:textId="77777777" w:rsidR="003E5FB8" w:rsidRPr="006E5361" w:rsidRDefault="003E5FB8" w:rsidP="003E5FB8">
      <w:pPr>
        <w:pStyle w:val="Odstavecseseznamem"/>
        <w:numPr>
          <w:ilvl w:val="0"/>
          <w:numId w:val="44"/>
        </w:numPr>
        <w:spacing w:after="12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VK v průběhu svého posuzování podkladů pro jednání používá zásadně relevantní platnou dokumentaci (Operační manuál, Pravidla pro žadatele a příjemce a další dokumentaci uvedenou v textu výzvy).</w:t>
      </w:r>
    </w:p>
    <w:p w14:paraId="33283AC6" w14:textId="77777777" w:rsidR="003E5FB8" w:rsidRPr="006E5361" w:rsidRDefault="003E5FB8" w:rsidP="003E5FB8">
      <w:pPr>
        <w:pStyle w:val="Odstavecseseznamem"/>
        <w:numPr>
          <w:ilvl w:val="0"/>
          <w:numId w:val="44"/>
        </w:numPr>
        <w:spacing w:after="12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VK není oprávněna požadovat zveřejnění jmen hodnotitelů z předchozí fáze procesu hodnocení. Identita konkrétních hodnotitelů zůstane pro zachování nezávislosti utajena.</w:t>
      </w:r>
    </w:p>
    <w:p w14:paraId="29639AFE" w14:textId="77777777" w:rsidR="003E5FB8" w:rsidRPr="006E5361" w:rsidRDefault="003E5FB8" w:rsidP="003E5FB8">
      <w:pPr>
        <w:pStyle w:val="Odstavecseseznamem"/>
        <w:widowControl w:val="0"/>
        <w:tabs>
          <w:tab w:val="left" w:pos="851"/>
        </w:tabs>
        <w:overflowPunct/>
        <w:autoSpaceDE/>
        <w:autoSpaceDN/>
        <w:spacing w:after="120" w:line="276" w:lineRule="auto"/>
        <w:ind w:left="714"/>
        <w:contextualSpacing w:val="0"/>
        <w:rPr>
          <w:rFonts w:asciiTheme="minorHAnsi" w:hAnsiTheme="minorHAnsi" w:cs="Calibri"/>
          <w:b/>
          <w:sz w:val="24"/>
          <w:szCs w:val="24"/>
        </w:rPr>
      </w:pPr>
    </w:p>
    <w:p w14:paraId="6D3DCCAD" w14:textId="48F2AE43" w:rsidR="003E5FB8" w:rsidRPr="006E5361" w:rsidRDefault="00716EB6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5</w:t>
      </w:r>
    </w:p>
    <w:p w14:paraId="76E1F0D8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Zápis z jednání VK</w:t>
      </w:r>
    </w:p>
    <w:p w14:paraId="54E1932A" w14:textId="77777777" w:rsidR="003E5FB8" w:rsidRPr="006E5361" w:rsidRDefault="003E5FB8" w:rsidP="003E5FB8">
      <w:pPr>
        <w:pStyle w:val="Odstavecseseznamem"/>
        <w:widowControl w:val="0"/>
        <w:numPr>
          <w:ilvl w:val="0"/>
          <w:numId w:val="37"/>
        </w:numPr>
        <w:overflowPunct/>
        <w:autoSpaceDE/>
        <w:autoSpaceDN/>
        <w:spacing w:after="120" w:line="276" w:lineRule="auto"/>
        <w:ind w:left="714" w:hanging="35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Písemný zápis z jednání VK, který připravuje Sekretariát VK, musí obsahovat minimálně následující informace: datum a čas začátku jednání, jmenný seznam všech účastníků jednání VK, přehled projektů schválených a neschválených k financování, popř. zařazených do zásobníku projektů, včetně popisu zdůvodnění ke každému projektu, uvedení výhrad k jednotlivým projektům vč. zdůvodnění, informace o hlasování jednotlivých členů.</w:t>
      </w:r>
    </w:p>
    <w:p w14:paraId="6CD7A678" w14:textId="77777777" w:rsidR="003E5FB8" w:rsidRPr="006E5361" w:rsidRDefault="003E5FB8" w:rsidP="003E5FB8">
      <w:pPr>
        <w:pStyle w:val="Odstavecseseznamem"/>
        <w:widowControl w:val="0"/>
        <w:numPr>
          <w:ilvl w:val="0"/>
          <w:numId w:val="37"/>
        </w:numPr>
        <w:overflowPunct/>
        <w:autoSpaceDE/>
        <w:autoSpaceDN/>
        <w:spacing w:after="120" w:line="276" w:lineRule="auto"/>
        <w:ind w:left="714" w:hanging="35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Zápis z jednání, po jeho podpisu všemi členy VK, Sekretariát VK předá neprodleně osobě odpovědné na Řídicím orgánu OP PIK, která zajistí jeho zveřejnění na internetových stránkách operačního programu, a to nejpozději do 15 pracovních dnů od data ukončení jednání VK.</w:t>
      </w:r>
    </w:p>
    <w:p w14:paraId="281A3F3C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</w:p>
    <w:p w14:paraId="11F89B2B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Část III</w:t>
      </w:r>
    </w:p>
    <w:p w14:paraId="09658735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ZÁVĚREČNÁ USTANOVENÍ</w:t>
      </w:r>
    </w:p>
    <w:p w14:paraId="1700B3C7" w14:textId="1D14932D" w:rsidR="003E5FB8" w:rsidRPr="006E5361" w:rsidRDefault="00716EB6" w:rsidP="003E5FB8">
      <w:pPr>
        <w:spacing w:before="240"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6</w:t>
      </w:r>
    </w:p>
    <w:p w14:paraId="10FDA3A0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Změny Jednacího řádu VK</w:t>
      </w:r>
    </w:p>
    <w:p w14:paraId="6D7AEBCB" w14:textId="77777777" w:rsidR="003E5FB8" w:rsidRPr="006E5361" w:rsidRDefault="003E5FB8" w:rsidP="003E5FB8">
      <w:pPr>
        <w:numPr>
          <w:ilvl w:val="0"/>
          <w:numId w:val="39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Potřebné změny Jednacího řádu VK projedná Řídicí orgán OP PIK a tyto pak schvaluje NM Sekce 61000.</w:t>
      </w:r>
    </w:p>
    <w:p w14:paraId="1FB4AD34" w14:textId="77777777" w:rsidR="003E5FB8" w:rsidRPr="006E5361" w:rsidRDefault="003E5FB8" w:rsidP="003E5FB8">
      <w:pPr>
        <w:spacing w:after="120" w:line="276" w:lineRule="auto"/>
        <w:ind w:left="714" w:hanging="357"/>
        <w:rPr>
          <w:rFonts w:asciiTheme="minorHAnsi" w:hAnsiTheme="minorHAnsi" w:cs="Calibri"/>
          <w:sz w:val="24"/>
          <w:szCs w:val="24"/>
        </w:rPr>
      </w:pPr>
    </w:p>
    <w:p w14:paraId="71657170" w14:textId="08D30FC2" w:rsidR="003E5FB8" w:rsidRPr="006E5361" w:rsidRDefault="00716EB6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6E5361">
        <w:rPr>
          <w:rFonts w:asciiTheme="minorHAnsi" w:hAnsiTheme="minorHAnsi" w:cs="Calibri"/>
          <w:b/>
          <w:bCs/>
          <w:sz w:val="24"/>
          <w:szCs w:val="24"/>
        </w:rPr>
        <w:t>Článek 7</w:t>
      </w:r>
    </w:p>
    <w:p w14:paraId="5BBDD5D0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6E5361">
        <w:rPr>
          <w:rFonts w:asciiTheme="minorHAnsi" w:hAnsiTheme="minorHAnsi" w:cs="Calibri"/>
          <w:b/>
          <w:bCs/>
          <w:sz w:val="24"/>
          <w:szCs w:val="24"/>
        </w:rPr>
        <w:t>Platnost a účinnost Jednacího řádu VK</w:t>
      </w:r>
    </w:p>
    <w:p w14:paraId="1CC07DC8" w14:textId="77777777" w:rsidR="003E5FB8" w:rsidRPr="006E5361" w:rsidRDefault="003E5FB8" w:rsidP="003E5FB8">
      <w:pPr>
        <w:pStyle w:val="Odstavecseseznamem"/>
        <w:numPr>
          <w:ilvl w:val="0"/>
          <w:numId w:val="40"/>
        </w:numPr>
        <w:overflowPunct/>
        <w:autoSpaceDE/>
        <w:autoSpaceDN/>
        <w:adjustRightInd/>
        <w:spacing w:after="120" w:line="276" w:lineRule="auto"/>
        <w:ind w:left="714" w:hanging="357"/>
        <w:contextualSpacing w:val="0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Tento Jednací řád byl schválen dne 1. 10. 2015. Tímto dnem nabývá své platnosti a účinnosti.</w:t>
      </w:r>
    </w:p>
    <w:p w14:paraId="1FA626BE" w14:textId="77777777" w:rsidR="003E5FB8" w:rsidRPr="006E5361" w:rsidRDefault="003E5FB8" w:rsidP="003E5FB8">
      <w:pPr>
        <w:pStyle w:val="Odstavecseseznamem"/>
        <w:numPr>
          <w:ilvl w:val="0"/>
          <w:numId w:val="40"/>
        </w:numPr>
        <w:overflowPunct/>
        <w:autoSpaceDE/>
        <w:autoSpaceDN/>
        <w:adjustRightInd/>
        <w:spacing w:after="120" w:line="276" w:lineRule="auto"/>
        <w:ind w:left="714" w:hanging="357"/>
        <w:contextualSpacing w:val="0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Vše, co není explicitně uvedeno v tomto Jednacím řádu VK, se řídí Obecným nařízením EP a Rady (EU) č. 1303/2013 a navazujícími legislativními normami.</w:t>
      </w:r>
    </w:p>
    <w:p w14:paraId="44290CA2" w14:textId="77777777" w:rsidR="003E5FB8" w:rsidRPr="006E5361" w:rsidRDefault="003E5FB8" w:rsidP="003E5FB8">
      <w:pPr>
        <w:jc w:val="both"/>
        <w:rPr>
          <w:rFonts w:asciiTheme="minorHAnsi" w:hAnsiTheme="minorHAnsi" w:cs="Calibri"/>
          <w:b/>
          <w:bCs/>
          <w:color w:val="365F91"/>
          <w:sz w:val="24"/>
          <w:szCs w:val="24"/>
        </w:rPr>
      </w:pPr>
    </w:p>
    <w:p w14:paraId="75D672DF" w14:textId="77777777"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14:paraId="3F01D4EA" w14:textId="77777777"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14:paraId="4451F13F" w14:textId="77777777"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14:paraId="16A0C85E" w14:textId="77777777"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14:paraId="313386C1" w14:textId="77777777"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14:paraId="20C57454" w14:textId="77777777"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14:paraId="53B70802" w14:textId="77777777"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14:paraId="2FBB044D" w14:textId="77777777"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14:paraId="34A0D411" w14:textId="77777777"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14:paraId="18F45EB4" w14:textId="77777777"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14:paraId="71E1E0A7" w14:textId="77777777"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14:paraId="01744887" w14:textId="77777777"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14:paraId="650F1F35" w14:textId="77777777"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14:paraId="102D2EFE" w14:textId="77777777"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14:paraId="30707315" w14:textId="77777777"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14:paraId="64FBB7EE" w14:textId="77777777"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14:paraId="27CC145B" w14:textId="77777777"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14:paraId="5B35BA4D" w14:textId="77777777"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14:paraId="520C88AA" w14:textId="77777777"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14:paraId="721BF1D9" w14:textId="77777777" w:rsidR="003E5FB8" w:rsidRPr="006E5361" w:rsidRDefault="003E5FB8" w:rsidP="003E5FB8">
      <w:pPr>
        <w:pStyle w:val="Zkladntext"/>
        <w:rPr>
          <w:rFonts w:cs="Calibri"/>
          <w:sz w:val="24"/>
          <w:szCs w:val="24"/>
          <w:u w:val="single"/>
        </w:rPr>
      </w:pPr>
      <w:r w:rsidRPr="006E5361">
        <w:rPr>
          <w:rFonts w:cs="Calibri"/>
          <w:b/>
          <w:sz w:val="24"/>
          <w:szCs w:val="24"/>
          <w:u w:val="single"/>
        </w:rPr>
        <w:t>PŘÍLOHA K STATUTU VÝBĚROVÉ KOMISE ŘÍDICÍHO ORGÁNU OP PIK PRO HODNOCENÍ PROJEKTŮ</w:t>
      </w:r>
    </w:p>
    <w:p w14:paraId="3519FC02" w14:textId="77777777" w:rsidR="003E5FB8" w:rsidRPr="006E5361" w:rsidRDefault="003E5FB8" w:rsidP="003E5FB8">
      <w:pPr>
        <w:spacing w:after="120" w:line="276" w:lineRule="auto"/>
        <w:ind w:left="714" w:hanging="357"/>
        <w:contextualSpacing/>
        <w:rPr>
          <w:rFonts w:asciiTheme="minorHAnsi" w:hAnsiTheme="minorHAnsi" w:cs="Calibri"/>
          <w:b/>
          <w:caps/>
          <w:sz w:val="24"/>
          <w:szCs w:val="24"/>
        </w:rPr>
      </w:pPr>
    </w:p>
    <w:p w14:paraId="40E59B0A" w14:textId="77777777" w:rsidR="003E5FB8" w:rsidRPr="006E5361" w:rsidRDefault="003E5FB8" w:rsidP="003E5FB8">
      <w:pPr>
        <w:spacing w:after="120" w:line="276" w:lineRule="auto"/>
        <w:ind w:left="714" w:hanging="357"/>
        <w:contextualSpacing/>
        <w:jc w:val="center"/>
        <w:rPr>
          <w:rFonts w:asciiTheme="minorHAnsi" w:hAnsiTheme="minorHAnsi" w:cs="Calibri"/>
          <w:b/>
          <w:caps/>
          <w:sz w:val="24"/>
          <w:szCs w:val="24"/>
        </w:rPr>
      </w:pPr>
      <w:r w:rsidRPr="006E5361">
        <w:rPr>
          <w:rFonts w:asciiTheme="minorHAnsi" w:hAnsiTheme="minorHAnsi" w:cs="Calibri"/>
          <w:b/>
          <w:caps/>
          <w:sz w:val="24"/>
          <w:szCs w:val="24"/>
        </w:rPr>
        <w:t>Etický kodex</w:t>
      </w:r>
    </w:p>
    <w:p w14:paraId="43799EF5" w14:textId="77777777" w:rsidR="003E5FB8" w:rsidRPr="006E5361" w:rsidRDefault="003E5FB8" w:rsidP="003E5FB8">
      <w:pPr>
        <w:spacing w:after="120" w:line="276" w:lineRule="auto"/>
        <w:ind w:left="714" w:hanging="357"/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účastníků jednání výběrové komise</w:t>
      </w:r>
    </w:p>
    <w:p w14:paraId="2BD3EC0E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pro Operační program Podnikání a inovace pro konkurenceschopnost</w:t>
      </w:r>
    </w:p>
    <w:p w14:paraId="7C13A0C3" w14:textId="77777777" w:rsidR="003E5FB8" w:rsidRPr="006E5361" w:rsidRDefault="003E5FB8" w:rsidP="003E5FB8">
      <w:pPr>
        <w:spacing w:before="240"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1</w:t>
      </w:r>
    </w:p>
    <w:p w14:paraId="180B4437" w14:textId="77777777" w:rsidR="003E5FB8" w:rsidRPr="006E5361" w:rsidRDefault="003E5FB8" w:rsidP="003E5FB8">
      <w:pPr>
        <w:spacing w:after="24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Úvodní ustanovení</w:t>
      </w:r>
    </w:p>
    <w:p w14:paraId="0344B0B3" w14:textId="77777777" w:rsidR="003E5FB8" w:rsidRPr="006E5361" w:rsidRDefault="003E5FB8" w:rsidP="003E5FB8">
      <w:pPr>
        <w:numPr>
          <w:ilvl w:val="0"/>
          <w:numId w:val="25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Etický kodex účastníků jednání výběrové komise pro Operační program Podnikání a inovace pro konkurenceschopnost (dále jen „Etický kodex“) je závazný pro všechny členy výběrové komise jakož i přizvané osoby a zástupce Sekretariátu výběrové komise (dále jen „účastníci jednání VK“). </w:t>
      </w:r>
    </w:p>
    <w:p w14:paraId="7D3B77C6" w14:textId="77777777" w:rsidR="003E5FB8" w:rsidRPr="006E5361" w:rsidRDefault="003E5FB8" w:rsidP="003E5FB8">
      <w:pPr>
        <w:numPr>
          <w:ilvl w:val="0"/>
          <w:numId w:val="25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Etický kodex se vydává za účelem vytvoření podmínek pro úspěšné a účelné fungování výběrové komise (dále jen „VK“). </w:t>
      </w:r>
    </w:p>
    <w:p w14:paraId="6D6EE256" w14:textId="77777777" w:rsidR="003E5FB8" w:rsidRPr="006E5361" w:rsidRDefault="003E5FB8" w:rsidP="003E5FB8">
      <w:pPr>
        <w:numPr>
          <w:ilvl w:val="0"/>
          <w:numId w:val="25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Etický kodex je v souladu s Nařízením Komise v přenesené pravomoci (EU) č. 240/2014 o evropském kodexu chování pro partnerskou spolupráci v rámci evropských strukturálních a investičních fondů (dále jen „Nařízení Komise“)</w:t>
      </w:r>
      <w:r w:rsidRPr="006E5361">
        <w:rPr>
          <w:rFonts w:asciiTheme="minorHAnsi" w:hAnsiTheme="minorHAnsi" w:cs="Calibri"/>
          <w:i/>
          <w:sz w:val="24"/>
          <w:szCs w:val="24"/>
        </w:rPr>
        <w:t>.</w:t>
      </w:r>
      <w:r w:rsidRPr="006E5361">
        <w:rPr>
          <w:rFonts w:asciiTheme="minorHAnsi" w:hAnsiTheme="minorHAnsi" w:cs="Calibri"/>
          <w:sz w:val="24"/>
          <w:szCs w:val="24"/>
        </w:rPr>
        <w:t xml:space="preserve"> </w:t>
      </w:r>
    </w:p>
    <w:p w14:paraId="51EDF44D" w14:textId="77777777" w:rsidR="003E5FB8" w:rsidRPr="006E5361" w:rsidRDefault="003E5FB8" w:rsidP="003E5FB8">
      <w:pPr>
        <w:overflowPunct/>
        <w:autoSpaceDE/>
        <w:autoSpaceDN/>
        <w:adjustRightInd/>
        <w:spacing w:after="120" w:line="276" w:lineRule="auto"/>
        <w:ind w:left="714"/>
        <w:contextualSpacing/>
        <w:jc w:val="both"/>
        <w:textAlignment w:val="auto"/>
        <w:rPr>
          <w:rFonts w:asciiTheme="minorHAnsi" w:hAnsiTheme="minorHAnsi" w:cs="Calibri"/>
          <w:sz w:val="24"/>
          <w:szCs w:val="24"/>
        </w:rPr>
      </w:pPr>
    </w:p>
    <w:p w14:paraId="30C21FF1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2</w:t>
      </w:r>
    </w:p>
    <w:p w14:paraId="22501E98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Obecné zásady</w:t>
      </w:r>
    </w:p>
    <w:p w14:paraId="76B26FFA" w14:textId="77777777" w:rsidR="003E5FB8" w:rsidRPr="006E5361" w:rsidRDefault="003E5FB8" w:rsidP="003E5FB8">
      <w:pPr>
        <w:numPr>
          <w:ilvl w:val="0"/>
          <w:numId w:val="26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Účastníci jednání VK jsou povinni dodržovat právní řád České republiky (dále jen „ČR“) a respektovat ústavní pořádek ČR.</w:t>
      </w:r>
    </w:p>
    <w:p w14:paraId="367EC3F4" w14:textId="77777777" w:rsidR="003E5FB8" w:rsidRPr="006E5361" w:rsidRDefault="003E5FB8" w:rsidP="003E5FB8">
      <w:pPr>
        <w:numPr>
          <w:ilvl w:val="0"/>
          <w:numId w:val="26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Účastníci jednání VK jsou povinni dodržovat zásady uvedené v Nařízení Komise.</w:t>
      </w:r>
    </w:p>
    <w:p w14:paraId="3830447A" w14:textId="77777777" w:rsidR="003E5FB8" w:rsidRPr="006E5361" w:rsidRDefault="003E5FB8" w:rsidP="003E5FB8">
      <w:pPr>
        <w:numPr>
          <w:ilvl w:val="0"/>
          <w:numId w:val="26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Účastníci jednání VK vykonávají svou práci na vysoké odborné úrovni. Za tímto účelem si průběžně prohlubují dosaženou kvalifikaci.</w:t>
      </w:r>
    </w:p>
    <w:p w14:paraId="2EBFD82F" w14:textId="77777777" w:rsidR="003E5FB8" w:rsidRPr="006E5361" w:rsidRDefault="003E5FB8" w:rsidP="003E5FB8">
      <w:pPr>
        <w:numPr>
          <w:ilvl w:val="0"/>
          <w:numId w:val="26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Účastník jednání VK jedná s nejvyšší mírou slušnosti, ochoty a nestrannosti jak vůči veřejnosti, tak vůči ostatním členům VK. Současně dodržuje zásadu rovného zacházení a zákaz jakékoliv diskriminace.</w:t>
      </w:r>
    </w:p>
    <w:p w14:paraId="10D55114" w14:textId="77777777" w:rsidR="003E5FB8" w:rsidRPr="006E5361" w:rsidRDefault="003E5FB8" w:rsidP="003E5FB8">
      <w:pPr>
        <w:overflowPunct/>
        <w:autoSpaceDE/>
        <w:autoSpaceDN/>
        <w:adjustRightInd/>
        <w:spacing w:after="120" w:line="276" w:lineRule="auto"/>
        <w:ind w:left="714"/>
        <w:contextualSpacing/>
        <w:jc w:val="both"/>
        <w:textAlignment w:val="auto"/>
        <w:rPr>
          <w:rFonts w:asciiTheme="minorHAnsi" w:hAnsiTheme="minorHAnsi" w:cs="Calibri"/>
          <w:b/>
          <w:sz w:val="24"/>
          <w:szCs w:val="24"/>
        </w:rPr>
      </w:pPr>
    </w:p>
    <w:p w14:paraId="6294231D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3</w:t>
      </w:r>
    </w:p>
    <w:p w14:paraId="6813E7E0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Střet zájmů</w:t>
      </w:r>
    </w:p>
    <w:p w14:paraId="5EB35C22" w14:textId="77777777" w:rsidR="003E5FB8" w:rsidRPr="006E5361" w:rsidRDefault="003E5FB8" w:rsidP="003E5FB8">
      <w:pPr>
        <w:numPr>
          <w:ilvl w:val="0"/>
          <w:numId w:val="27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Účastník jednání VK nepřipustí, aby došlo ke střetu jeho osobního zájmu s jeho postavením jako člena VK. Za osobní zájem je považován jakákoliv zájem, který přináší tomuto členovi osobní výhodu spočívající v získání majetkového nebo jiného prospěchu, výhody, pro sebe nebo jinou osobu. V případě střetu zájmů se také může jednat o poškozování ostatních ve svůj osobní prospěch.</w:t>
      </w:r>
    </w:p>
    <w:p w14:paraId="21E26370" w14:textId="77777777" w:rsidR="003E5FB8" w:rsidRPr="006E5361" w:rsidRDefault="003E5FB8" w:rsidP="003E5FB8">
      <w:pPr>
        <w:numPr>
          <w:ilvl w:val="0"/>
          <w:numId w:val="27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Účastník jednání VK se nezapojuje do žádné činnosti, která je v rozporu s řádným výkonem jeho povinností ve vztahu k VK nebo tento výkon omezuje. V případě pochybností je povinen projednat případný střet zájmů s předsedajícím VK.</w:t>
      </w:r>
    </w:p>
    <w:p w14:paraId="050D866C" w14:textId="77777777" w:rsidR="003E5FB8" w:rsidRPr="006E5361" w:rsidRDefault="003E5FB8" w:rsidP="003E5FB8">
      <w:pPr>
        <w:overflowPunct/>
        <w:autoSpaceDE/>
        <w:autoSpaceDN/>
        <w:adjustRightInd/>
        <w:spacing w:after="120" w:line="276" w:lineRule="auto"/>
        <w:ind w:left="714"/>
        <w:jc w:val="both"/>
        <w:textAlignment w:val="auto"/>
        <w:rPr>
          <w:rFonts w:asciiTheme="minorHAnsi" w:hAnsiTheme="minorHAnsi" w:cs="Calibri"/>
          <w:sz w:val="24"/>
          <w:szCs w:val="24"/>
        </w:rPr>
      </w:pPr>
    </w:p>
    <w:p w14:paraId="72EAA2B1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4</w:t>
      </w:r>
    </w:p>
    <w:p w14:paraId="2E7048C1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Dary a jiné nabídky</w:t>
      </w:r>
    </w:p>
    <w:p w14:paraId="24A3CFAF" w14:textId="77777777" w:rsidR="003E5FB8" w:rsidRPr="006E5361" w:rsidRDefault="003E5FB8" w:rsidP="003E5FB8">
      <w:pPr>
        <w:numPr>
          <w:ilvl w:val="0"/>
          <w:numId w:val="28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Účastník jednání VK nevyžaduje ani nepřijímá dary, úsluhy, laskavosti, ani žádná jiná neoprávněná zvýhodnění, která by mohla - byť jen zdánlivě - ovlivnit posuzování či rozhodovací procesy či profesionální a nestranný pohled na věc.</w:t>
      </w:r>
    </w:p>
    <w:p w14:paraId="3B632F90" w14:textId="77777777" w:rsidR="003E5FB8" w:rsidRPr="006E5361" w:rsidRDefault="003E5FB8" w:rsidP="003E5FB8">
      <w:pPr>
        <w:numPr>
          <w:ilvl w:val="0"/>
          <w:numId w:val="28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V souvislosti s výkonem svého členství ve VK účastník jednání VK nedovolí, aby se dostal do postavení, v němž by na něj činily nepatřičný vliv jiné osoby.</w:t>
      </w:r>
    </w:p>
    <w:p w14:paraId="6724699F" w14:textId="77777777" w:rsidR="003E5FB8" w:rsidRPr="006E5361" w:rsidRDefault="003E5FB8" w:rsidP="003E5FB8">
      <w:pPr>
        <w:numPr>
          <w:ilvl w:val="0"/>
          <w:numId w:val="28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Jakoukoliv neoprávněnou výhodu, která je účastníkovi jednání VK v souvislosti s účastí ve VK nabídnuta, člen odmítne a o této skutečnosti bez prodlení informuje předsedajícího VK.</w:t>
      </w:r>
    </w:p>
    <w:p w14:paraId="7AF4EF72" w14:textId="77777777" w:rsidR="003E5FB8" w:rsidRPr="006E5361" w:rsidRDefault="003E5FB8" w:rsidP="003E5FB8">
      <w:pPr>
        <w:numPr>
          <w:ilvl w:val="0"/>
          <w:numId w:val="28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Účastník jednání VK bez prodlení informuje předsedajícího VK rovněž v případě, že je požádán nebo je na něj vyvíjen nátlak, aby jednal v rozporu s právními předpisy ČR a EU.</w:t>
      </w:r>
    </w:p>
    <w:p w14:paraId="2192DDD4" w14:textId="77777777" w:rsidR="003E5FB8" w:rsidRPr="006E5361" w:rsidRDefault="003E5FB8" w:rsidP="003E5FB8">
      <w:pPr>
        <w:numPr>
          <w:ilvl w:val="0"/>
          <w:numId w:val="28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Účastník jednání VK usiluje o maximálně efektivní a ekonomické využívání finančních prostředků, zařízení a služeb, které mu byly při výkonu členství svěřeny. Jakékoliv poškození, zničení nebo ztrátu majetku pořízeného Řídicím orgánem OP PIK pro výkon funkce člena VK a jakékoliv podezření na korupční jednání člen VK bezprostředně oznámí předsedajícímu VK.</w:t>
      </w:r>
    </w:p>
    <w:p w14:paraId="1A54D9C5" w14:textId="77777777" w:rsidR="003E5FB8" w:rsidRPr="006E5361" w:rsidRDefault="003E5FB8" w:rsidP="003E5FB8">
      <w:pPr>
        <w:numPr>
          <w:ilvl w:val="0"/>
          <w:numId w:val="28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Účastník jednání VK se v soukromém životě vyhýbá jakémukoliv jednání, které by mohlo snížit prestiž či poškodit dobré jméno VK.</w:t>
      </w:r>
    </w:p>
    <w:p w14:paraId="4433268B" w14:textId="77777777" w:rsidR="003E5FB8" w:rsidRPr="006E5361" w:rsidRDefault="003E5FB8" w:rsidP="003E5FB8">
      <w:pPr>
        <w:overflowPunct/>
        <w:autoSpaceDE/>
        <w:autoSpaceDN/>
        <w:adjustRightInd/>
        <w:spacing w:after="120" w:line="276" w:lineRule="auto"/>
        <w:ind w:left="714"/>
        <w:jc w:val="both"/>
        <w:textAlignment w:val="auto"/>
        <w:rPr>
          <w:rFonts w:asciiTheme="minorHAnsi" w:hAnsiTheme="minorHAnsi" w:cs="Calibri"/>
          <w:sz w:val="24"/>
          <w:szCs w:val="24"/>
        </w:rPr>
      </w:pPr>
    </w:p>
    <w:p w14:paraId="795A8360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5</w:t>
      </w:r>
    </w:p>
    <w:p w14:paraId="206EF4C2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Zachování mlčenlivosti</w:t>
      </w:r>
    </w:p>
    <w:p w14:paraId="5BB08C1E" w14:textId="77777777" w:rsidR="003E5FB8" w:rsidRPr="006E5361" w:rsidRDefault="003E5FB8" w:rsidP="003E5FB8">
      <w:pPr>
        <w:numPr>
          <w:ilvl w:val="0"/>
          <w:numId w:val="29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Účastník jednání VK zachovává mlčenlivost o všech informacích, o kterých se v souvislosti s účastí na jednání VK dozví, vyjma údajů, které je v souladu s právními předpisy o svobodném přístupu k informacím povinen veřejnosti poskytnout. Výčet údajů či dokumentů, kterých se mlčenlivost týká, sdělí členům VK předsedající VK.</w:t>
      </w:r>
    </w:p>
    <w:p w14:paraId="1EFC4C58" w14:textId="77777777" w:rsidR="003E5FB8" w:rsidRPr="006E5361" w:rsidRDefault="003E5FB8" w:rsidP="003E5FB8">
      <w:pPr>
        <w:numPr>
          <w:ilvl w:val="0"/>
          <w:numId w:val="29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b/>
          <w:sz w:val="24"/>
          <w:szCs w:val="24"/>
          <w:u w:val="single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Informace získané při účasti na jednání VK nevyužívá pro svůj osobní zájem. </w:t>
      </w:r>
    </w:p>
    <w:p w14:paraId="50097F98" w14:textId="77777777" w:rsidR="003E5FB8" w:rsidRPr="006E5361" w:rsidRDefault="003E5FB8" w:rsidP="003E5FB8">
      <w:pPr>
        <w:overflowPunct/>
        <w:autoSpaceDE/>
        <w:autoSpaceDN/>
        <w:adjustRightInd/>
        <w:spacing w:after="120" w:line="276" w:lineRule="auto"/>
        <w:ind w:left="714"/>
        <w:jc w:val="both"/>
        <w:textAlignment w:val="auto"/>
        <w:rPr>
          <w:rFonts w:asciiTheme="minorHAnsi" w:hAnsiTheme="minorHAnsi" w:cs="Calibri"/>
          <w:b/>
          <w:sz w:val="24"/>
          <w:szCs w:val="24"/>
          <w:u w:val="single"/>
        </w:rPr>
      </w:pPr>
    </w:p>
    <w:p w14:paraId="1770C9D4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6</w:t>
      </w:r>
    </w:p>
    <w:p w14:paraId="5CFB9B29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Jednání s veřejností</w:t>
      </w:r>
    </w:p>
    <w:p w14:paraId="3B7C693C" w14:textId="77777777" w:rsidR="003E5FB8" w:rsidRPr="006E5361" w:rsidRDefault="003E5FB8" w:rsidP="003E5FB8">
      <w:pPr>
        <w:numPr>
          <w:ilvl w:val="0"/>
          <w:numId w:val="30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Účastník jednání VK svým chováním a vystupováním přispívá k zajištění vážnosti a respektu VK a přispívá k pozitivnímu vnímání VK veřejností.  </w:t>
      </w:r>
    </w:p>
    <w:p w14:paraId="2EDDE782" w14:textId="77777777" w:rsidR="003E5FB8" w:rsidRPr="006E5361" w:rsidRDefault="003E5FB8" w:rsidP="003E5FB8">
      <w:pPr>
        <w:numPr>
          <w:ilvl w:val="0"/>
          <w:numId w:val="30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Ve vztahu k veřejnosti vystupuje účastník jednání VK vždy slušně a zdvořile, ať jde o telefonické nebo osobní jednání či komunikaci elektronickou poštou.</w:t>
      </w:r>
    </w:p>
    <w:p w14:paraId="12072F5C" w14:textId="77777777" w:rsidR="003E5FB8" w:rsidRPr="006E5361" w:rsidRDefault="003E5FB8" w:rsidP="003E5FB8">
      <w:pPr>
        <w:numPr>
          <w:ilvl w:val="0"/>
          <w:numId w:val="30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Pokud účastník jednání VK příslušnou věc nemůže vyřídit nebo požadované informace poskytnout, odkáže žadatele na jiného účastníka jednání VK, v jehož kompetenci se daná problematika nachází, eventuálně mu sdělí název instituce, která je ve věci příslušná.</w:t>
      </w:r>
    </w:p>
    <w:p w14:paraId="38B09AB0" w14:textId="77777777" w:rsidR="003E5FB8" w:rsidRPr="006E5361" w:rsidRDefault="003E5FB8" w:rsidP="003E5FB8">
      <w:pPr>
        <w:overflowPunct/>
        <w:autoSpaceDE/>
        <w:autoSpaceDN/>
        <w:adjustRightInd/>
        <w:spacing w:after="120" w:line="276" w:lineRule="auto"/>
        <w:ind w:left="714"/>
        <w:jc w:val="both"/>
        <w:textAlignment w:val="auto"/>
        <w:rPr>
          <w:rFonts w:asciiTheme="minorHAnsi" w:hAnsiTheme="minorHAnsi" w:cs="Calibri"/>
          <w:sz w:val="24"/>
          <w:szCs w:val="24"/>
        </w:rPr>
      </w:pPr>
    </w:p>
    <w:p w14:paraId="6A2B299A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7</w:t>
      </w:r>
    </w:p>
    <w:p w14:paraId="14E7E6B8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Závěrečná ustanovení</w:t>
      </w:r>
    </w:p>
    <w:p w14:paraId="1F8AD84B" w14:textId="77777777" w:rsidR="003E5FB8" w:rsidRPr="006E5361" w:rsidRDefault="003E5FB8" w:rsidP="003E5FB8">
      <w:pPr>
        <w:numPr>
          <w:ilvl w:val="0"/>
          <w:numId w:val="31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Předsedající VK je povinen s Etickým kodexem seznámit všechny účastníky jednání VK před prvním jejich zapojením do činnosti VK a zajistit jejich podpis stvrzující dobrovolné přijetí Etického kodexu z jejich strany.</w:t>
      </w:r>
    </w:p>
    <w:p w14:paraId="2C98789C" w14:textId="77777777" w:rsidR="003E5FB8" w:rsidRPr="006E5361" w:rsidRDefault="003E5FB8" w:rsidP="003E5FB8">
      <w:pPr>
        <w:numPr>
          <w:ilvl w:val="0"/>
          <w:numId w:val="31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Za aktualizaci Etického kodexu odpovídá Sekretariát MV.</w:t>
      </w:r>
    </w:p>
    <w:p w14:paraId="5E978644" w14:textId="77777777" w:rsidR="003E5FB8" w:rsidRPr="006E5361" w:rsidRDefault="003E5FB8" w:rsidP="003E5FB8">
      <w:pPr>
        <w:overflowPunct/>
        <w:autoSpaceDE/>
        <w:autoSpaceDN/>
        <w:adjustRightInd/>
        <w:spacing w:after="120" w:line="276" w:lineRule="auto"/>
        <w:ind w:left="357"/>
        <w:jc w:val="both"/>
        <w:textAlignment w:val="auto"/>
        <w:rPr>
          <w:rFonts w:asciiTheme="minorHAnsi" w:hAnsiTheme="minorHAnsi" w:cs="Calibri"/>
          <w:sz w:val="24"/>
          <w:szCs w:val="24"/>
        </w:rPr>
      </w:pPr>
    </w:p>
    <w:p w14:paraId="7A8CB667" w14:textId="77777777" w:rsidR="003E5FB8" w:rsidRPr="006E5361" w:rsidRDefault="003E5FB8" w:rsidP="003E5FB8">
      <w:pPr>
        <w:spacing w:after="120" w:line="276" w:lineRule="auto"/>
        <w:ind w:left="714" w:hanging="357"/>
        <w:contextualSpacing/>
        <w:jc w:val="right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………………………………………………………………………………</w:t>
      </w:r>
    </w:p>
    <w:p w14:paraId="033E7E91" w14:textId="77777777" w:rsidR="003E5FB8" w:rsidRPr="006E5361" w:rsidRDefault="003E5FB8" w:rsidP="003E5FB8">
      <w:pPr>
        <w:spacing w:after="120" w:line="276" w:lineRule="auto"/>
        <w:ind w:left="714" w:hanging="357"/>
        <w:contextualSpacing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        Člen/účastník jednání výběrové komise                        </w:t>
      </w:r>
    </w:p>
    <w:p w14:paraId="0F8A2F82" w14:textId="77777777" w:rsidR="003E5FB8" w:rsidRPr="006E5361" w:rsidRDefault="003E5FB8" w:rsidP="003E5FB8">
      <w:pPr>
        <w:spacing w:after="120" w:line="276" w:lineRule="auto"/>
        <w:ind w:left="714" w:hanging="357"/>
        <w:contextualSpacing/>
        <w:jc w:val="right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Operačního programu Podnikání a inovace pro konkurenceschopnost</w:t>
      </w:r>
    </w:p>
    <w:p w14:paraId="19D9C22A" w14:textId="77777777" w:rsidR="00A40A6F" w:rsidRPr="006E5361" w:rsidRDefault="00A40A6F" w:rsidP="007372E7">
      <w:pPr>
        <w:pStyle w:val="Zkladntext"/>
        <w:ind w:left="714" w:hanging="357"/>
        <w:jc w:val="both"/>
        <w:rPr>
          <w:rFonts w:cs="Calibri"/>
          <w:b/>
          <w:sz w:val="24"/>
          <w:szCs w:val="24"/>
          <w:u w:val="single"/>
        </w:rPr>
      </w:pPr>
    </w:p>
    <w:sectPr w:rsidR="00A40A6F" w:rsidRPr="006E53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B829D" w14:textId="77777777" w:rsidR="007907E6" w:rsidRDefault="007907E6" w:rsidP="0030149A">
      <w:r>
        <w:separator/>
      </w:r>
    </w:p>
  </w:endnote>
  <w:endnote w:type="continuationSeparator" w:id="0">
    <w:p w14:paraId="442E190A" w14:textId="77777777" w:rsidR="007907E6" w:rsidRDefault="007907E6" w:rsidP="0030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C66F5" w14:textId="77777777" w:rsidR="00DD6566" w:rsidRDefault="0030149A" w:rsidP="00DD6566">
    <w:pPr>
      <w:pStyle w:val="Zpat"/>
      <w:jc w:val="center"/>
      <w:rPr>
        <w:rStyle w:val="slostrnky"/>
        <w:rFonts w:ascii="Arial" w:hAnsi="Arial" w:cs="Arial"/>
        <w:sz w:val="22"/>
      </w:rPr>
    </w:pPr>
    <w:r>
      <w:rPr>
        <w:noProof/>
      </w:rPr>
      <w:t xml:space="preserve">                   </w:t>
    </w:r>
    <w:r w:rsidR="00DD6566" w:rsidRPr="00DD6566">
      <w:rPr>
        <w:rFonts w:ascii="Arial" w:hAnsi="Arial" w:cs="Arial"/>
        <w:b/>
        <w:bCs/>
        <w:color w:val="000099"/>
        <w:spacing w:val="70"/>
        <w:sz w:val="18"/>
      </w:rPr>
      <w:t xml:space="preserve"> </w:t>
    </w:r>
    <w:r w:rsidR="00DD6566"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14:paraId="1576A763" w14:textId="623DA5D3" w:rsidR="00DD6566" w:rsidRPr="006504AB" w:rsidRDefault="00DD6566" w:rsidP="00DD6566">
    <w:pPr>
      <w:pStyle w:val="Zpat"/>
      <w:jc w:val="center"/>
      <w:rPr>
        <w:rFonts w:ascii="Arial" w:hAnsi="Arial" w:cs="Arial"/>
        <w:sz w:val="22"/>
      </w:rPr>
    </w:pPr>
    <w:r w:rsidRPr="006504AB">
      <w:rPr>
        <w:rStyle w:val="slostrnky"/>
        <w:rFonts w:ascii="Arial" w:hAnsi="Arial" w:cs="Arial"/>
        <w:sz w:val="22"/>
      </w:rPr>
      <w:fldChar w:fldCharType="begin"/>
    </w:r>
    <w:r w:rsidRPr="006504AB">
      <w:rPr>
        <w:rStyle w:val="slostrnky"/>
        <w:rFonts w:ascii="Arial" w:hAnsi="Arial" w:cs="Arial"/>
        <w:sz w:val="22"/>
      </w:rPr>
      <w:instrText xml:space="preserve"> PAGE </w:instrText>
    </w:r>
    <w:r w:rsidRPr="006504AB">
      <w:rPr>
        <w:rStyle w:val="slostrnky"/>
        <w:rFonts w:ascii="Arial" w:hAnsi="Arial" w:cs="Arial"/>
        <w:sz w:val="22"/>
      </w:rPr>
      <w:fldChar w:fldCharType="separate"/>
    </w:r>
    <w:r w:rsidR="0083136F">
      <w:rPr>
        <w:rStyle w:val="slostrnky"/>
        <w:rFonts w:ascii="Arial" w:hAnsi="Arial" w:cs="Arial"/>
        <w:noProof/>
        <w:sz w:val="22"/>
      </w:rPr>
      <w:t>2</w:t>
    </w:r>
    <w:r w:rsidRPr="006504AB">
      <w:rPr>
        <w:rStyle w:val="slostrnky"/>
        <w:rFonts w:ascii="Arial" w:hAnsi="Arial" w:cs="Arial"/>
        <w:sz w:val="22"/>
      </w:rPr>
      <w:fldChar w:fldCharType="end"/>
    </w:r>
    <w:r w:rsidRPr="006504AB">
      <w:rPr>
        <w:rStyle w:val="slostrnky"/>
        <w:rFonts w:ascii="Arial" w:hAnsi="Arial" w:cs="Arial"/>
        <w:sz w:val="22"/>
      </w:rPr>
      <w:t>/</w:t>
    </w:r>
    <w:r w:rsidR="003E5FB8">
      <w:rPr>
        <w:rStyle w:val="slostrnky"/>
        <w:rFonts w:ascii="Arial" w:hAnsi="Arial" w:cs="Arial"/>
        <w:sz w:val="22"/>
      </w:rPr>
      <w:t>12</w:t>
    </w:r>
  </w:p>
  <w:p w14:paraId="0400477A" w14:textId="77777777" w:rsidR="0030149A" w:rsidRDefault="0030149A" w:rsidP="0030149A">
    <w:pPr>
      <w:pStyle w:val="Zpat"/>
      <w:rPr>
        <w:rFonts w:ascii="Arial" w:hAnsi="Arial" w:cs="Arial"/>
      </w:rPr>
    </w:pPr>
  </w:p>
  <w:p w14:paraId="19C2C3E0" w14:textId="77777777" w:rsidR="0030149A" w:rsidRDefault="003014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93106" w14:textId="77777777" w:rsidR="007907E6" w:rsidRDefault="007907E6" w:rsidP="0030149A">
      <w:r>
        <w:separator/>
      </w:r>
    </w:p>
  </w:footnote>
  <w:footnote w:type="continuationSeparator" w:id="0">
    <w:p w14:paraId="025ACA70" w14:textId="77777777" w:rsidR="007907E6" w:rsidRDefault="007907E6" w:rsidP="0030149A">
      <w:r>
        <w:continuationSeparator/>
      </w:r>
    </w:p>
  </w:footnote>
  <w:footnote w:id="1">
    <w:p w14:paraId="70260BF2" w14:textId="77777777" w:rsidR="003E5FB8" w:rsidRDefault="003E5FB8" w:rsidP="003E5FB8">
      <w:pPr>
        <w:pStyle w:val="Textpoznpodarou"/>
      </w:pPr>
      <w:r>
        <w:rPr>
          <w:rStyle w:val="Znakapoznpodarou"/>
        </w:rPr>
        <w:footnoteRef/>
      </w:r>
      <w:r w:rsidRPr="00CE5D71">
        <w:rPr>
          <w:rFonts w:ascii="Calibri" w:hAnsi="Calibri"/>
        </w:rPr>
        <w:t xml:space="preserve"> Neplněním povinností se pro tyto účely rozumí: nesplnění účelu dotace, nevrácení přeplatku dotace, opakované neschválení zpráv o realizaci projektu (či obdobných, ale jinak nazvaných dokumentů), opakované neschválení žádostí o platbu (či obdobných, ale jinak nazvaných dokumentů), pravomocné odsouzení za dotační podvod.</w:t>
      </w:r>
      <w:r>
        <w:rPr>
          <w:rFonts w:ascii="Calibri" w:hAnsi="Calibri"/>
        </w:rPr>
        <w:t xml:space="preserve"> Bude využito zkušeností Ř</w:t>
      </w:r>
      <w:r w:rsidRPr="00CE5D71">
        <w:rPr>
          <w:rFonts w:ascii="Calibri" w:hAnsi="Calibri"/>
        </w:rPr>
        <w:t>ídicího orgánu z řízení nesrovnalostí v rámci OPPI a OP PIK. VK bude mít pro zajištění rovného přístupu a pro účely rozhodnutí přístup k dokumentaci nesrovnalostí OPPI a OPPIK (tj. předchozí případy vyloučených projektů).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2126"/>
      <w:gridCol w:w="1701"/>
      <w:gridCol w:w="1560"/>
      <w:gridCol w:w="1417"/>
    </w:tblGrid>
    <w:tr w:rsidR="00BB4A24" w14:paraId="7600E43D" w14:textId="77777777" w:rsidTr="00FD650D">
      <w:trPr>
        <w:cantSplit/>
        <w:trHeight w:hRule="exact" w:val="265"/>
      </w:trPr>
      <w:tc>
        <w:tcPr>
          <w:tcW w:w="2480" w:type="dxa"/>
          <w:vMerge w:val="restart"/>
          <w:vAlign w:val="center"/>
        </w:tcPr>
        <w:p w14:paraId="3F2869CD" w14:textId="77777777" w:rsidR="00BB4A24" w:rsidRDefault="00BB4A24" w:rsidP="00FD650D">
          <w:pPr>
            <w:pStyle w:val="Zhlav"/>
            <w:ind w:right="74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6BCE45AD" wp14:editId="6353DFDA">
                <wp:extent cx="1676400" cy="485775"/>
                <wp:effectExtent l="0" t="0" r="0" b="952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gridSpan w:val="3"/>
          <w:tcBorders>
            <w:bottom w:val="single" w:sz="4" w:space="0" w:color="auto"/>
          </w:tcBorders>
          <w:vAlign w:val="center"/>
        </w:tcPr>
        <w:p w14:paraId="0C6FC554" w14:textId="77777777" w:rsidR="00BB4A24" w:rsidRDefault="00BB4A24" w:rsidP="00060BA9">
          <w:pPr>
            <w:pStyle w:val="Zhlav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Příloha </w:t>
          </w:r>
          <w:r w:rsidR="00060BA9">
            <w:rPr>
              <w:rFonts w:ascii="Arial" w:hAnsi="Arial" w:cs="Arial"/>
              <w:sz w:val="16"/>
            </w:rPr>
            <w:t xml:space="preserve"> Operačního manuálu </w:t>
          </w:r>
          <w:r>
            <w:rPr>
              <w:rFonts w:ascii="Arial" w:hAnsi="Arial" w:cs="Arial"/>
              <w:sz w:val="16"/>
            </w:rPr>
            <w:t xml:space="preserve"> OPPIK</w:t>
          </w:r>
        </w:p>
      </w:tc>
      <w:tc>
        <w:tcPr>
          <w:tcW w:w="1417" w:type="dxa"/>
          <w:vMerge w:val="restart"/>
          <w:vAlign w:val="center"/>
        </w:tcPr>
        <w:p w14:paraId="36F1D18D" w14:textId="77777777" w:rsidR="00BB4A24" w:rsidRDefault="00BB4A24" w:rsidP="00FD650D">
          <w:pPr>
            <w:pStyle w:val="Zhlav"/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inline distT="0" distB="0" distL="0" distR="0" wp14:anchorId="23BF9E84" wp14:editId="0930EC26">
                <wp:extent cx="809625" cy="438150"/>
                <wp:effectExtent l="0" t="0" r="952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B4A24" w14:paraId="268D2EF4" w14:textId="77777777" w:rsidTr="00FD650D">
      <w:trPr>
        <w:cantSplit/>
        <w:trHeight w:val="695"/>
      </w:trPr>
      <w:tc>
        <w:tcPr>
          <w:tcW w:w="2480" w:type="dxa"/>
          <w:vMerge/>
          <w:tcBorders>
            <w:bottom w:val="single" w:sz="4" w:space="0" w:color="auto"/>
          </w:tcBorders>
        </w:tcPr>
        <w:p w14:paraId="1B40E615" w14:textId="77777777" w:rsidR="00BB4A24" w:rsidRDefault="00BB4A24" w:rsidP="00FD650D">
          <w:pPr>
            <w:pStyle w:val="Zhlav"/>
            <w:rPr>
              <w:sz w:val="16"/>
            </w:rPr>
          </w:pPr>
        </w:p>
      </w:tc>
      <w:tc>
        <w:tcPr>
          <w:tcW w:w="212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3C77917" w14:textId="77777777" w:rsidR="00BB4A24" w:rsidRDefault="00DB199F" w:rsidP="00FD650D">
          <w:pPr>
            <w:pStyle w:val="Zhlav"/>
            <w:jc w:val="center"/>
            <w:rPr>
              <w:b/>
              <w:bCs/>
            </w:rPr>
          </w:pPr>
          <w:r>
            <w:t>D4_01_M_Jednací řád a statut V</w:t>
          </w:r>
          <w:r w:rsidR="00BB4A24">
            <w:t>K</w:t>
          </w: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67D2971" w14:textId="77777777" w:rsidR="00BB4A24" w:rsidRDefault="00BB4A24" w:rsidP="00FD650D">
          <w:pPr>
            <w:pStyle w:val="Zhlav"/>
            <w:jc w:val="center"/>
          </w:pPr>
          <w:r>
            <w:t>Číslo vydání/aktualizace:</w:t>
          </w:r>
        </w:p>
        <w:p w14:paraId="7AABB5D4" w14:textId="5446FB43" w:rsidR="00BB4A24" w:rsidRDefault="00BB4A24" w:rsidP="00FD650D">
          <w:pPr>
            <w:pStyle w:val="Zhlav"/>
            <w:jc w:val="center"/>
          </w:pPr>
          <w:r>
            <w:fldChar w:fldCharType="begin"/>
          </w:r>
          <w:r>
            <w:instrText xml:space="preserve"> MACROBUTTON </w:instrText>
          </w:r>
          <w:r>
            <w:fldChar w:fldCharType="end"/>
          </w:r>
          <w:r w:rsidR="00A94D36">
            <w:t>2</w:t>
          </w:r>
          <w:r>
            <w:t>/</w:t>
          </w:r>
          <w:r w:rsidR="00E70BC6">
            <w:t>1</w:t>
          </w:r>
        </w:p>
      </w:tc>
      <w:tc>
        <w:tcPr>
          <w:tcW w:w="156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86B87CB" w14:textId="77777777" w:rsidR="00BB4A24" w:rsidRDefault="00BB4A24" w:rsidP="00FD650D">
          <w:pPr>
            <w:pStyle w:val="Zhlav"/>
            <w:jc w:val="center"/>
          </w:pPr>
          <w:r>
            <w:t xml:space="preserve">Platnost od: </w:t>
          </w:r>
        </w:p>
        <w:p w14:paraId="4045414D" w14:textId="4222132E" w:rsidR="00BB4A24" w:rsidRDefault="00E70BC6" w:rsidP="007C2036">
          <w:pPr>
            <w:pStyle w:val="Zhlav"/>
          </w:pPr>
          <w:r>
            <w:t xml:space="preserve"> 11. 5.</w:t>
          </w:r>
          <w:r w:rsidR="00A94D36">
            <w:t xml:space="preserve"> 2016</w:t>
          </w:r>
        </w:p>
      </w:tc>
      <w:tc>
        <w:tcPr>
          <w:tcW w:w="1417" w:type="dxa"/>
          <w:vMerge/>
          <w:tcBorders>
            <w:bottom w:val="single" w:sz="4" w:space="0" w:color="auto"/>
          </w:tcBorders>
          <w:vAlign w:val="center"/>
        </w:tcPr>
        <w:p w14:paraId="3BE6F68C" w14:textId="77777777" w:rsidR="00BB4A24" w:rsidRDefault="00BB4A24" w:rsidP="00FD650D">
          <w:pPr>
            <w:pStyle w:val="Zhlav"/>
            <w:jc w:val="center"/>
          </w:pPr>
        </w:p>
      </w:tc>
    </w:tr>
  </w:tbl>
  <w:p w14:paraId="114F152B" w14:textId="77777777" w:rsidR="0030149A" w:rsidRDefault="0030149A" w:rsidP="006504A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0E7"/>
    <w:multiLevelType w:val="hybridMultilevel"/>
    <w:tmpl w:val="77EAB98A"/>
    <w:lvl w:ilvl="0" w:tplc="9CA039D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27350"/>
    <w:multiLevelType w:val="hybridMultilevel"/>
    <w:tmpl w:val="284418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6459B"/>
    <w:multiLevelType w:val="hybridMultilevel"/>
    <w:tmpl w:val="3942F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70AD0"/>
    <w:multiLevelType w:val="hybridMultilevel"/>
    <w:tmpl w:val="084478B6"/>
    <w:lvl w:ilvl="0" w:tplc="EAC89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0303D"/>
    <w:multiLevelType w:val="hybridMultilevel"/>
    <w:tmpl w:val="A7F03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900C6"/>
    <w:multiLevelType w:val="hybridMultilevel"/>
    <w:tmpl w:val="E3A6E0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F6EF3"/>
    <w:multiLevelType w:val="hybridMultilevel"/>
    <w:tmpl w:val="58948336"/>
    <w:lvl w:ilvl="0" w:tplc="1124F8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06B13"/>
    <w:multiLevelType w:val="hybridMultilevel"/>
    <w:tmpl w:val="CF047406"/>
    <w:lvl w:ilvl="0" w:tplc="C1DEF150">
      <w:start w:val="1"/>
      <w:numFmt w:val="decimal"/>
      <w:pStyle w:val="StylZarovnatdoblokuPed6b1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DF0747B"/>
    <w:multiLevelType w:val="hybridMultilevel"/>
    <w:tmpl w:val="B0C27C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E1065"/>
    <w:multiLevelType w:val="multilevel"/>
    <w:tmpl w:val="6C0A2EE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1211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135852D4"/>
    <w:multiLevelType w:val="hybridMultilevel"/>
    <w:tmpl w:val="F620A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F2B42"/>
    <w:multiLevelType w:val="hybridMultilevel"/>
    <w:tmpl w:val="93B04D76"/>
    <w:lvl w:ilvl="0" w:tplc="A4D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1A1488"/>
    <w:multiLevelType w:val="hybridMultilevel"/>
    <w:tmpl w:val="014AE626"/>
    <w:lvl w:ilvl="0" w:tplc="D526BA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211716"/>
    <w:multiLevelType w:val="hybridMultilevel"/>
    <w:tmpl w:val="460C8F32"/>
    <w:lvl w:ilvl="0" w:tplc="EAC89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829AE"/>
    <w:multiLevelType w:val="hybridMultilevel"/>
    <w:tmpl w:val="523AE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6F6F24"/>
    <w:multiLevelType w:val="hybridMultilevel"/>
    <w:tmpl w:val="2696C1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063D2"/>
    <w:multiLevelType w:val="hybridMultilevel"/>
    <w:tmpl w:val="55BA4824"/>
    <w:lvl w:ilvl="0" w:tplc="A4D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996150"/>
    <w:multiLevelType w:val="hybridMultilevel"/>
    <w:tmpl w:val="55761538"/>
    <w:lvl w:ilvl="0" w:tplc="A8F42920">
      <w:start w:val="1"/>
      <w:numFmt w:val="decimal"/>
      <w:lvlText w:val="%1."/>
      <w:legacy w:legacy="1" w:legacySpace="0" w:legacyIndent="360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AC5D9B"/>
    <w:multiLevelType w:val="hybridMultilevel"/>
    <w:tmpl w:val="81C046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D50B63"/>
    <w:multiLevelType w:val="hybridMultilevel"/>
    <w:tmpl w:val="18061DC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4702D9"/>
    <w:multiLevelType w:val="hybridMultilevel"/>
    <w:tmpl w:val="44E6AE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C607F"/>
    <w:multiLevelType w:val="hybridMultilevel"/>
    <w:tmpl w:val="416050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962A7"/>
    <w:multiLevelType w:val="hybridMultilevel"/>
    <w:tmpl w:val="C5DE9194"/>
    <w:lvl w:ilvl="0" w:tplc="A4D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A72906"/>
    <w:multiLevelType w:val="hybridMultilevel"/>
    <w:tmpl w:val="1A9C5C28"/>
    <w:lvl w:ilvl="0" w:tplc="A4D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4719A3"/>
    <w:multiLevelType w:val="hybridMultilevel"/>
    <w:tmpl w:val="58948336"/>
    <w:lvl w:ilvl="0" w:tplc="1124F8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A182A"/>
    <w:multiLevelType w:val="hybridMultilevel"/>
    <w:tmpl w:val="55BA4824"/>
    <w:lvl w:ilvl="0" w:tplc="A4D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2D6C55"/>
    <w:multiLevelType w:val="hybridMultilevel"/>
    <w:tmpl w:val="8402B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64799"/>
    <w:multiLevelType w:val="hybridMultilevel"/>
    <w:tmpl w:val="40C08CF0"/>
    <w:lvl w:ilvl="0" w:tplc="BCF82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02D51"/>
    <w:multiLevelType w:val="hybridMultilevel"/>
    <w:tmpl w:val="8C9A71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D005C"/>
    <w:multiLevelType w:val="hybridMultilevel"/>
    <w:tmpl w:val="58948336"/>
    <w:lvl w:ilvl="0" w:tplc="1124F8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C5E25"/>
    <w:multiLevelType w:val="hybridMultilevel"/>
    <w:tmpl w:val="E0EA1AA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561D5E7C"/>
    <w:multiLevelType w:val="hybridMultilevel"/>
    <w:tmpl w:val="4BB48CDE"/>
    <w:lvl w:ilvl="0" w:tplc="D10A2DF0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5EF22B48"/>
    <w:multiLevelType w:val="hybridMultilevel"/>
    <w:tmpl w:val="658E79D4"/>
    <w:lvl w:ilvl="0" w:tplc="5F48A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D31A3"/>
    <w:multiLevelType w:val="hybridMultilevel"/>
    <w:tmpl w:val="EEE68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F41C6"/>
    <w:multiLevelType w:val="hybridMultilevel"/>
    <w:tmpl w:val="2C04EF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D63DB"/>
    <w:multiLevelType w:val="hybridMultilevel"/>
    <w:tmpl w:val="4E2441B2"/>
    <w:lvl w:ilvl="0" w:tplc="EAC89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072D7"/>
    <w:multiLevelType w:val="hybridMultilevel"/>
    <w:tmpl w:val="E9700D5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69710D"/>
    <w:multiLevelType w:val="hybridMultilevel"/>
    <w:tmpl w:val="7326E3AE"/>
    <w:lvl w:ilvl="0" w:tplc="2BE454F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760E9"/>
    <w:multiLevelType w:val="hybridMultilevel"/>
    <w:tmpl w:val="258CECE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735F4141"/>
    <w:multiLevelType w:val="hybridMultilevel"/>
    <w:tmpl w:val="54A25DA8"/>
    <w:lvl w:ilvl="0" w:tplc="60005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3D6B4D"/>
    <w:multiLevelType w:val="hybridMultilevel"/>
    <w:tmpl w:val="927C4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574F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C4A7F"/>
    <w:multiLevelType w:val="hybridMultilevel"/>
    <w:tmpl w:val="5C56DF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5675DF"/>
    <w:multiLevelType w:val="multilevel"/>
    <w:tmpl w:val="A2169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3" w15:restartNumberingAfterBreak="0">
    <w:nsid w:val="7FAF3B6C"/>
    <w:multiLevelType w:val="hybridMultilevel"/>
    <w:tmpl w:val="CD32A6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14"/>
  </w:num>
  <w:num w:numId="4">
    <w:abstractNumId w:val="9"/>
  </w:num>
  <w:num w:numId="5">
    <w:abstractNumId w:val="20"/>
  </w:num>
  <w:num w:numId="6">
    <w:abstractNumId w:val="37"/>
  </w:num>
  <w:num w:numId="7">
    <w:abstractNumId w:val="5"/>
  </w:num>
  <w:num w:numId="8">
    <w:abstractNumId w:val="32"/>
  </w:num>
  <w:num w:numId="9">
    <w:abstractNumId w:val="39"/>
  </w:num>
  <w:num w:numId="10">
    <w:abstractNumId w:val="22"/>
  </w:num>
  <w:num w:numId="11">
    <w:abstractNumId w:val="7"/>
  </w:num>
  <w:num w:numId="12">
    <w:abstractNumId w:val="34"/>
  </w:num>
  <w:num w:numId="13">
    <w:abstractNumId w:val="10"/>
  </w:num>
  <w:num w:numId="14">
    <w:abstractNumId w:val="40"/>
  </w:num>
  <w:num w:numId="15">
    <w:abstractNumId w:val="28"/>
  </w:num>
  <w:num w:numId="16">
    <w:abstractNumId w:val="21"/>
  </w:num>
  <w:num w:numId="17">
    <w:abstractNumId w:val="33"/>
  </w:num>
  <w:num w:numId="18">
    <w:abstractNumId w:val="19"/>
  </w:num>
  <w:num w:numId="19">
    <w:abstractNumId w:val="2"/>
  </w:num>
  <w:num w:numId="20">
    <w:abstractNumId w:val="8"/>
  </w:num>
  <w:num w:numId="21">
    <w:abstractNumId w:val="15"/>
  </w:num>
  <w:num w:numId="22">
    <w:abstractNumId w:val="43"/>
  </w:num>
  <w:num w:numId="23">
    <w:abstractNumId w:val="36"/>
  </w:num>
  <w:num w:numId="24">
    <w:abstractNumId w:val="18"/>
  </w:num>
  <w:num w:numId="25">
    <w:abstractNumId w:val="29"/>
  </w:num>
  <w:num w:numId="26">
    <w:abstractNumId w:val="24"/>
  </w:num>
  <w:num w:numId="27">
    <w:abstractNumId w:val="6"/>
  </w:num>
  <w:num w:numId="28">
    <w:abstractNumId w:val="4"/>
  </w:num>
  <w:num w:numId="29">
    <w:abstractNumId w:val="13"/>
  </w:num>
  <w:num w:numId="30">
    <w:abstractNumId w:val="3"/>
  </w:num>
  <w:num w:numId="31">
    <w:abstractNumId w:val="35"/>
  </w:num>
  <w:num w:numId="32">
    <w:abstractNumId w:val="31"/>
  </w:num>
  <w:num w:numId="33">
    <w:abstractNumId w:val="23"/>
  </w:num>
  <w:num w:numId="34">
    <w:abstractNumId w:val="41"/>
  </w:num>
  <w:num w:numId="35">
    <w:abstractNumId w:val="11"/>
  </w:num>
  <w:num w:numId="36">
    <w:abstractNumId w:val="17"/>
  </w:num>
  <w:num w:numId="37">
    <w:abstractNumId w:val="25"/>
  </w:num>
  <w:num w:numId="38">
    <w:abstractNumId w:val="42"/>
  </w:num>
  <w:num w:numId="39">
    <w:abstractNumId w:val="16"/>
  </w:num>
  <w:num w:numId="40">
    <w:abstractNumId w:val="0"/>
  </w:num>
  <w:num w:numId="41">
    <w:abstractNumId w:val="38"/>
  </w:num>
  <w:num w:numId="42">
    <w:abstractNumId w:val="30"/>
  </w:num>
  <w:num w:numId="43">
    <w:abstractNumId w:val="26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9F"/>
    <w:rsid w:val="00001DDF"/>
    <w:rsid w:val="000139CD"/>
    <w:rsid w:val="0002130B"/>
    <w:rsid w:val="000459B6"/>
    <w:rsid w:val="0004623B"/>
    <w:rsid w:val="00060BA9"/>
    <w:rsid w:val="00066AEB"/>
    <w:rsid w:val="000847DF"/>
    <w:rsid w:val="000D2F9C"/>
    <w:rsid w:val="000D6197"/>
    <w:rsid w:val="000E0E0F"/>
    <w:rsid w:val="0011016D"/>
    <w:rsid w:val="00126578"/>
    <w:rsid w:val="00126F8B"/>
    <w:rsid w:val="0014570F"/>
    <w:rsid w:val="00191E40"/>
    <w:rsid w:val="00196F09"/>
    <w:rsid w:val="001A411A"/>
    <w:rsid w:val="001C7B9F"/>
    <w:rsid w:val="002024B3"/>
    <w:rsid w:val="002142DB"/>
    <w:rsid w:val="002375A6"/>
    <w:rsid w:val="002442C3"/>
    <w:rsid w:val="00273523"/>
    <w:rsid w:val="00277AF5"/>
    <w:rsid w:val="002816BF"/>
    <w:rsid w:val="002952F6"/>
    <w:rsid w:val="002A72C1"/>
    <w:rsid w:val="002C6015"/>
    <w:rsid w:val="002D0C74"/>
    <w:rsid w:val="002E4AA6"/>
    <w:rsid w:val="00300B87"/>
    <w:rsid w:val="0030149A"/>
    <w:rsid w:val="003337B0"/>
    <w:rsid w:val="0034212A"/>
    <w:rsid w:val="003A65D8"/>
    <w:rsid w:val="003A7E3D"/>
    <w:rsid w:val="003B10FA"/>
    <w:rsid w:val="003D323B"/>
    <w:rsid w:val="003E5FB8"/>
    <w:rsid w:val="003F653F"/>
    <w:rsid w:val="003F6D83"/>
    <w:rsid w:val="00421811"/>
    <w:rsid w:val="00424D13"/>
    <w:rsid w:val="00455977"/>
    <w:rsid w:val="00476AE1"/>
    <w:rsid w:val="0048641D"/>
    <w:rsid w:val="004B23AF"/>
    <w:rsid w:val="004C69C8"/>
    <w:rsid w:val="0053190A"/>
    <w:rsid w:val="00577998"/>
    <w:rsid w:val="005C64E7"/>
    <w:rsid w:val="005C674E"/>
    <w:rsid w:val="005E3C74"/>
    <w:rsid w:val="005E668D"/>
    <w:rsid w:val="005F3DD7"/>
    <w:rsid w:val="005F487C"/>
    <w:rsid w:val="00617E86"/>
    <w:rsid w:val="00634216"/>
    <w:rsid w:val="006504AB"/>
    <w:rsid w:val="00671B67"/>
    <w:rsid w:val="00680838"/>
    <w:rsid w:val="006A6298"/>
    <w:rsid w:val="006B2D7A"/>
    <w:rsid w:val="006B44F7"/>
    <w:rsid w:val="006E5361"/>
    <w:rsid w:val="006F0553"/>
    <w:rsid w:val="006F4A1F"/>
    <w:rsid w:val="00707D28"/>
    <w:rsid w:val="00716EB6"/>
    <w:rsid w:val="0072592B"/>
    <w:rsid w:val="007372E7"/>
    <w:rsid w:val="00746CCC"/>
    <w:rsid w:val="00766F99"/>
    <w:rsid w:val="007907E6"/>
    <w:rsid w:val="007C2036"/>
    <w:rsid w:val="007E12B2"/>
    <w:rsid w:val="008147D7"/>
    <w:rsid w:val="00816C6C"/>
    <w:rsid w:val="00820C59"/>
    <w:rsid w:val="0083136F"/>
    <w:rsid w:val="00832C30"/>
    <w:rsid w:val="008440A6"/>
    <w:rsid w:val="0084454A"/>
    <w:rsid w:val="00845C1A"/>
    <w:rsid w:val="008616DD"/>
    <w:rsid w:val="00883422"/>
    <w:rsid w:val="008B2B25"/>
    <w:rsid w:val="008C7D50"/>
    <w:rsid w:val="008F28F9"/>
    <w:rsid w:val="009022A2"/>
    <w:rsid w:val="009211BD"/>
    <w:rsid w:val="00945F55"/>
    <w:rsid w:val="00970C26"/>
    <w:rsid w:val="00985E6D"/>
    <w:rsid w:val="009A283D"/>
    <w:rsid w:val="009D73FA"/>
    <w:rsid w:val="009D7A7C"/>
    <w:rsid w:val="00A001FC"/>
    <w:rsid w:val="00A0380C"/>
    <w:rsid w:val="00A40A6F"/>
    <w:rsid w:val="00A52FCE"/>
    <w:rsid w:val="00A62D44"/>
    <w:rsid w:val="00A76E7F"/>
    <w:rsid w:val="00A94D36"/>
    <w:rsid w:val="00AA1899"/>
    <w:rsid w:val="00AA2A45"/>
    <w:rsid w:val="00AF2C3F"/>
    <w:rsid w:val="00AF40F4"/>
    <w:rsid w:val="00B0209C"/>
    <w:rsid w:val="00B26DAD"/>
    <w:rsid w:val="00B41B91"/>
    <w:rsid w:val="00B43CBC"/>
    <w:rsid w:val="00B46180"/>
    <w:rsid w:val="00B51C4F"/>
    <w:rsid w:val="00B70B55"/>
    <w:rsid w:val="00B73CE7"/>
    <w:rsid w:val="00B95718"/>
    <w:rsid w:val="00BB4A24"/>
    <w:rsid w:val="00BD525D"/>
    <w:rsid w:val="00C20C21"/>
    <w:rsid w:val="00C34A0C"/>
    <w:rsid w:val="00C63744"/>
    <w:rsid w:val="00C83481"/>
    <w:rsid w:val="00C8666D"/>
    <w:rsid w:val="00CB1E7B"/>
    <w:rsid w:val="00CB64E5"/>
    <w:rsid w:val="00CF3119"/>
    <w:rsid w:val="00D14A9B"/>
    <w:rsid w:val="00D15678"/>
    <w:rsid w:val="00D53B2E"/>
    <w:rsid w:val="00D86F0F"/>
    <w:rsid w:val="00D91190"/>
    <w:rsid w:val="00DB199F"/>
    <w:rsid w:val="00DC6B76"/>
    <w:rsid w:val="00DD6566"/>
    <w:rsid w:val="00E14AFA"/>
    <w:rsid w:val="00E70BC6"/>
    <w:rsid w:val="00E72809"/>
    <w:rsid w:val="00E81B1D"/>
    <w:rsid w:val="00EC32E6"/>
    <w:rsid w:val="00ED17A4"/>
    <w:rsid w:val="00ED7D84"/>
    <w:rsid w:val="00EE1D0B"/>
    <w:rsid w:val="00EE4D60"/>
    <w:rsid w:val="00F04FAD"/>
    <w:rsid w:val="00F2438D"/>
    <w:rsid w:val="00F34985"/>
    <w:rsid w:val="00F6767A"/>
    <w:rsid w:val="00F746B3"/>
    <w:rsid w:val="00F87145"/>
    <w:rsid w:val="00FA63A1"/>
    <w:rsid w:val="00FB3B08"/>
    <w:rsid w:val="00FC18E5"/>
    <w:rsid w:val="00FD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63A152"/>
  <w15:docId w15:val="{7C24D555-00FD-49CD-856C-19E5DFC7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7B9F"/>
    <w:pPr>
      <w:overflowPunct w:val="0"/>
      <w:autoSpaceDE w:val="0"/>
      <w:autoSpaceDN w:val="0"/>
      <w:adjustRightInd w:val="0"/>
      <w:textAlignment w:val="baseline"/>
    </w:pPr>
  </w:style>
  <w:style w:type="paragraph" w:styleId="Nadpis6">
    <w:name w:val="heading 6"/>
    <w:basedOn w:val="Normln"/>
    <w:next w:val="Normln"/>
    <w:link w:val="Nadpis6Char"/>
    <w:qFormat/>
    <w:rsid w:val="001C7B9F"/>
    <w:pPr>
      <w:keepNext/>
      <w:shd w:val="clear" w:color="auto" w:fill="C0C0C0"/>
      <w:jc w:val="both"/>
      <w:outlineLvl w:val="5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1C7B9F"/>
    <w:rPr>
      <w:b/>
      <w:bCs/>
      <w:sz w:val="22"/>
      <w:shd w:val="clear" w:color="auto" w:fill="C0C0C0"/>
    </w:rPr>
  </w:style>
  <w:style w:type="paragraph" w:customStyle="1" w:styleId="Zkladntext1">
    <w:name w:val="Základní text 1"/>
    <w:basedOn w:val="Normln"/>
    <w:next w:val="Normln"/>
    <w:rsid w:val="001C7B9F"/>
    <w:pPr>
      <w:overflowPunct/>
      <w:jc w:val="both"/>
      <w:textAlignment w:val="auto"/>
    </w:pPr>
    <w:rPr>
      <w:rFonts w:ascii="Arial" w:hAnsi="Arial" w:cs="Arial"/>
      <w:sz w:val="22"/>
      <w:szCs w:val="24"/>
    </w:rPr>
  </w:style>
  <w:style w:type="paragraph" w:styleId="Obsah1">
    <w:name w:val="toc 1"/>
    <w:basedOn w:val="Normln"/>
    <w:next w:val="Normln"/>
    <w:autoRedefine/>
    <w:uiPriority w:val="39"/>
    <w:qFormat/>
    <w:rsid w:val="001C7B9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0C0C0"/>
      <w:tabs>
        <w:tab w:val="right" w:leader="dot" w:pos="9062"/>
      </w:tabs>
      <w:overflowPunct/>
      <w:autoSpaceDE/>
      <w:autoSpaceDN/>
      <w:adjustRightInd/>
      <w:spacing w:before="120" w:after="120"/>
      <w:jc w:val="both"/>
      <w:textAlignment w:val="auto"/>
      <w:outlineLvl w:val="0"/>
    </w:pPr>
    <w:rPr>
      <w:b/>
      <w:bCs/>
      <w:caps/>
      <w:noProof/>
      <w:kern w:val="28"/>
      <w:sz w:val="22"/>
    </w:rPr>
  </w:style>
  <w:style w:type="paragraph" w:styleId="Zkladntext2">
    <w:name w:val="Body Text 2"/>
    <w:basedOn w:val="Normln"/>
    <w:link w:val="Zkladntext2Char"/>
    <w:semiHidden/>
    <w:rsid w:val="001C7B9F"/>
    <w:p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1C7B9F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B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3014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0149A"/>
  </w:style>
  <w:style w:type="paragraph" w:styleId="Zpat">
    <w:name w:val="footer"/>
    <w:basedOn w:val="Normln"/>
    <w:link w:val="ZpatChar"/>
    <w:unhideWhenUsed/>
    <w:rsid w:val="003014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0149A"/>
  </w:style>
  <w:style w:type="character" w:styleId="slostrnky">
    <w:name w:val="page number"/>
    <w:basedOn w:val="Standardnpsmoodstavce"/>
    <w:semiHidden/>
    <w:rsid w:val="00DD6566"/>
  </w:style>
  <w:style w:type="character" w:styleId="Odkaznakoment">
    <w:name w:val="annotation reference"/>
    <w:basedOn w:val="Standardnpsmoodstavce"/>
    <w:uiPriority w:val="99"/>
    <w:semiHidden/>
    <w:unhideWhenUsed/>
    <w:rsid w:val="008445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5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5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5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54A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820C59"/>
    <w:pPr>
      <w:overflowPunct/>
      <w:autoSpaceDE/>
      <w:autoSpaceDN/>
      <w:adjustRightInd/>
      <w:spacing w:after="120" w:line="276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20C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aliases w:val="Odstavec_muj,Nad"/>
    <w:basedOn w:val="Normln"/>
    <w:link w:val="OdstavecseseznamemChar"/>
    <w:uiPriority w:val="34"/>
    <w:qFormat/>
    <w:rsid w:val="00DB199F"/>
    <w:pPr>
      <w:ind w:left="720"/>
      <w:contextualSpacing/>
    </w:p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sid w:val="003D323B"/>
    <w:pPr>
      <w:overflowPunct/>
      <w:autoSpaceDE/>
      <w:autoSpaceDN/>
      <w:adjustRightInd/>
      <w:jc w:val="both"/>
      <w:textAlignment w:val="auto"/>
    </w:pPr>
    <w:rPr>
      <w:rFonts w:ascii="Arial" w:hAnsi="Arial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3D323B"/>
    <w:rPr>
      <w:rFonts w:ascii="Arial" w:hAnsi="Arial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sid w:val="003D323B"/>
    <w:rPr>
      <w:vertAlign w:val="superscript"/>
    </w:rPr>
  </w:style>
  <w:style w:type="character" w:customStyle="1" w:styleId="OdstavecseseznamemChar">
    <w:name w:val="Odstavec se seznamem Char"/>
    <w:aliases w:val="Odstavec_muj Char,Nad Char"/>
    <w:basedOn w:val="Standardnpsmoodstavce"/>
    <w:link w:val="Odstavecseseznamem"/>
    <w:uiPriority w:val="34"/>
    <w:rsid w:val="003D323B"/>
  </w:style>
  <w:style w:type="paragraph" w:customStyle="1" w:styleId="Default">
    <w:name w:val="Default"/>
    <w:rsid w:val="00B70B5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tylZarovnatdoblokuPed6b1">
    <w:name w:val="Styl Zarovnat do bloku Před:  6 b.1"/>
    <w:basedOn w:val="Normln"/>
    <w:semiHidden/>
    <w:rsid w:val="006F0553"/>
    <w:pPr>
      <w:numPr>
        <w:numId w:val="11"/>
      </w:numPr>
      <w:overflowPunct/>
      <w:autoSpaceDE/>
      <w:autoSpaceDN/>
      <w:adjustRightInd/>
      <w:jc w:val="both"/>
      <w:textAlignment w:val="auto"/>
    </w:pPr>
    <w:rPr>
      <w:sz w:val="24"/>
    </w:rPr>
  </w:style>
  <w:style w:type="paragraph" w:customStyle="1" w:styleId="MPtextodr">
    <w:name w:val="MP_text_odr"/>
    <w:basedOn w:val="Normln"/>
    <w:link w:val="MPtextodrChar"/>
    <w:qFormat/>
    <w:rsid w:val="007372E7"/>
    <w:pPr>
      <w:numPr>
        <w:numId w:val="32"/>
      </w:numPr>
      <w:overflowPunct/>
      <w:autoSpaceDE/>
      <w:autoSpaceDN/>
      <w:adjustRightInd/>
      <w:spacing w:after="120" w:line="312" w:lineRule="auto"/>
      <w:jc w:val="both"/>
      <w:textAlignment w:val="auto"/>
    </w:pPr>
    <w:rPr>
      <w:rFonts w:ascii="Arial" w:hAnsi="Arial" w:cs="Arial"/>
      <w:lang w:eastAsia="en-US" w:bidi="en-US"/>
    </w:rPr>
  </w:style>
  <w:style w:type="character" w:customStyle="1" w:styleId="MPtextodrChar">
    <w:name w:val="MP_text_odr Char"/>
    <w:link w:val="MPtextodr"/>
    <w:rsid w:val="007372E7"/>
    <w:rPr>
      <w:rFonts w:ascii="Arial" w:hAnsi="Arial" w:cs="Arial"/>
      <w:lang w:eastAsia="en-US" w:bidi="en-US"/>
    </w:rPr>
  </w:style>
  <w:style w:type="paragraph" w:styleId="Nzev">
    <w:name w:val="Title"/>
    <w:basedOn w:val="Normln"/>
    <w:link w:val="NzevChar"/>
    <w:uiPriority w:val="10"/>
    <w:qFormat/>
    <w:rsid w:val="007372E7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7372E7"/>
    <w:rPr>
      <w:b/>
      <w:bCs/>
      <w:sz w:val="28"/>
      <w:szCs w:val="24"/>
    </w:rPr>
  </w:style>
  <w:style w:type="paragraph" w:styleId="Normlnweb">
    <w:name w:val="Normal (Web)"/>
    <w:basedOn w:val="Normln"/>
    <w:uiPriority w:val="99"/>
    <w:unhideWhenUsed/>
    <w:rsid w:val="00AF40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F592FC7D.dotm</Template>
  <TotalTime>0</TotalTime>
  <Pages>6</Pages>
  <Words>2824</Words>
  <Characters>16662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Doucek Vladimír</dc:creator>
  <cp:lastModifiedBy>Jeřábková Jana</cp:lastModifiedBy>
  <cp:revision>2</cp:revision>
  <cp:lastPrinted>2016-05-26T10:30:00Z</cp:lastPrinted>
  <dcterms:created xsi:type="dcterms:W3CDTF">2017-03-06T15:16:00Z</dcterms:created>
  <dcterms:modified xsi:type="dcterms:W3CDTF">2017-03-06T15:16:00Z</dcterms:modified>
</cp:coreProperties>
</file>