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7B8D" w14:textId="77777777" w:rsidR="000E1F9A" w:rsidRPr="004D7746" w:rsidRDefault="000E1F9A" w:rsidP="004E6EB1">
      <w:pPr>
        <w:jc w:val="center"/>
        <w:rPr>
          <w:rStyle w:val="Siln"/>
          <w:rFonts w:cs="Calibri"/>
          <w:bCs w:val="0"/>
          <w:smallCaps/>
          <w:sz w:val="36"/>
          <w:szCs w:val="36"/>
          <w:u w:val="single"/>
        </w:rPr>
      </w:pPr>
    </w:p>
    <w:p w14:paraId="318CAE09" w14:textId="77777777" w:rsidR="004E6EB1" w:rsidRPr="005D6582" w:rsidRDefault="004E6EB1" w:rsidP="004E6EB1">
      <w:pPr>
        <w:spacing w:before="120"/>
        <w:jc w:val="center"/>
        <w:rPr>
          <w:rStyle w:val="Siln"/>
          <w:rFonts w:cs="Calibri"/>
          <w:bCs w:val="0"/>
          <w:smallCaps/>
          <w:color w:val="FF0000"/>
          <w:sz w:val="36"/>
        </w:rPr>
      </w:pPr>
      <w:r w:rsidRPr="005D6582">
        <w:rPr>
          <w:rStyle w:val="Siln"/>
          <w:rFonts w:cs="Calibri"/>
          <w:bCs w:val="0"/>
          <w:smallCaps/>
          <w:color w:val="FF0000"/>
          <w:sz w:val="36"/>
        </w:rPr>
        <w:t>Operační program Podnikání a inovace pro konkurenceschopnost 2014–2020</w:t>
      </w:r>
    </w:p>
    <w:p w14:paraId="7CFD52A0" w14:textId="77777777" w:rsidR="00803FDC" w:rsidRPr="005D6582" w:rsidRDefault="00803FDC" w:rsidP="00910CF6">
      <w:pPr>
        <w:spacing w:before="480"/>
        <w:jc w:val="center"/>
        <w:rPr>
          <w:b/>
          <w:bCs/>
          <w:sz w:val="40"/>
        </w:rPr>
      </w:pPr>
      <w:r w:rsidRPr="005D6582">
        <w:rPr>
          <w:b/>
          <w:bCs/>
          <w:sz w:val="40"/>
        </w:rPr>
        <w:t>VÝZVA K PŘEDKLÁDÁNÍ PROJEKTŮ</w:t>
      </w:r>
    </w:p>
    <w:p w14:paraId="1D57CFA5" w14:textId="77777777" w:rsidR="00803FDC" w:rsidRPr="005D6582" w:rsidRDefault="00722E65" w:rsidP="00803FDC">
      <w:pPr>
        <w:spacing w:before="240" w:after="600"/>
        <w:jc w:val="center"/>
        <w:textAlignment w:val="auto"/>
        <w:rPr>
          <w:b/>
          <w:sz w:val="40"/>
        </w:rPr>
      </w:pPr>
      <w:r w:rsidRPr="005D6582">
        <w:rPr>
          <w:b/>
          <w:sz w:val="40"/>
        </w:rPr>
        <w:t xml:space="preserve">Program </w:t>
      </w:r>
      <w:r w:rsidR="00803FDC" w:rsidRPr="005D6582">
        <w:rPr>
          <w:b/>
          <w:sz w:val="40"/>
        </w:rPr>
        <w:t>EXPANZE - úvěry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05"/>
        <w:gridCol w:w="4605"/>
      </w:tblGrid>
      <w:tr w:rsidR="00C9664D" w:rsidRPr="005D6582" w14:paraId="0A11D3A5" w14:textId="77777777" w:rsidTr="00C9664D">
        <w:trPr>
          <w:trHeight w:val="236"/>
        </w:trPr>
        <w:tc>
          <w:tcPr>
            <w:tcW w:w="4605" w:type="dxa"/>
            <w:shd w:val="clear" w:color="auto" w:fill="D9D9D9"/>
          </w:tcPr>
          <w:p w14:paraId="4CC5A8CF" w14:textId="77777777" w:rsidR="00C9664D" w:rsidRPr="005D6582" w:rsidRDefault="00C9664D" w:rsidP="000F7C67">
            <w:pPr>
              <w:spacing w:after="0"/>
              <w:rPr>
                <w:rFonts w:cs="Arial"/>
                <w:b/>
                <w:bCs/>
                <w:sz w:val="24"/>
                <w:szCs w:val="24"/>
              </w:rPr>
            </w:pPr>
            <w:r w:rsidRPr="005D6582">
              <w:rPr>
                <w:rFonts w:cs="Arial"/>
                <w:b/>
                <w:bCs/>
                <w:sz w:val="24"/>
                <w:szCs w:val="24"/>
              </w:rPr>
              <w:t xml:space="preserve">Název programu podpory </w:t>
            </w:r>
          </w:p>
        </w:tc>
        <w:tc>
          <w:tcPr>
            <w:tcW w:w="4605" w:type="dxa"/>
          </w:tcPr>
          <w:p w14:paraId="55E9EC0F" w14:textId="77777777" w:rsidR="00C9664D" w:rsidRPr="005D6582" w:rsidRDefault="00C9664D" w:rsidP="000F7C67">
            <w:pPr>
              <w:spacing w:after="0"/>
              <w:jc w:val="left"/>
              <w:rPr>
                <w:rFonts w:cs="Arial"/>
                <w:sz w:val="24"/>
                <w:szCs w:val="24"/>
              </w:rPr>
            </w:pPr>
            <w:r w:rsidRPr="005D6582">
              <w:rPr>
                <w:rFonts w:cs="Arial"/>
                <w:sz w:val="24"/>
                <w:szCs w:val="24"/>
              </w:rPr>
              <w:t>EXPANZE</w:t>
            </w:r>
          </w:p>
        </w:tc>
      </w:tr>
      <w:tr w:rsidR="00C9664D" w:rsidRPr="005D6582" w14:paraId="72975195" w14:textId="77777777" w:rsidTr="00C9664D">
        <w:trPr>
          <w:trHeight w:val="226"/>
        </w:trPr>
        <w:tc>
          <w:tcPr>
            <w:tcW w:w="4605" w:type="dxa"/>
            <w:shd w:val="clear" w:color="auto" w:fill="D9D9D9"/>
          </w:tcPr>
          <w:p w14:paraId="68F10C66" w14:textId="77777777" w:rsidR="00C9664D" w:rsidRPr="005D6582" w:rsidRDefault="00C9664D" w:rsidP="000F7C67">
            <w:pPr>
              <w:spacing w:after="0"/>
              <w:rPr>
                <w:rFonts w:cs="Arial"/>
                <w:b/>
                <w:bCs/>
                <w:sz w:val="24"/>
                <w:szCs w:val="24"/>
              </w:rPr>
            </w:pPr>
            <w:r w:rsidRPr="005D6582">
              <w:rPr>
                <w:rFonts w:cs="Arial"/>
                <w:b/>
                <w:bCs/>
                <w:sz w:val="24"/>
                <w:szCs w:val="24"/>
              </w:rPr>
              <w:t xml:space="preserve">Prioritní osa operačního programu </w:t>
            </w:r>
          </w:p>
        </w:tc>
        <w:tc>
          <w:tcPr>
            <w:tcW w:w="4605" w:type="dxa"/>
          </w:tcPr>
          <w:p w14:paraId="02758C63" w14:textId="77777777" w:rsidR="00C9664D" w:rsidRPr="005D6582" w:rsidRDefault="00C9664D" w:rsidP="000F7C67">
            <w:pPr>
              <w:spacing w:after="0"/>
              <w:jc w:val="left"/>
              <w:rPr>
                <w:rFonts w:cs="Arial"/>
                <w:sz w:val="24"/>
                <w:szCs w:val="24"/>
              </w:rPr>
            </w:pPr>
            <w:r w:rsidRPr="005D6582">
              <w:rPr>
                <w:rFonts w:cs="Arial"/>
                <w:sz w:val="24"/>
                <w:szCs w:val="24"/>
              </w:rPr>
              <w:t>PO-2 Rozvoj podnikání a konkurenceschopnosti malých a středních firem</w:t>
            </w:r>
          </w:p>
        </w:tc>
      </w:tr>
      <w:tr w:rsidR="00C9664D" w:rsidRPr="005D6582" w14:paraId="487AC6A9" w14:textId="77777777" w:rsidTr="00C9664D">
        <w:trPr>
          <w:trHeight w:val="423"/>
        </w:trPr>
        <w:tc>
          <w:tcPr>
            <w:tcW w:w="4605" w:type="dxa"/>
            <w:shd w:val="clear" w:color="auto" w:fill="D9D9D9"/>
          </w:tcPr>
          <w:p w14:paraId="3221B3FF" w14:textId="77777777" w:rsidR="00C9664D" w:rsidRPr="005D6582" w:rsidRDefault="00C9664D" w:rsidP="000F7C67">
            <w:pPr>
              <w:spacing w:after="0"/>
              <w:rPr>
                <w:rFonts w:cs="Arial"/>
                <w:b/>
                <w:bCs/>
                <w:sz w:val="24"/>
                <w:szCs w:val="24"/>
              </w:rPr>
            </w:pPr>
            <w:r w:rsidRPr="005D6582">
              <w:rPr>
                <w:rFonts w:cs="Arial"/>
                <w:b/>
                <w:bCs/>
                <w:sz w:val="24"/>
                <w:szCs w:val="24"/>
              </w:rPr>
              <w:t xml:space="preserve">Investiční priorita </w:t>
            </w:r>
          </w:p>
          <w:p w14:paraId="52031993" w14:textId="77777777" w:rsidR="00C9664D" w:rsidRPr="005D6582" w:rsidRDefault="00C9664D" w:rsidP="000F7C67">
            <w:pPr>
              <w:spacing w:after="0"/>
              <w:rPr>
                <w:rFonts w:cs="Arial"/>
                <w:b/>
                <w:bCs/>
                <w:sz w:val="24"/>
                <w:szCs w:val="24"/>
              </w:rPr>
            </w:pPr>
          </w:p>
        </w:tc>
        <w:tc>
          <w:tcPr>
            <w:tcW w:w="4605" w:type="dxa"/>
          </w:tcPr>
          <w:p w14:paraId="5BF8F15F" w14:textId="77777777" w:rsidR="00C9664D" w:rsidRPr="005D6582" w:rsidRDefault="00C9664D" w:rsidP="000F7C67">
            <w:pPr>
              <w:spacing w:after="0"/>
              <w:jc w:val="left"/>
              <w:rPr>
                <w:rFonts w:cs="Arial"/>
                <w:sz w:val="24"/>
                <w:szCs w:val="24"/>
              </w:rPr>
            </w:pPr>
            <w:r w:rsidRPr="005D6582">
              <w:rPr>
                <w:rFonts w:cs="Arial"/>
                <w:sz w:val="24"/>
                <w:szCs w:val="24"/>
              </w:rPr>
              <w:t>Investiční priorita 3a, dle čl. 5 bodu 3a)</w:t>
            </w:r>
          </w:p>
          <w:p w14:paraId="7850A299" w14:textId="77777777" w:rsidR="00C9664D" w:rsidRPr="005D6582" w:rsidRDefault="00C9664D" w:rsidP="000F7C67">
            <w:pPr>
              <w:spacing w:after="0"/>
              <w:jc w:val="left"/>
              <w:rPr>
                <w:rFonts w:cs="Arial"/>
                <w:sz w:val="24"/>
                <w:szCs w:val="24"/>
              </w:rPr>
            </w:pPr>
            <w:r w:rsidRPr="005D6582">
              <w:rPr>
                <w:rFonts w:cs="Arial"/>
                <w:sz w:val="24"/>
                <w:szCs w:val="24"/>
              </w:rPr>
              <w:t xml:space="preserve">nařízení Evropského parlamentu a Rady (EU) č. 1301/2013 </w:t>
            </w:r>
          </w:p>
        </w:tc>
      </w:tr>
      <w:tr w:rsidR="00C9664D" w:rsidRPr="005D6582" w14:paraId="11DA777D" w14:textId="77777777" w:rsidTr="00C9664D">
        <w:trPr>
          <w:trHeight w:val="210"/>
        </w:trPr>
        <w:tc>
          <w:tcPr>
            <w:tcW w:w="4605" w:type="dxa"/>
            <w:shd w:val="clear" w:color="auto" w:fill="D9D9D9"/>
          </w:tcPr>
          <w:p w14:paraId="29241DA2" w14:textId="77777777" w:rsidR="00C9664D" w:rsidRPr="005D6582" w:rsidRDefault="00C9664D" w:rsidP="000F7C67">
            <w:pPr>
              <w:spacing w:after="0"/>
              <w:rPr>
                <w:rFonts w:cs="Arial"/>
                <w:b/>
                <w:bCs/>
                <w:sz w:val="24"/>
                <w:szCs w:val="24"/>
              </w:rPr>
            </w:pPr>
            <w:r w:rsidRPr="005D6582">
              <w:rPr>
                <w:rFonts w:cs="Arial"/>
                <w:b/>
                <w:bCs/>
                <w:sz w:val="24"/>
                <w:szCs w:val="24"/>
              </w:rPr>
              <w:t>Specifický cíl operačního programu</w:t>
            </w:r>
          </w:p>
        </w:tc>
        <w:tc>
          <w:tcPr>
            <w:tcW w:w="4605" w:type="dxa"/>
          </w:tcPr>
          <w:p w14:paraId="69919A54" w14:textId="77777777" w:rsidR="00C9664D" w:rsidRPr="005D6582" w:rsidRDefault="00C9664D" w:rsidP="000F7C67">
            <w:pPr>
              <w:spacing w:after="0"/>
              <w:jc w:val="left"/>
              <w:rPr>
                <w:rFonts w:cs="Arial"/>
                <w:sz w:val="24"/>
                <w:szCs w:val="24"/>
              </w:rPr>
            </w:pPr>
            <w:r w:rsidRPr="005D6582">
              <w:rPr>
                <w:rFonts w:cs="Arial"/>
                <w:sz w:val="24"/>
                <w:szCs w:val="24"/>
              </w:rPr>
              <w:t>SC 2.1 Zvýšit konkurenceschopnost začínajících a rozvojových MSP</w:t>
            </w:r>
          </w:p>
        </w:tc>
      </w:tr>
      <w:tr w:rsidR="00C9664D" w:rsidRPr="005D6582" w14:paraId="4359988F" w14:textId="77777777" w:rsidTr="00C9664D">
        <w:trPr>
          <w:trHeight w:val="200"/>
        </w:trPr>
        <w:tc>
          <w:tcPr>
            <w:tcW w:w="4605" w:type="dxa"/>
            <w:shd w:val="clear" w:color="auto" w:fill="D9D9D9"/>
          </w:tcPr>
          <w:p w14:paraId="0526AA44" w14:textId="77777777" w:rsidR="00C9664D" w:rsidRPr="005D6582" w:rsidRDefault="00202118" w:rsidP="000F7C67">
            <w:pPr>
              <w:spacing w:after="0"/>
              <w:rPr>
                <w:rFonts w:cs="Arial"/>
                <w:b/>
                <w:bCs/>
                <w:sz w:val="24"/>
                <w:szCs w:val="24"/>
              </w:rPr>
            </w:pPr>
            <w:r w:rsidRPr="005D6582">
              <w:rPr>
                <w:rFonts w:cs="Arial"/>
                <w:b/>
                <w:bCs/>
                <w:sz w:val="24"/>
                <w:szCs w:val="24"/>
              </w:rPr>
              <w:t>Číslo výzvy</w:t>
            </w:r>
          </w:p>
        </w:tc>
        <w:tc>
          <w:tcPr>
            <w:tcW w:w="4605" w:type="dxa"/>
          </w:tcPr>
          <w:p w14:paraId="375E9A7E" w14:textId="32C63B8B" w:rsidR="00C614BF" w:rsidRPr="005D6582" w:rsidRDefault="00202118">
            <w:pPr>
              <w:spacing w:after="0"/>
              <w:jc w:val="left"/>
              <w:rPr>
                <w:rFonts w:cs="Arial"/>
                <w:sz w:val="24"/>
                <w:szCs w:val="24"/>
              </w:rPr>
            </w:pPr>
            <w:r w:rsidRPr="005D6582">
              <w:rPr>
                <w:rFonts w:cs="Arial"/>
                <w:sz w:val="24"/>
                <w:szCs w:val="24"/>
              </w:rPr>
              <w:t xml:space="preserve">Výzva I – úprava podmínek platná od </w:t>
            </w:r>
            <w:r w:rsidR="00D51E63" w:rsidRPr="005D6582">
              <w:rPr>
                <w:rFonts w:cs="Arial"/>
                <w:sz w:val="24"/>
                <w:szCs w:val="24"/>
              </w:rPr>
              <w:t>1</w:t>
            </w:r>
            <w:r w:rsidR="00AE6015">
              <w:rPr>
                <w:rFonts w:cs="Arial"/>
                <w:sz w:val="24"/>
                <w:szCs w:val="24"/>
              </w:rPr>
              <w:t>7</w:t>
            </w:r>
            <w:r w:rsidR="00D51E63" w:rsidRPr="005D6582">
              <w:rPr>
                <w:rFonts w:cs="Arial"/>
                <w:sz w:val="24"/>
                <w:szCs w:val="24"/>
              </w:rPr>
              <w:t>.</w:t>
            </w:r>
            <w:r w:rsidR="0025470D">
              <w:rPr>
                <w:rFonts w:cs="Arial"/>
                <w:sz w:val="24"/>
                <w:szCs w:val="24"/>
              </w:rPr>
              <w:t> </w:t>
            </w:r>
            <w:r w:rsidR="00AE6015">
              <w:rPr>
                <w:rFonts w:cs="Arial"/>
                <w:sz w:val="24"/>
                <w:szCs w:val="24"/>
              </w:rPr>
              <w:t>9</w:t>
            </w:r>
            <w:r w:rsidR="00D51E63" w:rsidRPr="005D6582">
              <w:rPr>
                <w:rFonts w:cs="Arial"/>
                <w:sz w:val="24"/>
                <w:szCs w:val="24"/>
              </w:rPr>
              <w:t>.</w:t>
            </w:r>
            <w:r w:rsidR="0025470D">
              <w:rPr>
                <w:rFonts w:cs="Arial"/>
                <w:sz w:val="24"/>
                <w:szCs w:val="24"/>
              </w:rPr>
              <w:t> </w:t>
            </w:r>
            <w:r w:rsidR="00D51E63" w:rsidRPr="005D6582">
              <w:rPr>
                <w:rFonts w:cs="Arial"/>
                <w:sz w:val="24"/>
                <w:szCs w:val="24"/>
              </w:rPr>
              <w:t>2018</w:t>
            </w:r>
          </w:p>
        </w:tc>
      </w:tr>
      <w:tr w:rsidR="00C9664D" w:rsidRPr="005D6582" w14:paraId="0C333EB1" w14:textId="77777777" w:rsidTr="00C9664D">
        <w:trPr>
          <w:trHeight w:val="176"/>
        </w:trPr>
        <w:tc>
          <w:tcPr>
            <w:tcW w:w="4605" w:type="dxa"/>
            <w:shd w:val="clear" w:color="auto" w:fill="D9D9D9"/>
          </w:tcPr>
          <w:p w14:paraId="5F3E760C" w14:textId="77777777" w:rsidR="00C9664D" w:rsidRPr="005D6582" w:rsidRDefault="00C9664D" w:rsidP="000F7C67">
            <w:pPr>
              <w:spacing w:after="0"/>
              <w:rPr>
                <w:rFonts w:cs="Arial"/>
                <w:b/>
                <w:bCs/>
                <w:sz w:val="24"/>
                <w:szCs w:val="24"/>
              </w:rPr>
            </w:pPr>
            <w:r w:rsidRPr="005D6582">
              <w:rPr>
                <w:rFonts w:cs="Arial"/>
                <w:b/>
                <w:bCs/>
                <w:sz w:val="24"/>
                <w:szCs w:val="24"/>
              </w:rPr>
              <w:t xml:space="preserve">Druh výzvy </w:t>
            </w:r>
          </w:p>
        </w:tc>
        <w:tc>
          <w:tcPr>
            <w:tcW w:w="4605" w:type="dxa"/>
          </w:tcPr>
          <w:p w14:paraId="7A438ADD" w14:textId="77777777" w:rsidR="00C9664D" w:rsidRPr="005D6582" w:rsidRDefault="00C9664D" w:rsidP="000F7C67">
            <w:pPr>
              <w:spacing w:after="0"/>
              <w:jc w:val="left"/>
              <w:rPr>
                <w:rFonts w:cs="Arial"/>
                <w:sz w:val="24"/>
                <w:szCs w:val="24"/>
              </w:rPr>
            </w:pPr>
            <w:r w:rsidRPr="005D6582">
              <w:rPr>
                <w:rFonts w:cs="Arial"/>
                <w:sz w:val="24"/>
                <w:szCs w:val="24"/>
              </w:rPr>
              <w:t>Průběžná</w:t>
            </w:r>
          </w:p>
        </w:tc>
      </w:tr>
      <w:tr w:rsidR="00C9664D" w:rsidRPr="005D6582" w14:paraId="1F765F2C" w14:textId="77777777" w:rsidTr="00C9664D">
        <w:trPr>
          <w:trHeight w:val="454"/>
        </w:trPr>
        <w:tc>
          <w:tcPr>
            <w:tcW w:w="4605" w:type="dxa"/>
            <w:shd w:val="clear" w:color="auto" w:fill="D9D9D9"/>
          </w:tcPr>
          <w:p w14:paraId="24F8D043" w14:textId="77777777" w:rsidR="00C9664D" w:rsidRPr="005D6582" w:rsidRDefault="00C9664D" w:rsidP="000F7C67">
            <w:pPr>
              <w:spacing w:after="0"/>
              <w:rPr>
                <w:rFonts w:cs="Arial"/>
                <w:b/>
                <w:bCs/>
                <w:sz w:val="24"/>
                <w:szCs w:val="24"/>
              </w:rPr>
            </w:pPr>
            <w:r w:rsidRPr="005D6582">
              <w:rPr>
                <w:rFonts w:cs="Arial"/>
                <w:b/>
                <w:bCs/>
                <w:sz w:val="24"/>
                <w:szCs w:val="24"/>
              </w:rPr>
              <w:t>Synergické vazby výzvy</w:t>
            </w:r>
          </w:p>
          <w:p w14:paraId="785A6A83" w14:textId="77777777" w:rsidR="00C9664D" w:rsidRPr="005D6582" w:rsidRDefault="00C9664D" w:rsidP="000F7C67">
            <w:pPr>
              <w:spacing w:after="0"/>
              <w:rPr>
                <w:rFonts w:cs="Arial"/>
                <w:b/>
                <w:bCs/>
                <w:sz w:val="24"/>
                <w:szCs w:val="24"/>
              </w:rPr>
            </w:pPr>
          </w:p>
        </w:tc>
        <w:tc>
          <w:tcPr>
            <w:tcW w:w="4605" w:type="dxa"/>
          </w:tcPr>
          <w:p w14:paraId="3FB50B11" w14:textId="77777777" w:rsidR="00C9664D" w:rsidRPr="005D6582" w:rsidRDefault="00C9664D" w:rsidP="00465B85">
            <w:pPr>
              <w:spacing w:after="0"/>
              <w:jc w:val="left"/>
              <w:rPr>
                <w:rFonts w:cs="Arial"/>
                <w:sz w:val="24"/>
                <w:szCs w:val="24"/>
              </w:rPr>
            </w:pPr>
            <w:r w:rsidRPr="005D6582">
              <w:rPr>
                <w:rFonts w:cs="Arial"/>
                <w:sz w:val="24"/>
                <w:szCs w:val="24"/>
              </w:rPr>
              <w:t xml:space="preserve">Tato výzva nezakládá synergické vazby s výzvami jiných operačních programů </w:t>
            </w:r>
          </w:p>
        </w:tc>
      </w:tr>
      <w:tr w:rsidR="004D7746" w:rsidRPr="005D6582" w14:paraId="0DB60702" w14:textId="77777777" w:rsidTr="00C9664D">
        <w:trPr>
          <w:trHeight w:val="449"/>
        </w:trPr>
        <w:tc>
          <w:tcPr>
            <w:tcW w:w="4605" w:type="dxa"/>
            <w:shd w:val="clear" w:color="auto" w:fill="D9D9D9"/>
          </w:tcPr>
          <w:p w14:paraId="1B2DE637" w14:textId="77777777" w:rsidR="004D7746" w:rsidRPr="005D6582" w:rsidRDefault="004A6D82" w:rsidP="000F7C67">
            <w:pPr>
              <w:spacing w:after="0"/>
              <w:rPr>
                <w:rFonts w:cs="Arial"/>
                <w:b/>
                <w:bCs/>
                <w:sz w:val="24"/>
                <w:szCs w:val="24"/>
              </w:rPr>
            </w:pPr>
            <w:r w:rsidRPr="005D6582">
              <w:rPr>
                <w:rFonts w:cs="Arial"/>
                <w:b/>
                <w:bCs/>
                <w:sz w:val="24"/>
                <w:szCs w:val="24"/>
              </w:rPr>
              <w:t>Datum vyhlášení výzvy</w:t>
            </w:r>
          </w:p>
          <w:p w14:paraId="4AE58D8B" w14:textId="77777777" w:rsidR="004D7746" w:rsidRPr="005D6582" w:rsidRDefault="004D7746" w:rsidP="000F7C67">
            <w:pPr>
              <w:spacing w:after="0"/>
              <w:rPr>
                <w:rFonts w:cs="Arial"/>
                <w:b/>
                <w:bCs/>
                <w:sz w:val="24"/>
                <w:szCs w:val="24"/>
              </w:rPr>
            </w:pPr>
          </w:p>
        </w:tc>
        <w:tc>
          <w:tcPr>
            <w:tcW w:w="4605" w:type="dxa"/>
          </w:tcPr>
          <w:p w14:paraId="6373E4DC" w14:textId="77777777" w:rsidR="00C81FE4" w:rsidRPr="005D6582" w:rsidRDefault="00C81FE4" w:rsidP="001A27C6">
            <w:pPr>
              <w:spacing w:after="0"/>
              <w:jc w:val="left"/>
              <w:rPr>
                <w:rFonts w:cs="Arial"/>
                <w:sz w:val="24"/>
                <w:szCs w:val="24"/>
              </w:rPr>
            </w:pPr>
          </w:p>
          <w:p w14:paraId="701FC42E" w14:textId="77777777" w:rsidR="004D7746" w:rsidRPr="005D6582" w:rsidRDefault="00C81FE4" w:rsidP="001A27C6">
            <w:pPr>
              <w:spacing w:after="0"/>
              <w:jc w:val="left"/>
              <w:rPr>
                <w:sz w:val="24"/>
              </w:rPr>
            </w:pPr>
            <w:r w:rsidRPr="005D6582">
              <w:rPr>
                <w:rFonts w:cs="Arial"/>
                <w:sz w:val="24"/>
                <w:szCs w:val="24"/>
              </w:rPr>
              <w:t>28</w:t>
            </w:r>
            <w:r w:rsidR="001A27C6" w:rsidRPr="005D6582">
              <w:rPr>
                <w:rFonts w:cs="Arial"/>
                <w:sz w:val="24"/>
                <w:szCs w:val="24"/>
              </w:rPr>
              <w:t>.</w:t>
            </w:r>
            <w:r w:rsidR="00F325C8" w:rsidRPr="005D6582">
              <w:rPr>
                <w:rFonts w:cs="Arial"/>
                <w:sz w:val="24"/>
                <w:szCs w:val="24"/>
              </w:rPr>
              <w:t xml:space="preserve"> 4</w:t>
            </w:r>
            <w:r w:rsidRPr="005D6582">
              <w:rPr>
                <w:sz w:val="24"/>
              </w:rPr>
              <w:t xml:space="preserve"> </w:t>
            </w:r>
            <w:r w:rsidR="002F67EA" w:rsidRPr="005D6582">
              <w:rPr>
                <w:sz w:val="24"/>
              </w:rPr>
              <w:t>2017</w:t>
            </w:r>
          </w:p>
        </w:tc>
      </w:tr>
      <w:tr w:rsidR="004D7746" w:rsidRPr="005D6582" w14:paraId="4AD1A7B5" w14:textId="77777777" w:rsidTr="00C9664D">
        <w:trPr>
          <w:trHeight w:val="454"/>
        </w:trPr>
        <w:tc>
          <w:tcPr>
            <w:tcW w:w="4605" w:type="dxa"/>
            <w:shd w:val="clear" w:color="auto" w:fill="D9D9D9"/>
          </w:tcPr>
          <w:p w14:paraId="1B379997" w14:textId="77777777" w:rsidR="004D7746" w:rsidRPr="005D6582" w:rsidRDefault="004A6D82" w:rsidP="000F7C67">
            <w:pPr>
              <w:spacing w:after="0"/>
              <w:rPr>
                <w:rFonts w:cs="Arial"/>
                <w:b/>
                <w:bCs/>
                <w:sz w:val="24"/>
                <w:szCs w:val="24"/>
              </w:rPr>
            </w:pPr>
            <w:r w:rsidRPr="005D6582">
              <w:rPr>
                <w:rFonts w:cs="Arial"/>
                <w:b/>
                <w:bCs/>
                <w:sz w:val="24"/>
                <w:szCs w:val="24"/>
              </w:rPr>
              <w:t xml:space="preserve">Datum zahájení příjmu žádostí o podporu </w:t>
            </w:r>
          </w:p>
        </w:tc>
        <w:tc>
          <w:tcPr>
            <w:tcW w:w="4605" w:type="dxa"/>
          </w:tcPr>
          <w:p w14:paraId="3F0C02BB" w14:textId="77777777" w:rsidR="004D7746" w:rsidRPr="005D6582" w:rsidRDefault="00C81FE4" w:rsidP="001A27C6">
            <w:pPr>
              <w:spacing w:after="0"/>
              <w:jc w:val="left"/>
              <w:rPr>
                <w:sz w:val="24"/>
              </w:rPr>
            </w:pPr>
            <w:r w:rsidRPr="005D6582">
              <w:rPr>
                <w:sz w:val="24"/>
              </w:rPr>
              <w:t>1</w:t>
            </w:r>
            <w:r w:rsidR="002F67EA" w:rsidRPr="005D6582">
              <w:rPr>
                <w:sz w:val="24"/>
              </w:rPr>
              <w:t>.</w:t>
            </w:r>
            <w:r w:rsidR="00F325C8" w:rsidRPr="005D6582">
              <w:rPr>
                <w:sz w:val="24"/>
              </w:rPr>
              <w:t xml:space="preserve"> 6</w:t>
            </w:r>
            <w:r w:rsidR="00451F4E" w:rsidRPr="005D6582">
              <w:rPr>
                <w:sz w:val="24"/>
              </w:rPr>
              <w:t>.</w:t>
            </w:r>
            <w:r w:rsidR="002F67EA" w:rsidRPr="005D6582">
              <w:rPr>
                <w:sz w:val="24"/>
              </w:rPr>
              <w:t xml:space="preserve"> 2017</w:t>
            </w:r>
          </w:p>
        </w:tc>
      </w:tr>
      <w:tr w:rsidR="004D7746" w:rsidRPr="005D6582" w14:paraId="780C322E" w14:textId="77777777" w:rsidTr="00C9664D">
        <w:trPr>
          <w:trHeight w:val="454"/>
        </w:trPr>
        <w:tc>
          <w:tcPr>
            <w:tcW w:w="4605" w:type="dxa"/>
            <w:shd w:val="clear" w:color="auto" w:fill="D9D9D9"/>
          </w:tcPr>
          <w:p w14:paraId="681BBA8B" w14:textId="77777777" w:rsidR="004D7746" w:rsidRPr="005D6582" w:rsidRDefault="004A6D82" w:rsidP="000F7C67">
            <w:pPr>
              <w:spacing w:after="0"/>
              <w:rPr>
                <w:rFonts w:cs="Arial"/>
                <w:b/>
                <w:bCs/>
                <w:sz w:val="24"/>
                <w:szCs w:val="24"/>
              </w:rPr>
            </w:pPr>
            <w:r w:rsidRPr="005D6582">
              <w:rPr>
                <w:rFonts w:cs="Arial"/>
                <w:b/>
                <w:bCs/>
                <w:sz w:val="24"/>
                <w:szCs w:val="24"/>
              </w:rPr>
              <w:t>Datum ukončení příjmu žádostí o podporu</w:t>
            </w:r>
          </w:p>
        </w:tc>
        <w:tc>
          <w:tcPr>
            <w:tcW w:w="4605" w:type="dxa"/>
          </w:tcPr>
          <w:p w14:paraId="0AD06700" w14:textId="77777777" w:rsidR="004D7746" w:rsidRPr="005D6582" w:rsidRDefault="00917479">
            <w:pPr>
              <w:spacing w:after="0"/>
              <w:jc w:val="left"/>
              <w:rPr>
                <w:rFonts w:cs="Arial"/>
                <w:sz w:val="24"/>
                <w:szCs w:val="24"/>
              </w:rPr>
            </w:pPr>
            <w:r w:rsidRPr="005D6582">
              <w:rPr>
                <w:rFonts w:cs="Arial"/>
                <w:sz w:val="24"/>
                <w:szCs w:val="24"/>
              </w:rPr>
              <w:t>31.</w:t>
            </w:r>
            <w:r w:rsidR="001A27C6" w:rsidRPr="005D6582">
              <w:rPr>
                <w:rFonts w:cs="Arial"/>
                <w:sz w:val="24"/>
                <w:szCs w:val="24"/>
              </w:rPr>
              <w:t xml:space="preserve"> </w:t>
            </w:r>
            <w:r w:rsidR="006D290D" w:rsidRPr="005D6582">
              <w:rPr>
                <w:rFonts w:cs="Arial"/>
                <w:sz w:val="24"/>
                <w:szCs w:val="24"/>
              </w:rPr>
              <w:t>3</w:t>
            </w:r>
            <w:r w:rsidR="00C972E2" w:rsidRPr="005D6582">
              <w:rPr>
                <w:rFonts w:cs="Arial"/>
                <w:sz w:val="24"/>
                <w:szCs w:val="24"/>
              </w:rPr>
              <w:t>.</w:t>
            </w:r>
            <w:r w:rsidR="001A27C6" w:rsidRPr="005D6582">
              <w:rPr>
                <w:rFonts w:cs="Arial"/>
                <w:sz w:val="24"/>
                <w:szCs w:val="24"/>
              </w:rPr>
              <w:t xml:space="preserve"> </w:t>
            </w:r>
            <w:r w:rsidR="004A6D82" w:rsidRPr="005D6582">
              <w:rPr>
                <w:rFonts w:cs="Arial"/>
                <w:sz w:val="24"/>
                <w:szCs w:val="24"/>
              </w:rPr>
              <w:t>201</w:t>
            </w:r>
            <w:r w:rsidR="006D290D" w:rsidRPr="005D6582">
              <w:rPr>
                <w:rFonts w:cs="Arial"/>
                <w:sz w:val="24"/>
                <w:szCs w:val="24"/>
              </w:rPr>
              <w:t>9</w:t>
            </w:r>
          </w:p>
        </w:tc>
      </w:tr>
      <w:tr w:rsidR="00D12F4E" w:rsidRPr="005D6582" w14:paraId="6030692E" w14:textId="77777777" w:rsidTr="00C9664D">
        <w:trPr>
          <w:trHeight w:val="454"/>
        </w:trPr>
        <w:tc>
          <w:tcPr>
            <w:tcW w:w="4605" w:type="dxa"/>
            <w:shd w:val="clear" w:color="auto" w:fill="D9D9D9"/>
          </w:tcPr>
          <w:p w14:paraId="06EDFDFC" w14:textId="77777777" w:rsidR="00D12F4E" w:rsidRPr="005D6582" w:rsidRDefault="004A6D82" w:rsidP="000F7C67">
            <w:pPr>
              <w:spacing w:after="0"/>
              <w:rPr>
                <w:rFonts w:cs="Arial"/>
                <w:b/>
                <w:bCs/>
                <w:sz w:val="24"/>
                <w:szCs w:val="24"/>
              </w:rPr>
            </w:pPr>
            <w:r w:rsidRPr="005D6582">
              <w:rPr>
                <w:rFonts w:cs="Arial"/>
                <w:b/>
                <w:bCs/>
                <w:sz w:val="24"/>
                <w:szCs w:val="24"/>
              </w:rPr>
              <w:t>Plánovaná alokace výzvy</w:t>
            </w:r>
          </w:p>
        </w:tc>
        <w:tc>
          <w:tcPr>
            <w:tcW w:w="4605" w:type="dxa"/>
          </w:tcPr>
          <w:p w14:paraId="733555FB" w14:textId="77777777" w:rsidR="00D12F4E" w:rsidRPr="005D6582" w:rsidRDefault="00E81C7B" w:rsidP="00E81C7B">
            <w:pPr>
              <w:spacing w:after="0"/>
              <w:rPr>
                <w:rFonts w:cs="Arial"/>
                <w:sz w:val="24"/>
                <w:szCs w:val="24"/>
              </w:rPr>
            </w:pPr>
            <w:r w:rsidRPr="005D6582">
              <w:rPr>
                <w:rFonts w:cs="Arial"/>
                <w:sz w:val="24"/>
                <w:szCs w:val="24"/>
              </w:rPr>
              <w:t>2</w:t>
            </w:r>
            <w:r w:rsidR="004A6D82" w:rsidRPr="005D6582">
              <w:rPr>
                <w:rFonts w:cs="Arial"/>
                <w:sz w:val="24"/>
                <w:szCs w:val="24"/>
              </w:rPr>
              <w:t xml:space="preserve"> </w:t>
            </w:r>
            <w:r w:rsidRPr="005D6582">
              <w:rPr>
                <w:rFonts w:cs="Arial"/>
                <w:sz w:val="24"/>
                <w:szCs w:val="24"/>
              </w:rPr>
              <w:t>2</w:t>
            </w:r>
            <w:r w:rsidR="008B391B" w:rsidRPr="005D6582">
              <w:rPr>
                <w:rFonts w:cs="Arial"/>
                <w:sz w:val="24"/>
                <w:szCs w:val="24"/>
              </w:rPr>
              <w:t>0</w:t>
            </w:r>
            <w:r w:rsidR="004A6D82" w:rsidRPr="005D6582">
              <w:rPr>
                <w:rFonts w:cs="Arial"/>
                <w:sz w:val="24"/>
                <w:szCs w:val="24"/>
              </w:rPr>
              <w:t>0 000 000,- Kč</w:t>
            </w:r>
          </w:p>
        </w:tc>
      </w:tr>
      <w:tr w:rsidR="00D12F4E" w:rsidRPr="005D6582" w14:paraId="1CD73D2C" w14:textId="77777777" w:rsidTr="00C9664D">
        <w:trPr>
          <w:trHeight w:val="454"/>
        </w:trPr>
        <w:tc>
          <w:tcPr>
            <w:tcW w:w="4605" w:type="dxa"/>
            <w:shd w:val="clear" w:color="auto" w:fill="D9D9D9"/>
          </w:tcPr>
          <w:p w14:paraId="3C3FF23D" w14:textId="77777777" w:rsidR="00D12F4E" w:rsidRPr="005D6582" w:rsidRDefault="004A6D82" w:rsidP="000F7C67">
            <w:pPr>
              <w:spacing w:after="0"/>
              <w:rPr>
                <w:rFonts w:cs="Arial"/>
                <w:b/>
                <w:bCs/>
                <w:sz w:val="24"/>
                <w:szCs w:val="24"/>
              </w:rPr>
            </w:pPr>
            <w:r w:rsidRPr="005D6582">
              <w:rPr>
                <w:rFonts w:cs="Arial"/>
                <w:b/>
                <w:bCs/>
                <w:sz w:val="24"/>
                <w:szCs w:val="24"/>
              </w:rPr>
              <w:t xml:space="preserve">Typ podporovaných operací </w:t>
            </w:r>
          </w:p>
        </w:tc>
        <w:tc>
          <w:tcPr>
            <w:tcW w:w="4605" w:type="dxa"/>
          </w:tcPr>
          <w:p w14:paraId="7C3CD08B" w14:textId="77777777" w:rsidR="00D12F4E" w:rsidRPr="005D6582" w:rsidRDefault="004A6D82" w:rsidP="000F7C67">
            <w:pPr>
              <w:spacing w:after="0"/>
              <w:rPr>
                <w:rFonts w:cs="Arial"/>
                <w:sz w:val="24"/>
                <w:szCs w:val="24"/>
              </w:rPr>
            </w:pPr>
            <w:r w:rsidRPr="005D6582">
              <w:rPr>
                <w:rFonts w:cs="Arial"/>
                <w:sz w:val="24"/>
                <w:szCs w:val="24"/>
              </w:rPr>
              <w:t>Finanční nástroj</w:t>
            </w:r>
          </w:p>
          <w:p w14:paraId="44196227" w14:textId="77777777" w:rsidR="00D12F4E" w:rsidRPr="005D6582" w:rsidRDefault="00D12F4E" w:rsidP="000F7C67">
            <w:pPr>
              <w:spacing w:after="0"/>
              <w:rPr>
                <w:rFonts w:cs="Arial"/>
                <w:sz w:val="24"/>
                <w:szCs w:val="24"/>
              </w:rPr>
            </w:pPr>
          </w:p>
        </w:tc>
      </w:tr>
      <w:tr w:rsidR="00641838" w:rsidRPr="005D6582" w14:paraId="5C879745" w14:textId="77777777" w:rsidTr="00C9664D">
        <w:trPr>
          <w:trHeight w:val="454"/>
        </w:trPr>
        <w:tc>
          <w:tcPr>
            <w:tcW w:w="4605" w:type="dxa"/>
            <w:shd w:val="clear" w:color="auto" w:fill="D9D9D9"/>
          </w:tcPr>
          <w:p w14:paraId="08529402" w14:textId="77777777" w:rsidR="00641838" w:rsidRPr="005D6582" w:rsidRDefault="002F67EA" w:rsidP="000F7C67">
            <w:pPr>
              <w:spacing w:after="0"/>
              <w:rPr>
                <w:rFonts w:cs="Arial"/>
                <w:b/>
                <w:bCs/>
                <w:sz w:val="24"/>
                <w:szCs w:val="24"/>
              </w:rPr>
            </w:pPr>
            <w:r w:rsidRPr="005D6582">
              <w:rPr>
                <w:rFonts w:cs="Arial"/>
                <w:b/>
                <w:bCs/>
                <w:sz w:val="24"/>
                <w:szCs w:val="24"/>
              </w:rPr>
              <w:t>Režim podpory</w:t>
            </w:r>
          </w:p>
        </w:tc>
        <w:tc>
          <w:tcPr>
            <w:tcW w:w="4605" w:type="dxa"/>
          </w:tcPr>
          <w:p w14:paraId="6304CE17" w14:textId="77777777" w:rsidR="00641838" w:rsidRPr="005D6582" w:rsidRDefault="002F67EA" w:rsidP="00273D9B">
            <w:pPr>
              <w:spacing w:after="0"/>
              <w:rPr>
                <w:rFonts w:cs="Calibri"/>
              </w:rPr>
            </w:pPr>
            <w:r w:rsidRPr="005D6582">
              <w:rPr>
                <w:rFonts w:cs="Calibri"/>
              </w:rPr>
              <w:t>Článk</w:t>
            </w:r>
            <w:r w:rsidR="00273D9B" w:rsidRPr="005D6582">
              <w:rPr>
                <w:rFonts w:cs="Calibri"/>
              </w:rPr>
              <w:t>y</w:t>
            </w:r>
            <w:r w:rsidRPr="005D6582">
              <w:rPr>
                <w:rFonts w:cs="Calibri"/>
              </w:rPr>
              <w:t xml:space="preserve"> 14 a 17 Nařízení Komise (EU) č. 651/2014</w:t>
            </w:r>
          </w:p>
          <w:p w14:paraId="4A633F7E" w14:textId="77777777" w:rsidR="00641838" w:rsidRPr="005D6582" w:rsidRDefault="002F67EA" w:rsidP="00273D9B">
            <w:pPr>
              <w:spacing w:after="0"/>
              <w:rPr>
                <w:rFonts w:cs="Arial"/>
                <w:sz w:val="24"/>
                <w:szCs w:val="24"/>
              </w:rPr>
            </w:pPr>
            <w:r w:rsidRPr="005D6582">
              <w:rPr>
                <w:rFonts w:cs="Calibri"/>
              </w:rPr>
              <w:t xml:space="preserve">Nařízení Komise (EU) č. 1407/2013 </w:t>
            </w:r>
            <w:r w:rsidR="00273D9B" w:rsidRPr="005D6582">
              <w:rPr>
                <w:rFonts w:cs="Calibri"/>
              </w:rPr>
              <w:t xml:space="preserve">(podpora de </w:t>
            </w:r>
            <w:proofErr w:type="spellStart"/>
            <w:r w:rsidR="00273D9B" w:rsidRPr="005D6582">
              <w:rPr>
                <w:rFonts w:cs="Calibri"/>
              </w:rPr>
              <w:t>minimis</w:t>
            </w:r>
            <w:proofErr w:type="spellEnd"/>
            <w:r w:rsidR="00273D9B" w:rsidRPr="005D6582">
              <w:rPr>
                <w:rFonts w:cs="Calibri"/>
              </w:rPr>
              <w:t>)</w:t>
            </w:r>
          </w:p>
        </w:tc>
      </w:tr>
    </w:tbl>
    <w:p w14:paraId="58C30B61" w14:textId="77777777" w:rsidR="000F7C67" w:rsidRPr="005D6582" w:rsidRDefault="000F7C67" w:rsidP="000F7C67"/>
    <w:p w14:paraId="4D9875DC" w14:textId="77777777" w:rsidR="00B7745E" w:rsidRPr="005D6582" w:rsidRDefault="004A6D82" w:rsidP="000F7C67">
      <w:pPr>
        <w:pStyle w:val="Nadplev"/>
      </w:pPr>
      <w:r w:rsidRPr="005D6582">
        <w:br w:type="page"/>
      </w:r>
      <w:r w:rsidRPr="005D6582">
        <w:lastRenderedPageBreak/>
        <w:t>Obsah</w:t>
      </w:r>
    </w:p>
    <w:p w14:paraId="6CEE48CB" w14:textId="491188BD" w:rsidR="005B20B0" w:rsidRPr="005D6582" w:rsidRDefault="00202118">
      <w:pPr>
        <w:pStyle w:val="Obsah1"/>
        <w:rPr>
          <w:rFonts w:asciiTheme="minorHAnsi" w:eastAsiaTheme="minorEastAsia" w:hAnsiTheme="minorHAnsi" w:cstheme="minorBidi"/>
          <w:b w:val="0"/>
          <w:bCs w:val="0"/>
          <w:caps w:val="0"/>
          <w:noProof/>
          <w:szCs w:val="22"/>
        </w:rPr>
      </w:pPr>
      <w:r w:rsidRPr="005D6582">
        <w:rPr>
          <w:rFonts w:cs="Calibri"/>
          <w:caps w:val="0"/>
        </w:rPr>
        <w:fldChar w:fldCharType="begin"/>
      </w:r>
      <w:r w:rsidR="004A6D82" w:rsidRPr="005D6582">
        <w:rPr>
          <w:rFonts w:cs="Calibri"/>
          <w:caps w:val="0"/>
        </w:rPr>
        <w:instrText xml:space="preserve"> TOC \o "1-2" \h \z \u </w:instrText>
      </w:r>
      <w:r w:rsidRPr="005D6582">
        <w:rPr>
          <w:rFonts w:cs="Calibri"/>
          <w:caps w:val="0"/>
        </w:rPr>
        <w:fldChar w:fldCharType="separate"/>
      </w:r>
      <w:hyperlink w:anchor="_Toc522175279" w:history="1">
        <w:r w:rsidR="005B20B0" w:rsidRPr="005D6582">
          <w:rPr>
            <w:rStyle w:val="Hypertextovodkaz"/>
            <w:noProof/>
          </w:rPr>
          <w:t>1.</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Cíl programu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_Toc522175279 \h </w:instrText>
        </w:r>
        <w:r w:rsidR="005B20B0" w:rsidRPr="005D6582">
          <w:rPr>
            <w:noProof/>
            <w:webHidden/>
          </w:rPr>
        </w:r>
        <w:r w:rsidR="005B20B0" w:rsidRPr="005D6582">
          <w:rPr>
            <w:noProof/>
            <w:webHidden/>
          </w:rPr>
          <w:fldChar w:fldCharType="separate"/>
        </w:r>
        <w:r w:rsidR="005B20B0" w:rsidRPr="005D6582">
          <w:rPr>
            <w:noProof/>
            <w:webHidden/>
          </w:rPr>
          <w:t>4</w:t>
        </w:r>
        <w:r w:rsidR="005B20B0" w:rsidRPr="005D6582">
          <w:rPr>
            <w:noProof/>
            <w:webHidden/>
          </w:rPr>
          <w:fldChar w:fldCharType="end"/>
        </w:r>
      </w:hyperlink>
    </w:p>
    <w:p w14:paraId="0C6B85B7"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80" w:history="1">
        <w:r w:rsidR="005B20B0" w:rsidRPr="005D6582">
          <w:rPr>
            <w:rStyle w:val="Hypertextovodkaz"/>
            <w:noProof/>
          </w:rPr>
          <w:t>2.</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Podporované aktivity</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_Toc522175280 \h </w:instrText>
        </w:r>
        <w:r w:rsidR="005B20B0" w:rsidRPr="005D6582">
          <w:rPr>
            <w:noProof/>
            <w:webHidden/>
          </w:rPr>
        </w:r>
        <w:r w:rsidR="005B20B0" w:rsidRPr="005D6582">
          <w:rPr>
            <w:noProof/>
            <w:webHidden/>
          </w:rPr>
          <w:fldChar w:fldCharType="separate"/>
        </w:r>
        <w:r w:rsidR="005B20B0" w:rsidRPr="005D6582">
          <w:rPr>
            <w:noProof/>
            <w:webHidden/>
          </w:rPr>
          <w:t>4</w:t>
        </w:r>
        <w:r w:rsidR="005B20B0" w:rsidRPr="005D6582">
          <w:rPr>
            <w:noProof/>
            <w:webHidden/>
          </w:rPr>
          <w:fldChar w:fldCharType="end"/>
        </w:r>
      </w:hyperlink>
    </w:p>
    <w:p w14:paraId="13F57B99"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81" w:history="1">
        <w:r w:rsidR="005B20B0" w:rsidRPr="005D6582">
          <w:rPr>
            <w:rStyle w:val="Hypertextovodkaz"/>
            <w:noProof/>
          </w:rPr>
          <w:t>3.</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Vymezení příjemců podpory</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_Toc522175281 \h </w:instrText>
        </w:r>
        <w:r w:rsidR="005B20B0" w:rsidRPr="005D6582">
          <w:rPr>
            <w:noProof/>
            <w:webHidden/>
          </w:rPr>
        </w:r>
        <w:r w:rsidR="005B20B0" w:rsidRPr="005D6582">
          <w:rPr>
            <w:noProof/>
            <w:webHidden/>
          </w:rPr>
          <w:fldChar w:fldCharType="separate"/>
        </w:r>
        <w:r w:rsidR="005B20B0" w:rsidRPr="005D6582">
          <w:rPr>
            <w:noProof/>
            <w:webHidden/>
          </w:rPr>
          <w:t>4</w:t>
        </w:r>
        <w:r w:rsidR="005B20B0" w:rsidRPr="005D6582">
          <w:rPr>
            <w:noProof/>
            <w:webHidden/>
          </w:rPr>
          <w:fldChar w:fldCharType="end"/>
        </w:r>
      </w:hyperlink>
    </w:p>
    <w:p w14:paraId="4B936650"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82" w:history="1">
        <w:r w:rsidR="005B20B0" w:rsidRPr="005D6582">
          <w:rPr>
            <w:rStyle w:val="Hypertextovodkaz"/>
            <w:noProof/>
          </w:rPr>
          <w:t>4.</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Podmínky programu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_Toc522175282 \h </w:instrText>
        </w:r>
        <w:r w:rsidR="005B20B0" w:rsidRPr="005D6582">
          <w:rPr>
            <w:noProof/>
            <w:webHidden/>
          </w:rPr>
        </w:r>
        <w:r w:rsidR="005B20B0" w:rsidRPr="005D6582">
          <w:rPr>
            <w:noProof/>
            <w:webHidden/>
          </w:rPr>
          <w:fldChar w:fldCharType="separate"/>
        </w:r>
        <w:r w:rsidR="005B20B0" w:rsidRPr="005D6582">
          <w:rPr>
            <w:noProof/>
            <w:webHidden/>
          </w:rPr>
          <w:t>6</w:t>
        </w:r>
        <w:r w:rsidR="005B20B0" w:rsidRPr="005D6582">
          <w:rPr>
            <w:noProof/>
            <w:webHidden/>
          </w:rPr>
          <w:fldChar w:fldCharType="end"/>
        </w:r>
      </w:hyperlink>
    </w:p>
    <w:p w14:paraId="70C8DAB5" w14:textId="77777777" w:rsidR="005B20B0" w:rsidRPr="005D6582" w:rsidRDefault="00297822">
      <w:pPr>
        <w:pStyle w:val="Obsah2"/>
        <w:rPr>
          <w:rFonts w:asciiTheme="minorHAnsi" w:eastAsiaTheme="minorEastAsia" w:hAnsiTheme="minorHAnsi" w:cstheme="minorBidi"/>
          <w:smallCaps w:val="0"/>
          <w:noProof/>
          <w:szCs w:val="22"/>
        </w:rPr>
      </w:pPr>
      <w:hyperlink w:anchor="_Toc522175283" w:history="1">
        <w:r w:rsidR="005B20B0" w:rsidRPr="005D6582">
          <w:rPr>
            <w:rStyle w:val="Hypertextovodkaz"/>
            <w:noProof/>
          </w:rPr>
          <w:t>4.1</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Podmínky přijatelnosti projektu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_Toc522175283 \h </w:instrText>
        </w:r>
        <w:r w:rsidR="005B20B0" w:rsidRPr="005D6582">
          <w:rPr>
            <w:noProof/>
            <w:webHidden/>
          </w:rPr>
        </w:r>
        <w:r w:rsidR="005B20B0" w:rsidRPr="005D6582">
          <w:rPr>
            <w:noProof/>
            <w:webHidden/>
          </w:rPr>
          <w:fldChar w:fldCharType="separate"/>
        </w:r>
        <w:r w:rsidR="005B20B0" w:rsidRPr="005D6582">
          <w:rPr>
            <w:noProof/>
            <w:webHidden/>
          </w:rPr>
          <w:t>6</w:t>
        </w:r>
        <w:r w:rsidR="005B20B0" w:rsidRPr="005D6582">
          <w:rPr>
            <w:noProof/>
            <w:webHidden/>
          </w:rPr>
          <w:fldChar w:fldCharType="end"/>
        </w:r>
      </w:hyperlink>
    </w:p>
    <w:p w14:paraId="647B552D" w14:textId="77777777" w:rsidR="005B20B0" w:rsidRPr="005D6582" w:rsidRDefault="00297822">
      <w:pPr>
        <w:pStyle w:val="Obsah2"/>
        <w:rPr>
          <w:rFonts w:asciiTheme="minorHAnsi" w:eastAsiaTheme="minorEastAsia" w:hAnsiTheme="minorHAnsi" w:cstheme="minorBidi"/>
          <w:smallCaps w:val="0"/>
          <w:noProof/>
          <w:szCs w:val="22"/>
        </w:rPr>
      </w:pPr>
      <w:hyperlink w:anchor="_Toc522175284" w:history="1">
        <w:r w:rsidR="005B20B0" w:rsidRPr="005D6582">
          <w:rPr>
            <w:rStyle w:val="Hypertextovodkaz"/>
            <w:noProof/>
          </w:rPr>
          <w:t>4.2</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Ostatní podmínky</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_Toc522175284 \h </w:instrText>
        </w:r>
        <w:r w:rsidR="005B20B0" w:rsidRPr="005D6582">
          <w:rPr>
            <w:noProof/>
            <w:webHidden/>
          </w:rPr>
        </w:r>
        <w:r w:rsidR="005B20B0" w:rsidRPr="005D6582">
          <w:rPr>
            <w:noProof/>
            <w:webHidden/>
          </w:rPr>
          <w:fldChar w:fldCharType="separate"/>
        </w:r>
        <w:r w:rsidR="005B20B0" w:rsidRPr="005D6582">
          <w:rPr>
            <w:noProof/>
            <w:webHidden/>
          </w:rPr>
          <w:t>8</w:t>
        </w:r>
        <w:r w:rsidR="005B20B0" w:rsidRPr="005D6582">
          <w:rPr>
            <w:noProof/>
            <w:webHidden/>
          </w:rPr>
          <w:fldChar w:fldCharType="end"/>
        </w:r>
      </w:hyperlink>
    </w:p>
    <w:p w14:paraId="6A7F9043" w14:textId="77777777" w:rsidR="005B20B0" w:rsidRPr="005D6582" w:rsidRDefault="00297822">
      <w:pPr>
        <w:pStyle w:val="Obsah2"/>
        <w:rPr>
          <w:rFonts w:asciiTheme="minorHAnsi" w:eastAsiaTheme="minorEastAsia" w:hAnsiTheme="minorHAnsi" w:cstheme="minorBidi"/>
          <w:smallCaps w:val="0"/>
          <w:noProof/>
          <w:szCs w:val="22"/>
        </w:rPr>
      </w:pPr>
      <w:hyperlink w:anchor="_Toc522175285" w:history="1">
        <w:r w:rsidR="005B20B0" w:rsidRPr="005D6582">
          <w:rPr>
            <w:rStyle w:val="Hypertextovodkaz"/>
            <w:noProof/>
          </w:rPr>
          <w:t>4.3</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Způsobilé výdaje</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_Toc522175285 \h </w:instrText>
        </w:r>
        <w:r w:rsidR="005B20B0" w:rsidRPr="005D6582">
          <w:rPr>
            <w:noProof/>
            <w:webHidden/>
          </w:rPr>
        </w:r>
        <w:r w:rsidR="005B20B0" w:rsidRPr="005D6582">
          <w:rPr>
            <w:noProof/>
            <w:webHidden/>
          </w:rPr>
          <w:fldChar w:fldCharType="separate"/>
        </w:r>
        <w:r w:rsidR="005B20B0" w:rsidRPr="005D6582">
          <w:rPr>
            <w:noProof/>
            <w:webHidden/>
          </w:rPr>
          <w:t>10</w:t>
        </w:r>
        <w:r w:rsidR="005B20B0" w:rsidRPr="005D6582">
          <w:rPr>
            <w:noProof/>
            <w:webHidden/>
          </w:rPr>
          <w:fldChar w:fldCharType="end"/>
        </w:r>
      </w:hyperlink>
    </w:p>
    <w:p w14:paraId="3ACE5047"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86" w:history="1">
        <w:r w:rsidR="005B20B0" w:rsidRPr="005D6582">
          <w:rPr>
            <w:rStyle w:val="Hypertextovodkaz"/>
            <w:noProof/>
          </w:rPr>
          <w:t>5.</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Forma a výše podpory</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_Toc522175286 \h </w:instrText>
        </w:r>
        <w:r w:rsidR="005B20B0" w:rsidRPr="005D6582">
          <w:rPr>
            <w:noProof/>
            <w:webHidden/>
          </w:rPr>
        </w:r>
        <w:r w:rsidR="005B20B0" w:rsidRPr="005D6582">
          <w:rPr>
            <w:noProof/>
            <w:webHidden/>
          </w:rPr>
          <w:fldChar w:fldCharType="separate"/>
        </w:r>
        <w:r w:rsidR="005B20B0" w:rsidRPr="005D6582">
          <w:rPr>
            <w:noProof/>
            <w:webHidden/>
          </w:rPr>
          <w:t>11</w:t>
        </w:r>
        <w:r w:rsidR="005B20B0" w:rsidRPr="005D6582">
          <w:rPr>
            <w:noProof/>
            <w:webHidden/>
          </w:rPr>
          <w:fldChar w:fldCharType="end"/>
        </w:r>
      </w:hyperlink>
    </w:p>
    <w:p w14:paraId="17EA89E3" w14:textId="77777777" w:rsidR="005B20B0" w:rsidRPr="005D6582" w:rsidRDefault="00297822">
      <w:pPr>
        <w:pStyle w:val="Obsah2"/>
        <w:rPr>
          <w:rFonts w:asciiTheme="minorHAnsi" w:eastAsiaTheme="minorEastAsia" w:hAnsiTheme="minorHAnsi" w:cstheme="minorBidi"/>
          <w:smallCaps w:val="0"/>
          <w:noProof/>
          <w:szCs w:val="22"/>
        </w:rPr>
      </w:pPr>
      <w:hyperlink w:anchor="_Toc522175287" w:history="1">
        <w:r w:rsidR="005B20B0" w:rsidRPr="005D6582">
          <w:rPr>
            <w:rStyle w:val="Hypertextovodkaz"/>
            <w:noProof/>
          </w:rPr>
          <w:t>5.1</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Zvýhodněný úvěr</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_Toc522175287 \h </w:instrText>
        </w:r>
        <w:r w:rsidR="005B20B0" w:rsidRPr="005D6582">
          <w:rPr>
            <w:noProof/>
            <w:webHidden/>
          </w:rPr>
        </w:r>
        <w:r w:rsidR="005B20B0" w:rsidRPr="005D6582">
          <w:rPr>
            <w:noProof/>
            <w:webHidden/>
          </w:rPr>
          <w:fldChar w:fldCharType="separate"/>
        </w:r>
        <w:r w:rsidR="005B20B0" w:rsidRPr="005D6582">
          <w:rPr>
            <w:noProof/>
            <w:webHidden/>
          </w:rPr>
          <w:t>11</w:t>
        </w:r>
        <w:r w:rsidR="005B20B0" w:rsidRPr="005D6582">
          <w:rPr>
            <w:noProof/>
            <w:webHidden/>
          </w:rPr>
          <w:fldChar w:fldCharType="end"/>
        </w:r>
      </w:hyperlink>
    </w:p>
    <w:p w14:paraId="1BB897FE" w14:textId="77777777" w:rsidR="005B20B0" w:rsidRPr="005D6582" w:rsidRDefault="00297822">
      <w:pPr>
        <w:pStyle w:val="Obsah2"/>
        <w:rPr>
          <w:rFonts w:asciiTheme="minorHAnsi" w:eastAsiaTheme="minorEastAsia" w:hAnsiTheme="minorHAnsi" w:cstheme="minorBidi"/>
          <w:smallCaps w:val="0"/>
          <w:noProof/>
          <w:szCs w:val="22"/>
        </w:rPr>
      </w:pPr>
      <w:hyperlink w:anchor="_Toc522175288" w:history="1">
        <w:r w:rsidR="005B20B0" w:rsidRPr="005D6582">
          <w:rPr>
            <w:rStyle w:val="Hypertextovodkaz"/>
            <w:noProof/>
          </w:rPr>
          <w:t>5.2</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Zvýhodněný úvěr  (projekty NGA a Efektivního využívání vody v průmyslu)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_Toc522175288 \h </w:instrText>
        </w:r>
        <w:r w:rsidR="005B20B0" w:rsidRPr="005D6582">
          <w:rPr>
            <w:noProof/>
            <w:webHidden/>
          </w:rPr>
        </w:r>
        <w:r w:rsidR="005B20B0" w:rsidRPr="005D6582">
          <w:rPr>
            <w:noProof/>
            <w:webHidden/>
          </w:rPr>
          <w:fldChar w:fldCharType="separate"/>
        </w:r>
        <w:r w:rsidR="005B20B0" w:rsidRPr="005D6582">
          <w:rPr>
            <w:noProof/>
            <w:webHidden/>
          </w:rPr>
          <w:t>12</w:t>
        </w:r>
        <w:r w:rsidR="005B20B0" w:rsidRPr="005D6582">
          <w:rPr>
            <w:noProof/>
            <w:webHidden/>
          </w:rPr>
          <w:fldChar w:fldCharType="end"/>
        </w:r>
      </w:hyperlink>
    </w:p>
    <w:p w14:paraId="13ABAC8A" w14:textId="77777777" w:rsidR="005B20B0" w:rsidRPr="005D6582" w:rsidRDefault="00297822">
      <w:pPr>
        <w:pStyle w:val="Obsah2"/>
        <w:rPr>
          <w:rFonts w:asciiTheme="minorHAnsi" w:eastAsiaTheme="minorEastAsia" w:hAnsiTheme="minorHAnsi" w:cstheme="minorBidi"/>
          <w:smallCaps w:val="0"/>
          <w:noProof/>
          <w:szCs w:val="22"/>
        </w:rPr>
      </w:pPr>
      <w:hyperlink w:anchor="_Toc522175289" w:history="1">
        <w:r w:rsidR="005B20B0" w:rsidRPr="005D6582">
          <w:rPr>
            <w:rStyle w:val="Hypertextovodkaz"/>
            <w:noProof/>
          </w:rPr>
          <w:t>5.3</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Finanční příspěvek</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_Toc522175289 \h </w:instrText>
        </w:r>
        <w:r w:rsidR="005B20B0" w:rsidRPr="005D6582">
          <w:rPr>
            <w:noProof/>
            <w:webHidden/>
          </w:rPr>
        </w:r>
        <w:r w:rsidR="005B20B0" w:rsidRPr="005D6582">
          <w:rPr>
            <w:noProof/>
            <w:webHidden/>
          </w:rPr>
          <w:fldChar w:fldCharType="separate"/>
        </w:r>
        <w:r w:rsidR="005B20B0" w:rsidRPr="005D6582">
          <w:rPr>
            <w:noProof/>
            <w:webHidden/>
          </w:rPr>
          <w:t>12</w:t>
        </w:r>
        <w:r w:rsidR="005B20B0" w:rsidRPr="005D6582">
          <w:rPr>
            <w:noProof/>
            <w:webHidden/>
          </w:rPr>
          <w:fldChar w:fldCharType="end"/>
        </w:r>
      </w:hyperlink>
    </w:p>
    <w:p w14:paraId="3C06E5A0"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90" w:history="1">
        <w:r w:rsidR="005B20B0" w:rsidRPr="005D6582">
          <w:rPr>
            <w:rStyle w:val="Hypertextovodkaz"/>
            <w:noProof/>
          </w:rPr>
          <w:t>6.</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Výběr projektů</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_Toc522175290 \h </w:instrText>
        </w:r>
        <w:r w:rsidR="005B20B0" w:rsidRPr="005D6582">
          <w:rPr>
            <w:noProof/>
            <w:webHidden/>
          </w:rPr>
        </w:r>
        <w:r w:rsidR="005B20B0" w:rsidRPr="005D6582">
          <w:rPr>
            <w:noProof/>
            <w:webHidden/>
          </w:rPr>
          <w:fldChar w:fldCharType="separate"/>
        </w:r>
        <w:r w:rsidR="005B20B0" w:rsidRPr="005D6582">
          <w:rPr>
            <w:noProof/>
            <w:webHidden/>
          </w:rPr>
          <w:t>14</w:t>
        </w:r>
        <w:r w:rsidR="005B20B0" w:rsidRPr="005D6582">
          <w:rPr>
            <w:noProof/>
            <w:webHidden/>
          </w:rPr>
          <w:fldChar w:fldCharType="end"/>
        </w:r>
      </w:hyperlink>
    </w:p>
    <w:p w14:paraId="6FA40D81" w14:textId="77777777" w:rsidR="005B20B0" w:rsidRPr="005D6582" w:rsidRDefault="00297822">
      <w:pPr>
        <w:pStyle w:val="Obsah2"/>
        <w:rPr>
          <w:rFonts w:asciiTheme="minorHAnsi" w:eastAsiaTheme="minorEastAsia" w:hAnsiTheme="minorHAnsi" w:cstheme="minorBidi"/>
          <w:smallCaps w:val="0"/>
          <w:noProof/>
          <w:szCs w:val="22"/>
        </w:rPr>
      </w:pPr>
      <w:hyperlink w:anchor="_Toc522175291" w:history="1">
        <w:r w:rsidR="005B20B0" w:rsidRPr="005D6582">
          <w:rPr>
            <w:rStyle w:val="Hypertextovodkaz"/>
            <w:noProof/>
          </w:rPr>
          <w:t>6.1</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Výběrová kritéria</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_Toc522175291 \h </w:instrText>
        </w:r>
        <w:r w:rsidR="005B20B0" w:rsidRPr="005D6582">
          <w:rPr>
            <w:noProof/>
            <w:webHidden/>
          </w:rPr>
        </w:r>
        <w:r w:rsidR="005B20B0" w:rsidRPr="005D6582">
          <w:rPr>
            <w:noProof/>
            <w:webHidden/>
          </w:rPr>
          <w:fldChar w:fldCharType="separate"/>
        </w:r>
        <w:r w:rsidR="005B20B0" w:rsidRPr="005D6582">
          <w:rPr>
            <w:noProof/>
            <w:webHidden/>
          </w:rPr>
          <w:t>14</w:t>
        </w:r>
        <w:r w:rsidR="005B20B0" w:rsidRPr="005D6582">
          <w:rPr>
            <w:noProof/>
            <w:webHidden/>
          </w:rPr>
          <w:fldChar w:fldCharType="end"/>
        </w:r>
      </w:hyperlink>
    </w:p>
    <w:p w14:paraId="03A6FAAA" w14:textId="77777777" w:rsidR="005B20B0" w:rsidRPr="005D6582" w:rsidRDefault="00297822">
      <w:pPr>
        <w:pStyle w:val="Obsah2"/>
        <w:rPr>
          <w:rFonts w:asciiTheme="minorHAnsi" w:eastAsiaTheme="minorEastAsia" w:hAnsiTheme="minorHAnsi" w:cstheme="minorBidi"/>
          <w:smallCaps w:val="0"/>
          <w:noProof/>
          <w:szCs w:val="22"/>
        </w:rPr>
      </w:pPr>
      <w:hyperlink w:anchor="_Toc522175292" w:history="1">
        <w:r w:rsidR="005B20B0" w:rsidRPr="005D6582">
          <w:rPr>
            <w:rStyle w:val="Hypertextovodkaz"/>
            <w:noProof/>
          </w:rPr>
          <w:t>6.2</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Způsob výběru projektů</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_Toc522175292 \h </w:instrText>
        </w:r>
        <w:r w:rsidR="005B20B0" w:rsidRPr="005D6582">
          <w:rPr>
            <w:noProof/>
            <w:webHidden/>
          </w:rPr>
        </w:r>
        <w:r w:rsidR="005B20B0" w:rsidRPr="005D6582">
          <w:rPr>
            <w:noProof/>
            <w:webHidden/>
          </w:rPr>
          <w:fldChar w:fldCharType="separate"/>
        </w:r>
        <w:r w:rsidR="005B20B0" w:rsidRPr="005D6582">
          <w:rPr>
            <w:noProof/>
            <w:webHidden/>
          </w:rPr>
          <w:t>14</w:t>
        </w:r>
        <w:r w:rsidR="005B20B0" w:rsidRPr="005D6582">
          <w:rPr>
            <w:noProof/>
            <w:webHidden/>
          </w:rPr>
          <w:fldChar w:fldCharType="end"/>
        </w:r>
      </w:hyperlink>
    </w:p>
    <w:p w14:paraId="37EAF558"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93" w:history="1">
        <w:r w:rsidR="005B20B0" w:rsidRPr="005D6582">
          <w:rPr>
            <w:rStyle w:val="Hypertextovodkaz"/>
            <w:noProof/>
          </w:rPr>
          <w:t>7.</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Souběh podpor</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_Toc522175293 \h </w:instrText>
        </w:r>
        <w:r w:rsidR="005B20B0" w:rsidRPr="005D6582">
          <w:rPr>
            <w:noProof/>
            <w:webHidden/>
          </w:rPr>
        </w:r>
        <w:r w:rsidR="005B20B0" w:rsidRPr="005D6582">
          <w:rPr>
            <w:noProof/>
            <w:webHidden/>
          </w:rPr>
          <w:fldChar w:fldCharType="separate"/>
        </w:r>
        <w:r w:rsidR="005B20B0" w:rsidRPr="005D6582">
          <w:rPr>
            <w:noProof/>
            <w:webHidden/>
          </w:rPr>
          <w:t>14</w:t>
        </w:r>
        <w:r w:rsidR="005B20B0" w:rsidRPr="005D6582">
          <w:rPr>
            <w:noProof/>
            <w:webHidden/>
          </w:rPr>
          <w:fldChar w:fldCharType="end"/>
        </w:r>
      </w:hyperlink>
    </w:p>
    <w:p w14:paraId="4BD3038A"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94" w:history="1">
        <w:r w:rsidR="005B20B0" w:rsidRPr="005D6582">
          <w:rPr>
            <w:rStyle w:val="Hypertextovodkaz"/>
            <w:noProof/>
          </w:rPr>
          <w:t>8.</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Náležitosti žádosti o poskytnutí podpory a způsob předložení</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_Toc522175294 \h </w:instrText>
        </w:r>
        <w:r w:rsidR="005B20B0" w:rsidRPr="005D6582">
          <w:rPr>
            <w:noProof/>
            <w:webHidden/>
          </w:rPr>
        </w:r>
        <w:r w:rsidR="005B20B0" w:rsidRPr="005D6582">
          <w:rPr>
            <w:noProof/>
            <w:webHidden/>
          </w:rPr>
          <w:fldChar w:fldCharType="separate"/>
        </w:r>
        <w:r w:rsidR="005B20B0" w:rsidRPr="005D6582">
          <w:rPr>
            <w:noProof/>
            <w:webHidden/>
          </w:rPr>
          <w:t>15</w:t>
        </w:r>
        <w:r w:rsidR="005B20B0" w:rsidRPr="005D6582">
          <w:rPr>
            <w:noProof/>
            <w:webHidden/>
          </w:rPr>
          <w:fldChar w:fldCharType="end"/>
        </w:r>
      </w:hyperlink>
    </w:p>
    <w:p w14:paraId="793BA56A" w14:textId="77777777" w:rsidR="005B20B0" w:rsidRPr="005D6582" w:rsidRDefault="00297822">
      <w:pPr>
        <w:pStyle w:val="Obsah2"/>
        <w:rPr>
          <w:rFonts w:asciiTheme="minorHAnsi" w:eastAsiaTheme="minorEastAsia" w:hAnsiTheme="minorHAnsi" w:cstheme="minorBidi"/>
          <w:smallCaps w:val="0"/>
          <w:noProof/>
          <w:szCs w:val="22"/>
        </w:rPr>
      </w:pPr>
      <w:hyperlink w:anchor="_Toc522175295" w:history="1">
        <w:r w:rsidR="005B20B0" w:rsidRPr="005D6582">
          <w:rPr>
            <w:rStyle w:val="Hypertextovodkaz"/>
            <w:noProof/>
          </w:rPr>
          <w:t>8.1</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Obsah žádosti o podporu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_Toc522175295 \h </w:instrText>
        </w:r>
        <w:r w:rsidR="005B20B0" w:rsidRPr="005D6582">
          <w:rPr>
            <w:noProof/>
            <w:webHidden/>
          </w:rPr>
        </w:r>
        <w:r w:rsidR="005B20B0" w:rsidRPr="005D6582">
          <w:rPr>
            <w:noProof/>
            <w:webHidden/>
          </w:rPr>
          <w:fldChar w:fldCharType="separate"/>
        </w:r>
        <w:r w:rsidR="005B20B0" w:rsidRPr="005D6582">
          <w:rPr>
            <w:noProof/>
            <w:webHidden/>
          </w:rPr>
          <w:t>15</w:t>
        </w:r>
        <w:r w:rsidR="005B20B0" w:rsidRPr="005D6582">
          <w:rPr>
            <w:noProof/>
            <w:webHidden/>
          </w:rPr>
          <w:fldChar w:fldCharType="end"/>
        </w:r>
      </w:hyperlink>
    </w:p>
    <w:p w14:paraId="0045BD03" w14:textId="77777777" w:rsidR="005B20B0" w:rsidRPr="005D6582" w:rsidRDefault="00297822">
      <w:pPr>
        <w:pStyle w:val="Obsah2"/>
        <w:rPr>
          <w:rFonts w:asciiTheme="minorHAnsi" w:eastAsiaTheme="minorEastAsia" w:hAnsiTheme="minorHAnsi" w:cstheme="minorBidi"/>
          <w:smallCaps w:val="0"/>
          <w:noProof/>
          <w:szCs w:val="22"/>
        </w:rPr>
      </w:pPr>
      <w:hyperlink w:anchor="_Toc522175296" w:history="1">
        <w:r w:rsidR="005B20B0" w:rsidRPr="005D6582">
          <w:rPr>
            <w:rStyle w:val="Hypertextovodkaz"/>
            <w:noProof/>
          </w:rPr>
          <w:t>8.2</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Formuláře žádosti o podporu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_Toc522175296 \h </w:instrText>
        </w:r>
        <w:r w:rsidR="005B20B0" w:rsidRPr="005D6582">
          <w:rPr>
            <w:noProof/>
            <w:webHidden/>
          </w:rPr>
        </w:r>
        <w:r w:rsidR="005B20B0" w:rsidRPr="005D6582">
          <w:rPr>
            <w:noProof/>
            <w:webHidden/>
          </w:rPr>
          <w:fldChar w:fldCharType="separate"/>
        </w:r>
        <w:r w:rsidR="005B20B0" w:rsidRPr="005D6582">
          <w:rPr>
            <w:noProof/>
            <w:webHidden/>
          </w:rPr>
          <w:t>15</w:t>
        </w:r>
        <w:r w:rsidR="005B20B0" w:rsidRPr="005D6582">
          <w:rPr>
            <w:noProof/>
            <w:webHidden/>
          </w:rPr>
          <w:fldChar w:fldCharType="end"/>
        </w:r>
      </w:hyperlink>
    </w:p>
    <w:p w14:paraId="0E70C5FA" w14:textId="77777777" w:rsidR="005B20B0" w:rsidRPr="005D6582" w:rsidRDefault="00297822">
      <w:pPr>
        <w:pStyle w:val="Obsah2"/>
        <w:rPr>
          <w:rFonts w:asciiTheme="minorHAnsi" w:eastAsiaTheme="minorEastAsia" w:hAnsiTheme="minorHAnsi" w:cstheme="minorBidi"/>
          <w:smallCaps w:val="0"/>
          <w:noProof/>
          <w:szCs w:val="22"/>
        </w:rPr>
      </w:pPr>
      <w:hyperlink w:anchor="_Toc522175297" w:history="1">
        <w:r w:rsidR="005B20B0" w:rsidRPr="005D6582">
          <w:rPr>
            <w:rStyle w:val="Hypertextovodkaz"/>
            <w:noProof/>
          </w:rPr>
          <w:t>8.3</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Příjem žádostí o podporu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_Toc522175297 \h </w:instrText>
        </w:r>
        <w:r w:rsidR="005B20B0" w:rsidRPr="005D6582">
          <w:rPr>
            <w:noProof/>
            <w:webHidden/>
          </w:rPr>
        </w:r>
        <w:r w:rsidR="005B20B0" w:rsidRPr="005D6582">
          <w:rPr>
            <w:noProof/>
            <w:webHidden/>
          </w:rPr>
          <w:fldChar w:fldCharType="separate"/>
        </w:r>
        <w:r w:rsidR="005B20B0" w:rsidRPr="005D6582">
          <w:rPr>
            <w:noProof/>
            <w:webHidden/>
          </w:rPr>
          <w:t>15</w:t>
        </w:r>
        <w:r w:rsidR="005B20B0" w:rsidRPr="005D6582">
          <w:rPr>
            <w:noProof/>
            <w:webHidden/>
          </w:rPr>
          <w:fldChar w:fldCharType="end"/>
        </w:r>
      </w:hyperlink>
    </w:p>
    <w:p w14:paraId="1767CFE8"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298" w:history="1">
        <w:r w:rsidR="005B20B0" w:rsidRPr="005D6582">
          <w:rPr>
            <w:rStyle w:val="Hypertextovodkaz"/>
            <w:noProof/>
          </w:rPr>
          <w:t>9.</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Sankce</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_Toc522175298 \h </w:instrText>
        </w:r>
        <w:r w:rsidR="005B20B0" w:rsidRPr="005D6582">
          <w:rPr>
            <w:noProof/>
            <w:webHidden/>
          </w:rPr>
        </w:r>
        <w:r w:rsidR="005B20B0" w:rsidRPr="005D6582">
          <w:rPr>
            <w:noProof/>
            <w:webHidden/>
          </w:rPr>
          <w:fldChar w:fldCharType="separate"/>
        </w:r>
        <w:r w:rsidR="005B20B0" w:rsidRPr="005D6582">
          <w:rPr>
            <w:noProof/>
            <w:webHidden/>
          </w:rPr>
          <w:t>15</w:t>
        </w:r>
        <w:r w:rsidR="005B20B0" w:rsidRPr="005D6582">
          <w:rPr>
            <w:noProof/>
            <w:webHidden/>
          </w:rPr>
          <w:fldChar w:fldCharType="end"/>
        </w:r>
      </w:hyperlink>
    </w:p>
    <w:p w14:paraId="049FAF17" w14:textId="77777777" w:rsidR="005B20B0" w:rsidRPr="005D6582" w:rsidRDefault="00297822">
      <w:pPr>
        <w:pStyle w:val="Obsah2"/>
        <w:rPr>
          <w:rFonts w:asciiTheme="minorHAnsi" w:eastAsiaTheme="minorEastAsia" w:hAnsiTheme="minorHAnsi" w:cstheme="minorBidi"/>
          <w:smallCaps w:val="0"/>
          <w:noProof/>
          <w:szCs w:val="22"/>
        </w:rPr>
      </w:pPr>
      <w:hyperlink w:anchor="_Toc522175299" w:history="1">
        <w:r w:rsidR="005B20B0" w:rsidRPr="005D6582">
          <w:rPr>
            <w:rStyle w:val="Hypertextovodkaz"/>
            <w:noProof/>
          </w:rPr>
          <w:t>9.1</w:t>
        </w:r>
        <w:r w:rsidR="005B20B0" w:rsidRPr="005D6582">
          <w:rPr>
            <w:rFonts w:asciiTheme="minorHAnsi" w:eastAsiaTheme="minorEastAsia" w:hAnsiTheme="minorHAnsi" w:cstheme="minorBidi"/>
            <w:smallCaps w:val="0"/>
            <w:noProof/>
            <w:szCs w:val="22"/>
          </w:rPr>
          <w:tab/>
        </w:r>
        <w:r w:rsidR="005B20B0" w:rsidRPr="005D6582">
          <w:rPr>
            <w:rStyle w:val="Hypertextovodkaz"/>
            <w:noProof/>
          </w:rPr>
          <w:t>Sankce za neplnění podmínek programu</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_Toc522175299 \h </w:instrText>
        </w:r>
        <w:r w:rsidR="005B20B0" w:rsidRPr="005D6582">
          <w:rPr>
            <w:noProof/>
            <w:webHidden/>
          </w:rPr>
        </w:r>
        <w:r w:rsidR="005B20B0" w:rsidRPr="005D6582">
          <w:rPr>
            <w:noProof/>
            <w:webHidden/>
          </w:rPr>
          <w:fldChar w:fldCharType="separate"/>
        </w:r>
        <w:r w:rsidR="005B20B0" w:rsidRPr="005D6582">
          <w:rPr>
            <w:noProof/>
            <w:webHidden/>
          </w:rPr>
          <w:t>15</w:t>
        </w:r>
        <w:r w:rsidR="005B20B0" w:rsidRPr="005D6582">
          <w:rPr>
            <w:noProof/>
            <w:webHidden/>
          </w:rPr>
          <w:fldChar w:fldCharType="end"/>
        </w:r>
      </w:hyperlink>
    </w:p>
    <w:p w14:paraId="7D0CA6AD"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300" w:history="1">
        <w:r w:rsidR="005B20B0" w:rsidRPr="005D6582">
          <w:rPr>
            <w:rStyle w:val="Hypertextovodkaz"/>
            <w:noProof/>
          </w:rPr>
          <w:t>10.</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Ostatní ustanovení</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_Toc522175300 \h </w:instrText>
        </w:r>
        <w:r w:rsidR="005B20B0" w:rsidRPr="005D6582">
          <w:rPr>
            <w:noProof/>
            <w:webHidden/>
          </w:rPr>
        </w:r>
        <w:r w:rsidR="005B20B0" w:rsidRPr="005D6582">
          <w:rPr>
            <w:noProof/>
            <w:webHidden/>
          </w:rPr>
          <w:fldChar w:fldCharType="separate"/>
        </w:r>
        <w:r w:rsidR="005B20B0" w:rsidRPr="005D6582">
          <w:rPr>
            <w:noProof/>
            <w:webHidden/>
          </w:rPr>
          <w:t>16</w:t>
        </w:r>
        <w:r w:rsidR="005B20B0" w:rsidRPr="005D6582">
          <w:rPr>
            <w:noProof/>
            <w:webHidden/>
          </w:rPr>
          <w:fldChar w:fldCharType="end"/>
        </w:r>
      </w:hyperlink>
    </w:p>
    <w:p w14:paraId="69633C61" w14:textId="77777777" w:rsidR="005B20B0" w:rsidRPr="005D6582" w:rsidRDefault="00297822">
      <w:pPr>
        <w:pStyle w:val="Obsah1"/>
        <w:rPr>
          <w:rFonts w:asciiTheme="minorHAnsi" w:eastAsiaTheme="minorEastAsia" w:hAnsiTheme="minorHAnsi" w:cstheme="minorBidi"/>
          <w:b w:val="0"/>
          <w:bCs w:val="0"/>
          <w:caps w:val="0"/>
          <w:noProof/>
          <w:szCs w:val="22"/>
        </w:rPr>
      </w:pPr>
      <w:hyperlink w:anchor="_Toc522175301" w:history="1">
        <w:r w:rsidR="005B20B0" w:rsidRPr="005D6582">
          <w:rPr>
            <w:rStyle w:val="Hypertextovodkaz"/>
            <w:noProof/>
          </w:rPr>
          <w:t>11.</w:t>
        </w:r>
        <w:r w:rsidR="005B20B0" w:rsidRPr="005D6582">
          <w:rPr>
            <w:rFonts w:asciiTheme="minorHAnsi" w:eastAsiaTheme="minorEastAsia" w:hAnsiTheme="minorHAnsi" w:cstheme="minorBidi"/>
            <w:b w:val="0"/>
            <w:bCs w:val="0"/>
            <w:caps w:val="0"/>
            <w:noProof/>
            <w:szCs w:val="22"/>
          </w:rPr>
          <w:tab/>
        </w:r>
        <w:r w:rsidR="005B20B0" w:rsidRPr="005D6582">
          <w:rPr>
            <w:rStyle w:val="Hypertextovodkaz"/>
            <w:noProof/>
          </w:rPr>
          <w:t>Definice</w:t>
        </w:r>
        <w:r w:rsidR="005B20B0" w:rsidRPr="005D6582">
          <w:rPr>
            <w:noProof/>
            <w:webHidden/>
          </w:rPr>
          <w:tab/>
        </w:r>
        <w:r w:rsidR="005B20B0" w:rsidRPr="005D6582">
          <w:rPr>
            <w:noProof/>
            <w:webHidden/>
          </w:rPr>
          <w:fldChar w:fldCharType="begin"/>
        </w:r>
        <w:r w:rsidR="005B20B0" w:rsidRPr="005D6582">
          <w:rPr>
            <w:noProof/>
            <w:webHidden/>
          </w:rPr>
          <w:instrText xml:space="preserve"> PAGEREF _Toc522175301 \h </w:instrText>
        </w:r>
        <w:r w:rsidR="005B20B0" w:rsidRPr="005D6582">
          <w:rPr>
            <w:noProof/>
            <w:webHidden/>
          </w:rPr>
        </w:r>
        <w:r w:rsidR="005B20B0" w:rsidRPr="005D6582">
          <w:rPr>
            <w:noProof/>
            <w:webHidden/>
          </w:rPr>
          <w:fldChar w:fldCharType="separate"/>
        </w:r>
        <w:r w:rsidR="005B20B0" w:rsidRPr="005D6582">
          <w:rPr>
            <w:noProof/>
            <w:webHidden/>
          </w:rPr>
          <w:t>16</w:t>
        </w:r>
        <w:r w:rsidR="005B20B0" w:rsidRPr="005D6582">
          <w:rPr>
            <w:noProof/>
            <w:webHidden/>
          </w:rPr>
          <w:fldChar w:fldCharType="end"/>
        </w:r>
      </w:hyperlink>
    </w:p>
    <w:p w14:paraId="1F10391F" w14:textId="77777777" w:rsidR="000F7C67" w:rsidRPr="005D6582" w:rsidRDefault="00202118" w:rsidP="00D25FFE">
      <w:pPr>
        <w:spacing w:after="0" w:line="360" w:lineRule="auto"/>
      </w:pPr>
      <w:r w:rsidRPr="005D6582">
        <w:fldChar w:fldCharType="end"/>
      </w:r>
    </w:p>
    <w:p w14:paraId="4C6C129B" w14:textId="77777777" w:rsidR="00803FDC" w:rsidRPr="005D6582" w:rsidRDefault="009772C7" w:rsidP="000F7C67">
      <w:pPr>
        <w:pStyle w:val="Nadplev"/>
        <w:rPr>
          <w:bCs/>
        </w:rPr>
      </w:pPr>
      <w:r w:rsidRPr="005D6582">
        <w:br w:type="page"/>
      </w:r>
      <w:r w:rsidRPr="005D6582">
        <w:lastRenderedPageBreak/>
        <w:t xml:space="preserve">Základní </w:t>
      </w:r>
      <w:r w:rsidR="00553FDD" w:rsidRPr="005D6582">
        <w:t>ustanovení</w:t>
      </w:r>
    </w:p>
    <w:p w14:paraId="6912B4EC" w14:textId="77777777" w:rsidR="00722E65" w:rsidRPr="005D6582" w:rsidRDefault="00553FDD" w:rsidP="00910CF6">
      <w:r w:rsidRPr="005D6582">
        <w:t xml:space="preserve">Touto Výzvou </w:t>
      </w:r>
      <w:r w:rsidR="002F67EA" w:rsidRPr="005D6582">
        <w:t xml:space="preserve">ve znění schváleném </w:t>
      </w:r>
      <w:r w:rsidR="001A27C6" w:rsidRPr="005D6582">
        <w:t>M</w:t>
      </w:r>
      <w:r w:rsidR="002F67EA" w:rsidRPr="005D6582">
        <w:t>inist</w:t>
      </w:r>
      <w:r w:rsidR="001A27C6" w:rsidRPr="005D6582">
        <w:t>e</w:t>
      </w:r>
      <w:r w:rsidR="002F67EA" w:rsidRPr="005D6582">
        <w:t>r</w:t>
      </w:r>
      <w:r w:rsidR="001A27C6" w:rsidRPr="005D6582">
        <w:t>stvem</w:t>
      </w:r>
      <w:r w:rsidR="002F67EA" w:rsidRPr="005D6582">
        <w:t xml:space="preserve"> </w:t>
      </w:r>
      <w:r w:rsidR="003223D3" w:rsidRPr="005D6582">
        <w:t>průmyslu a obchodu je realizován</w:t>
      </w:r>
      <w:r w:rsidRPr="005D6582">
        <w:t xml:space="preserve"> program EXPANZE schválený usnesením vlády č. 914 ze dne 9. listopadu 2015 (dále jen</w:t>
      </w:r>
      <w:r w:rsidR="004F5BDE" w:rsidRPr="005D6582">
        <w:t xml:space="preserve"> </w:t>
      </w:r>
      <w:r w:rsidRPr="005D6582">
        <w:t>„program“)</w:t>
      </w:r>
      <w:r w:rsidR="00E626C9" w:rsidRPr="005D6582">
        <w:t xml:space="preserve"> </w:t>
      </w:r>
    </w:p>
    <w:p w14:paraId="0DB3C22A" w14:textId="77777777" w:rsidR="00B7745E" w:rsidRPr="005D6582" w:rsidRDefault="00553FDD" w:rsidP="00B83B1F">
      <w:pPr>
        <w:spacing w:line="276" w:lineRule="auto"/>
      </w:pPr>
      <w:r w:rsidRPr="005D6582">
        <w:rPr>
          <w:u w:val="single"/>
        </w:rPr>
        <w:t>Správce programu:</w:t>
      </w:r>
      <w:r w:rsidRPr="005D6582">
        <w:t xml:space="preserve"> Ministerstvo průmyslu a obchodu, organizační složka státu, IČO 47609109 se sídlem Na Františku 32, 110 15 Praha 1, IČO 47609109 (</w:t>
      </w:r>
      <w:hyperlink r:id="rId11" w:history="1">
        <w:r w:rsidR="004A6D82" w:rsidRPr="005D6582">
          <w:rPr>
            <w:rStyle w:val="Hypertextovodkaz"/>
            <w:szCs w:val="22"/>
          </w:rPr>
          <w:t>www.mpo.cz</w:t>
        </w:r>
      </w:hyperlink>
      <w:r w:rsidRPr="005D6582">
        <w:rPr>
          <w:szCs w:val="22"/>
        </w:rPr>
        <w:t>)</w:t>
      </w:r>
      <w:r w:rsidRPr="005D6582">
        <w:t>.</w:t>
      </w:r>
    </w:p>
    <w:p w14:paraId="442C8579" w14:textId="77777777" w:rsidR="00722E65" w:rsidRPr="005D6582" w:rsidRDefault="00553FDD" w:rsidP="00910CF6">
      <w:pPr>
        <w:rPr>
          <w:u w:val="single"/>
        </w:rPr>
      </w:pPr>
      <w:r w:rsidRPr="005D6582">
        <w:rPr>
          <w:u w:val="single"/>
        </w:rPr>
        <w:t xml:space="preserve">Poskytovatel podpory: </w:t>
      </w:r>
      <w:r w:rsidRPr="005D6582">
        <w:t>Českomoravská záruční a rozvojová banka, a.s., se sídlem Jeruzalémská 964/4, 110 00 Praha 1, IČO 44848943 (dále též „ČMZRB“).</w:t>
      </w:r>
    </w:p>
    <w:p w14:paraId="7B093FFB" w14:textId="77777777" w:rsidR="006008A9" w:rsidRPr="005D6582" w:rsidRDefault="00553FDD" w:rsidP="00B83B1F">
      <w:pPr>
        <w:spacing w:line="276" w:lineRule="auto"/>
      </w:pPr>
      <w:r w:rsidRPr="005D6582">
        <w:rPr>
          <w:u w:val="single"/>
        </w:rPr>
        <w:t>Správce finančního nástroje:</w:t>
      </w:r>
      <w:r w:rsidRPr="005D6582">
        <w:t xml:space="preserve"> Českomoravská záruční a rozvojová banka, a.s., se sídlem Jeruzalémská 964/4, 110 00 Praha 1,</w:t>
      </w:r>
      <w:r w:rsidR="00B6490A" w:rsidRPr="005D6582">
        <w:t xml:space="preserve"> IČO 44848943</w:t>
      </w:r>
      <w:r w:rsidRPr="005D6582">
        <w:t>, která vykonává tuto činnost na základě dohody o financování uzavřené s Ministerstvem průmyslu a obchodu.</w:t>
      </w:r>
    </w:p>
    <w:p w14:paraId="2CE875E6" w14:textId="77777777" w:rsidR="004D7682" w:rsidRPr="005D6582" w:rsidRDefault="00553FDD" w:rsidP="00B83B1F">
      <w:pPr>
        <w:spacing w:line="276" w:lineRule="auto"/>
        <w:rPr>
          <w:sz w:val="24"/>
        </w:rPr>
      </w:pPr>
      <w:r w:rsidRPr="005D6582">
        <w:t xml:space="preserve">Podpora je v souladu se </w:t>
      </w:r>
      <w:r w:rsidRPr="005D6582">
        <w:rPr>
          <w:i/>
        </w:rPr>
        <w:t>Sdělením Komise o revizi metody stanovování referenčních a diskontních sazeb</w:t>
      </w:r>
      <w:r w:rsidR="004A6D82" w:rsidRPr="005D6582">
        <w:rPr>
          <w:rStyle w:val="Znakapoznpodarou"/>
          <w:rFonts w:ascii="Arial" w:hAnsi="Arial" w:cs="Arial"/>
        </w:rPr>
        <w:footnoteReference w:id="2"/>
      </w:r>
      <w:r w:rsidRPr="005D6582">
        <w:rPr>
          <w:sz w:val="24"/>
        </w:rPr>
        <w:t>.</w:t>
      </w:r>
    </w:p>
    <w:p w14:paraId="6CFFB9D1" w14:textId="77777777" w:rsidR="00B7745E" w:rsidRPr="005D6582" w:rsidRDefault="00553FDD" w:rsidP="00A854C9">
      <w:pPr>
        <w:pStyle w:val="Nadpis1"/>
      </w:pPr>
      <w:bookmarkStart w:id="0" w:name="_Toc522175279"/>
      <w:bookmarkStart w:id="1" w:name="_Toc499279778"/>
      <w:r w:rsidRPr="005D6582">
        <w:t>Cíl programu</w:t>
      </w:r>
      <w:bookmarkEnd w:id="0"/>
      <w:bookmarkEnd w:id="1"/>
    </w:p>
    <w:p w14:paraId="298868C9" w14:textId="77777777" w:rsidR="0087008C" w:rsidRPr="005D6582" w:rsidRDefault="00553FDD" w:rsidP="00B83B1F">
      <w:pPr>
        <w:spacing w:line="276" w:lineRule="auto"/>
      </w:pPr>
      <w:r w:rsidRPr="005D6582">
        <w:t xml:space="preserve">Cílem programu je usnadňovat začínajícím a rozvojovým malým a středním podnikatelům přístup k financování jejich podnikatelských projektů pro zahájení a/nebo další rozvoj podnikání, zvyšovat podnikatelskou aktivitu ve </w:t>
      </w:r>
      <w:r w:rsidR="002F67EA" w:rsidRPr="005D6582">
        <w:t xml:space="preserve">zvýhodněných regionech uvedených v příloze č. </w:t>
      </w:r>
      <w:r w:rsidR="00306C73" w:rsidRPr="005D6582">
        <w:t>3</w:t>
      </w:r>
      <w:r w:rsidR="002F67EA" w:rsidRPr="005D6582">
        <w:t xml:space="preserve"> této Výzvy.</w:t>
      </w:r>
    </w:p>
    <w:p w14:paraId="7128A32F" w14:textId="77777777" w:rsidR="0087008C" w:rsidRPr="005D6582" w:rsidRDefault="00553FDD" w:rsidP="00B83B1F">
      <w:pPr>
        <w:spacing w:line="276" w:lineRule="auto"/>
      </w:pPr>
      <w:r w:rsidRPr="005D6582">
        <w:t>Aktivity programu mají přímou vazbu na strategický cíl Národní RIS3 strategie „Zvýšit míru podnikání ve společnosti s důrazem na zakládání nových rychle rostoucích firem“. Jde především o vzájemnou provázanost s typovými aktivitami/projekty/operacemi specifického cíle A2.2 „Zlepšit dostupnost vnějšího financování pro začínající podnikatele a firmy s krátkou historií“ Národní RIS3 strategie.</w:t>
      </w:r>
    </w:p>
    <w:p w14:paraId="3F093CCF" w14:textId="77777777" w:rsidR="00B7745E" w:rsidRPr="005D6582" w:rsidRDefault="009772C7" w:rsidP="00B554F3">
      <w:pPr>
        <w:pStyle w:val="Nadpis1"/>
      </w:pPr>
      <w:bookmarkStart w:id="2" w:name="_Toc522175280"/>
      <w:bookmarkStart w:id="3" w:name="_Toc499279779"/>
      <w:r w:rsidRPr="005D6582">
        <w:t xml:space="preserve">Podporované </w:t>
      </w:r>
      <w:r w:rsidR="00553FDD" w:rsidRPr="005D6582">
        <w:t>aktivity</w:t>
      </w:r>
      <w:bookmarkEnd w:id="2"/>
      <w:bookmarkEnd w:id="3"/>
    </w:p>
    <w:p w14:paraId="606E990E" w14:textId="77777777" w:rsidR="004A6419" w:rsidRPr="005D6582" w:rsidRDefault="00553FDD" w:rsidP="009E0BDA">
      <w:pPr>
        <w:spacing w:line="276" w:lineRule="auto"/>
      </w:pPr>
      <w:r w:rsidRPr="005D6582">
        <w:rPr>
          <w:szCs w:val="19"/>
        </w:rPr>
        <w:t>Projekt se musí týkat některé z ekonomických činnosti uvedených v </w:t>
      </w:r>
      <w:r w:rsidRPr="005D6582">
        <w:t>příloze č. 1 této Výzvy (dále jen „podporovaná ekonomická činnost“).</w:t>
      </w:r>
    </w:p>
    <w:p w14:paraId="0DF28F59" w14:textId="77777777" w:rsidR="00B7745E" w:rsidRPr="005D6582" w:rsidRDefault="00553FDD" w:rsidP="00B554F3">
      <w:pPr>
        <w:pStyle w:val="Nadpis1"/>
      </w:pPr>
      <w:bookmarkStart w:id="4" w:name="_Toc522175281"/>
      <w:bookmarkStart w:id="5" w:name="_Toc499279780"/>
      <w:r w:rsidRPr="005D6582">
        <w:t>Vymezení příjemců podpory</w:t>
      </w:r>
      <w:bookmarkEnd w:id="4"/>
      <w:bookmarkEnd w:id="5"/>
    </w:p>
    <w:p w14:paraId="2D71F3F8" w14:textId="77777777" w:rsidR="00692972" w:rsidRPr="005D6582" w:rsidRDefault="00553FDD" w:rsidP="0060446D">
      <w:pPr>
        <w:rPr>
          <w:iCs/>
        </w:rPr>
      </w:pPr>
      <w:bookmarkStart w:id="6" w:name="_Toc420933902"/>
      <w:r w:rsidRPr="005D6582">
        <w:t xml:space="preserve">Příjemce podpory musí k datu podání žádosti </w:t>
      </w:r>
      <w:r w:rsidR="00B6490A" w:rsidRPr="005D6582">
        <w:t xml:space="preserve">o </w:t>
      </w:r>
      <w:r w:rsidR="00F277AE" w:rsidRPr="005D6582">
        <w:t>podporu</w:t>
      </w:r>
      <w:r w:rsidR="00B6490A" w:rsidRPr="005D6582">
        <w:t xml:space="preserve"> </w:t>
      </w:r>
      <w:r w:rsidRPr="005D6582">
        <w:t>splňovat podle svého čestného prohlášení následující podmínky:</w:t>
      </w:r>
      <w:bookmarkEnd w:id="6"/>
    </w:p>
    <w:p w14:paraId="07A93223" w14:textId="77777777" w:rsidR="00B7745E" w:rsidRPr="005D6582" w:rsidRDefault="00553FDD" w:rsidP="00FC693A">
      <w:pPr>
        <w:numPr>
          <w:ilvl w:val="0"/>
          <w:numId w:val="19"/>
        </w:numPr>
        <w:spacing w:after="120" w:line="276" w:lineRule="auto"/>
        <w:ind w:left="714" w:hanging="357"/>
      </w:pPr>
      <w:r w:rsidRPr="005D6582">
        <w:lastRenderedPageBreak/>
        <w:t xml:space="preserve">je malým </w:t>
      </w:r>
      <w:r w:rsidR="00E626C9" w:rsidRPr="005D6582">
        <w:t>nebo</w:t>
      </w:r>
      <w:r w:rsidRPr="005D6582">
        <w:t> středním podnikatelem ve smyslu definice uvedené v Doporučení 2003/361/ES ze dne 6. května 2003 týkající se definice mikro, malých a středních podniků</w:t>
      </w:r>
      <w:r w:rsidR="004A6D82" w:rsidRPr="005D6582">
        <w:rPr>
          <w:rStyle w:val="Znakapoznpodarou"/>
          <w:rFonts w:cs="Arial"/>
          <w:szCs w:val="22"/>
        </w:rPr>
        <w:footnoteReference w:id="3"/>
      </w:r>
      <w:r w:rsidRPr="005D6582">
        <w:t>,</w:t>
      </w:r>
    </w:p>
    <w:p w14:paraId="00F50F4F" w14:textId="77777777" w:rsidR="00B7745E" w:rsidRPr="005D6582" w:rsidRDefault="00553FDD" w:rsidP="00FC693A">
      <w:pPr>
        <w:numPr>
          <w:ilvl w:val="0"/>
          <w:numId w:val="19"/>
        </w:numPr>
        <w:spacing w:after="120" w:line="276" w:lineRule="auto"/>
        <w:ind w:left="714" w:hanging="357"/>
      </w:pPr>
      <w:r w:rsidRPr="005D6582">
        <w:t>je oprávněn k podnikání na území České republiky v odpovídající podporované ekonomické činnosti, k jejímuž uskutečňování je realizován projekt</w:t>
      </w:r>
      <w:r w:rsidR="004A6D82" w:rsidRPr="005D6582">
        <w:rPr>
          <w:rStyle w:val="Znakapoznpodarou"/>
          <w:rFonts w:cs="Arial"/>
          <w:szCs w:val="22"/>
        </w:rPr>
        <w:footnoteReference w:id="4"/>
      </w:r>
      <w:r w:rsidRPr="005D6582">
        <w:t>,</w:t>
      </w:r>
    </w:p>
    <w:p w14:paraId="5458EBB7" w14:textId="77777777" w:rsidR="00910CF6" w:rsidRPr="005D6582" w:rsidRDefault="00553FDD" w:rsidP="00FC693A">
      <w:pPr>
        <w:numPr>
          <w:ilvl w:val="0"/>
          <w:numId w:val="19"/>
        </w:numPr>
        <w:spacing w:after="120" w:line="276" w:lineRule="auto"/>
        <w:ind w:left="714" w:hanging="357"/>
      </w:pPr>
      <w:r w:rsidRPr="005D6582">
        <w:t>je osobou, u níž poskytnutí podpory není v rozporu se zákonem č. 253/2008 Sb., o některých opatřeních proti legalizaci výnosů z trestné činnosti a financování terorismu, ve znění pozdějších předpisů, a dalších souvisejících předpisů,</w:t>
      </w:r>
    </w:p>
    <w:p w14:paraId="7257B727" w14:textId="77777777" w:rsidR="00C9438D" w:rsidRPr="005D6582" w:rsidRDefault="00553FDD" w:rsidP="00FC693A">
      <w:pPr>
        <w:numPr>
          <w:ilvl w:val="0"/>
          <w:numId w:val="19"/>
        </w:numPr>
        <w:spacing w:after="120" w:line="276" w:lineRule="auto"/>
        <w:ind w:left="714" w:hanging="357"/>
      </w:pPr>
      <w:r w:rsidRPr="005D6582">
        <w:t xml:space="preserve">nenaplňuje znaky úpadku dle ustanovení § 3 zákona č. 182/2006 Sb., insolvenční zákon, ve znění pozdějších předpisů </w:t>
      </w:r>
      <w:r w:rsidRPr="005D6582">
        <w:rPr>
          <w:sz w:val="24"/>
        </w:rPr>
        <w:t>(</w:t>
      </w:r>
      <w:r w:rsidRPr="005D6582">
        <w:t>v případě odštěpného závodu zahraničního podnikatele dle právního řádu v zemi sídla zahraničního podnikatele),</w:t>
      </w:r>
    </w:p>
    <w:p w14:paraId="2A1A3926" w14:textId="77777777" w:rsidR="00B7745E" w:rsidRPr="005D6582" w:rsidRDefault="00553FDD" w:rsidP="00FC693A">
      <w:pPr>
        <w:numPr>
          <w:ilvl w:val="0"/>
          <w:numId w:val="19"/>
        </w:numPr>
        <w:spacing w:after="120" w:line="276" w:lineRule="auto"/>
        <w:ind w:left="714" w:hanging="357"/>
      </w:pPr>
      <w:r w:rsidRPr="005D6582">
        <w:t>nemá žádné nedoplatky vůči vybraným institucím</w:t>
      </w:r>
      <w:r w:rsidR="004A6D82" w:rsidRPr="005D6582">
        <w:rPr>
          <w:rStyle w:val="Znakapoznpodarou"/>
          <w:rFonts w:cs="Arial"/>
          <w:szCs w:val="22"/>
        </w:rPr>
        <w:footnoteReference w:id="5"/>
      </w:r>
      <w:r w:rsidRPr="005D6582">
        <w:t xml:space="preserve"> a vůči poskytovatelům podpory z projektů spolufinancovaných z rozpočtu Evropské unie. Posečkání s úhradou nedoplatků nebo dohoda o úhradě nedoplatků se považují za vypořádané nedoplatky,</w:t>
      </w:r>
    </w:p>
    <w:p w14:paraId="4B0F2286" w14:textId="77777777" w:rsidR="00B7745E" w:rsidRPr="005D6582" w:rsidRDefault="00553FDD" w:rsidP="00FC693A">
      <w:pPr>
        <w:numPr>
          <w:ilvl w:val="0"/>
          <w:numId w:val="19"/>
        </w:numPr>
        <w:spacing w:after="120" w:line="276" w:lineRule="auto"/>
        <w:ind w:left="714" w:hanging="357"/>
      </w:pPr>
      <w:r w:rsidRPr="005D6582">
        <w:t>nemá nedoplatky z titulu mzdových nároků svých zaměstnanců,</w:t>
      </w:r>
    </w:p>
    <w:p w14:paraId="1EAC3F9B" w14:textId="77777777" w:rsidR="00186E7B" w:rsidRPr="005D6582" w:rsidRDefault="00E626C9" w:rsidP="004F1E3F">
      <w:pPr>
        <w:numPr>
          <w:ilvl w:val="0"/>
          <w:numId w:val="19"/>
        </w:numPr>
        <w:spacing w:after="120" w:line="276" w:lineRule="auto"/>
        <w:ind w:left="714" w:hanging="357"/>
      </w:pPr>
      <w:r w:rsidRPr="005D6582">
        <w:t xml:space="preserve">má zajištěno oddělením činností podpořených z tohoto programu nebo rozlišením nákladů podpořených z tohoto programu, aby jeho činnosti v odvětví prvovýroby zemědělských produktů (CZ-NACE 01), rybolovu a akvakultury (CZ-NACE 03), výroby tabákových výrobků (CZ-NACE 12), zpracování zbytkových látek z tabáku </w:t>
      </w:r>
      <w:r w:rsidR="002F67EA" w:rsidRPr="005D6582">
        <w:t>(</w:t>
      </w:r>
      <w:r w:rsidR="00186E7B" w:rsidRPr="005D6582">
        <w:t>v rámci</w:t>
      </w:r>
      <w:r w:rsidRPr="005D6582">
        <w:t xml:space="preserve"> CZ-NACE 38.32), velkoobchodu s tabákovými výrobky (CZ-NACE 46.35) a maloobchodu s tabákovými výrobky (CZ-NACE 47.26) nevyužívaly podporu poskytovanou z tohoto programu,</w:t>
      </w:r>
    </w:p>
    <w:p w14:paraId="5110D761" w14:textId="77777777" w:rsidR="00186E7B" w:rsidRPr="005D6582" w:rsidRDefault="002F67EA" w:rsidP="004F1E3F">
      <w:pPr>
        <w:numPr>
          <w:ilvl w:val="0"/>
          <w:numId w:val="19"/>
        </w:numPr>
        <w:spacing w:after="120" w:line="276" w:lineRule="auto"/>
        <w:ind w:left="714" w:hanging="357"/>
      </w:pPr>
      <w:r w:rsidRPr="005D6582">
        <w:t>má zajištěno oddělením činností podpořených z tohoto programu nebo rozlišením nákladů podpořených z tohoto programu, aby jeho činnosti v odvětví uhelného průmyslu (CZ-NACE 05, 19.1), ocelářsk</w:t>
      </w:r>
      <w:r w:rsidR="00186E7B" w:rsidRPr="005D6582">
        <w:t>ého</w:t>
      </w:r>
      <w:r w:rsidRPr="005D6582">
        <w:t xml:space="preserve"> průmyslu (CZ-NACE 24 s výjimkou 24.5), průmyslu syntetických vláken (CZ-NACE 20.60),</w:t>
      </w:r>
      <w:r w:rsidRPr="005D6582">
        <w:tab/>
        <w:t>stavby lodí (CZ-NACE 30.11), dopravy a související infrastruktury (CZ-NACE 49 až 51) a výroby a distribuce energie, energetické infrastruktury (CZ-NACE 35) nevyužívaly podporu poskytovanou z tohoto programu</w:t>
      </w:r>
      <w:r w:rsidR="00186E7B" w:rsidRPr="005D6582">
        <w:t xml:space="preserve"> (v případě podpory podle Nařízení Komise č. 651/2014)</w:t>
      </w:r>
      <w:r w:rsidRPr="005D6582">
        <w:t>,</w:t>
      </w:r>
    </w:p>
    <w:p w14:paraId="0E237550" w14:textId="77777777" w:rsidR="00186E7B" w:rsidRPr="005D6582" w:rsidRDefault="00553FDD" w:rsidP="004F1E3F">
      <w:pPr>
        <w:numPr>
          <w:ilvl w:val="0"/>
          <w:numId w:val="19"/>
        </w:numPr>
        <w:spacing w:after="120" w:line="276" w:lineRule="auto"/>
      </w:pPr>
      <w:r w:rsidRPr="005D6582">
        <w:t>není proti jeho majetku vedena exekuce,</w:t>
      </w:r>
    </w:p>
    <w:p w14:paraId="01584613" w14:textId="77777777" w:rsidR="00186E7B" w:rsidRPr="005D6582" w:rsidRDefault="00553FDD" w:rsidP="004F1E3F">
      <w:pPr>
        <w:numPr>
          <w:ilvl w:val="0"/>
          <w:numId w:val="19"/>
        </w:numPr>
        <w:spacing w:after="120" w:line="276" w:lineRule="auto"/>
      </w:pPr>
      <w:r w:rsidRPr="005D6582">
        <w:t>není v likvidaci,</w:t>
      </w:r>
    </w:p>
    <w:p w14:paraId="3284E95F" w14:textId="77777777" w:rsidR="00186E7B" w:rsidRPr="005D6582" w:rsidRDefault="009772C7" w:rsidP="004F1E3F">
      <w:pPr>
        <w:numPr>
          <w:ilvl w:val="0"/>
          <w:numId w:val="19"/>
        </w:numPr>
        <w:spacing w:after="120" w:line="276" w:lineRule="auto"/>
      </w:pPr>
      <w:r w:rsidRPr="005D6582">
        <w:rPr>
          <w:bCs/>
        </w:rPr>
        <w:t xml:space="preserve">nebylo rozhodnuto </w:t>
      </w:r>
      <w:r w:rsidR="00553FDD" w:rsidRPr="005D6582">
        <w:rPr>
          <w:bCs/>
        </w:rPr>
        <w:t>o jeho úpadku dle ustanovení § 136 zákona č. 182/2006 Sb</w:t>
      </w:r>
      <w:r w:rsidR="00553FDD" w:rsidRPr="005D6582">
        <w:t>.</w:t>
      </w:r>
      <w:r w:rsidR="00553FDD" w:rsidRPr="005D6582">
        <w:rPr>
          <w:bCs/>
        </w:rPr>
        <w:t xml:space="preserve">, </w:t>
      </w:r>
      <w:r w:rsidR="00553FDD" w:rsidRPr="005D6582">
        <w:t>insolvenční zákon, ve znění pozdějších předpisů (v případě odštěpného závodu zahraničního podnikatele dle právního řádu v zemi sídla zahraničního podnikatele); pokud je soudem povolena reorganizace, která je podnikatelem splněna, nenahlíží se na něj jako na podnikatele v úpadku,</w:t>
      </w:r>
    </w:p>
    <w:p w14:paraId="2FF9AA45" w14:textId="77777777" w:rsidR="00186E7B" w:rsidRPr="005D6582" w:rsidRDefault="00553FDD" w:rsidP="004F1E3F">
      <w:pPr>
        <w:numPr>
          <w:ilvl w:val="0"/>
          <w:numId w:val="19"/>
        </w:numPr>
        <w:spacing w:after="120" w:line="276" w:lineRule="auto"/>
      </w:pPr>
      <w:r w:rsidRPr="005D6582">
        <w:lastRenderedPageBreak/>
        <w:t>nemá peněžitý dluh vzniklý na základě příkazu k vrácení finančních prostředků vydaného po předchozím rozhodnutí Komise prohlašujícím, že podpora je protiprávní a neslučitelná se společným trhem,</w:t>
      </w:r>
    </w:p>
    <w:p w14:paraId="1805E65C" w14:textId="77777777" w:rsidR="00186E7B" w:rsidRPr="005D6582" w:rsidRDefault="00553FDD" w:rsidP="004F1E3F">
      <w:pPr>
        <w:numPr>
          <w:ilvl w:val="0"/>
          <w:numId w:val="19"/>
        </w:numPr>
        <w:spacing w:after="120" w:line="276" w:lineRule="auto"/>
      </w:pPr>
      <w:r w:rsidRPr="005D6582">
        <w:t>nebyl mu soudem nebo správním orgánem uložen zákaz činnosti týkající se provozování živnosti,</w:t>
      </w:r>
    </w:p>
    <w:p w14:paraId="3563059E" w14:textId="77777777" w:rsidR="00202118" w:rsidRPr="005D6582" w:rsidRDefault="00553FDD" w:rsidP="00202118">
      <w:pPr>
        <w:numPr>
          <w:ilvl w:val="0"/>
          <w:numId w:val="19"/>
        </w:numPr>
        <w:spacing w:after="120" w:line="276" w:lineRule="auto"/>
      </w:pPr>
      <w:r w:rsidRPr="005D6582">
        <w:t>není podnikatelem v obtížích</w:t>
      </w:r>
      <w:r w:rsidR="004A6D82" w:rsidRPr="005D6582">
        <w:rPr>
          <w:rStyle w:val="Znakapoznpodarou"/>
          <w:rFonts w:cs="Arial"/>
          <w:szCs w:val="22"/>
        </w:rPr>
        <w:footnoteReference w:id="6"/>
      </w:r>
      <w:r w:rsidR="002D7B6A" w:rsidRPr="005D6582">
        <w:t>.</w:t>
      </w:r>
    </w:p>
    <w:p w14:paraId="32DB4458" w14:textId="77777777" w:rsidR="00B7745E" w:rsidRPr="005D6582" w:rsidRDefault="00553FDD" w:rsidP="00803FDC">
      <w:pPr>
        <w:pStyle w:val="Nadpis1"/>
      </w:pPr>
      <w:bookmarkStart w:id="7" w:name="_Toc522175282"/>
      <w:bookmarkStart w:id="8" w:name="_Toc499279781"/>
      <w:r w:rsidRPr="005D6582">
        <w:t>Podmínky programu</w:t>
      </w:r>
      <w:bookmarkEnd w:id="7"/>
      <w:bookmarkEnd w:id="8"/>
    </w:p>
    <w:p w14:paraId="20D9C022" w14:textId="77777777" w:rsidR="00B7745E" w:rsidRPr="005D6582" w:rsidRDefault="00553FDD" w:rsidP="00E81C7B">
      <w:pPr>
        <w:pStyle w:val="Nadpis2"/>
      </w:pPr>
      <w:bookmarkStart w:id="9" w:name="_Toc420933904"/>
      <w:bookmarkStart w:id="10" w:name="_Toc522175283"/>
      <w:bookmarkStart w:id="11" w:name="_Toc499279782"/>
      <w:r w:rsidRPr="005D6582">
        <w:t>Podmínky přijatelnosti projektu</w:t>
      </w:r>
      <w:bookmarkEnd w:id="9"/>
      <w:bookmarkEnd w:id="10"/>
      <w:bookmarkEnd w:id="11"/>
    </w:p>
    <w:p w14:paraId="5CAC9BDC" w14:textId="77777777" w:rsidR="00D12F4E" w:rsidRPr="005D6582" w:rsidRDefault="00553FDD" w:rsidP="00D12F4E">
      <w:pPr>
        <w:pStyle w:val="Nadpis3"/>
        <w:spacing w:after="120" w:line="276" w:lineRule="auto"/>
      </w:pPr>
      <w:r w:rsidRPr="005D6582">
        <w:t>Projekt musí splňovat tyto podmínky:</w:t>
      </w:r>
    </w:p>
    <w:p w14:paraId="64E43A03" w14:textId="4B6237C9" w:rsidR="00B7745E" w:rsidRPr="005D6582" w:rsidRDefault="00553FDD" w:rsidP="00FC693A">
      <w:pPr>
        <w:numPr>
          <w:ilvl w:val="0"/>
          <w:numId w:val="20"/>
        </w:numPr>
        <w:spacing w:after="120" w:line="276" w:lineRule="auto"/>
        <w:ind w:hanging="357"/>
      </w:pPr>
      <w:r w:rsidRPr="005D6582">
        <w:t>bude realizován na území České republiky, mimo území hl. města Prahy,</w:t>
      </w:r>
    </w:p>
    <w:p w14:paraId="22925EEE" w14:textId="77777777" w:rsidR="008912FC" w:rsidRPr="005D6582" w:rsidRDefault="008912FC" w:rsidP="008912FC">
      <w:pPr>
        <w:numPr>
          <w:ilvl w:val="0"/>
          <w:numId w:val="20"/>
        </w:numPr>
        <w:spacing w:after="120" w:line="276" w:lineRule="auto"/>
        <w:ind w:hanging="357"/>
      </w:pPr>
      <w:r w:rsidRPr="005D6582">
        <w:t xml:space="preserve">je v souladu s principem rovných příležitostí mužů a žen </w:t>
      </w:r>
      <w:r w:rsidRPr="005D6582">
        <w:rPr>
          <w:rFonts w:cs="Calibri"/>
          <w:szCs w:val="22"/>
        </w:rPr>
        <w:t>(</w:t>
      </w:r>
      <w:r w:rsidR="00541838" w:rsidRPr="005D6582">
        <w:t>rovnost mužů a žen, odstraňování diskriminace na základě pohlaví, rasy, etnického původu, náboženského vyznání, světového názoru, zdravotního postižení, sociálního vyloučení, věku nebo sexuální orientace</w:t>
      </w:r>
      <w:r w:rsidR="00C86974" w:rsidRPr="005D6582">
        <w:t>)</w:t>
      </w:r>
      <w:r w:rsidRPr="005D6582">
        <w:t>, rovných příležitostí a nediskriminace a principem udržitelného rozvoje z hlediska ochrany životního prostředí,</w:t>
      </w:r>
    </w:p>
    <w:p w14:paraId="6450A222" w14:textId="77777777" w:rsidR="006C21A7" w:rsidRPr="005D6582" w:rsidRDefault="00553FDD" w:rsidP="00FC693A">
      <w:pPr>
        <w:numPr>
          <w:ilvl w:val="0"/>
          <w:numId w:val="20"/>
        </w:numPr>
        <w:spacing w:after="120" w:line="276" w:lineRule="auto"/>
        <w:ind w:hanging="357"/>
      </w:pPr>
      <w:r w:rsidRPr="005D6582">
        <w:t>nepředpokládá podporu na činnosti spojené s vyváženým množstvím, podporu na zřízení a provoz distribuční sítě v zahraničí, nebo na jiné běžné náklady spojené s vývozní činností (cla, pojištění atd.); ani podporu podmiňující použití domácího zboží na úkor dováženého zboží,</w:t>
      </w:r>
    </w:p>
    <w:p w14:paraId="0468CBBF" w14:textId="120301F3" w:rsidR="00F376C5" w:rsidRPr="005D6582" w:rsidRDefault="00553FDD" w:rsidP="00FC693A">
      <w:pPr>
        <w:numPr>
          <w:ilvl w:val="0"/>
          <w:numId w:val="20"/>
        </w:numPr>
        <w:spacing w:after="120" w:line="276" w:lineRule="auto"/>
        <w:ind w:hanging="357"/>
      </w:pPr>
      <w:r w:rsidRPr="005D6582">
        <w:t xml:space="preserve">projekt, jehož způsobilými výdaji jsou výdaje </w:t>
      </w:r>
      <w:r w:rsidR="00582673" w:rsidRPr="005D6582">
        <w:t>na pořízení</w:t>
      </w:r>
      <w:r w:rsidR="0062607D" w:rsidRPr="005D6582">
        <w:t xml:space="preserve"> a</w:t>
      </w:r>
      <w:r w:rsidRPr="005D6582">
        <w:t xml:space="preserve">/nebo rekonstrukci </w:t>
      </w:r>
      <w:r w:rsidR="00712C3C" w:rsidRPr="005D6582">
        <w:t>nemovitých věcí</w:t>
      </w:r>
      <w:r w:rsidRPr="005D6582">
        <w:t>, zahrnuje též pořízení strojů a zařízení</w:t>
      </w:r>
      <w:r w:rsidR="002D7B6A" w:rsidRPr="005D6582">
        <w:t xml:space="preserve">; </w:t>
      </w:r>
      <w:r w:rsidR="002D7B6A" w:rsidRPr="005D6582">
        <w:rPr>
          <w:szCs w:val="22"/>
        </w:rPr>
        <w:t xml:space="preserve">žadatel v popisu projektu odůvodní, jak </w:t>
      </w:r>
      <w:r w:rsidR="00A479FE" w:rsidRPr="005D6582">
        <w:t>výdaje na pořízení a/nebo rekonstrukci nemovitých věcí</w:t>
      </w:r>
      <w:r w:rsidR="00A479FE" w:rsidRPr="005D6582">
        <w:rPr>
          <w:szCs w:val="22"/>
        </w:rPr>
        <w:t xml:space="preserve"> </w:t>
      </w:r>
      <w:r w:rsidR="002D7B6A" w:rsidRPr="005D6582">
        <w:rPr>
          <w:szCs w:val="22"/>
        </w:rPr>
        <w:t xml:space="preserve">souvisí s pořízením strojů </w:t>
      </w:r>
      <w:r w:rsidR="00CD6EB4" w:rsidRPr="005D6582">
        <w:rPr>
          <w:szCs w:val="22"/>
        </w:rPr>
        <w:t>či</w:t>
      </w:r>
      <w:r w:rsidR="002D7B6A" w:rsidRPr="005D6582">
        <w:rPr>
          <w:szCs w:val="22"/>
        </w:rPr>
        <w:t xml:space="preserve"> zařízení,</w:t>
      </w:r>
    </w:p>
    <w:p w14:paraId="435D0640" w14:textId="77777777" w:rsidR="00800C6F" w:rsidRPr="005D6582" w:rsidRDefault="00553FDD" w:rsidP="00FC693A">
      <w:pPr>
        <w:numPr>
          <w:ilvl w:val="0"/>
          <w:numId w:val="20"/>
        </w:numPr>
        <w:spacing w:after="120" w:line="276" w:lineRule="auto"/>
        <w:ind w:hanging="357"/>
      </w:pPr>
      <w:r w:rsidRPr="005D6582">
        <w:t xml:space="preserve">předpokládá financování projektu dalším bankovním úvěrem poskytnutým spolupracujícím partnerem, který má s ČMZRB uzavřenu smlouvu o spolupráci při poskytování zvýhodněných úvěrů, viz seznam spolupracujících partnerů na internetových stránkách ČMZRB - </w:t>
      </w:r>
      <w:hyperlink r:id="rId12" w:history="1">
        <w:r w:rsidR="004A6D82" w:rsidRPr="005D6582">
          <w:rPr>
            <w:rStyle w:val="Hypertextovodkaz"/>
          </w:rPr>
          <w:t>www.cmzrb.cz</w:t>
        </w:r>
      </w:hyperlink>
      <w:r w:rsidRPr="005D6582">
        <w:t>, ve výši minimálně 20 % způsobilých výdajů projektu,</w:t>
      </w:r>
    </w:p>
    <w:p w14:paraId="62C59100" w14:textId="58E3CBF7" w:rsidR="00860391" w:rsidRPr="005D6582" w:rsidRDefault="00553FDD" w:rsidP="00FC693A">
      <w:pPr>
        <w:pStyle w:val="ko"/>
        <w:numPr>
          <w:ilvl w:val="0"/>
          <w:numId w:val="20"/>
        </w:numPr>
        <w:ind w:hanging="357"/>
        <w:rPr>
          <w:spacing w:val="0"/>
        </w:rPr>
      </w:pPr>
      <w:r w:rsidRPr="005D6582">
        <w:rPr>
          <w:bCs w:val="0"/>
          <w:spacing w:val="0"/>
          <w:szCs w:val="20"/>
        </w:rPr>
        <w:t>cílem projektu není dosažení úspor ene</w:t>
      </w:r>
      <w:r w:rsidRPr="005D6582">
        <w:rPr>
          <w:spacing w:val="0"/>
        </w:rPr>
        <w:t>rgie,</w:t>
      </w:r>
    </w:p>
    <w:p w14:paraId="50589F57" w14:textId="77777777" w:rsidR="00B51F4F" w:rsidRPr="005D6582" w:rsidRDefault="00553FDD" w:rsidP="00FC693A">
      <w:pPr>
        <w:pStyle w:val="ko"/>
        <w:numPr>
          <w:ilvl w:val="0"/>
          <w:numId w:val="20"/>
        </w:numPr>
        <w:ind w:hanging="357"/>
        <w:rPr>
          <w:spacing w:val="0"/>
        </w:rPr>
      </w:pPr>
      <w:r w:rsidRPr="005D6582">
        <w:rPr>
          <w:spacing w:val="0"/>
        </w:rPr>
        <w:t>předpokládá zvýšení tržeb</w:t>
      </w:r>
      <w:bookmarkStart w:id="12" w:name="_Ref468971006"/>
      <w:r w:rsidR="004A6D82" w:rsidRPr="005D6582">
        <w:rPr>
          <w:rStyle w:val="Znakapoznpodarou"/>
          <w:spacing w:val="0"/>
        </w:rPr>
        <w:footnoteReference w:id="7"/>
      </w:r>
      <w:bookmarkEnd w:id="12"/>
      <w:r w:rsidRPr="005D6582">
        <w:rPr>
          <w:spacing w:val="0"/>
        </w:rPr>
        <w:t xml:space="preserve"> příjemce podpory (v případě příjemce podpory vedoucího daňovou evidenci zvýšení příjmu ze samostatné činnosti),</w:t>
      </w:r>
    </w:p>
    <w:p w14:paraId="72E5AD7C" w14:textId="77777777" w:rsidR="00A1620B" w:rsidRPr="005D6582" w:rsidRDefault="00553FDD" w:rsidP="00FC693A">
      <w:pPr>
        <w:pStyle w:val="ko"/>
        <w:numPr>
          <w:ilvl w:val="0"/>
          <w:numId w:val="20"/>
        </w:numPr>
        <w:ind w:hanging="357"/>
        <w:rPr>
          <w:spacing w:val="0"/>
        </w:rPr>
      </w:pPr>
      <w:r w:rsidRPr="005D6582">
        <w:rPr>
          <w:spacing w:val="0"/>
        </w:rPr>
        <w:t>přispívá k dosažení strategického cíle Národní RIS3 strategie „Zvýšit míru podnikání ve společnosti s důrazem na zakládání nových rychle rostoucích firem“</w:t>
      </w:r>
      <w:r w:rsidR="002D7B6A" w:rsidRPr="005D6582">
        <w:rPr>
          <w:spacing w:val="0"/>
        </w:rPr>
        <w:t>,</w:t>
      </w:r>
    </w:p>
    <w:p w14:paraId="703D68ED" w14:textId="77777777" w:rsidR="006E5D26" w:rsidRPr="005D6582" w:rsidRDefault="00553FDD">
      <w:pPr>
        <w:numPr>
          <w:ilvl w:val="0"/>
          <w:numId w:val="20"/>
        </w:numPr>
        <w:spacing w:after="120" w:line="276" w:lineRule="auto"/>
        <w:ind w:hanging="357"/>
      </w:pPr>
      <w:r w:rsidRPr="005D6582">
        <w:rPr>
          <w:szCs w:val="22"/>
        </w:rPr>
        <w:lastRenderedPageBreak/>
        <w:t>nesmí předpokládat získání dotace na výdaje financované zvýhodněným úvěrem či bankovním úvěrem podpořeným finančním příspěvkem; bankovní úvěr, na který má být poskytnut finanční příspěvek, nesmí být podpořen z přímo řízeného nástroje Evropské unie</w:t>
      </w:r>
      <w:r w:rsidR="002D7B6A" w:rsidRPr="005D6582">
        <w:rPr>
          <w:szCs w:val="22"/>
        </w:rPr>
        <w:t>.</w:t>
      </w:r>
    </w:p>
    <w:p w14:paraId="7EEF481A" w14:textId="77777777" w:rsidR="00FC693A" w:rsidRPr="005D6582" w:rsidRDefault="00553FDD" w:rsidP="00052838">
      <w:pPr>
        <w:pStyle w:val="Nadpis3"/>
        <w:spacing w:after="120" w:line="276" w:lineRule="auto"/>
      </w:pPr>
      <w:r w:rsidRPr="005D6582">
        <w:t>Podpora podle článku 14 Nařízení Komise č. 651/2014</w:t>
      </w:r>
    </w:p>
    <w:p w14:paraId="3CADFEF6" w14:textId="77777777" w:rsidR="003662AC" w:rsidRPr="005D6582" w:rsidRDefault="00553FDD" w:rsidP="003662AC">
      <w:r w:rsidRPr="005D6582">
        <w:t>V případě podpory podle článku 14 Nařízení Komise č. 651/2014 musí projekt kromě podmínek uvedených v bodě 4.1.1 navíc splňovat tyto podmínky:</w:t>
      </w:r>
    </w:p>
    <w:p w14:paraId="7A1B0465" w14:textId="77777777" w:rsidR="003223D3" w:rsidRPr="005D6582" w:rsidRDefault="00553FDD" w:rsidP="003223D3">
      <w:pPr>
        <w:numPr>
          <w:ilvl w:val="0"/>
          <w:numId w:val="50"/>
        </w:numPr>
        <w:spacing w:after="120" w:line="276" w:lineRule="auto"/>
        <w:ind w:left="714" w:hanging="357"/>
      </w:pPr>
      <w:r w:rsidRPr="005D6582">
        <w:t>musí být počáteční investicí</w:t>
      </w:r>
      <w:r w:rsidR="00885C61" w:rsidRPr="005D6582">
        <w:t xml:space="preserve">, přičemž </w:t>
      </w:r>
      <w:r w:rsidRPr="005D6582">
        <w:t>v případě podpory počáteční investice na rozšíření výrobního sortimentu stávající provozovny musí být způsobilé výdaje o nejméně 200 % vyšší než účetní hodnota znovu použitého majetku, která je zachycena v uzavřeném účetním/daňovém období předcházejícím zahájení prací,</w:t>
      </w:r>
    </w:p>
    <w:p w14:paraId="79849F82" w14:textId="475B45E2" w:rsidR="00CD6EB4" w:rsidRPr="005D6582" w:rsidRDefault="00CD6EB4" w:rsidP="00CD6EB4">
      <w:pPr>
        <w:numPr>
          <w:ilvl w:val="0"/>
          <w:numId w:val="50"/>
        </w:numPr>
        <w:spacing w:after="120" w:line="276" w:lineRule="auto"/>
        <w:ind w:left="714" w:hanging="357"/>
      </w:pPr>
      <w:r w:rsidRPr="000A00E3">
        <w:rPr>
          <w:rFonts w:asciiTheme="minorHAnsi" w:hAnsiTheme="minorHAnsi"/>
        </w:rPr>
        <w:t xml:space="preserve">nesmí být </w:t>
      </w:r>
      <w:r w:rsidRPr="005D6582">
        <w:rPr>
          <w:rFonts w:asciiTheme="minorHAnsi" w:hAnsiTheme="minorHAnsi" w:cstheme="minorHAnsi"/>
          <w:szCs w:val="22"/>
        </w:rPr>
        <w:t xml:space="preserve">zahájen před datem podání žádosti o podporu, tj. nesmí být uzavřeny </w:t>
      </w:r>
      <w:r w:rsidRPr="000A00E3">
        <w:rPr>
          <w:rFonts w:asciiTheme="minorHAnsi" w:hAnsiTheme="minorHAnsi"/>
        </w:rPr>
        <w:t>smlouvy s dodavateli strojů a zařízení (</w:t>
      </w:r>
      <w:r w:rsidRPr="005D6582">
        <w:rPr>
          <w:rFonts w:asciiTheme="minorHAnsi" w:hAnsiTheme="minorHAnsi" w:cstheme="minorHAnsi"/>
          <w:szCs w:val="22"/>
        </w:rPr>
        <w:t>vztahuje se i na</w:t>
      </w:r>
      <w:r w:rsidRPr="000A00E3">
        <w:rPr>
          <w:rFonts w:asciiTheme="minorHAnsi" w:hAnsiTheme="minorHAnsi"/>
        </w:rPr>
        <w:t xml:space="preserve"> smlouvy o</w:t>
      </w:r>
      <w:r w:rsidRPr="005D6582">
        <w:rPr>
          <w:rFonts w:asciiTheme="minorHAnsi" w:hAnsiTheme="minorHAnsi" w:cstheme="minorHAnsi"/>
          <w:szCs w:val="22"/>
        </w:rPr>
        <w:t> </w:t>
      </w:r>
      <w:r w:rsidRPr="000A00E3">
        <w:rPr>
          <w:rFonts w:asciiTheme="minorHAnsi" w:hAnsiTheme="minorHAnsi"/>
        </w:rPr>
        <w:t>smlouvě budoucí</w:t>
      </w:r>
      <w:r w:rsidRPr="005D6582">
        <w:rPr>
          <w:rFonts w:asciiTheme="minorHAnsi" w:hAnsiTheme="minorHAnsi" w:cstheme="minorHAnsi"/>
          <w:szCs w:val="22"/>
        </w:rPr>
        <w:t>,</w:t>
      </w:r>
      <w:r w:rsidRPr="000A00E3">
        <w:rPr>
          <w:rFonts w:asciiTheme="minorHAnsi" w:hAnsiTheme="minorHAnsi"/>
        </w:rPr>
        <w:t xml:space="preserve"> závazné objednávky a </w:t>
      </w:r>
      <w:r w:rsidRPr="005D6582">
        <w:rPr>
          <w:rFonts w:asciiTheme="minorHAnsi" w:hAnsiTheme="minorHAnsi" w:cstheme="minorHAnsi"/>
          <w:szCs w:val="22"/>
        </w:rPr>
        <w:t>leasingové smlouvy), ani zahájeny stavební práce související s projektem</w:t>
      </w:r>
      <w:r w:rsidRPr="005D6582">
        <w:rPr>
          <w:rFonts w:asciiTheme="minorHAnsi" w:hAnsiTheme="minorHAnsi" w:cstheme="minorHAnsi"/>
          <w:szCs w:val="22"/>
          <w:vertAlign w:val="superscript"/>
        </w:rPr>
        <w:footnoteReference w:id="8"/>
      </w:r>
      <w:r w:rsidRPr="005D6582">
        <w:t>; za zahájení prací se dále nepovažuje nákup pozemků (bez staveb) a přípravné práce, jako je získání povolení a zpracování studií proveditelnosti,</w:t>
      </w:r>
    </w:p>
    <w:p w14:paraId="6FE83223" w14:textId="77777777" w:rsidR="009E0BDA" w:rsidRPr="005D6582" w:rsidRDefault="00553FDD" w:rsidP="001A27C6">
      <w:pPr>
        <w:numPr>
          <w:ilvl w:val="0"/>
          <w:numId w:val="50"/>
        </w:numPr>
        <w:spacing w:after="120" w:line="276" w:lineRule="auto"/>
        <w:ind w:left="714" w:hanging="357"/>
        <w:rPr>
          <w:szCs w:val="22"/>
        </w:rPr>
      </w:pPr>
      <w:r w:rsidRPr="005D6582">
        <w:t>není velkým investičním projektem,</w:t>
      </w:r>
    </w:p>
    <w:p w14:paraId="39D868EB" w14:textId="77777777" w:rsidR="00F176EB" w:rsidRPr="005D6582" w:rsidRDefault="00553FDD">
      <w:pPr>
        <w:numPr>
          <w:ilvl w:val="0"/>
          <w:numId w:val="50"/>
        </w:numPr>
        <w:spacing w:after="120" w:line="276" w:lineRule="auto"/>
        <w:ind w:left="714" w:hanging="357"/>
        <w:rPr>
          <w:szCs w:val="22"/>
        </w:rPr>
      </w:pPr>
      <w:r w:rsidRPr="005D6582">
        <w:rPr>
          <w:szCs w:val="22"/>
        </w:rPr>
        <w:t xml:space="preserve">smlouva o </w:t>
      </w:r>
      <w:r w:rsidRPr="005D6582">
        <w:t>bankovním</w:t>
      </w:r>
      <w:r w:rsidRPr="005D6582">
        <w:rPr>
          <w:szCs w:val="22"/>
        </w:rPr>
        <w:t xml:space="preserve"> úvěru na spolufinancování projektu nesmí být uzavřena před datem podání žádosti o </w:t>
      </w:r>
      <w:r w:rsidR="003F292F" w:rsidRPr="005D6582">
        <w:rPr>
          <w:szCs w:val="22"/>
        </w:rPr>
        <w:t>podporu</w:t>
      </w:r>
      <w:r w:rsidR="009772C7" w:rsidRPr="005D6582">
        <w:rPr>
          <w:szCs w:val="22"/>
        </w:rPr>
        <w:t>,</w:t>
      </w:r>
    </w:p>
    <w:p w14:paraId="3E3DD11E" w14:textId="77777777" w:rsidR="00DF69C9" w:rsidRPr="005D6582" w:rsidRDefault="00553FDD" w:rsidP="00DF69C9">
      <w:pPr>
        <w:numPr>
          <w:ilvl w:val="0"/>
          <w:numId w:val="50"/>
        </w:numPr>
        <w:spacing w:after="120" w:line="276" w:lineRule="auto"/>
        <w:ind w:left="714" w:hanging="357"/>
        <w:rPr>
          <w:szCs w:val="22"/>
        </w:rPr>
      </w:pPr>
      <w:r w:rsidRPr="005D6582">
        <w:t xml:space="preserve">alespoň 25 % způsobilých výdajů projektu musí být financováno formou neobsahující žádnou veřejnou podporu, ani podporu de </w:t>
      </w:r>
      <w:proofErr w:type="spellStart"/>
      <w:r w:rsidRPr="005D6582">
        <w:t>minimis</w:t>
      </w:r>
      <w:proofErr w:type="spellEnd"/>
      <w:r w:rsidRPr="005D6582">
        <w:t>, či podporu z přímo řízeného nástroje EU, ať už z vlastních prostředků příjemce podpory či formou externího financování</w:t>
      </w:r>
      <w:r w:rsidR="00A479FE" w:rsidRPr="005D6582">
        <w:t>,</w:t>
      </w:r>
    </w:p>
    <w:p w14:paraId="648C4C41" w14:textId="12F992F4" w:rsidR="003E5E32" w:rsidRPr="005D6582" w:rsidRDefault="003E5E32" w:rsidP="00DF69C9">
      <w:pPr>
        <w:numPr>
          <w:ilvl w:val="0"/>
          <w:numId w:val="50"/>
        </w:numPr>
        <w:spacing w:after="120" w:line="276" w:lineRule="auto"/>
        <w:ind w:left="714" w:hanging="357"/>
        <w:rPr>
          <w:szCs w:val="22"/>
        </w:rPr>
      </w:pPr>
      <w:r w:rsidRPr="005D6582">
        <w:t xml:space="preserve">příjemce podpory </w:t>
      </w:r>
      <w:r w:rsidR="000D642E">
        <w:t xml:space="preserve">potvrdí, že </w:t>
      </w:r>
      <w:r w:rsidRPr="005D6582">
        <w:t>neprovedl přemístění</w:t>
      </w:r>
      <w:r w:rsidR="000D642E">
        <w:rPr>
          <w:rStyle w:val="Znakapoznpodarou"/>
        </w:rPr>
        <w:footnoteReference w:id="9"/>
      </w:r>
      <w:r w:rsidRPr="005D6582">
        <w:t xml:space="preserve"> do provozovny, do které se má počáteční investice, na niž se podpora požaduje, uskutečnit během dvou let předcházejících </w:t>
      </w:r>
      <w:r w:rsidR="000D642E">
        <w:t>žádosti o podporu</w:t>
      </w:r>
      <w:r w:rsidRPr="005D6582">
        <w:t xml:space="preserve"> a zaváže se, že tak neučiní až do doby dvou let </w:t>
      </w:r>
      <w:r w:rsidR="003223D3" w:rsidRPr="005D6582">
        <w:t xml:space="preserve">po </w:t>
      </w:r>
      <w:r w:rsidR="000D642E">
        <w:t>dokončení počáteční investice</w:t>
      </w:r>
      <w:r w:rsidRPr="005D6582">
        <w:t xml:space="preserve">, na </w:t>
      </w:r>
      <w:r w:rsidR="003223D3" w:rsidRPr="005D6582">
        <w:t>n</w:t>
      </w:r>
      <w:r w:rsidR="000D642E">
        <w:t>iž</w:t>
      </w:r>
      <w:r w:rsidR="00C61CD6" w:rsidRPr="005D6582">
        <w:t xml:space="preserve"> </w:t>
      </w:r>
      <w:r w:rsidRPr="005D6582">
        <w:t>se podpora požaduje.</w:t>
      </w:r>
    </w:p>
    <w:p w14:paraId="75564A14" w14:textId="77777777" w:rsidR="00F176EB" w:rsidRPr="005D6582" w:rsidRDefault="00553FDD">
      <w:pPr>
        <w:pStyle w:val="Nadpis3"/>
      </w:pPr>
      <w:r w:rsidRPr="005D6582">
        <w:t>Podpora podle článku 17 Nařízení Komise č. 651/2014</w:t>
      </w:r>
    </w:p>
    <w:p w14:paraId="0A64D3C2" w14:textId="77777777" w:rsidR="003662AC" w:rsidRPr="005D6582" w:rsidRDefault="00553FDD" w:rsidP="003662AC">
      <w:r w:rsidRPr="005D6582">
        <w:t>V případě podpory podle článku 17 Nařízení Komise č. 651/2014 musí projekt kromě podmínek uvedených v bodě 4.1.1 navíc splňovat tyto podmínky:</w:t>
      </w:r>
    </w:p>
    <w:p w14:paraId="591C81EE" w14:textId="77777777" w:rsidR="00F176EB" w:rsidRPr="005D6582" w:rsidRDefault="00553FDD" w:rsidP="0028017D">
      <w:pPr>
        <w:numPr>
          <w:ilvl w:val="0"/>
          <w:numId w:val="97"/>
        </w:numPr>
        <w:spacing w:after="120" w:line="276" w:lineRule="auto"/>
        <w:ind w:left="709"/>
      </w:pPr>
      <w:r w:rsidRPr="005D6582">
        <w:rPr>
          <w:szCs w:val="22"/>
        </w:rPr>
        <w:lastRenderedPageBreak/>
        <w:t>musí</w:t>
      </w:r>
      <w:r w:rsidRPr="005D6582">
        <w:t xml:space="preserve"> být investicí na založení nové provozovny, rozšíření stávající provozovny, rozšíření výrobního sortimentu provozovny o nové, dodatečné výrobky nebo za účelem zásadní změny celkového výrobního postupu,</w:t>
      </w:r>
    </w:p>
    <w:p w14:paraId="35B17A1A" w14:textId="25A08657" w:rsidR="00CD6EB4" w:rsidRPr="005D6582" w:rsidRDefault="00CD6EB4" w:rsidP="00CD6EB4">
      <w:pPr>
        <w:numPr>
          <w:ilvl w:val="0"/>
          <w:numId w:val="97"/>
        </w:numPr>
        <w:spacing w:after="120" w:line="276" w:lineRule="auto"/>
        <w:ind w:left="709"/>
      </w:pPr>
      <w:r w:rsidRPr="000A00E3">
        <w:rPr>
          <w:rFonts w:asciiTheme="minorHAnsi" w:hAnsiTheme="minorHAnsi"/>
        </w:rPr>
        <w:t xml:space="preserve">nesmí být </w:t>
      </w:r>
      <w:r w:rsidRPr="005D6582">
        <w:rPr>
          <w:rFonts w:asciiTheme="minorHAnsi" w:hAnsiTheme="minorHAnsi" w:cstheme="minorHAnsi"/>
          <w:szCs w:val="22"/>
        </w:rPr>
        <w:t xml:space="preserve">zahájen před datem podání žádosti o podporu, tj. nesmí být uzavřeny </w:t>
      </w:r>
      <w:r w:rsidRPr="000A00E3">
        <w:rPr>
          <w:rFonts w:asciiTheme="minorHAnsi" w:hAnsiTheme="minorHAnsi"/>
        </w:rPr>
        <w:t>smlouvy s dodavateli strojů a</w:t>
      </w:r>
      <w:r w:rsidRPr="005D6582">
        <w:rPr>
          <w:rFonts w:asciiTheme="minorHAnsi" w:hAnsiTheme="minorHAnsi" w:cstheme="minorHAnsi"/>
          <w:szCs w:val="22"/>
        </w:rPr>
        <w:t xml:space="preserve"> </w:t>
      </w:r>
      <w:r w:rsidRPr="000A00E3">
        <w:rPr>
          <w:rFonts w:asciiTheme="minorHAnsi" w:hAnsiTheme="minorHAnsi"/>
        </w:rPr>
        <w:t>zařízení (</w:t>
      </w:r>
      <w:r w:rsidRPr="005D6582">
        <w:rPr>
          <w:rFonts w:asciiTheme="minorHAnsi" w:hAnsiTheme="minorHAnsi" w:cstheme="minorHAnsi"/>
          <w:szCs w:val="22"/>
        </w:rPr>
        <w:t xml:space="preserve">vztahuje se i na </w:t>
      </w:r>
      <w:r w:rsidRPr="000A00E3">
        <w:rPr>
          <w:rFonts w:asciiTheme="minorHAnsi" w:hAnsiTheme="minorHAnsi"/>
        </w:rPr>
        <w:t>smlouvy o smlouvě budoucí</w:t>
      </w:r>
      <w:r w:rsidRPr="005D6582">
        <w:rPr>
          <w:rFonts w:asciiTheme="minorHAnsi" w:hAnsiTheme="minorHAnsi" w:cstheme="minorHAnsi"/>
          <w:szCs w:val="22"/>
        </w:rPr>
        <w:t>,</w:t>
      </w:r>
      <w:r w:rsidRPr="000A00E3">
        <w:rPr>
          <w:rFonts w:asciiTheme="minorHAnsi" w:hAnsiTheme="minorHAnsi"/>
        </w:rPr>
        <w:t xml:space="preserve"> závazné objednávky a</w:t>
      </w:r>
      <w:r w:rsidRPr="005D6582">
        <w:rPr>
          <w:rFonts w:asciiTheme="minorHAnsi" w:hAnsiTheme="minorHAnsi" w:cstheme="minorHAnsi"/>
          <w:szCs w:val="22"/>
        </w:rPr>
        <w:t xml:space="preserve"> leasingové smlouvy), ani zahájeny stavební práce související s projektem</w:t>
      </w:r>
      <w:r w:rsidRPr="005D6582">
        <w:rPr>
          <w:rFonts w:asciiTheme="minorHAnsi" w:hAnsiTheme="minorHAnsi" w:cstheme="minorHAnsi"/>
          <w:szCs w:val="22"/>
          <w:vertAlign w:val="superscript"/>
        </w:rPr>
        <w:footnoteReference w:id="10"/>
      </w:r>
      <w:r w:rsidRPr="005D6582">
        <w:t>; za zahájení prací se dále nepovažuje nákup pozemků (bez staveb) a přípravné práce, jako je získání povolení a zpracování studií proveditelnosti,</w:t>
      </w:r>
    </w:p>
    <w:p w14:paraId="74A60DD6" w14:textId="77777777" w:rsidR="00F176EB" w:rsidRPr="005D6582" w:rsidRDefault="00553FDD" w:rsidP="0028017D">
      <w:pPr>
        <w:numPr>
          <w:ilvl w:val="0"/>
          <w:numId w:val="97"/>
        </w:numPr>
        <w:spacing w:after="120" w:line="276" w:lineRule="auto"/>
        <w:ind w:left="709"/>
        <w:rPr>
          <w:szCs w:val="22"/>
        </w:rPr>
      </w:pPr>
      <w:r w:rsidRPr="005D6582">
        <w:rPr>
          <w:szCs w:val="22"/>
        </w:rPr>
        <w:t xml:space="preserve">smlouva o </w:t>
      </w:r>
      <w:r w:rsidRPr="005D6582">
        <w:t>bankovním</w:t>
      </w:r>
      <w:r w:rsidRPr="005D6582">
        <w:rPr>
          <w:szCs w:val="22"/>
        </w:rPr>
        <w:t xml:space="preserve"> úvěru na spolufinancování projektu nesmí být uzavřena před datem podání žádosti o </w:t>
      </w:r>
      <w:r w:rsidR="003F292F" w:rsidRPr="005D6582">
        <w:rPr>
          <w:szCs w:val="22"/>
        </w:rPr>
        <w:t>podporu</w:t>
      </w:r>
      <w:r w:rsidRPr="005D6582">
        <w:rPr>
          <w:szCs w:val="22"/>
        </w:rPr>
        <w:t>.</w:t>
      </w:r>
    </w:p>
    <w:p w14:paraId="216DB524" w14:textId="77777777" w:rsidR="00FC693A" w:rsidRPr="005D6582" w:rsidRDefault="00553FDD" w:rsidP="000D24EF">
      <w:pPr>
        <w:pStyle w:val="Nadpis3"/>
      </w:pPr>
      <w:r w:rsidRPr="005D6582">
        <w:t xml:space="preserve">Podpora de </w:t>
      </w:r>
      <w:proofErr w:type="spellStart"/>
      <w:r w:rsidRPr="005D6582">
        <w:t>minimis</w:t>
      </w:r>
      <w:proofErr w:type="spellEnd"/>
    </w:p>
    <w:p w14:paraId="08CAFD39" w14:textId="77777777" w:rsidR="003662AC" w:rsidRPr="005D6582" w:rsidRDefault="00553FDD" w:rsidP="003662AC">
      <w:r w:rsidRPr="005D6582">
        <w:t xml:space="preserve">V případě podpory de </w:t>
      </w:r>
      <w:proofErr w:type="spellStart"/>
      <w:r w:rsidRPr="005D6582">
        <w:t>minimis</w:t>
      </w:r>
      <w:proofErr w:type="spellEnd"/>
      <w:r w:rsidRPr="005D6582">
        <w:t xml:space="preserve">  musí projekt kromě podmínek uvedených v bodě 4.1.1 navíc splňovat tyto podmínky:</w:t>
      </w:r>
    </w:p>
    <w:p w14:paraId="6E6130B2" w14:textId="77777777" w:rsidR="00FC693A" w:rsidRPr="005D6582" w:rsidRDefault="00553FDD" w:rsidP="0028017D">
      <w:pPr>
        <w:numPr>
          <w:ilvl w:val="0"/>
          <w:numId w:val="52"/>
        </w:numPr>
        <w:spacing w:after="120" w:line="276" w:lineRule="auto"/>
        <w:ind w:left="709" w:hanging="357"/>
      </w:pPr>
      <w:r w:rsidRPr="005D6582">
        <w:t>nesmí být dokončen před datem podání žádosti o podporu</w:t>
      </w:r>
      <w:r w:rsidR="004A6D82" w:rsidRPr="005D6582">
        <w:rPr>
          <w:rStyle w:val="IndexChar"/>
          <w:spacing w:val="0"/>
          <w:sz w:val="20"/>
          <w:szCs w:val="20"/>
        </w:rPr>
        <w:footnoteReference w:id="11"/>
      </w:r>
      <w:r w:rsidRPr="005D6582">
        <w:t>,</w:t>
      </w:r>
    </w:p>
    <w:p w14:paraId="21961753" w14:textId="77777777" w:rsidR="00F176EB" w:rsidRPr="005D6582" w:rsidRDefault="00553FDD" w:rsidP="0028017D">
      <w:pPr>
        <w:pStyle w:val="ko"/>
        <w:numPr>
          <w:ilvl w:val="0"/>
          <w:numId w:val="52"/>
        </w:numPr>
        <w:ind w:left="709" w:hanging="357"/>
        <w:rPr>
          <w:bCs w:val="0"/>
          <w:spacing w:val="0"/>
          <w:szCs w:val="20"/>
        </w:rPr>
      </w:pPr>
      <w:r w:rsidRPr="005D6582">
        <w:rPr>
          <w:bCs w:val="0"/>
          <w:spacing w:val="0"/>
          <w:szCs w:val="20"/>
        </w:rPr>
        <w:t>musí se jednat o modernizační a/nebo rozvojový projekt, tj. založení nové provozovny, nebo o rozšíření kapacity stávající provozovny, nebo o rozšíření výrobního sortimentu provozovny o výrobky, které nebyly dříve v této provozovně vyráběny, nebo zásadní změnu celkového výrobního postupu, nebo o pořízení nových strojů a zařízení či dlouhodobého nehmotného majetku, které zvýší technologickou úroveň a/nebo konkurenceschopnost žadatele</w:t>
      </w:r>
      <w:r w:rsidRPr="005D6582">
        <w:rPr>
          <w:spacing w:val="0"/>
        </w:rPr>
        <w:t>.</w:t>
      </w:r>
    </w:p>
    <w:p w14:paraId="16098BF8" w14:textId="77777777" w:rsidR="00FB5ED5" w:rsidRPr="005D6582" w:rsidRDefault="00553FDD" w:rsidP="00E81C7B">
      <w:pPr>
        <w:pStyle w:val="Nadpis2"/>
      </w:pPr>
      <w:bookmarkStart w:id="13" w:name="_Toc420933905"/>
      <w:bookmarkStart w:id="14" w:name="_Toc522175284"/>
      <w:bookmarkStart w:id="15" w:name="_Toc499279783"/>
      <w:r w:rsidRPr="005D6582">
        <w:t>Ostatní podmínky</w:t>
      </w:r>
      <w:bookmarkEnd w:id="13"/>
      <w:bookmarkEnd w:id="14"/>
      <w:bookmarkEnd w:id="15"/>
    </w:p>
    <w:p w14:paraId="074B6125" w14:textId="77777777" w:rsidR="00BF6DCE" w:rsidRPr="005D6582" w:rsidRDefault="00553FDD" w:rsidP="00BF6DCE">
      <w:bookmarkStart w:id="16" w:name="_Toc420933907"/>
      <w:bookmarkStart w:id="17" w:name="_Toc420933906"/>
      <w:r w:rsidRPr="005D6582">
        <w:t>Příjemce podpory je do data ukončení smlouvy o zvýhodněném úvěru</w:t>
      </w:r>
      <w:r w:rsidR="00302AC1" w:rsidRPr="005D6582">
        <w:rPr>
          <w:rStyle w:val="Znakapoznpodarou"/>
        </w:rPr>
        <w:footnoteReference w:id="12"/>
      </w:r>
      <w:r w:rsidRPr="005D6582">
        <w:t xml:space="preserve"> povinen</w:t>
      </w:r>
      <w:r w:rsidR="000B1EE7" w:rsidRPr="005D6582">
        <w:t xml:space="preserve"> (není-li dále stanoveno jinak)</w:t>
      </w:r>
      <w:r w:rsidRPr="005D6582">
        <w:t>:</w:t>
      </w:r>
      <w:bookmarkEnd w:id="16"/>
      <w:bookmarkEnd w:id="17"/>
    </w:p>
    <w:p w14:paraId="71DA76D2" w14:textId="77777777" w:rsidR="00A85461" w:rsidRPr="005D6582" w:rsidRDefault="00553FDD" w:rsidP="001A27C6">
      <w:pPr>
        <w:numPr>
          <w:ilvl w:val="0"/>
          <w:numId w:val="22"/>
        </w:numPr>
        <w:spacing w:after="120" w:line="276" w:lineRule="auto"/>
        <w:ind w:left="714" w:hanging="357"/>
      </w:pPr>
      <w:r w:rsidRPr="005D6582">
        <w:t>umožnit přístup na místo realizace projektu a do svého sídla zaměstnancům ČMZRB, zaměstnancům Ministerstva průmyslu obchodu, zaměstnancům Ministerstva financí a orgánů Evropské komise a zaměstnancům dalších subjektů určených ČMZRB nebo Ministerstvem průmyslu a</w:t>
      </w:r>
      <w:r w:rsidR="00240AED" w:rsidRPr="005D6582">
        <w:t xml:space="preserve"> </w:t>
      </w:r>
      <w:r w:rsidRPr="005D6582">
        <w:t>obchodu za účelem kontroly plnění podmínek smlouvy o zvýhodněném úvěru,</w:t>
      </w:r>
    </w:p>
    <w:p w14:paraId="650D40D6" w14:textId="77777777" w:rsidR="00EA62C0" w:rsidRPr="005D6582" w:rsidRDefault="00553FDD" w:rsidP="001A27C6">
      <w:pPr>
        <w:numPr>
          <w:ilvl w:val="0"/>
          <w:numId w:val="22"/>
        </w:numPr>
        <w:spacing w:after="120" w:line="276" w:lineRule="auto"/>
        <w:ind w:left="714" w:hanging="357"/>
      </w:pPr>
      <w:r w:rsidRPr="005D6582">
        <w:t>souhlasit, že budou Ministerstvu průmyslu a</w:t>
      </w:r>
      <w:r w:rsidR="00240AED" w:rsidRPr="005D6582">
        <w:t xml:space="preserve"> </w:t>
      </w:r>
      <w:r w:rsidRPr="005D6582">
        <w:t>obchodu, Ministerstvu pro místní rozvoj a subjektům určeným obecně závaznými předpisy předávány údaje o jeho osobě v rozsahu vyžadovaném platnými předpisy, zejména údaje týkající se jména/názvu/firmy, adresy/sídla, IČO, názvu, CZ-NACE a umístění projektu, výše poskytnuté podpory pro účely jejich zveřejnění a pro účely kontroly dodržování pravidel veřejné podpory,</w:t>
      </w:r>
    </w:p>
    <w:p w14:paraId="487D36F8" w14:textId="77777777" w:rsidR="00A85461" w:rsidRPr="005D6582" w:rsidRDefault="00553FDD" w:rsidP="001A27C6">
      <w:pPr>
        <w:numPr>
          <w:ilvl w:val="0"/>
          <w:numId w:val="22"/>
        </w:numPr>
        <w:spacing w:after="120" w:line="276" w:lineRule="auto"/>
        <w:ind w:left="714" w:hanging="357"/>
        <w:rPr>
          <w:bCs/>
        </w:rPr>
      </w:pPr>
      <w:r w:rsidRPr="005D6582">
        <w:rPr>
          <w:bCs/>
        </w:rPr>
        <w:lastRenderedPageBreak/>
        <w:t>být registrován jako poplatník daně z příjmu na finančním úřadě podle § 125 zákona č. 280/2009 Sb., daňový řád, </w:t>
      </w:r>
      <w:r w:rsidRPr="005D6582">
        <w:t>ve znění pozdějších předpisů</w:t>
      </w:r>
      <w:r w:rsidRPr="005D6582">
        <w:rPr>
          <w:bCs/>
        </w:rPr>
        <w:t>,</w:t>
      </w:r>
    </w:p>
    <w:p w14:paraId="06B2B126" w14:textId="77777777" w:rsidR="006277EB" w:rsidRPr="005D6582" w:rsidRDefault="002F67EA" w:rsidP="006277EB">
      <w:pPr>
        <w:numPr>
          <w:ilvl w:val="0"/>
          <w:numId w:val="22"/>
        </w:numPr>
        <w:spacing w:after="120" w:line="276" w:lineRule="auto"/>
        <w:ind w:left="714" w:hanging="357"/>
      </w:pPr>
      <w:r w:rsidRPr="005D6582">
        <w:t>zachovat místo realizace projektu</w:t>
      </w:r>
      <w:r w:rsidR="006277EB" w:rsidRPr="005D6582">
        <w:t>:</w:t>
      </w:r>
    </w:p>
    <w:p w14:paraId="1042A53F" w14:textId="1A4E7AD2" w:rsidR="006277EB" w:rsidRPr="005D6582" w:rsidRDefault="002F67EA" w:rsidP="00052838">
      <w:pPr>
        <w:numPr>
          <w:ilvl w:val="1"/>
          <w:numId w:val="22"/>
        </w:numPr>
        <w:spacing w:after="120" w:line="276" w:lineRule="auto"/>
      </w:pPr>
      <w:r w:rsidRPr="005D6582">
        <w:t xml:space="preserve">na území regionů vymezených přílohou č. </w:t>
      </w:r>
      <w:r w:rsidR="00306C73" w:rsidRPr="005D6582">
        <w:t>3</w:t>
      </w:r>
      <w:r w:rsidRPr="005D6582">
        <w:t xml:space="preserve"> této </w:t>
      </w:r>
      <w:r w:rsidR="006277EB" w:rsidRPr="005D6582">
        <w:t>v</w:t>
      </w:r>
      <w:r w:rsidRPr="005D6582">
        <w:t>ýzvy (</w:t>
      </w:r>
      <w:r w:rsidR="006277EB" w:rsidRPr="005D6582">
        <w:t xml:space="preserve">týká se </w:t>
      </w:r>
      <w:r w:rsidRPr="005D6582">
        <w:t>projekt</w:t>
      </w:r>
      <w:r w:rsidR="006277EB" w:rsidRPr="005D6582">
        <w:t xml:space="preserve">ů realizovaných na území některého z těchto regionů </w:t>
      </w:r>
      <w:r w:rsidR="00CD6EB4" w:rsidRPr="005D6582">
        <w:t xml:space="preserve">a </w:t>
      </w:r>
      <w:r w:rsidRPr="005D6582">
        <w:t>podpořen</w:t>
      </w:r>
      <w:r w:rsidR="006277EB" w:rsidRPr="005D6582">
        <w:t>ých</w:t>
      </w:r>
      <w:r w:rsidRPr="005D6582">
        <w:t xml:space="preserve"> </w:t>
      </w:r>
      <w:r w:rsidR="00186E7B" w:rsidRPr="005D6582">
        <w:t>finančním příspěvkem</w:t>
      </w:r>
      <w:r w:rsidR="006277EB" w:rsidRPr="005D6582">
        <w:t xml:space="preserve"> podle bodu 5.</w:t>
      </w:r>
      <w:r w:rsidR="004E350C" w:rsidRPr="005D6582">
        <w:t>3</w:t>
      </w:r>
      <w:r w:rsidR="006277EB" w:rsidRPr="005D6582">
        <w:t xml:space="preserve"> této Výzvy</w:t>
      </w:r>
      <w:r w:rsidRPr="005D6582">
        <w:t>),</w:t>
      </w:r>
    </w:p>
    <w:p w14:paraId="67CA1C54" w14:textId="02B74DC5" w:rsidR="00C96190" w:rsidRPr="005D6582" w:rsidRDefault="006277EB" w:rsidP="00052838">
      <w:pPr>
        <w:numPr>
          <w:ilvl w:val="1"/>
          <w:numId w:val="22"/>
        </w:numPr>
        <w:spacing w:after="120" w:line="276" w:lineRule="auto"/>
      </w:pPr>
      <w:r w:rsidRPr="005D6582">
        <w:t>na území NUTS 2, ve kterém byl projekt zahájen (</w:t>
      </w:r>
      <w:r w:rsidR="00CD6EB4" w:rsidRPr="005D6582">
        <w:t>ostatní projekty</w:t>
      </w:r>
      <w:r w:rsidRPr="005D6582">
        <w:t>)</w:t>
      </w:r>
      <w:r w:rsidR="00A479FE" w:rsidRPr="005D6582">
        <w:t>,</w:t>
      </w:r>
    </w:p>
    <w:p w14:paraId="4FADB66E" w14:textId="77777777" w:rsidR="00302AC1" w:rsidRPr="005D6582" w:rsidRDefault="00553FDD" w:rsidP="00FC693A">
      <w:pPr>
        <w:numPr>
          <w:ilvl w:val="0"/>
          <w:numId w:val="22"/>
        </w:numPr>
        <w:spacing w:after="120" w:line="276" w:lineRule="auto"/>
        <w:ind w:left="714" w:hanging="357"/>
      </w:pPr>
      <w:r w:rsidRPr="005D6582">
        <w:t xml:space="preserve">používat dlouhodobý hmotný majetek pořízený s účastí podpořeného úvěru převážně </w:t>
      </w:r>
      <w:r w:rsidR="00C96190" w:rsidRPr="005D6582">
        <w:t xml:space="preserve">a dlouhodobý nehmotný majetek výhradně </w:t>
      </w:r>
      <w:r w:rsidRPr="005D6582">
        <w:t>k podporovaným ekonomickým činnostem, v případě</w:t>
      </w:r>
      <w:r w:rsidR="004F5BDE" w:rsidRPr="005D6582">
        <w:t xml:space="preserve"> </w:t>
      </w:r>
      <w:r w:rsidRPr="005D6582">
        <w:t>prodeje použít do jednoho roku prostředky získané jeho prodejem</w:t>
      </w:r>
      <w:r w:rsidR="00302AC1" w:rsidRPr="005D6582">
        <w:t>:</w:t>
      </w:r>
    </w:p>
    <w:p w14:paraId="563C73B9" w14:textId="77777777" w:rsidR="00186E7B" w:rsidRPr="005D6582" w:rsidRDefault="00302AC1" w:rsidP="001A27C6">
      <w:pPr>
        <w:numPr>
          <w:ilvl w:val="1"/>
          <w:numId w:val="22"/>
        </w:numPr>
        <w:spacing w:after="120" w:line="276" w:lineRule="auto"/>
      </w:pPr>
      <w:r w:rsidRPr="005D6582">
        <w:t xml:space="preserve">v případě podpory de </w:t>
      </w:r>
      <w:proofErr w:type="spellStart"/>
      <w:r w:rsidRPr="005D6582">
        <w:t>minimis</w:t>
      </w:r>
      <w:proofErr w:type="spellEnd"/>
      <w:r w:rsidRPr="005D6582">
        <w:t xml:space="preserve"> k podporované ekonomické činnosti nebo ke splacení podpořeného úvěru použitého na financování či spolufinancování prodávaného majetku podle podmínek smlouvy o zvýhodněném úvěru,</w:t>
      </w:r>
    </w:p>
    <w:p w14:paraId="68307146" w14:textId="77777777" w:rsidR="00186E7B" w:rsidRPr="005D6582" w:rsidRDefault="00302AC1" w:rsidP="001A27C6">
      <w:pPr>
        <w:numPr>
          <w:ilvl w:val="1"/>
          <w:numId w:val="22"/>
        </w:numPr>
        <w:spacing w:after="120" w:line="276" w:lineRule="auto"/>
      </w:pPr>
      <w:r w:rsidRPr="005D6582">
        <w:t>v případě podpory podle Nařízení Komise č. 651/2014 ,</w:t>
      </w:r>
      <w:r w:rsidR="00553FDD" w:rsidRPr="005D6582">
        <w:t>na obnovu prodaného majetku</w:t>
      </w:r>
      <w:r w:rsidR="004A6D82" w:rsidRPr="005D6582">
        <w:rPr>
          <w:rStyle w:val="Znakapoznpodarou"/>
        </w:rPr>
        <w:footnoteReference w:id="13"/>
      </w:r>
      <w:r w:rsidR="00553FDD" w:rsidRPr="005D6582">
        <w:t>, nebo po uplynutí</w:t>
      </w:r>
      <w:r w:rsidR="00553FDD" w:rsidRPr="005D6582">
        <w:rPr>
          <w:bCs/>
        </w:rPr>
        <w:t xml:space="preserve"> </w:t>
      </w:r>
      <w:r w:rsidR="00553FDD" w:rsidRPr="005D6582">
        <w:t>3 let od data ukončení realizace projektu na splacení podpořeného úvěru použitého na financování či spolufinancování prodávaného majetku podle podmínek smlouvy o zvýhodněném úvěru,</w:t>
      </w:r>
    </w:p>
    <w:p w14:paraId="257667F1" w14:textId="4D2F2B26" w:rsidR="00CD6EB4" w:rsidRPr="005D6582" w:rsidRDefault="00553FDD">
      <w:pPr>
        <w:numPr>
          <w:ilvl w:val="0"/>
          <w:numId w:val="22"/>
        </w:numPr>
        <w:spacing w:after="120" w:line="276" w:lineRule="auto"/>
        <w:ind w:left="714" w:hanging="357"/>
      </w:pPr>
      <w:r w:rsidRPr="005D6582">
        <w:t xml:space="preserve">zajišťovat oddělením činností podpořených z tohoto programu nebo rozlišením nákladů podpořených z tohoto programu, aby jeho </w:t>
      </w:r>
      <w:r w:rsidR="00CD6EB4" w:rsidRPr="005D6582">
        <w:t xml:space="preserve">případné </w:t>
      </w:r>
      <w:r w:rsidRPr="005D6582">
        <w:t>činnosti v odvětví prvovýroby zemědělských produktů, rybolovu a akvakultury (CZ-NACE 01 a 03),</w:t>
      </w:r>
      <w:r w:rsidR="00302AC1" w:rsidRPr="005D6582">
        <w:t xml:space="preserve"> výroby tabákových výrobků (CZ-NACE 12), zpracování zbytkových látek z tabáku (</w:t>
      </w:r>
      <w:r w:rsidR="00512396" w:rsidRPr="005D6582">
        <w:t>v rámci</w:t>
      </w:r>
      <w:r w:rsidR="00302AC1" w:rsidRPr="005D6582">
        <w:t xml:space="preserve"> CZ-NACE 38.32), velkoobchodu s tabákovými výrobky (CZ-NACE 46.35) a maloobchodu s tabákovými výrobky (CZ-NACE 47.26) </w:t>
      </w:r>
      <w:r w:rsidRPr="005D6582">
        <w:t>nevyužívaly podporu poskytovanou z tohoto programu;</w:t>
      </w:r>
    </w:p>
    <w:p w14:paraId="4A7E5667" w14:textId="77777777" w:rsidR="00663313" w:rsidRPr="005D6582" w:rsidRDefault="00553FDD" w:rsidP="000A00E3">
      <w:pPr>
        <w:spacing w:after="120" w:line="276" w:lineRule="auto"/>
        <w:ind w:left="714"/>
      </w:pPr>
      <w:r w:rsidRPr="005D6582">
        <w:t xml:space="preserve">v případě podpory </w:t>
      </w:r>
      <w:r w:rsidR="00B6490A" w:rsidRPr="005D6582">
        <w:t xml:space="preserve">podle </w:t>
      </w:r>
      <w:r w:rsidRPr="005D6582">
        <w:t>článku 14 Nařízení Komise č. 651/2014 se tato podmínka vztahuje i na činnosti v oblasti uhelného průmyslu (CZ-NACE 05 a 19.1), ocelářského průmyslu (CZ-NACE 24 s výjimkou 24.5), průmyslu syntetických vlá</w:t>
      </w:r>
      <w:r w:rsidR="00B6490A" w:rsidRPr="005D6582">
        <w:t>ken (CZ-NACE 20.60), stavby</w:t>
      </w:r>
      <w:r w:rsidRPr="005D6582">
        <w:t xml:space="preserve"> lodí (CZ-NACE 30.11), dopravy a související infrastruk</w:t>
      </w:r>
      <w:r w:rsidR="00B6490A" w:rsidRPr="005D6582">
        <w:t>tury (CZ-NACE 49 až 51) a výroby a distribuce</w:t>
      </w:r>
      <w:r w:rsidRPr="005D6582">
        <w:t xml:space="preserve"> energie, energetické infrastruktury (CZ-NACE 35),</w:t>
      </w:r>
      <w:bookmarkStart w:id="18" w:name="_Toc420933908"/>
    </w:p>
    <w:p w14:paraId="6BC57CB1" w14:textId="4C822D2A" w:rsidR="00E81C7B" w:rsidRPr="005D6582" w:rsidRDefault="000D642E" w:rsidP="000D642E">
      <w:pPr>
        <w:numPr>
          <w:ilvl w:val="0"/>
          <w:numId w:val="22"/>
        </w:numPr>
        <w:spacing w:after="120" w:line="276" w:lineRule="auto"/>
      </w:pPr>
      <w:r w:rsidRPr="000D642E">
        <w:t>příjemce potvrdí, že neprovedl</w:t>
      </w:r>
      <w:r w:rsidR="00333D5B" w:rsidRPr="005D6582">
        <w:t xml:space="preserve"> přemístění</w:t>
      </w:r>
      <w:r w:rsidR="008438F8">
        <w:rPr>
          <w:rStyle w:val="Znakapoznpodarou"/>
        </w:rPr>
        <w:footnoteReference w:id="14"/>
      </w:r>
      <w:r w:rsidR="00333D5B" w:rsidRPr="005D6582">
        <w:t xml:space="preserve"> do provozovny</w:t>
      </w:r>
      <w:r w:rsidRPr="000D642E">
        <w:t>, do které se má počáteční investice, na niž se podpora požaduje, uskutečnit během dvou let předcházejících žádosti o podporu a zaváže se, že tak neučiní až do doby dvou let po dokončení počáteční investice, na niž se podpora požaduje</w:t>
      </w:r>
      <w:r w:rsidR="007D704D" w:rsidRPr="005D6582">
        <w:t xml:space="preserve"> </w:t>
      </w:r>
      <w:r w:rsidR="009C1854" w:rsidRPr="005D6582">
        <w:t>(pouze v případě podpory podle čl. 14 Nařízení Komise č. 651/2014</w:t>
      </w:r>
      <w:bookmarkEnd w:id="18"/>
      <w:r w:rsidR="007D704D" w:rsidRPr="005D6582">
        <w:t>)</w:t>
      </w:r>
      <w:r w:rsidR="009C1854" w:rsidRPr="005D6582">
        <w:t>.</w:t>
      </w:r>
    </w:p>
    <w:p w14:paraId="124D72E3" w14:textId="77777777" w:rsidR="00B7745E" w:rsidRPr="005D6582" w:rsidRDefault="00553FDD" w:rsidP="00E81C7B">
      <w:pPr>
        <w:pStyle w:val="Nadpis2"/>
      </w:pPr>
      <w:bookmarkStart w:id="19" w:name="_Toc420933911"/>
      <w:bookmarkStart w:id="20" w:name="_Toc522175285"/>
      <w:bookmarkStart w:id="21" w:name="_Toc499279784"/>
      <w:r w:rsidRPr="005D6582">
        <w:lastRenderedPageBreak/>
        <w:t>Způsobilé výdaje</w:t>
      </w:r>
      <w:bookmarkEnd w:id="19"/>
      <w:bookmarkEnd w:id="20"/>
      <w:bookmarkEnd w:id="21"/>
    </w:p>
    <w:p w14:paraId="403D2730" w14:textId="77777777" w:rsidR="008355E1" w:rsidRPr="005D6582" w:rsidRDefault="00553FDD" w:rsidP="00FE301C">
      <w:pPr>
        <w:pStyle w:val="Nadpis3"/>
        <w:spacing w:line="276" w:lineRule="auto"/>
        <w:jc w:val="both"/>
      </w:pPr>
      <w:r w:rsidRPr="005D6582">
        <w:t>Vymezení způsobilých výdajů</w:t>
      </w:r>
    </w:p>
    <w:p w14:paraId="0515232C" w14:textId="77777777" w:rsidR="00794345" w:rsidRPr="005D6582" w:rsidRDefault="00794345" w:rsidP="001A27C6">
      <w:pPr>
        <w:spacing w:before="120" w:line="360" w:lineRule="auto"/>
        <w:rPr>
          <w:rFonts w:cstheme="minorHAnsi"/>
          <w:bCs/>
          <w:szCs w:val="22"/>
        </w:rPr>
      </w:pPr>
      <w:bookmarkStart w:id="22" w:name="_Toc393874158"/>
      <w:r w:rsidRPr="005D6582">
        <w:rPr>
          <w:rFonts w:cstheme="minorHAnsi"/>
          <w:bCs/>
          <w:szCs w:val="22"/>
        </w:rPr>
        <w:t>Způsobilé výdaje projektu musí splňovat následující podmínky:</w:t>
      </w:r>
    </w:p>
    <w:bookmarkEnd w:id="22"/>
    <w:p w14:paraId="16F31472" w14:textId="77777777" w:rsidR="00B7745E" w:rsidRPr="005D6582" w:rsidRDefault="00553FDD" w:rsidP="00B83B1F">
      <w:pPr>
        <w:pStyle w:val="Odrka"/>
        <w:spacing w:line="276" w:lineRule="auto"/>
      </w:pPr>
      <w:r w:rsidRPr="005D6582">
        <w:rPr>
          <w:bCs w:val="0"/>
          <w:iCs w:val="0"/>
          <w:szCs w:val="20"/>
        </w:rPr>
        <w:t>musí bezprostředně souviset s realizací projektu,</w:t>
      </w:r>
    </w:p>
    <w:p w14:paraId="06641B81" w14:textId="77777777" w:rsidR="003223D3" w:rsidRPr="005D6582" w:rsidRDefault="00302AC1" w:rsidP="003223D3">
      <w:pPr>
        <w:pStyle w:val="Odrka"/>
        <w:spacing w:after="0" w:line="276" w:lineRule="auto"/>
        <w:ind w:left="499" w:hanging="357"/>
        <w:rPr>
          <w:bCs w:val="0"/>
          <w:iCs w:val="0"/>
          <w:szCs w:val="20"/>
        </w:rPr>
      </w:pPr>
      <w:r w:rsidRPr="005D6582">
        <w:rPr>
          <w:rFonts w:asciiTheme="minorHAnsi" w:hAnsiTheme="minorHAnsi" w:cstheme="minorHAnsi"/>
          <w:szCs w:val="22"/>
        </w:rPr>
        <w:t>byly uhrazeny v den podání žádosti o podporu či později,</w:t>
      </w:r>
    </w:p>
    <w:p w14:paraId="497FDF48" w14:textId="77777777" w:rsidR="00186E7B" w:rsidRPr="005D6582" w:rsidRDefault="00794345" w:rsidP="004F1E3F">
      <w:pPr>
        <w:pStyle w:val="odrtecka"/>
        <w:numPr>
          <w:ilvl w:val="0"/>
          <w:numId w:val="2"/>
        </w:numPr>
        <w:tabs>
          <w:tab w:val="clear" w:pos="709"/>
        </w:tabs>
        <w:spacing w:before="0" w:after="0" w:line="360" w:lineRule="auto"/>
        <w:rPr>
          <w:rFonts w:asciiTheme="minorHAnsi" w:hAnsiTheme="minorHAnsi" w:cstheme="minorHAnsi"/>
          <w:szCs w:val="22"/>
        </w:rPr>
      </w:pPr>
      <w:r w:rsidRPr="005D6582">
        <w:rPr>
          <w:rFonts w:asciiTheme="minorHAnsi" w:hAnsiTheme="minorHAnsi" w:cstheme="minorHAnsi"/>
          <w:bCs/>
          <w:iCs/>
          <w:sz w:val="22"/>
          <w:szCs w:val="22"/>
        </w:rPr>
        <w:t>musí sloužit k pořízení majetku příjemce podpory.</w:t>
      </w:r>
    </w:p>
    <w:p w14:paraId="49A5A892" w14:textId="3F4E480E" w:rsidR="00CD6EB4" w:rsidRPr="005D6582" w:rsidRDefault="00794345" w:rsidP="00CD6EB4">
      <w:pPr>
        <w:spacing w:before="120" w:line="360" w:lineRule="auto"/>
        <w:rPr>
          <w:bCs/>
          <w:iCs/>
        </w:rPr>
      </w:pPr>
      <w:r w:rsidRPr="005D6582">
        <w:rPr>
          <w:rFonts w:cstheme="minorHAnsi"/>
          <w:szCs w:val="22"/>
        </w:rPr>
        <w:t>Způsobilé výdaje uhrazené z podpořeného úvěru musí</w:t>
      </w:r>
      <w:r w:rsidR="00CD6EB4" w:rsidRPr="005D6582">
        <w:rPr>
          <w:bCs/>
          <w:iCs/>
        </w:rPr>
        <w:t xml:space="preserve"> být doloženy účetními/daňovými doklady.</w:t>
      </w:r>
    </w:p>
    <w:p w14:paraId="7340B397" w14:textId="77777777" w:rsidR="00DE1632" w:rsidRPr="005D6582" w:rsidRDefault="00DE1632" w:rsidP="00DE1632">
      <w:pPr>
        <w:pStyle w:val="Nadpis3"/>
        <w:spacing w:after="120" w:line="276" w:lineRule="auto"/>
        <w:rPr>
          <w:szCs w:val="22"/>
        </w:rPr>
      </w:pPr>
      <w:r w:rsidRPr="005D6582">
        <w:rPr>
          <w:szCs w:val="22"/>
        </w:rPr>
        <w:t xml:space="preserve">Způsobilými výdaji </w:t>
      </w:r>
      <w:r w:rsidR="00794345" w:rsidRPr="005D6582">
        <w:rPr>
          <w:szCs w:val="22"/>
        </w:rPr>
        <w:t>projektu</w:t>
      </w:r>
      <w:r w:rsidR="00CA6DA6" w:rsidRPr="005D6582">
        <w:rPr>
          <w:szCs w:val="22"/>
        </w:rPr>
        <w:t xml:space="preserve"> </w:t>
      </w:r>
      <w:r w:rsidRPr="005D6582">
        <w:rPr>
          <w:szCs w:val="22"/>
        </w:rPr>
        <w:t>jsou:</w:t>
      </w:r>
    </w:p>
    <w:p w14:paraId="14369DCC" w14:textId="77777777" w:rsidR="003316F3" w:rsidRPr="000A00E3" w:rsidRDefault="00B6490A" w:rsidP="003316F3">
      <w:pPr>
        <w:numPr>
          <w:ilvl w:val="0"/>
          <w:numId w:val="118"/>
        </w:numPr>
        <w:ind w:left="567" w:hanging="357"/>
      </w:pPr>
      <w:bookmarkStart w:id="23" w:name="_Hlk477728239"/>
      <w:r w:rsidRPr="000A00E3">
        <w:t>dlouhodobý hmotný majetek</w:t>
      </w:r>
      <w:r w:rsidR="009772C7" w:rsidRPr="000A00E3">
        <w:t>:</w:t>
      </w:r>
    </w:p>
    <w:p w14:paraId="0E504AFE" w14:textId="77777777" w:rsidR="003316F3" w:rsidRPr="000A00E3" w:rsidRDefault="00B6490A" w:rsidP="003316F3">
      <w:pPr>
        <w:numPr>
          <w:ilvl w:val="0"/>
          <w:numId w:val="119"/>
        </w:numPr>
      </w:pPr>
      <w:r w:rsidRPr="000A00E3">
        <w:t>pořízení strojů</w:t>
      </w:r>
      <w:r w:rsidR="009772C7" w:rsidRPr="000A00E3">
        <w:t xml:space="preserve"> a zařízení,</w:t>
      </w:r>
    </w:p>
    <w:p w14:paraId="3959A85F" w14:textId="77777777" w:rsidR="00CD6EB4" w:rsidRPr="000A00E3" w:rsidRDefault="00CD6EB4" w:rsidP="00CD6EB4">
      <w:pPr>
        <w:numPr>
          <w:ilvl w:val="0"/>
          <w:numId w:val="119"/>
        </w:numPr>
      </w:pPr>
      <w:r w:rsidRPr="000A00E3">
        <w:t>pořízení a </w:t>
      </w:r>
      <w:r w:rsidRPr="005D6582">
        <w:t xml:space="preserve">technické zhodnocení (tj. nástavby, přístavby, </w:t>
      </w:r>
      <w:r w:rsidRPr="000A00E3">
        <w:t>rekonstrukce</w:t>
      </w:r>
      <w:r w:rsidRPr="005D6582">
        <w:t>, modernizace)</w:t>
      </w:r>
      <w:r w:rsidRPr="000A00E3">
        <w:t xml:space="preserve"> staveb,</w:t>
      </w:r>
    </w:p>
    <w:p w14:paraId="3F9D23E5" w14:textId="77777777" w:rsidR="00E54C7E" w:rsidRPr="000A00E3" w:rsidRDefault="00E54C7E" w:rsidP="003316F3">
      <w:pPr>
        <w:numPr>
          <w:ilvl w:val="0"/>
          <w:numId w:val="119"/>
        </w:numPr>
      </w:pPr>
      <w:r w:rsidRPr="000A00E3">
        <w:t>pořízení pozemků.</w:t>
      </w:r>
    </w:p>
    <w:p w14:paraId="0A76EACD" w14:textId="77777777" w:rsidR="004A64D8" w:rsidRPr="000A00E3" w:rsidRDefault="009B5C7B" w:rsidP="004F1E3F">
      <w:pPr>
        <w:ind w:left="567"/>
      </w:pPr>
      <w:r w:rsidRPr="000A00E3">
        <w:t>Výdaj na pořízení pozemků hrazený z bankovního úvěru je</w:t>
      </w:r>
      <w:r w:rsidR="00916CD0" w:rsidRPr="000A00E3">
        <w:t xml:space="preserve"> při výplatě finančního příspěvku</w:t>
      </w:r>
      <w:r w:rsidRPr="000A00E3">
        <w:t xml:space="preserve"> způsobilým výdajem projektu do výše 1</w:t>
      </w:r>
      <w:r w:rsidR="0063303D" w:rsidRPr="000A00E3">
        <w:t>35</w:t>
      </w:r>
      <w:r w:rsidRPr="000A00E3">
        <w:t> % vyčerpaného zvýhodněného úvěru.</w:t>
      </w:r>
    </w:p>
    <w:p w14:paraId="0F1A6F73" w14:textId="77777777" w:rsidR="00C96190" w:rsidRPr="000A00E3" w:rsidRDefault="00885C61" w:rsidP="004F1E3F">
      <w:pPr>
        <w:ind w:left="567"/>
      </w:pPr>
      <w:r w:rsidRPr="000A00E3">
        <w:t>Výdaj na pořízení nezastavěného pozemku není způsobilým výdajem zvýhodněného úvěru.</w:t>
      </w:r>
    </w:p>
    <w:bookmarkEnd w:id="23"/>
    <w:p w14:paraId="0432525E" w14:textId="77777777" w:rsidR="00FC097B" w:rsidRPr="000A00E3" w:rsidRDefault="00DE1632" w:rsidP="00D01034">
      <w:pPr>
        <w:numPr>
          <w:ilvl w:val="0"/>
          <w:numId w:val="118"/>
        </w:numPr>
        <w:ind w:left="567" w:hanging="357"/>
      </w:pPr>
      <w:r w:rsidRPr="000A00E3">
        <w:t>pořízení dlouhodobého nehmotného majetku. Pořizovaný dlouhodobý nehmotný majetek musí v případě podpory podle Nařízení Komise č. 651/2014 splňovat tyto podmínky:</w:t>
      </w:r>
    </w:p>
    <w:p w14:paraId="198E8D7C" w14:textId="77777777" w:rsidR="00DE1632" w:rsidRPr="005D6582" w:rsidRDefault="00DE1632" w:rsidP="00D01034">
      <w:pPr>
        <w:numPr>
          <w:ilvl w:val="0"/>
          <w:numId w:val="119"/>
        </w:numPr>
      </w:pPr>
      <w:r w:rsidRPr="005D6582">
        <w:t>musí být používán výlučně pro účely realizace projektu příjemce podpory,</w:t>
      </w:r>
    </w:p>
    <w:p w14:paraId="0CD67D68" w14:textId="77777777" w:rsidR="00DE1632" w:rsidRPr="005D6582" w:rsidRDefault="00DE1632" w:rsidP="00D01034">
      <w:pPr>
        <w:numPr>
          <w:ilvl w:val="0"/>
          <w:numId w:val="119"/>
        </w:numPr>
      </w:pPr>
      <w:r w:rsidRPr="005D6582">
        <w:t>musí se jednat o odepisovatelná aktiva příjemce podpory,</w:t>
      </w:r>
    </w:p>
    <w:p w14:paraId="1B95AA78" w14:textId="77777777" w:rsidR="00E81C7B" w:rsidRPr="005D6582" w:rsidRDefault="00DE1632" w:rsidP="00D01034">
      <w:pPr>
        <w:numPr>
          <w:ilvl w:val="0"/>
          <w:numId w:val="119"/>
        </w:numPr>
      </w:pPr>
      <w:r w:rsidRPr="005D6582">
        <w:t>musí být pořízen za tržních podmínek od třetích osob nespřízněných</w:t>
      </w:r>
      <w:r w:rsidR="00553FDD" w:rsidRPr="005D6582">
        <w:rPr>
          <w:vertAlign w:val="superscript"/>
        </w:rPr>
        <w:footnoteReference w:id="15"/>
      </w:r>
      <w:r w:rsidR="00553FDD" w:rsidRPr="005D6582">
        <w:t xml:space="preserve"> </w:t>
      </w:r>
      <w:r w:rsidRPr="005D6582">
        <w:t>s příjemcem podpory,</w:t>
      </w:r>
    </w:p>
    <w:p w14:paraId="57B96D19" w14:textId="77777777" w:rsidR="009B5C7B" w:rsidRPr="005D6582" w:rsidRDefault="00DE1632" w:rsidP="001A27C6">
      <w:r w:rsidRPr="005D6582">
        <w:t xml:space="preserve">DPH </w:t>
      </w:r>
      <w:r w:rsidR="00B6490A" w:rsidRPr="005D6582">
        <w:t xml:space="preserve">ke způsobilému výdaji </w:t>
      </w:r>
      <w:r w:rsidR="00741722" w:rsidRPr="005D6582">
        <w:t xml:space="preserve">a daň z nabytí nemovitých věcí </w:t>
      </w:r>
      <w:r w:rsidRPr="005D6582">
        <w:t>ke způsobilému výdaji</w:t>
      </w:r>
      <w:r w:rsidR="00A80C75" w:rsidRPr="005D6582">
        <w:t xml:space="preserve"> </w:t>
      </w:r>
      <w:r w:rsidRPr="005D6582">
        <w:t>j</w:t>
      </w:r>
      <w:r w:rsidR="00B6490A" w:rsidRPr="005D6582">
        <w:t>sou</w:t>
      </w:r>
      <w:r w:rsidRPr="005D6582">
        <w:t xml:space="preserve"> rovněž způsobilým</w:t>
      </w:r>
      <w:r w:rsidR="00B6490A" w:rsidRPr="005D6582">
        <w:t>i výdaji</w:t>
      </w:r>
      <w:r w:rsidRPr="005D6582">
        <w:t>.</w:t>
      </w:r>
      <w:r w:rsidR="00512396" w:rsidRPr="005D6582">
        <w:t xml:space="preserve"> </w:t>
      </w:r>
      <w:r w:rsidR="009B5C7B" w:rsidRPr="005D6582">
        <w:t>Podrobnosti o způsobilosti DPH stanoví smlouva o zvýhodněném úvěru.</w:t>
      </w:r>
    </w:p>
    <w:p w14:paraId="7F9B3810" w14:textId="77777777" w:rsidR="00794345" w:rsidRPr="005D6582" w:rsidRDefault="002F67EA" w:rsidP="00B948B3">
      <w:pPr>
        <w:pStyle w:val="ko"/>
        <w:ind w:left="0" w:firstLine="0"/>
        <w:rPr>
          <w:spacing w:val="0"/>
        </w:rPr>
      </w:pPr>
      <w:r w:rsidRPr="005D6582">
        <w:rPr>
          <w:spacing w:val="0"/>
        </w:rPr>
        <w:t>Pravidla uvedená v tomto bodě se vztahují na způsobilé výdaje hrazené ze zvýhodněného úvěru, bankovního úvěru a další zdroje spolufinancování projektu včetně vlastních zdrojů příjemce podpory, které příjemce podpory uvede v žádosti o podporu</w:t>
      </w:r>
      <w:r w:rsidR="00794345" w:rsidRPr="005D6582">
        <w:rPr>
          <w:spacing w:val="0"/>
        </w:rPr>
        <w:t>.</w:t>
      </w:r>
    </w:p>
    <w:p w14:paraId="00C2B1CE" w14:textId="77248E9C" w:rsidR="00756691" w:rsidRPr="005D6582" w:rsidRDefault="00756691" w:rsidP="00756691">
      <w:pPr>
        <w:pStyle w:val="Nadpis3"/>
        <w:spacing w:after="120" w:line="276" w:lineRule="auto"/>
        <w:rPr>
          <w:szCs w:val="22"/>
        </w:rPr>
      </w:pPr>
      <w:bookmarkStart w:id="24" w:name="_Hlk477728411"/>
      <w:r w:rsidRPr="005D6582">
        <w:rPr>
          <w:szCs w:val="22"/>
        </w:rPr>
        <w:t xml:space="preserve">Způsobilými výdaji </w:t>
      </w:r>
      <w:r w:rsidR="00C24F1A">
        <w:rPr>
          <w:szCs w:val="22"/>
        </w:rPr>
        <w:t>projektu</w:t>
      </w:r>
      <w:r w:rsidRPr="005D6582">
        <w:rPr>
          <w:szCs w:val="22"/>
        </w:rPr>
        <w:t xml:space="preserve"> zejména nejsou výdaje na:</w:t>
      </w:r>
    </w:p>
    <w:p w14:paraId="482BE634" w14:textId="77777777" w:rsidR="00756691" w:rsidRPr="005D6582" w:rsidRDefault="00756691" w:rsidP="00756691">
      <w:pPr>
        <w:pStyle w:val="ko"/>
        <w:numPr>
          <w:ilvl w:val="0"/>
          <w:numId w:val="120"/>
        </w:numPr>
        <w:rPr>
          <w:spacing w:val="0"/>
        </w:rPr>
      </w:pPr>
      <w:r w:rsidRPr="005D6582">
        <w:rPr>
          <w:spacing w:val="0"/>
        </w:rPr>
        <w:t>splacení dříve poskytnutého úvěru</w:t>
      </w:r>
      <w:r w:rsidR="00512396" w:rsidRPr="005D6582">
        <w:rPr>
          <w:spacing w:val="0"/>
        </w:rPr>
        <w:t>,</w:t>
      </w:r>
    </w:p>
    <w:p w14:paraId="572B45D6" w14:textId="507FEA10" w:rsidR="00794345" w:rsidRPr="005D6582" w:rsidRDefault="00CD6EB4" w:rsidP="00794345">
      <w:pPr>
        <w:pStyle w:val="ko"/>
        <w:numPr>
          <w:ilvl w:val="0"/>
          <w:numId w:val="120"/>
        </w:numPr>
        <w:rPr>
          <w:spacing w:val="0"/>
        </w:rPr>
      </w:pPr>
      <w:r w:rsidRPr="005D6582">
        <w:rPr>
          <w:spacing w:val="0"/>
        </w:rPr>
        <w:lastRenderedPageBreak/>
        <w:t xml:space="preserve">refinancování </w:t>
      </w:r>
      <w:r w:rsidR="00794345" w:rsidRPr="005D6582">
        <w:rPr>
          <w:spacing w:val="0"/>
        </w:rPr>
        <w:t>vlastních zdrojů žadatele,</w:t>
      </w:r>
    </w:p>
    <w:p w14:paraId="32230C18" w14:textId="77777777" w:rsidR="00756691" w:rsidRPr="005D6582" w:rsidRDefault="00756691" w:rsidP="00756691">
      <w:pPr>
        <w:pStyle w:val="ko"/>
        <w:numPr>
          <w:ilvl w:val="0"/>
          <w:numId w:val="120"/>
        </w:numPr>
        <w:rPr>
          <w:spacing w:val="0"/>
        </w:rPr>
      </w:pPr>
      <w:r w:rsidRPr="005D6582">
        <w:rPr>
          <w:spacing w:val="0"/>
        </w:rPr>
        <w:t>nákup použitých strojů a zařízení</w:t>
      </w:r>
      <w:r w:rsidR="00794345" w:rsidRPr="005D6582">
        <w:rPr>
          <w:spacing w:val="0"/>
        </w:rPr>
        <w:t>.</w:t>
      </w:r>
    </w:p>
    <w:bookmarkEnd w:id="24"/>
    <w:p w14:paraId="0593B709" w14:textId="77777777" w:rsidR="009772C7" w:rsidRPr="005D6582" w:rsidRDefault="00DE1632" w:rsidP="000A00E3">
      <w:pPr>
        <w:pStyle w:val="Nadpis3"/>
        <w:spacing w:after="120" w:line="276" w:lineRule="auto"/>
      </w:pPr>
      <w:r w:rsidRPr="005D6582">
        <w:rPr>
          <w:szCs w:val="22"/>
        </w:rPr>
        <w:t>Způsobilými výdaji finančního příspěvku jsou</w:t>
      </w:r>
      <w:r w:rsidR="00240AED" w:rsidRPr="005D6582">
        <w:rPr>
          <w:szCs w:val="22"/>
        </w:rPr>
        <w:t xml:space="preserve"> </w:t>
      </w:r>
      <w:r w:rsidRPr="005D6582">
        <w:rPr>
          <w:bCs w:val="0"/>
          <w:szCs w:val="22"/>
        </w:rPr>
        <w:t xml:space="preserve">úroky bankovního úvěru vyčerpaného na způsobilé výdaje </w:t>
      </w:r>
      <w:r w:rsidR="00F94C08" w:rsidRPr="005D6582">
        <w:rPr>
          <w:bCs w:val="0"/>
          <w:szCs w:val="22"/>
        </w:rPr>
        <w:t xml:space="preserve">projektu </w:t>
      </w:r>
      <w:r w:rsidRPr="005D6582">
        <w:rPr>
          <w:bCs w:val="0"/>
          <w:szCs w:val="22"/>
        </w:rPr>
        <w:t>bez DPH</w:t>
      </w:r>
      <w:r w:rsidRPr="005D6582">
        <w:rPr>
          <w:szCs w:val="22"/>
          <w:vertAlign w:val="superscript"/>
        </w:rPr>
        <w:footnoteReference w:id="16"/>
      </w:r>
      <w:r w:rsidR="009B5C7B" w:rsidRPr="005D6582">
        <w:rPr>
          <w:bCs w:val="0"/>
          <w:szCs w:val="22"/>
        </w:rPr>
        <w:t>.</w:t>
      </w:r>
    </w:p>
    <w:p w14:paraId="0EE17E3C" w14:textId="77777777" w:rsidR="0045550F" w:rsidRPr="005D6582" w:rsidRDefault="009772C7" w:rsidP="000A157A">
      <w:pPr>
        <w:pStyle w:val="Nadpis1"/>
      </w:pPr>
      <w:bookmarkStart w:id="25" w:name="_Toc522175286"/>
      <w:bookmarkStart w:id="26" w:name="_Toc499279785"/>
      <w:r w:rsidRPr="005D6582">
        <w:t xml:space="preserve">Forma a výše </w:t>
      </w:r>
      <w:r w:rsidR="00553FDD" w:rsidRPr="005D6582">
        <w:t>podpory</w:t>
      </w:r>
      <w:bookmarkEnd w:id="25"/>
      <w:bookmarkEnd w:id="26"/>
    </w:p>
    <w:p w14:paraId="7BB46C7B" w14:textId="77777777" w:rsidR="00344A72" w:rsidRPr="005D6582" w:rsidRDefault="00553FDD" w:rsidP="00B83B1F">
      <w:pPr>
        <w:spacing w:line="276" w:lineRule="auto"/>
      </w:pPr>
      <w:bookmarkStart w:id="27" w:name="_Toc420933912"/>
      <w:r w:rsidRPr="005D6582">
        <w:t>Podpora je poskytována ve formě zvýhodněného úvěru a ve formě finančního příspěvku (poskytnutého společně se zvýhodněným úvěrem).</w:t>
      </w:r>
      <w:r w:rsidR="0058083A" w:rsidRPr="005D6582">
        <w:t xml:space="preserve"> </w:t>
      </w:r>
      <w:r w:rsidRPr="005D6582">
        <w:t>Na jeden projekt může být poskytnut pouze jeden zvýhodněný úvěr</w:t>
      </w:r>
      <w:r w:rsidR="0058083A" w:rsidRPr="005D6582">
        <w:t xml:space="preserve"> a jeden finanční příspěvek</w:t>
      </w:r>
      <w:r w:rsidR="00F94C08" w:rsidRPr="005D6582">
        <w:t>.</w:t>
      </w:r>
    </w:p>
    <w:p w14:paraId="53B29CB9" w14:textId="77777777" w:rsidR="00821C67" w:rsidRPr="005D6582" w:rsidRDefault="00553FDD" w:rsidP="00E81C7B">
      <w:pPr>
        <w:pStyle w:val="Nadpis2"/>
      </w:pPr>
      <w:bookmarkStart w:id="28" w:name="_Toc522175287"/>
      <w:bookmarkStart w:id="29" w:name="_Toc499279786"/>
      <w:r w:rsidRPr="005D6582">
        <w:t>Zvýhodněný úvěr</w:t>
      </w:r>
      <w:bookmarkEnd w:id="27"/>
      <w:bookmarkEnd w:id="28"/>
      <w:bookmarkEnd w:id="29"/>
    </w:p>
    <w:p w14:paraId="063350BC" w14:textId="77777777" w:rsidR="00821C67" w:rsidRPr="005D6582" w:rsidRDefault="00553FDD" w:rsidP="00347B61">
      <w:pPr>
        <w:spacing w:after="120"/>
      </w:pPr>
      <w:r w:rsidRPr="005D6582">
        <w:t>Poskytuje se za těchto podmínek:</w:t>
      </w:r>
    </w:p>
    <w:p w14:paraId="79ACE282" w14:textId="77777777" w:rsidR="00821C67" w:rsidRPr="005D6582" w:rsidRDefault="009772C7" w:rsidP="000A157A">
      <w:pPr>
        <w:pStyle w:val="Odrka"/>
      </w:pPr>
      <w:r w:rsidRPr="005D6582">
        <w:rPr>
          <w:bCs w:val="0"/>
          <w:iCs w:val="0"/>
          <w:szCs w:val="20"/>
        </w:rPr>
        <w:t xml:space="preserve">výše úvěru: až </w:t>
      </w:r>
      <w:r w:rsidR="00C96190" w:rsidRPr="005D6582">
        <w:rPr>
          <w:bCs w:val="0"/>
          <w:iCs w:val="0"/>
          <w:szCs w:val="20"/>
        </w:rPr>
        <w:t>45</w:t>
      </w:r>
      <w:r w:rsidRPr="005D6582">
        <w:rPr>
          <w:bCs w:val="0"/>
          <w:iCs w:val="0"/>
          <w:szCs w:val="20"/>
        </w:rPr>
        <w:t xml:space="preserve"> </w:t>
      </w:r>
      <w:r w:rsidR="00553FDD" w:rsidRPr="005D6582">
        <w:rPr>
          <w:bCs w:val="0"/>
          <w:iCs w:val="0"/>
          <w:szCs w:val="20"/>
        </w:rPr>
        <w:t xml:space="preserve">% z předpokládaných způsobilých výdajů projektu, minimálně však </w:t>
      </w:r>
      <w:r w:rsidR="00D57E62" w:rsidRPr="005D6582">
        <w:rPr>
          <w:bCs w:val="0"/>
          <w:iCs w:val="0"/>
          <w:szCs w:val="20"/>
        </w:rPr>
        <w:t>1 mil</w:t>
      </w:r>
      <w:r w:rsidR="00F94C08" w:rsidRPr="005D6582">
        <w:rPr>
          <w:bCs w:val="0"/>
          <w:iCs w:val="0"/>
          <w:szCs w:val="20"/>
        </w:rPr>
        <w:t>.</w:t>
      </w:r>
      <w:r w:rsidR="00553FDD" w:rsidRPr="005D6582">
        <w:rPr>
          <w:bCs w:val="0"/>
          <w:iCs w:val="0"/>
          <w:szCs w:val="20"/>
        </w:rPr>
        <w:t xml:space="preserve"> Kč, maximálně </w:t>
      </w:r>
      <w:r w:rsidR="00C96190" w:rsidRPr="005D6582">
        <w:rPr>
          <w:bCs w:val="0"/>
          <w:iCs w:val="0"/>
          <w:szCs w:val="20"/>
        </w:rPr>
        <w:t>4</w:t>
      </w:r>
      <w:r w:rsidR="00F94C08" w:rsidRPr="005D6582">
        <w:rPr>
          <w:bCs w:val="0"/>
          <w:iCs w:val="0"/>
          <w:szCs w:val="20"/>
        </w:rPr>
        <w:t>5</w:t>
      </w:r>
      <w:r w:rsidR="00553FDD" w:rsidRPr="005D6582">
        <w:rPr>
          <w:bCs w:val="0"/>
          <w:iCs w:val="0"/>
          <w:szCs w:val="20"/>
        </w:rPr>
        <w:t xml:space="preserve"> mil. Kč,</w:t>
      </w:r>
    </w:p>
    <w:p w14:paraId="787A877D" w14:textId="77777777" w:rsidR="00821C67" w:rsidRPr="005D6582" w:rsidRDefault="00553FDD" w:rsidP="000A157A">
      <w:pPr>
        <w:pStyle w:val="Odrka"/>
        <w:rPr>
          <w:bCs w:val="0"/>
          <w:iCs w:val="0"/>
          <w:szCs w:val="20"/>
        </w:rPr>
      </w:pPr>
      <w:r w:rsidRPr="005D6582">
        <w:rPr>
          <w:bCs w:val="0"/>
          <w:iCs w:val="0"/>
          <w:szCs w:val="20"/>
        </w:rPr>
        <w:t xml:space="preserve">doba splatnosti úvěru: až 7 let od data uzavření smlouvy o </w:t>
      </w:r>
      <w:r w:rsidR="00D01034" w:rsidRPr="005D6582">
        <w:rPr>
          <w:bCs w:val="0"/>
          <w:iCs w:val="0"/>
          <w:szCs w:val="20"/>
        </w:rPr>
        <w:t xml:space="preserve">zvýhodněném </w:t>
      </w:r>
      <w:r w:rsidRPr="005D6582">
        <w:rPr>
          <w:bCs w:val="0"/>
          <w:iCs w:val="0"/>
          <w:szCs w:val="20"/>
        </w:rPr>
        <w:t>úvěru,</w:t>
      </w:r>
      <w:r w:rsidR="00AC03E9" w:rsidRPr="005D6582">
        <w:rPr>
          <w:bCs w:val="0"/>
          <w:iCs w:val="0"/>
          <w:szCs w:val="20"/>
        </w:rPr>
        <w:t xml:space="preserve"> v případě projektu s převažujícím podílem </w:t>
      </w:r>
      <w:r w:rsidR="00905255" w:rsidRPr="005D6582">
        <w:rPr>
          <w:bCs w:val="0"/>
          <w:iCs w:val="0"/>
          <w:szCs w:val="20"/>
        </w:rPr>
        <w:t>způsobilých výdajů na pořízení nebo</w:t>
      </w:r>
      <w:r w:rsidR="00AC03E9" w:rsidRPr="005D6582">
        <w:rPr>
          <w:bCs w:val="0"/>
          <w:iCs w:val="0"/>
          <w:szCs w:val="20"/>
        </w:rPr>
        <w:t xml:space="preserve"> </w:t>
      </w:r>
      <w:r w:rsidR="00905255" w:rsidRPr="005D6582">
        <w:rPr>
          <w:bCs w:val="0"/>
          <w:iCs w:val="0"/>
          <w:szCs w:val="20"/>
        </w:rPr>
        <w:t>technické</w:t>
      </w:r>
      <w:r w:rsidR="00AC03E9" w:rsidRPr="005D6582">
        <w:rPr>
          <w:bCs w:val="0"/>
          <w:iCs w:val="0"/>
          <w:szCs w:val="20"/>
        </w:rPr>
        <w:t xml:space="preserve"> </w:t>
      </w:r>
      <w:r w:rsidR="00905255" w:rsidRPr="005D6582">
        <w:rPr>
          <w:bCs w:val="0"/>
          <w:iCs w:val="0"/>
          <w:szCs w:val="20"/>
        </w:rPr>
        <w:t xml:space="preserve">zhodnocení </w:t>
      </w:r>
      <w:r w:rsidR="00AC03E9" w:rsidRPr="005D6582">
        <w:rPr>
          <w:bCs w:val="0"/>
          <w:iCs w:val="0"/>
          <w:szCs w:val="20"/>
        </w:rPr>
        <w:t xml:space="preserve">nemovitých věcí </w:t>
      </w:r>
      <w:r w:rsidR="006D28FE" w:rsidRPr="005D6582">
        <w:rPr>
          <w:bCs w:val="0"/>
          <w:iCs w:val="0"/>
          <w:szCs w:val="20"/>
        </w:rPr>
        <w:t xml:space="preserve">hrazených ze zvýhodněného úvěru </w:t>
      </w:r>
      <w:r w:rsidR="00AC03E9" w:rsidRPr="005D6582">
        <w:rPr>
          <w:bCs w:val="0"/>
          <w:iCs w:val="0"/>
          <w:szCs w:val="20"/>
        </w:rPr>
        <w:t>až 10 let od data uzavření smlouvy o zvýhodněném úvěru</w:t>
      </w:r>
      <w:r w:rsidR="006D28FE" w:rsidRPr="005D6582">
        <w:rPr>
          <w:bCs w:val="0"/>
          <w:iCs w:val="0"/>
          <w:szCs w:val="20"/>
        </w:rPr>
        <w:t>,</w:t>
      </w:r>
    </w:p>
    <w:p w14:paraId="0FACC6C4" w14:textId="77777777" w:rsidR="00821C67" w:rsidRPr="005D6582" w:rsidRDefault="00553FDD" w:rsidP="00970822">
      <w:pPr>
        <w:pStyle w:val="Odrka"/>
        <w:tabs>
          <w:tab w:val="left" w:pos="0"/>
        </w:tabs>
        <w:rPr>
          <w:bCs w:val="0"/>
          <w:iCs w:val="0"/>
          <w:szCs w:val="20"/>
        </w:rPr>
      </w:pPr>
      <w:r w:rsidRPr="005D6582">
        <w:rPr>
          <w:bCs w:val="0"/>
          <w:iCs w:val="0"/>
          <w:szCs w:val="20"/>
        </w:rPr>
        <w:t>úvěr je bezúročný,</w:t>
      </w:r>
    </w:p>
    <w:p w14:paraId="72520685" w14:textId="2F779CA4" w:rsidR="00D650BC" w:rsidRPr="005D6582" w:rsidRDefault="00553FDD" w:rsidP="00D650BC">
      <w:pPr>
        <w:pStyle w:val="Odrka"/>
        <w:rPr>
          <w:bCs w:val="0"/>
          <w:iCs w:val="0"/>
          <w:szCs w:val="20"/>
        </w:rPr>
      </w:pPr>
      <w:r w:rsidRPr="005D6582">
        <w:rPr>
          <w:bCs w:val="0"/>
          <w:iCs w:val="0"/>
          <w:szCs w:val="20"/>
        </w:rPr>
        <w:t xml:space="preserve">doba odkladu splátek jistiny: maximálně 3,5 </w:t>
      </w:r>
      <w:r w:rsidR="00CD6EB4" w:rsidRPr="005D6582">
        <w:rPr>
          <w:bCs w:val="0"/>
          <w:iCs w:val="0"/>
          <w:szCs w:val="20"/>
        </w:rPr>
        <w:t>roku</w:t>
      </w:r>
      <w:r w:rsidRPr="005D6582">
        <w:rPr>
          <w:bCs w:val="0"/>
          <w:iCs w:val="0"/>
          <w:szCs w:val="20"/>
        </w:rPr>
        <w:t>,</w:t>
      </w:r>
    </w:p>
    <w:p w14:paraId="4FD11ACB" w14:textId="77777777" w:rsidR="00FE6EB3" w:rsidRPr="005D6582" w:rsidRDefault="00553FDD" w:rsidP="000A157A">
      <w:pPr>
        <w:pStyle w:val="Odrka"/>
        <w:rPr>
          <w:bCs w:val="0"/>
          <w:iCs w:val="0"/>
          <w:szCs w:val="20"/>
        </w:rPr>
      </w:pPr>
      <w:r w:rsidRPr="005D6582">
        <w:rPr>
          <w:bCs w:val="0"/>
          <w:iCs w:val="0"/>
          <w:szCs w:val="20"/>
        </w:rPr>
        <w:t>zajištění úvěru: dle dohody mezi příjemcem podpory a ČMZRB,</w:t>
      </w:r>
    </w:p>
    <w:p w14:paraId="23FDCEF7" w14:textId="77777777" w:rsidR="00F94C08" w:rsidRPr="005D6582" w:rsidRDefault="00F94C08" w:rsidP="00F94C08">
      <w:pPr>
        <w:pStyle w:val="Odrka"/>
      </w:pPr>
      <w:r w:rsidRPr="005D6582">
        <w:t xml:space="preserve">režim podpory: de </w:t>
      </w:r>
      <w:proofErr w:type="spellStart"/>
      <w:r w:rsidRPr="005D6582">
        <w:t>minimis</w:t>
      </w:r>
      <w:proofErr w:type="spellEnd"/>
      <w:r w:rsidRPr="005D6582">
        <w:t xml:space="preserve"> nebo dle článku 14 Nařízení Komise č. 651/2014</w:t>
      </w:r>
      <w:r w:rsidR="00CA2712" w:rsidRPr="005D6582">
        <w:t>.</w:t>
      </w:r>
    </w:p>
    <w:p w14:paraId="5AF99ED0" w14:textId="77777777" w:rsidR="00630C21" w:rsidRPr="005D6582" w:rsidRDefault="00553FDD" w:rsidP="00C668DD">
      <w:pPr>
        <w:spacing w:before="100" w:beforeAutospacing="1" w:after="100" w:afterAutospacing="1" w:line="276" w:lineRule="auto"/>
      </w:pPr>
      <w:r w:rsidRPr="005D6582">
        <w:t>Maximální intenzita veřejné podpory nesmí v případě poskytnutí zvýhodněného úvěru podle článku 14 Nařízení Komise č. 651/2014 přesáhnout hranici dle následující tabulky: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1"/>
        <w:gridCol w:w="1665"/>
        <w:gridCol w:w="1782"/>
      </w:tblGrid>
      <w:tr w:rsidR="00DF69C9" w:rsidRPr="005D6582" w14:paraId="1CA69DAF" w14:textId="77777777" w:rsidTr="00DF69C9">
        <w:trPr>
          <w:trHeight w:val="284"/>
          <w:jc w:val="center"/>
        </w:trPr>
        <w:tc>
          <w:tcPr>
            <w:tcW w:w="5291" w:type="dxa"/>
            <w:vAlign w:val="center"/>
          </w:tcPr>
          <w:p w14:paraId="354E7D89" w14:textId="77777777" w:rsidR="00DF69C9" w:rsidRPr="005D6582" w:rsidRDefault="00553FDD" w:rsidP="00DF69C9">
            <w:pPr>
              <w:pStyle w:val="Zkladntext3"/>
              <w:keepNext/>
              <w:spacing w:after="0"/>
              <w:jc w:val="left"/>
              <w:rPr>
                <w:rFonts w:ascii="Calibri" w:hAnsi="Calibri" w:cs="Calibri"/>
                <w:szCs w:val="22"/>
              </w:rPr>
            </w:pPr>
            <w:r w:rsidRPr="005D6582">
              <w:rPr>
                <w:rFonts w:ascii="Calibri" w:hAnsi="Calibri" w:cs="Calibri"/>
                <w:szCs w:val="22"/>
              </w:rPr>
              <w:t>Region NUTS II</w:t>
            </w:r>
          </w:p>
        </w:tc>
        <w:tc>
          <w:tcPr>
            <w:tcW w:w="1665" w:type="dxa"/>
            <w:vAlign w:val="center"/>
          </w:tcPr>
          <w:p w14:paraId="1F32C0CC" w14:textId="77777777" w:rsidR="00DF69C9" w:rsidRPr="005D6582" w:rsidRDefault="00553FDD" w:rsidP="00DF69C9">
            <w:pPr>
              <w:pStyle w:val="Zkladntext3"/>
              <w:spacing w:after="0"/>
              <w:jc w:val="center"/>
              <w:rPr>
                <w:rFonts w:ascii="Calibri" w:hAnsi="Calibri" w:cs="Calibri"/>
                <w:szCs w:val="22"/>
              </w:rPr>
            </w:pPr>
            <w:r w:rsidRPr="005D6582">
              <w:rPr>
                <w:rFonts w:ascii="Calibri" w:hAnsi="Calibri" w:cs="Calibri"/>
                <w:szCs w:val="22"/>
              </w:rPr>
              <w:t>malý podnik</w:t>
            </w:r>
          </w:p>
        </w:tc>
        <w:tc>
          <w:tcPr>
            <w:tcW w:w="1782" w:type="dxa"/>
            <w:vAlign w:val="center"/>
          </w:tcPr>
          <w:p w14:paraId="791B0548" w14:textId="77777777" w:rsidR="00DF69C9" w:rsidRPr="005D6582" w:rsidRDefault="00553FDD" w:rsidP="00DF69C9">
            <w:pPr>
              <w:pStyle w:val="Zkladntext3"/>
              <w:spacing w:after="0"/>
              <w:jc w:val="center"/>
              <w:rPr>
                <w:rFonts w:ascii="Calibri" w:hAnsi="Calibri" w:cs="Calibri"/>
                <w:szCs w:val="22"/>
              </w:rPr>
            </w:pPr>
            <w:r w:rsidRPr="005D6582">
              <w:rPr>
                <w:rFonts w:ascii="Calibri" w:hAnsi="Calibri" w:cs="Calibri"/>
                <w:szCs w:val="22"/>
              </w:rPr>
              <w:t>střední podnik</w:t>
            </w:r>
          </w:p>
        </w:tc>
      </w:tr>
      <w:tr w:rsidR="00DF69C9" w:rsidRPr="005D6582" w14:paraId="1A6DDDA7" w14:textId="77777777" w:rsidTr="00DF69C9">
        <w:trPr>
          <w:trHeight w:val="854"/>
          <w:jc w:val="center"/>
        </w:trPr>
        <w:tc>
          <w:tcPr>
            <w:tcW w:w="5291" w:type="dxa"/>
            <w:vAlign w:val="center"/>
          </w:tcPr>
          <w:p w14:paraId="3EFC063C" w14:textId="77777777" w:rsidR="00DF69C9" w:rsidRPr="005D6582" w:rsidRDefault="00553FDD" w:rsidP="00DF69C9">
            <w:pPr>
              <w:spacing w:after="0" w:line="276" w:lineRule="auto"/>
              <w:jc w:val="left"/>
              <w:rPr>
                <w:rFonts w:cs="Calibri"/>
                <w:b/>
              </w:rPr>
            </w:pPr>
            <w:r w:rsidRPr="005D6582">
              <w:rPr>
                <w:rFonts w:cs="Calibri"/>
                <w:b/>
              </w:rPr>
              <w:t xml:space="preserve">Střední Morava, Severozápad, Střední Čechy, </w:t>
            </w:r>
            <w:proofErr w:type="spellStart"/>
            <w:r w:rsidRPr="005D6582">
              <w:rPr>
                <w:rFonts w:cs="Calibri"/>
                <w:b/>
              </w:rPr>
              <w:t>Moravskoslezsko</w:t>
            </w:r>
            <w:proofErr w:type="spellEnd"/>
            <w:r w:rsidRPr="005D6582">
              <w:rPr>
                <w:rFonts w:cs="Calibri"/>
                <w:b/>
              </w:rPr>
              <w:t>, Severovýchod, Jihovýchod, Jihozápad</w:t>
            </w:r>
          </w:p>
        </w:tc>
        <w:tc>
          <w:tcPr>
            <w:tcW w:w="1665" w:type="dxa"/>
            <w:vAlign w:val="center"/>
          </w:tcPr>
          <w:p w14:paraId="65880675" w14:textId="77777777" w:rsidR="00DF69C9" w:rsidRPr="005D6582" w:rsidRDefault="00553FDD" w:rsidP="00DF69C9">
            <w:pPr>
              <w:spacing w:after="0" w:line="276" w:lineRule="auto"/>
              <w:jc w:val="center"/>
              <w:rPr>
                <w:rFonts w:cs="Calibri"/>
                <w:b/>
              </w:rPr>
            </w:pPr>
            <w:r w:rsidRPr="005D6582">
              <w:rPr>
                <w:rFonts w:cs="Calibri"/>
                <w:b/>
              </w:rPr>
              <w:t>45 %</w:t>
            </w:r>
          </w:p>
        </w:tc>
        <w:tc>
          <w:tcPr>
            <w:tcW w:w="1782" w:type="dxa"/>
            <w:vAlign w:val="center"/>
          </w:tcPr>
          <w:p w14:paraId="2E6CAE77" w14:textId="77777777" w:rsidR="00DF69C9" w:rsidRPr="005D6582" w:rsidRDefault="00553FDD" w:rsidP="00DF69C9">
            <w:pPr>
              <w:spacing w:after="0" w:line="276" w:lineRule="auto"/>
              <w:jc w:val="center"/>
              <w:rPr>
                <w:rFonts w:cs="Calibri"/>
                <w:b/>
              </w:rPr>
            </w:pPr>
            <w:r w:rsidRPr="005D6582">
              <w:rPr>
                <w:rFonts w:cs="Calibri"/>
                <w:b/>
              </w:rPr>
              <w:t>35 %</w:t>
            </w:r>
          </w:p>
        </w:tc>
      </w:tr>
    </w:tbl>
    <w:p w14:paraId="03DD2205" w14:textId="78DE01FA" w:rsidR="001E79B1" w:rsidRPr="005D6582" w:rsidRDefault="001E79B1" w:rsidP="00F02DF2">
      <w:pPr>
        <w:pStyle w:val="Nadpis2"/>
      </w:pPr>
      <w:bookmarkStart w:id="30" w:name="_Toc522175288"/>
      <w:r w:rsidRPr="005D6582">
        <w:t>Zvýhodněný úvěr</w:t>
      </w:r>
      <w:r w:rsidR="009C15E5">
        <w:t> </w:t>
      </w:r>
      <w:r w:rsidR="001B1683">
        <w:t xml:space="preserve">- zvláštní podporované aktivity </w:t>
      </w:r>
      <w:bookmarkEnd w:id="30"/>
    </w:p>
    <w:p w14:paraId="556EBED4" w14:textId="77777777" w:rsidR="001E79B1" w:rsidRPr="005D6582" w:rsidRDefault="001E79B1" w:rsidP="001E79B1">
      <w:pPr>
        <w:spacing w:after="120"/>
      </w:pPr>
      <w:r w:rsidRPr="005D6582">
        <w:t>Poskytuje se za těchto podmínek:</w:t>
      </w:r>
    </w:p>
    <w:p w14:paraId="149BC0E1" w14:textId="34FCA526" w:rsidR="001E79B1" w:rsidRPr="005D6582" w:rsidRDefault="001E79B1" w:rsidP="001E79B1">
      <w:pPr>
        <w:pStyle w:val="Odrka"/>
      </w:pPr>
      <w:r w:rsidRPr="005D6582">
        <w:rPr>
          <w:bCs w:val="0"/>
          <w:iCs w:val="0"/>
          <w:szCs w:val="20"/>
        </w:rPr>
        <w:lastRenderedPageBreak/>
        <w:t xml:space="preserve">výše úvěru: až </w:t>
      </w:r>
      <w:r w:rsidR="00C24F1A">
        <w:rPr>
          <w:bCs w:val="0"/>
          <w:iCs w:val="0"/>
          <w:szCs w:val="20"/>
        </w:rPr>
        <w:t>45</w:t>
      </w:r>
      <w:r w:rsidR="00C24F1A" w:rsidRPr="005D6582">
        <w:rPr>
          <w:bCs w:val="0"/>
          <w:iCs w:val="0"/>
          <w:szCs w:val="20"/>
        </w:rPr>
        <w:t xml:space="preserve"> </w:t>
      </w:r>
      <w:r w:rsidRPr="005D6582">
        <w:rPr>
          <w:bCs w:val="0"/>
          <w:iCs w:val="0"/>
          <w:szCs w:val="20"/>
        </w:rPr>
        <w:t xml:space="preserve">% z předpokládaných způsobilých výdajů projektu, minimálně však </w:t>
      </w:r>
      <w:r w:rsidR="00F02DF2">
        <w:rPr>
          <w:bCs w:val="0"/>
          <w:iCs w:val="0"/>
          <w:szCs w:val="20"/>
        </w:rPr>
        <w:t>650 tis.</w:t>
      </w:r>
      <w:r w:rsidRPr="005D6582">
        <w:rPr>
          <w:bCs w:val="0"/>
          <w:iCs w:val="0"/>
          <w:szCs w:val="20"/>
        </w:rPr>
        <w:t xml:space="preserve"> Kč</w:t>
      </w:r>
      <w:r w:rsidR="00596290">
        <w:rPr>
          <w:rStyle w:val="Znakapoznpodarou"/>
          <w:bCs w:val="0"/>
          <w:iCs w:val="0"/>
          <w:szCs w:val="20"/>
        </w:rPr>
        <w:footnoteReference w:id="17"/>
      </w:r>
      <w:r w:rsidRPr="005D6582">
        <w:rPr>
          <w:bCs w:val="0"/>
          <w:iCs w:val="0"/>
          <w:szCs w:val="20"/>
        </w:rPr>
        <w:t xml:space="preserve">, maximálně </w:t>
      </w:r>
      <w:r w:rsidR="00583A45" w:rsidRPr="005D6582">
        <w:rPr>
          <w:bCs w:val="0"/>
          <w:iCs w:val="0"/>
          <w:szCs w:val="20"/>
        </w:rPr>
        <w:t>60</w:t>
      </w:r>
      <w:r w:rsidRPr="005D6582">
        <w:rPr>
          <w:bCs w:val="0"/>
          <w:iCs w:val="0"/>
          <w:szCs w:val="20"/>
        </w:rPr>
        <w:t xml:space="preserve"> mil. Kč,</w:t>
      </w:r>
    </w:p>
    <w:p w14:paraId="364346DD" w14:textId="77777777" w:rsidR="001E79B1" w:rsidRPr="005D6582" w:rsidRDefault="001E79B1" w:rsidP="001E79B1">
      <w:pPr>
        <w:pStyle w:val="Odrka"/>
        <w:rPr>
          <w:bCs w:val="0"/>
          <w:iCs w:val="0"/>
          <w:szCs w:val="20"/>
        </w:rPr>
      </w:pPr>
      <w:r w:rsidRPr="005D6582">
        <w:rPr>
          <w:bCs w:val="0"/>
          <w:iCs w:val="0"/>
          <w:szCs w:val="20"/>
        </w:rPr>
        <w:t xml:space="preserve">doba splatnosti úvěru: až </w:t>
      </w:r>
      <w:r w:rsidR="00991589" w:rsidRPr="005D6582">
        <w:rPr>
          <w:bCs w:val="0"/>
          <w:iCs w:val="0"/>
          <w:szCs w:val="20"/>
        </w:rPr>
        <w:t>10</w:t>
      </w:r>
      <w:r w:rsidRPr="005D6582">
        <w:rPr>
          <w:bCs w:val="0"/>
          <w:iCs w:val="0"/>
          <w:szCs w:val="20"/>
        </w:rPr>
        <w:t xml:space="preserve"> let od data uzavření smlouvy o zvýhodněném úvěru,</w:t>
      </w:r>
    </w:p>
    <w:p w14:paraId="4E025EEE" w14:textId="77777777" w:rsidR="001E79B1" w:rsidRPr="005D6582" w:rsidRDefault="001E79B1" w:rsidP="001E79B1">
      <w:pPr>
        <w:pStyle w:val="Odrka"/>
        <w:tabs>
          <w:tab w:val="left" w:pos="0"/>
        </w:tabs>
        <w:rPr>
          <w:bCs w:val="0"/>
          <w:iCs w:val="0"/>
          <w:szCs w:val="20"/>
        </w:rPr>
      </w:pPr>
      <w:r w:rsidRPr="005D6582">
        <w:rPr>
          <w:bCs w:val="0"/>
          <w:iCs w:val="0"/>
          <w:szCs w:val="20"/>
        </w:rPr>
        <w:t>úvěr je bezúročný,</w:t>
      </w:r>
    </w:p>
    <w:p w14:paraId="4C00B7B6" w14:textId="77777777" w:rsidR="001E79B1" w:rsidRPr="005D6582" w:rsidRDefault="001E79B1" w:rsidP="001E79B1">
      <w:pPr>
        <w:pStyle w:val="Odrka"/>
        <w:rPr>
          <w:bCs w:val="0"/>
          <w:iCs w:val="0"/>
          <w:szCs w:val="20"/>
        </w:rPr>
      </w:pPr>
      <w:r w:rsidRPr="005D6582">
        <w:rPr>
          <w:bCs w:val="0"/>
          <w:iCs w:val="0"/>
          <w:szCs w:val="20"/>
        </w:rPr>
        <w:t xml:space="preserve">doba odkladu splátek jistiny: maximálně </w:t>
      </w:r>
      <w:r w:rsidR="00B97853" w:rsidRPr="005D6582">
        <w:rPr>
          <w:bCs w:val="0"/>
          <w:iCs w:val="0"/>
          <w:szCs w:val="20"/>
        </w:rPr>
        <w:t>4 roky</w:t>
      </w:r>
      <w:r w:rsidRPr="005D6582">
        <w:rPr>
          <w:bCs w:val="0"/>
          <w:iCs w:val="0"/>
          <w:szCs w:val="20"/>
        </w:rPr>
        <w:t>,</w:t>
      </w:r>
    </w:p>
    <w:p w14:paraId="5294A67F" w14:textId="77777777" w:rsidR="001E79B1" w:rsidRPr="005D6582" w:rsidRDefault="001E79B1" w:rsidP="001E79B1">
      <w:pPr>
        <w:pStyle w:val="Odrka"/>
        <w:rPr>
          <w:bCs w:val="0"/>
          <w:iCs w:val="0"/>
          <w:szCs w:val="20"/>
        </w:rPr>
      </w:pPr>
      <w:r w:rsidRPr="005D6582">
        <w:rPr>
          <w:bCs w:val="0"/>
          <w:iCs w:val="0"/>
          <w:szCs w:val="20"/>
        </w:rPr>
        <w:t>zajištění úvěru: dle dohody mezi příjemcem podpory a ČMZRB,</w:t>
      </w:r>
    </w:p>
    <w:p w14:paraId="2BC426C3" w14:textId="77777777" w:rsidR="00B97853" w:rsidRPr="005D6582" w:rsidRDefault="001E79B1" w:rsidP="001E79B1">
      <w:pPr>
        <w:pStyle w:val="Odrka"/>
      </w:pPr>
      <w:r w:rsidRPr="005D6582">
        <w:t>režim podpory:</w:t>
      </w:r>
    </w:p>
    <w:p w14:paraId="1F0FCB67" w14:textId="77777777" w:rsidR="001E79B1" w:rsidRPr="005D6582" w:rsidRDefault="00B97853" w:rsidP="005D6582">
      <w:pPr>
        <w:pStyle w:val="Odrka"/>
        <w:numPr>
          <w:ilvl w:val="1"/>
          <w:numId w:val="2"/>
        </w:numPr>
      </w:pPr>
      <w:r w:rsidRPr="005D6582">
        <w:t xml:space="preserve">NGA - </w:t>
      </w:r>
      <w:r w:rsidR="001E79B1" w:rsidRPr="005D6582">
        <w:t xml:space="preserve">de </w:t>
      </w:r>
      <w:proofErr w:type="spellStart"/>
      <w:r w:rsidR="001E79B1" w:rsidRPr="005D6582">
        <w:t>minimis</w:t>
      </w:r>
      <w:proofErr w:type="spellEnd"/>
    </w:p>
    <w:p w14:paraId="3BFAE99D" w14:textId="77777777" w:rsidR="00B97853" w:rsidRPr="005D6582" w:rsidRDefault="00B97853" w:rsidP="005D6582">
      <w:pPr>
        <w:pStyle w:val="Odrka"/>
        <w:numPr>
          <w:ilvl w:val="1"/>
          <w:numId w:val="2"/>
        </w:numPr>
      </w:pPr>
      <w:r w:rsidRPr="005D6582">
        <w:t xml:space="preserve">Efektivní využívání vody v průmyslu </w:t>
      </w:r>
      <w:r w:rsidR="009C15E5">
        <w:t xml:space="preserve">a </w:t>
      </w:r>
      <w:r w:rsidR="00C54240">
        <w:t>Zpracování</w:t>
      </w:r>
      <w:r w:rsidR="009C15E5">
        <w:t xml:space="preserve"> kalamitního dřeva </w:t>
      </w:r>
      <w:r w:rsidRPr="005D6582">
        <w:t xml:space="preserve">- de </w:t>
      </w:r>
      <w:proofErr w:type="spellStart"/>
      <w:r w:rsidRPr="005D6582">
        <w:t>minimis</w:t>
      </w:r>
      <w:proofErr w:type="spellEnd"/>
      <w:r w:rsidRPr="005D6582">
        <w:t xml:space="preserve"> nebo dle článku 14 Nařízení Komise č. 651/2014</w:t>
      </w:r>
    </w:p>
    <w:p w14:paraId="23E0F28B" w14:textId="77777777" w:rsidR="001E79B1" w:rsidRPr="005D6582" w:rsidRDefault="001E79B1" w:rsidP="001E79B1">
      <w:pPr>
        <w:spacing w:before="100" w:beforeAutospacing="1" w:after="100" w:afterAutospacing="1" w:line="276" w:lineRule="auto"/>
      </w:pPr>
      <w:r w:rsidRPr="005D6582">
        <w:t>Maximální intenzita veřejné podpory nesmí v případě poskytnutí zvýhodněného úvěru podle článku 14 Nařízení Komise č. 651/2014 přesáhnout hranici dle následující tabulky: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1"/>
        <w:gridCol w:w="1665"/>
        <w:gridCol w:w="1782"/>
      </w:tblGrid>
      <w:tr w:rsidR="001E79B1" w:rsidRPr="005D6582" w14:paraId="724E2D5F" w14:textId="77777777" w:rsidTr="001E79B1">
        <w:trPr>
          <w:trHeight w:val="284"/>
          <w:jc w:val="center"/>
        </w:trPr>
        <w:tc>
          <w:tcPr>
            <w:tcW w:w="5291" w:type="dxa"/>
            <w:vAlign w:val="center"/>
          </w:tcPr>
          <w:p w14:paraId="07C5956B" w14:textId="77777777" w:rsidR="001E79B1" w:rsidRPr="005D6582" w:rsidRDefault="001E79B1" w:rsidP="001E79B1">
            <w:pPr>
              <w:pStyle w:val="Zkladntext3"/>
              <w:keepNext/>
              <w:spacing w:after="0"/>
              <w:jc w:val="left"/>
              <w:rPr>
                <w:rFonts w:ascii="Calibri" w:hAnsi="Calibri" w:cs="Calibri"/>
                <w:szCs w:val="22"/>
              </w:rPr>
            </w:pPr>
            <w:r w:rsidRPr="005D6582">
              <w:rPr>
                <w:rFonts w:ascii="Calibri" w:hAnsi="Calibri" w:cs="Calibri"/>
                <w:szCs w:val="22"/>
              </w:rPr>
              <w:t>Region NUTS II</w:t>
            </w:r>
          </w:p>
        </w:tc>
        <w:tc>
          <w:tcPr>
            <w:tcW w:w="1665" w:type="dxa"/>
            <w:vAlign w:val="center"/>
          </w:tcPr>
          <w:p w14:paraId="4201D1F5" w14:textId="77777777" w:rsidR="001E79B1" w:rsidRPr="005D6582" w:rsidRDefault="001E79B1" w:rsidP="001E79B1">
            <w:pPr>
              <w:pStyle w:val="Zkladntext3"/>
              <w:spacing w:after="0"/>
              <w:jc w:val="center"/>
              <w:rPr>
                <w:rFonts w:ascii="Calibri" w:hAnsi="Calibri" w:cs="Calibri"/>
                <w:szCs w:val="22"/>
              </w:rPr>
            </w:pPr>
            <w:r w:rsidRPr="005D6582">
              <w:rPr>
                <w:rFonts w:ascii="Calibri" w:hAnsi="Calibri" w:cs="Calibri"/>
                <w:szCs w:val="22"/>
              </w:rPr>
              <w:t>malý podnik</w:t>
            </w:r>
          </w:p>
        </w:tc>
        <w:tc>
          <w:tcPr>
            <w:tcW w:w="1782" w:type="dxa"/>
            <w:vAlign w:val="center"/>
          </w:tcPr>
          <w:p w14:paraId="5AE084A9" w14:textId="77777777" w:rsidR="001E79B1" w:rsidRPr="005D6582" w:rsidRDefault="001E79B1" w:rsidP="001E79B1">
            <w:pPr>
              <w:pStyle w:val="Zkladntext3"/>
              <w:spacing w:after="0"/>
              <w:jc w:val="center"/>
              <w:rPr>
                <w:rFonts w:ascii="Calibri" w:hAnsi="Calibri" w:cs="Calibri"/>
                <w:szCs w:val="22"/>
              </w:rPr>
            </w:pPr>
            <w:r w:rsidRPr="005D6582">
              <w:rPr>
                <w:rFonts w:ascii="Calibri" w:hAnsi="Calibri" w:cs="Calibri"/>
                <w:szCs w:val="22"/>
              </w:rPr>
              <w:t>střední podnik</w:t>
            </w:r>
          </w:p>
        </w:tc>
      </w:tr>
      <w:tr w:rsidR="001E79B1" w:rsidRPr="005D6582" w14:paraId="78C4DE75" w14:textId="77777777" w:rsidTr="001E79B1">
        <w:trPr>
          <w:trHeight w:val="854"/>
          <w:jc w:val="center"/>
        </w:trPr>
        <w:tc>
          <w:tcPr>
            <w:tcW w:w="5291" w:type="dxa"/>
            <w:vAlign w:val="center"/>
          </w:tcPr>
          <w:p w14:paraId="3C2F7785" w14:textId="77777777" w:rsidR="001E79B1" w:rsidRPr="005D6582" w:rsidRDefault="001E79B1" w:rsidP="001E79B1">
            <w:pPr>
              <w:spacing w:after="0" w:line="276" w:lineRule="auto"/>
              <w:jc w:val="left"/>
              <w:rPr>
                <w:rFonts w:cs="Calibri"/>
                <w:b/>
              </w:rPr>
            </w:pPr>
            <w:r w:rsidRPr="005D6582">
              <w:rPr>
                <w:rFonts w:cs="Calibri"/>
                <w:b/>
              </w:rPr>
              <w:t xml:space="preserve">Střední Morava, Severozápad, Střední Čechy, </w:t>
            </w:r>
            <w:proofErr w:type="spellStart"/>
            <w:r w:rsidRPr="005D6582">
              <w:rPr>
                <w:rFonts w:cs="Calibri"/>
                <w:b/>
              </w:rPr>
              <w:t>Moravskoslezsko</w:t>
            </w:r>
            <w:proofErr w:type="spellEnd"/>
            <w:r w:rsidRPr="005D6582">
              <w:rPr>
                <w:rFonts w:cs="Calibri"/>
                <w:b/>
              </w:rPr>
              <w:t>, Severovýchod, Jihovýchod, Jihozápad</w:t>
            </w:r>
          </w:p>
        </w:tc>
        <w:tc>
          <w:tcPr>
            <w:tcW w:w="1665" w:type="dxa"/>
            <w:vAlign w:val="center"/>
          </w:tcPr>
          <w:p w14:paraId="0408F346" w14:textId="77777777" w:rsidR="001E79B1" w:rsidRPr="005D6582" w:rsidRDefault="001E79B1" w:rsidP="001E79B1">
            <w:pPr>
              <w:spacing w:after="0" w:line="276" w:lineRule="auto"/>
              <w:jc w:val="center"/>
              <w:rPr>
                <w:rFonts w:cs="Calibri"/>
                <w:b/>
              </w:rPr>
            </w:pPr>
            <w:r w:rsidRPr="005D6582">
              <w:rPr>
                <w:rFonts w:cs="Calibri"/>
                <w:b/>
              </w:rPr>
              <w:t>45 %</w:t>
            </w:r>
          </w:p>
        </w:tc>
        <w:tc>
          <w:tcPr>
            <w:tcW w:w="1782" w:type="dxa"/>
            <w:vAlign w:val="center"/>
          </w:tcPr>
          <w:p w14:paraId="6669829E" w14:textId="77777777" w:rsidR="001E79B1" w:rsidRPr="005D6582" w:rsidRDefault="001E79B1" w:rsidP="001E79B1">
            <w:pPr>
              <w:spacing w:after="0" w:line="276" w:lineRule="auto"/>
              <w:jc w:val="center"/>
              <w:rPr>
                <w:rFonts w:cs="Calibri"/>
                <w:b/>
              </w:rPr>
            </w:pPr>
            <w:r w:rsidRPr="005D6582">
              <w:rPr>
                <w:rFonts w:cs="Calibri"/>
                <w:b/>
              </w:rPr>
              <w:t>35 %</w:t>
            </w:r>
          </w:p>
        </w:tc>
      </w:tr>
    </w:tbl>
    <w:p w14:paraId="33972065" w14:textId="77777777" w:rsidR="001E79B1" w:rsidRPr="005D6582" w:rsidRDefault="001E79B1" w:rsidP="00EF0AE5">
      <w:pPr>
        <w:pStyle w:val="Nadpis2"/>
        <w:numPr>
          <w:ilvl w:val="0"/>
          <w:numId w:val="0"/>
        </w:numPr>
        <w:jc w:val="both"/>
        <w:rPr>
          <w:rFonts w:cs="Times New Roman"/>
          <w:b w:val="0"/>
          <w:bCs w:val="0"/>
          <w:iCs w:val="0"/>
          <w:sz w:val="22"/>
          <w:szCs w:val="20"/>
        </w:rPr>
      </w:pPr>
    </w:p>
    <w:p w14:paraId="47C2A020" w14:textId="77777777" w:rsidR="008C4618" w:rsidRPr="005D6582" w:rsidRDefault="00F94C08" w:rsidP="00E81C7B">
      <w:pPr>
        <w:pStyle w:val="Nadpis2"/>
      </w:pPr>
      <w:bookmarkStart w:id="31" w:name="_Toc522175289"/>
      <w:bookmarkStart w:id="32" w:name="_Toc499279787"/>
      <w:r w:rsidRPr="005D6582">
        <w:t>Finanční příspěvek</w:t>
      </w:r>
      <w:bookmarkEnd w:id="31"/>
      <w:bookmarkEnd w:id="32"/>
    </w:p>
    <w:p w14:paraId="1085D8E0" w14:textId="77777777" w:rsidR="003D6F4C" w:rsidRPr="005D6582" w:rsidRDefault="00553FDD" w:rsidP="004A0001">
      <w:pPr>
        <w:spacing w:line="276" w:lineRule="auto"/>
        <w:rPr>
          <w:bCs/>
        </w:rPr>
      </w:pPr>
      <w:r w:rsidRPr="005D6582">
        <w:t xml:space="preserve">Současně se zvýhodněným úvěrem </w:t>
      </w:r>
      <w:r w:rsidR="00F94C08" w:rsidRPr="005D6582">
        <w:t xml:space="preserve">může být </w:t>
      </w:r>
      <w:r w:rsidRPr="005D6582">
        <w:t xml:space="preserve">příjemci podpory poskytnut finanční příspěvek k úhradě úroků z části bankovního úvěru vyčerpané na způsobilé výdaje </w:t>
      </w:r>
      <w:r w:rsidR="009772C7" w:rsidRPr="005D6582">
        <w:t>projektu (dále v tomto bodě jen „příspěvek</w:t>
      </w:r>
      <w:r w:rsidR="00240AED" w:rsidRPr="005D6582">
        <w:t>“)</w:t>
      </w:r>
      <w:r w:rsidR="000D48A7" w:rsidRPr="005D6582">
        <w:rPr>
          <w:bCs/>
        </w:rPr>
        <w:t xml:space="preserve">. </w:t>
      </w:r>
      <w:r w:rsidRPr="005D6582">
        <w:rPr>
          <w:bCs/>
        </w:rPr>
        <w:t xml:space="preserve">Příspěvek se poskytuje jako podpora de </w:t>
      </w:r>
      <w:proofErr w:type="spellStart"/>
      <w:r w:rsidRPr="005D6582">
        <w:rPr>
          <w:bCs/>
        </w:rPr>
        <w:t>minimis</w:t>
      </w:r>
      <w:proofErr w:type="spellEnd"/>
      <w:r w:rsidRPr="005D6582">
        <w:rPr>
          <w:bCs/>
        </w:rPr>
        <w:t xml:space="preserve"> nebo jako podpora podle článku 17 </w:t>
      </w:r>
      <w:r w:rsidRPr="005D6582">
        <w:t>Nařízení Komise č.</w:t>
      </w:r>
      <w:r w:rsidR="00240AED" w:rsidRPr="005D6582">
        <w:t> </w:t>
      </w:r>
      <w:r w:rsidRPr="005D6582">
        <w:t>651/2014.</w:t>
      </w:r>
    </w:p>
    <w:p w14:paraId="79DDB667" w14:textId="77777777" w:rsidR="00240AED" w:rsidRPr="005D6582" w:rsidRDefault="00861012" w:rsidP="00861012">
      <w:r w:rsidRPr="005D6582">
        <w:t xml:space="preserve">Celková výše vyplaceného finančního příspěvku nesmí </w:t>
      </w:r>
      <w:r w:rsidR="00A524AF" w:rsidRPr="005D6582">
        <w:t xml:space="preserve">v případě projektu s místem realizace na území regionů vymezených přílohou č. 3 této Výzvy </w:t>
      </w:r>
      <w:r w:rsidRPr="005D6582">
        <w:t xml:space="preserve">přesáhnout </w:t>
      </w:r>
      <w:r w:rsidR="00F94C08" w:rsidRPr="005D6582">
        <w:t>8</w:t>
      </w:r>
      <w:r w:rsidRPr="005D6582">
        <w:t xml:space="preserve"> % bankovního úvěru vyčerpaného na způsobilé výdaje projektu (bez DPH</w:t>
      </w:r>
      <w:r w:rsidRPr="005D6582">
        <w:rPr>
          <w:rStyle w:val="Znakapoznpodarou"/>
          <w:rFonts w:ascii="Arial" w:hAnsi="Arial" w:cs="Arial"/>
        </w:rPr>
        <w:footnoteReference w:id="18"/>
      </w:r>
      <w:r w:rsidRPr="005D6582">
        <w:t>) a </w:t>
      </w:r>
      <w:r w:rsidR="001A4ED6" w:rsidRPr="005D6582">
        <w:t xml:space="preserve">zároveň nesmí přesáhnout částku </w:t>
      </w:r>
      <w:r w:rsidR="00F94C08" w:rsidRPr="005D6582">
        <w:t>1 0</w:t>
      </w:r>
      <w:r w:rsidRPr="005D6582">
        <w:t>00 000 Kč</w:t>
      </w:r>
      <w:r w:rsidR="00A524AF" w:rsidRPr="005D6582">
        <w:t>.</w:t>
      </w:r>
    </w:p>
    <w:p w14:paraId="49AB93FD" w14:textId="77777777" w:rsidR="00240AED" w:rsidRPr="005D6582" w:rsidRDefault="00A524AF" w:rsidP="00861012">
      <w:r w:rsidRPr="005D6582">
        <w:t xml:space="preserve">V případě projektu s místem realizace v jiných způsobilých regionech nesmí celková výše vyplaceného finančního příspěvku přesáhnout </w:t>
      </w:r>
      <w:r w:rsidR="005E10E3" w:rsidRPr="005D6582">
        <w:t>6</w:t>
      </w:r>
      <w:r w:rsidRPr="005D6582">
        <w:t xml:space="preserve"> % bankovního úvěru vyčerpaného na způsobilé výdaje projektu (bez DPH</w:t>
      </w:r>
      <w:r w:rsidRPr="005D6582">
        <w:rPr>
          <w:rStyle w:val="Znakapoznpodarou"/>
          <w:rFonts w:ascii="Arial" w:hAnsi="Arial" w:cs="Arial"/>
        </w:rPr>
        <w:footnoteReference w:id="19"/>
      </w:r>
      <w:r w:rsidRPr="005D6582">
        <w:t>) a zároveň nesmí přesáhnout částku 500 000 Kč</w:t>
      </w:r>
      <w:r w:rsidR="00861012" w:rsidRPr="005D6582">
        <w:t>.</w:t>
      </w:r>
    </w:p>
    <w:p w14:paraId="56593371" w14:textId="77777777" w:rsidR="00AC03E9" w:rsidRPr="005D6582" w:rsidRDefault="00AC03E9" w:rsidP="00AC03E9">
      <w:r w:rsidRPr="005D6582">
        <w:t xml:space="preserve">Pokud je projekt realizován v CZ-NACE 61 jako hlavní ekonomické činnosti projektu </w:t>
      </w:r>
      <w:r w:rsidR="006D28FE" w:rsidRPr="005D6582">
        <w:t xml:space="preserve">a projekt je zaměřen na  NGA </w:t>
      </w:r>
      <w:r w:rsidRPr="005D6582">
        <w:t>nebo se jedná o projekt</w:t>
      </w:r>
      <w:r w:rsidR="006D28FE" w:rsidRPr="005D6582">
        <w:t xml:space="preserve"> v jakékoliv podporované činnosti</w:t>
      </w:r>
      <w:r w:rsidRPr="005D6582">
        <w:t xml:space="preserve">, jehož cílem </w:t>
      </w:r>
      <w:r w:rsidR="00674358" w:rsidRPr="005D6582">
        <w:t xml:space="preserve">je </w:t>
      </w:r>
      <w:r w:rsidR="00B97853" w:rsidRPr="005D6582">
        <w:t xml:space="preserve">Efektivní využívání vody </w:t>
      </w:r>
      <w:r w:rsidR="00B97853" w:rsidRPr="005D6582">
        <w:lastRenderedPageBreak/>
        <w:t>v</w:t>
      </w:r>
      <w:r w:rsidR="00C24F1A">
        <w:t> </w:t>
      </w:r>
      <w:r w:rsidR="00B97853" w:rsidRPr="005D6582">
        <w:t>průmyslu</w:t>
      </w:r>
      <w:r w:rsidR="009C15E5">
        <w:t xml:space="preserve"> či </w:t>
      </w:r>
      <w:r w:rsidR="00F02DF2">
        <w:t>Zpracování</w:t>
      </w:r>
      <w:r w:rsidR="009C15E5">
        <w:t xml:space="preserve"> kalamitního dřeva</w:t>
      </w:r>
      <w:r w:rsidR="00F02DF2">
        <w:t>,</w:t>
      </w:r>
      <w:r w:rsidRPr="005D6582">
        <w:t xml:space="preserve"> činí maximální výše vyplaceného finančního příspěvku 10 % bankovního úvěru vyčerpaného na způsobilé výdaje projektu (bez DPH</w:t>
      </w:r>
      <w:r w:rsidRPr="005D6582">
        <w:rPr>
          <w:rStyle w:val="Znakapoznpodarou"/>
          <w:rFonts w:ascii="Arial" w:hAnsi="Arial" w:cs="Arial"/>
        </w:rPr>
        <w:footnoteReference w:id="20"/>
      </w:r>
      <w:r w:rsidRPr="005D6582">
        <w:t>) a zároveň nesmí přesáhnout částku 1 500 000 Kč, a to bez ohledu na region místa realizace.</w:t>
      </w:r>
    </w:p>
    <w:p w14:paraId="37174A6C" w14:textId="77777777" w:rsidR="00861012" w:rsidRPr="005D6582" w:rsidRDefault="006E5D26" w:rsidP="00861012">
      <w:pPr>
        <w:rPr>
          <w:bCs/>
        </w:rPr>
      </w:pPr>
      <w:r w:rsidRPr="005D6582">
        <w:t xml:space="preserve">Finanční příspěvek </w:t>
      </w:r>
      <w:r w:rsidR="00240AED" w:rsidRPr="005D6582">
        <w:t>lze rozdělit mezi více</w:t>
      </w:r>
      <w:r w:rsidRPr="005D6582">
        <w:t xml:space="preserve"> </w:t>
      </w:r>
      <w:r w:rsidR="0058083A" w:rsidRPr="005D6582">
        <w:t xml:space="preserve">bankovních </w:t>
      </w:r>
      <w:r w:rsidRPr="005D6582">
        <w:t>úvěrů, které spolufinancují stejný projekt</w:t>
      </w:r>
      <w:r w:rsidR="00240AED" w:rsidRPr="005D6582">
        <w:t xml:space="preserve"> příjemce podpory</w:t>
      </w:r>
      <w:r w:rsidRPr="005D6582">
        <w:t xml:space="preserve"> jako zvýhodněný úvěr.</w:t>
      </w:r>
    </w:p>
    <w:p w14:paraId="138ED8F2" w14:textId="77777777" w:rsidR="004D7746" w:rsidRPr="005D6582" w:rsidRDefault="004D7746" w:rsidP="004D7746">
      <w:pPr>
        <w:rPr>
          <w:bCs/>
        </w:rPr>
      </w:pPr>
      <w:r w:rsidRPr="005D6582">
        <w:t xml:space="preserve">Finanční příspěvek se vyplácí </w:t>
      </w:r>
      <w:r w:rsidRPr="005D6582">
        <w:rPr>
          <w:bCs/>
        </w:rPr>
        <w:t>za těchto podmínek:</w:t>
      </w:r>
    </w:p>
    <w:p w14:paraId="6A2568DE" w14:textId="77777777" w:rsidR="00CD6EB4" w:rsidRPr="005D6582" w:rsidRDefault="00CD6EB4" w:rsidP="00CD6EB4">
      <w:pPr>
        <w:pStyle w:val="Odrka"/>
        <w:spacing w:line="276" w:lineRule="auto"/>
        <w:ind w:left="499" w:hanging="357"/>
      </w:pPr>
      <w:r w:rsidRPr="005D6582">
        <w:rPr>
          <w:bCs w:val="0"/>
          <w:iCs w:val="0"/>
          <w:szCs w:val="20"/>
        </w:rPr>
        <w:t>příjemce podpory ukončil realizaci podpořeného projektu a informoval o tom ČMZRB způsobem uvedeným ve smlouvě o zvýhodněném úvěru,</w:t>
      </w:r>
    </w:p>
    <w:p w14:paraId="38350C41" w14:textId="77777777" w:rsidR="00CD6EB4" w:rsidRPr="005D6582" w:rsidRDefault="00CD6EB4" w:rsidP="00CD6EB4">
      <w:pPr>
        <w:pStyle w:val="Odrka"/>
        <w:spacing w:line="276" w:lineRule="auto"/>
        <w:ind w:left="499" w:hanging="357"/>
        <w:rPr>
          <w:bCs w:val="0"/>
          <w:iCs w:val="0"/>
          <w:szCs w:val="20"/>
        </w:rPr>
      </w:pPr>
      <w:r w:rsidRPr="005D6582">
        <w:rPr>
          <w:bCs w:val="0"/>
          <w:iCs w:val="0"/>
          <w:szCs w:val="20"/>
        </w:rPr>
        <w:t>příjemce podpory vyčerpal více než 50 % zvýhodněného úvěru,</w:t>
      </w:r>
    </w:p>
    <w:p w14:paraId="6623D9E6" w14:textId="77777777" w:rsidR="00791419" w:rsidRPr="005D6582" w:rsidRDefault="00553FDD" w:rsidP="004F19B9">
      <w:pPr>
        <w:pStyle w:val="Odrka"/>
        <w:spacing w:line="276" w:lineRule="auto"/>
        <w:ind w:left="499" w:hanging="357"/>
      </w:pPr>
      <w:r w:rsidRPr="005D6582">
        <w:rPr>
          <w:bCs w:val="0"/>
          <w:iCs w:val="0"/>
          <w:szCs w:val="20"/>
        </w:rPr>
        <w:t>příjemce podpory k datu podání žádosti o výplatu příspěvku plní podmínky programu uvedené ve smlouvě o zvýhodněném úvěru</w:t>
      </w:r>
      <w:r w:rsidRPr="005D6582">
        <w:t>,</w:t>
      </w:r>
    </w:p>
    <w:p w14:paraId="086B46EB" w14:textId="77777777" w:rsidR="00F94C08" w:rsidRPr="005D6582" w:rsidRDefault="00553FDD" w:rsidP="004F19B9">
      <w:pPr>
        <w:pStyle w:val="Odrka"/>
        <w:spacing w:line="276" w:lineRule="auto"/>
        <w:ind w:left="499" w:hanging="357"/>
        <w:rPr>
          <w:bCs w:val="0"/>
          <w:iCs w:val="0"/>
          <w:szCs w:val="20"/>
        </w:rPr>
      </w:pPr>
      <w:r w:rsidRPr="005D6582">
        <w:rPr>
          <w:bCs w:val="0"/>
          <w:iCs w:val="0"/>
          <w:szCs w:val="20"/>
        </w:rPr>
        <w:t>příjemce podpory doložil v termínu stanoveném ve smlouvě o zvýhodněném úvěru</w:t>
      </w:r>
      <w:r w:rsidR="00F94C08" w:rsidRPr="005D6582">
        <w:rPr>
          <w:bCs w:val="0"/>
          <w:iCs w:val="0"/>
          <w:szCs w:val="20"/>
        </w:rPr>
        <w:t>:</w:t>
      </w:r>
    </w:p>
    <w:p w14:paraId="168C4A3D" w14:textId="77777777" w:rsidR="00186E7B" w:rsidRPr="005D6582" w:rsidRDefault="00553FDD" w:rsidP="001A27C6">
      <w:pPr>
        <w:pStyle w:val="Odrka"/>
        <w:numPr>
          <w:ilvl w:val="1"/>
          <w:numId w:val="2"/>
        </w:numPr>
        <w:spacing w:line="276" w:lineRule="auto"/>
        <w:rPr>
          <w:bCs w:val="0"/>
          <w:iCs w:val="0"/>
          <w:szCs w:val="20"/>
        </w:rPr>
      </w:pPr>
      <w:r w:rsidRPr="005D6582">
        <w:rPr>
          <w:bCs w:val="0"/>
          <w:iCs w:val="0"/>
          <w:szCs w:val="20"/>
        </w:rPr>
        <w:t>daňové doklady prokazující použití bankovního úvěru na způsobilé výdaje projektu spolu s</w:t>
      </w:r>
      <w:r w:rsidR="006277EB" w:rsidRPr="005D6582">
        <w:rPr>
          <w:bCs w:val="0"/>
          <w:iCs w:val="0"/>
          <w:szCs w:val="20"/>
        </w:rPr>
        <w:t> </w:t>
      </w:r>
      <w:r w:rsidRPr="005D6582">
        <w:rPr>
          <w:bCs w:val="0"/>
          <w:iCs w:val="0"/>
          <w:szCs w:val="20"/>
        </w:rPr>
        <w:t>doklady o jejich úhradě,</w:t>
      </w:r>
    </w:p>
    <w:p w14:paraId="1F08C7BA" w14:textId="77777777" w:rsidR="00186E7B" w:rsidRPr="005D6582" w:rsidRDefault="003223D3" w:rsidP="001A27C6">
      <w:pPr>
        <w:pStyle w:val="Odrka"/>
        <w:numPr>
          <w:ilvl w:val="1"/>
          <w:numId w:val="2"/>
        </w:numPr>
        <w:spacing w:line="276" w:lineRule="auto"/>
        <w:rPr>
          <w:bCs w:val="0"/>
          <w:iCs w:val="0"/>
          <w:szCs w:val="20"/>
        </w:rPr>
      </w:pPr>
      <w:r w:rsidRPr="005D6582">
        <w:rPr>
          <w:bCs w:val="0"/>
          <w:iCs w:val="0"/>
          <w:szCs w:val="20"/>
        </w:rPr>
        <w:t>potvrzení spolupracujícího partnera, který poskytl bankovní úvěr, o ukončení čerpání bankovního úvěru</w:t>
      </w:r>
      <w:r w:rsidR="00803E92" w:rsidRPr="005D6582">
        <w:rPr>
          <w:bCs w:val="0"/>
          <w:iCs w:val="0"/>
          <w:szCs w:val="20"/>
        </w:rPr>
        <w:t>,</w:t>
      </w:r>
      <w:r w:rsidR="00F94C08" w:rsidRPr="005D6582">
        <w:rPr>
          <w:bCs w:val="0"/>
          <w:iCs w:val="0"/>
          <w:szCs w:val="20"/>
        </w:rPr>
        <w:t xml:space="preserve"> jeho vyčerpané výši a </w:t>
      </w:r>
      <w:r w:rsidR="00803E92" w:rsidRPr="005D6582">
        <w:rPr>
          <w:bCs w:val="0"/>
          <w:iCs w:val="0"/>
          <w:szCs w:val="20"/>
        </w:rPr>
        <w:t xml:space="preserve">o </w:t>
      </w:r>
      <w:r w:rsidR="00553FDD" w:rsidRPr="005D6582">
        <w:rPr>
          <w:bCs w:val="0"/>
          <w:iCs w:val="0"/>
          <w:szCs w:val="20"/>
        </w:rPr>
        <w:t>výši příjemcem podpory zaplacených úroků z</w:t>
      </w:r>
      <w:r w:rsidR="006277EB" w:rsidRPr="005D6582">
        <w:rPr>
          <w:bCs w:val="0"/>
          <w:iCs w:val="0"/>
          <w:szCs w:val="20"/>
        </w:rPr>
        <w:t> </w:t>
      </w:r>
      <w:r w:rsidR="00553FDD" w:rsidRPr="005D6582">
        <w:rPr>
          <w:bCs w:val="0"/>
          <w:iCs w:val="0"/>
          <w:szCs w:val="20"/>
        </w:rPr>
        <w:t>bankovního úvěru za stanovené období,</w:t>
      </w:r>
    </w:p>
    <w:p w14:paraId="2EE2DB93" w14:textId="77777777" w:rsidR="001B0CA5" w:rsidRPr="005D6582" w:rsidRDefault="00553FDD" w:rsidP="004F19B9">
      <w:pPr>
        <w:pStyle w:val="Odrka"/>
        <w:spacing w:line="276" w:lineRule="auto"/>
        <w:ind w:left="499" w:hanging="357"/>
        <w:rPr>
          <w:bCs w:val="0"/>
          <w:iCs w:val="0"/>
          <w:szCs w:val="20"/>
        </w:rPr>
      </w:pPr>
      <w:r w:rsidRPr="005D6582">
        <w:rPr>
          <w:bCs w:val="0"/>
          <w:iCs w:val="0"/>
          <w:szCs w:val="20"/>
        </w:rPr>
        <w:t xml:space="preserve">nebylo </w:t>
      </w:r>
      <w:r w:rsidRPr="005D6582">
        <w:t>do data</w:t>
      </w:r>
      <w:r w:rsidR="00712C3C" w:rsidRPr="005D6582">
        <w:t> výplaty</w:t>
      </w:r>
      <w:r w:rsidRPr="005D6582">
        <w:t xml:space="preserve"> splátky příspěvku </w:t>
      </w:r>
      <w:r w:rsidRPr="005D6582">
        <w:rPr>
          <w:bCs w:val="0"/>
          <w:iCs w:val="0"/>
          <w:szCs w:val="20"/>
        </w:rPr>
        <w:t>rozhodnuto o úpadku př</w:t>
      </w:r>
      <w:r w:rsidR="00D01034" w:rsidRPr="005D6582">
        <w:rPr>
          <w:bCs w:val="0"/>
          <w:iCs w:val="0"/>
          <w:szCs w:val="20"/>
        </w:rPr>
        <w:t>íjemce podpory dle ustanovení § </w:t>
      </w:r>
      <w:r w:rsidRPr="005D6582">
        <w:rPr>
          <w:bCs w:val="0"/>
          <w:iCs w:val="0"/>
          <w:szCs w:val="20"/>
        </w:rPr>
        <w:t>136 zákona č. 182/2006 Sb., insolvenční zákon, ve znění pozdějších předpisů,</w:t>
      </w:r>
    </w:p>
    <w:p w14:paraId="500E684C" w14:textId="77777777" w:rsidR="00E81C7B" w:rsidRPr="005D6582" w:rsidRDefault="00553FDD">
      <w:pPr>
        <w:pStyle w:val="Odrka"/>
        <w:spacing w:line="276" w:lineRule="auto"/>
        <w:ind w:left="499" w:hanging="357"/>
        <w:rPr>
          <w:bCs w:val="0"/>
          <w:iCs w:val="0"/>
          <w:szCs w:val="20"/>
        </w:rPr>
      </w:pPr>
      <w:r w:rsidRPr="005D6582">
        <w:rPr>
          <w:bCs w:val="0"/>
          <w:iCs w:val="0"/>
          <w:szCs w:val="20"/>
        </w:rPr>
        <w:t xml:space="preserve">příjemce podpory </w:t>
      </w:r>
      <w:r w:rsidR="00EE7934" w:rsidRPr="005D6582">
        <w:rPr>
          <w:bCs w:val="0"/>
          <w:iCs w:val="0"/>
          <w:szCs w:val="20"/>
        </w:rPr>
        <w:t xml:space="preserve">k datu výplaty splátky příspěvku </w:t>
      </w:r>
      <w:r w:rsidRPr="005D6582">
        <w:rPr>
          <w:bCs w:val="0"/>
          <w:iCs w:val="0"/>
          <w:szCs w:val="20"/>
        </w:rPr>
        <w:t xml:space="preserve">nemá neuhrazené </w:t>
      </w:r>
      <w:r w:rsidR="00504F02" w:rsidRPr="005D6582">
        <w:rPr>
          <w:bCs w:val="0"/>
          <w:iCs w:val="0"/>
          <w:szCs w:val="20"/>
        </w:rPr>
        <w:t xml:space="preserve">peněžní </w:t>
      </w:r>
      <w:r w:rsidR="00C972E2" w:rsidRPr="005D6582">
        <w:rPr>
          <w:bCs w:val="0"/>
          <w:iCs w:val="0"/>
          <w:szCs w:val="20"/>
        </w:rPr>
        <w:t>závazky po splatnosti</w:t>
      </w:r>
      <w:r w:rsidR="00504F02" w:rsidRPr="005D6582">
        <w:rPr>
          <w:bCs w:val="0"/>
          <w:iCs w:val="0"/>
          <w:szCs w:val="20"/>
        </w:rPr>
        <w:t xml:space="preserve"> </w:t>
      </w:r>
      <w:r w:rsidR="00C972E2" w:rsidRPr="005D6582">
        <w:rPr>
          <w:bCs w:val="0"/>
          <w:iCs w:val="0"/>
          <w:szCs w:val="20"/>
        </w:rPr>
        <w:t xml:space="preserve">a/nebo neuhrazené smluvní pokuty </w:t>
      </w:r>
      <w:r w:rsidR="00504F02" w:rsidRPr="005D6582">
        <w:rPr>
          <w:bCs w:val="0"/>
          <w:iCs w:val="0"/>
          <w:szCs w:val="20"/>
        </w:rPr>
        <w:t>vůči poskytovateli podpory</w:t>
      </w:r>
      <w:r w:rsidR="0063303D" w:rsidRPr="005D6582">
        <w:rPr>
          <w:bCs w:val="0"/>
          <w:iCs w:val="0"/>
          <w:szCs w:val="20"/>
        </w:rPr>
        <w:t>.</w:t>
      </w:r>
    </w:p>
    <w:p w14:paraId="53C419E7" w14:textId="2CA8B0D2" w:rsidR="005155EB" w:rsidRPr="005D6582" w:rsidRDefault="005155EB" w:rsidP="005155EB">
      <w:pPr>
        <w:spacing w:line="276" w:lineRule="auto"/>
      </w:pPr>
      <w:r w:rsidRPr="005D6582">
        <w:t xml:space="preserve">Celková výše vyplaceného příspěvku nesmí přesáhnout poměrnou výši úroků z části bankovního úvěru vyčerpaného na způsobilé výdaje </w:t>
      </w:r>
      <w:r w:rsidR="00803E92" w:rsidRPr="005D6582">
        <w:t xml:space="preserve">projektu </w:t>
      </w:r>
      <w:r w:rsidRPr="005D6582">
        <w:t xml:space="preserve">uhrazených příjemcem podpory v období </w:t>
      </w:r>
      <w:r w:rsidR="00043902" w:rsidRPr="005D6582">
        <w:t xml:space="preserve">od </w:t>
      </w:r>
      <w:r w:rsidR="00CD6EB4" w:rsidRPr="005D6582">
        <w:t xml:space="preserve">uzavření </w:t>
      </w:r>
      <w:r w:rsidR="00043902" w:rsidRPr="005D6582">
        <w:t xml:space="preserve">smlouvy o bankovním úvěru </w:t>
      </w:r>
      <w:r w:rsidRPr="005D6582">
        <w:t>do čtyř let od data uzavření smlouvy o zvýhodněném úvěru.</w:t>
      </w:r>
    </w:p>
    <w:p w14:paraId="25229B25" w14:textId="77777777" w:rsidR="005155EB" w:rsidRPr="005D6582" w:rsidRDefault="005155EB" w:rsidP="005155EB">
      <w:pPr>
        <w:spacing w:line="276" w:lineRule="auto"/>
      </w:pPr>
      <w:r w:rsidRPr="005D6582">
        <w:t xml:space="preserve">Finanční příspěvek bude vyplácen k úhradě úroků z bankovního úvěru </w:t>
      </w:r>
      <w:r w:rsidR="00043902" w:rsidRPr="005D6582">
        <w:t xml:space="preserve">maximálně </w:t>
      </w:r>
      <w:r w:rsidR="00712C3C" w:rsidRPr="005D6582">
        <w:t>jednou ročně.</w:t>
      </w:r>
      <w:r w:rsidR="00EE7934" w:rsidRPr="005D6582">
        <w:t xml:space="preserve"> </w:t>
      </w:r>
      <w:r w:rsidR="006277EB" w:rsidRPr="005D6582">
        <w:t>Výše výplat příspěvku nesmí v žádném výplatním období přesáhnout výši úroků zaplacených v daném období připadajících na část bankovního úvěru vyčerpaného na způsobilé výdaje.</w:t>
      </w:r>
    </w:p>
    <w:p w14:paraId="3BA6A752" w14:textId="77777777" w:rsidR="005155EB" w:rsidRPr="005D6582" w:rsidRDefault="005155EB" w:rsidP="005155EB">
      <w:pPr>
        <w:spacing w:line="276" w:lineRule="auto"/>
      </w:pPr>
      <w:r w:rsidRPr="005D6582">
        <w:t xml:space="preserve">Další podrobnosti podmínek poskytnutí a výplaty příspěvku stanoví smlouva o </w:t>
      </w:r>
      <w:r w:rsidR="00D01034" w:rsidRPr="005D6582">
        <w:t xml:space="preserve">zvýhodněném </w:t>
      </w:r>
      <w:r w:rsidRPr="005D6582">
        <w:t>úvěru.</w:t>
      </w:r>
    </w:p>
    <w:p w14:paraId="036DB635" w14:textId="77777777" w:rsidR="00A65A29" w:rsidRPr="005D6582" w:rsidRDefault="009772C7" w:rsidP="00B83B1F">
      <w:pPr>
        <w:spacing w:line="276" w:lineRule="auto"/>
      </w:pPr>
      <w:r w:rsidRPr="005D6582">
        <w:t>Maximální intenzita veřejné podpory nesmí v případě podpory podle článku 17 Nařízení Komise č. 651/2014 přesáhnout hranici dle následující tabulky: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1"/>
        <w:gridCol w:w="1665"/>
        <w:gridCol w:w="1782"/>
      </w:tblGrid>
      <w:tr w:rsidR="00970822" w:rsidRPr="005D6582" w14:paraId="66EA84FF" w14:textId="77777777" w:rsidTr="00C95841">
        <w:trPr>
          <w:trHeight w:val="284"/>
          <w:jc w:val="center"/>
        </w:trPr>
        <w:tc>
          <w:tcPr>
            <w:tcW w:w="5291" w:type="dxa"/>
            <w:vAlign w:val="center"/>
          </w:tcPr>
          <w:p w14:paraId="22F3B253" w14:textId="77777777" w:rsidR="00970822" w:rsidRPr="005D6582" w:rsidRDefault="009772C7" w:rsidP="00B83B1F">
            <w:pPr>
              <w:pStyle w:val="Zkladntext3"/>
              <w:keepNext/>
              <w:spacing w:after="0"/>
              <w:jc w:val="left"/>
              <w:rPr>
                <w:rFonts w:ascii="Calibri" w:hAnsi="Calibri" w:cs="Calibri"/>
                <w:szCs w:val="22"/>
              </w:rPr>
            </w:pPr>
            <w:r w:rsidRPr="005D6582">
              <w:rPr>
                <w:rFonts w:cs="Calibri"/>
                <w:szCs w:val="22"/>
              </w:rPr>
              <w:t>Region NUTS II</w:t>
            </w:r>
          </w:p>
        </w:tc>
        <w:tc>
          <w:tcPr>
            <w:tcW w:w="1665" w:type="dxa"/>
            <w:vAlign w:val="center"/>
          </w:tcPr>
          <w:p w14:paraId="7A0CCDED" w14:textId="77777777" w:rsidR="00970822" w:rsidRPr="005D6582" w:rsidRDefault="009772C7" w:rsidP="00C95841">
            <w:pPr>
              <w:pStyle w:val="Zkladntext3"/>
              <w:spacing w:after="0"/>
              <w:jc w:val="center"/>
              <w:rPr>
                <w:rFonts w:ascii="Calibri" w:hAnsi="Calibri" w:cs="Calibri"/>
                <w:szCs w:val="22"/>
              </w:rPr>
            </w:pPr>
            <w:r w:rsidRPr="005D6582">
              <w:rPr>
                <w:rFonts w:cs="Calibri"/>
                <w:szCs w:val="22"/>
              </w:rPr>
              <w:t>malý podnik</w:t>
            </w:r>
          </w:p>
        </w:tc>
        <w:tc>
          <w:tcPr>
            <w:tcW w:w="1782" w:type="dxa"/>
            <w:vAlign w:val="center"/>
          </w:tcPr>
          <w:p w14:paraId="5844EAA4" w14:textId="77777777" w:rsidR="00970822" w:rsidRPr="005D6582" w:rsidRDefault="009772C7" w:rsidP="00970822">
            <w:pPr>
              <w:pStyle w:val="Zkladntext3"/>
              <w:spacing w:after="0"/>
              <w:jc w:val="center"/>
              <w:rPr>
                <w:rFonts w:ascii="Calibri" w:hAnsi="Calibri" w:cs="Calibri"/>
                <w:szCs w:val="22"/>
              </w:rPr>
            </w:pPr>
            <w:r w:rsidRPr="005D6582">
              <w:rPr>
                <w:rFonts w:cs="Calibri"/>
                <w:szCs w:val="22"/>
              </w:rPr>
              <w:t>střední podnik</w:t>
            </w:r>
          </w:p>
        </w:tc>
      </w:tr>
      <w:tr w:rsidR="00970822" w:rsidRPr="005D6582" w14:paraId="185F9C54" w14:textId="77777777" w:rsidTr="00C95841">
        <w:trPr>
          <w:trHeight w:val="854"/>
          <w:jc w:val="center"/>
        </w:trPr>
        <w:tc>
          <w:tcPr>
            <w:tcW w:w="5291" w:type="dxa"/>
            <w:vAlign w:val="center"/>
          </w:tcPr>
          <w:p w14:paraId="4DFD084C" w14:textId="77777777" w:rsidR="00970822" w:rsidRPr="005D6582" w:rsidRDefault="009772C7" w:rsidP="00C95841">
            <w:pPr>
              <w:spacing w:after="0" w:line="276" w:lineRule="auto"/>
              <w:jc w:val="left"/>
              <w:rPr>
                <w:rFonts w:cs="Calibri"/>
                <w:b/>
              </w:rPr>
            </w:pPr>
            <w:r w:rsidRPr="005D6582">
              <w:rPr>
                <w:rFonts w:cs="Calibri"/>
                <w:b/>
              </w:rPr>
              <w:t xml:space="preserve">Střední Morava, Severozápad, Střední Čechy, </w:t>
            </w:r>
            <w:proofErr w:type="spellStart"/>
            <w:r w:rsidRPr="005D6582">
              <w:rPr>
                <w:rFonts w:cs="Calibri"/>
                <w:b/>
              </w:rPr>
              <w:t>Moravskoslezsko</w:t>
            </w:r>
            <w:proofErr w:type="spellEnd"/>
            <w:r w:rsidRPr="005D6582">
              <w:rPr>
                <w:rFonts w:cs="Calibri"/>
                <w:b/>
              </w:rPr>
              <w:t>, Severovýchod, Jihovýchod, Jihozápad</w:t>
            </w:r>
          </w:p>
        </w:tc>
        <w:tc>
          <w:tcPr>
            <w:tcW w:w="1665" w:type="dxa"/>
            <w:vAlign w:val="center"/>
          </w:tcPr>
          <w:p w14:paraId="7F342765" w14:textId="77777777" w:rsidR="00625D28" w:rsidRPr="005D6582" w:rsidRDefault="009772C7">
            <w:pPr>
              <w:spacing w:after="0" w:line="276" w:lineRule="auto"/>
              <w:jc w:val="center"/>
              <w:rPr>
                <w:rFonts w:cs="Calibri"/>
                <w:b/>
              </w:rPr>
            </w:pPr>
            <w:r w:rsidRPr="005D6582">
              <w:rPr>
                <w:rFonts w:cs="Calibri"/>
                <w:b/>
              </w:rPr>
              <w:t>20 %</w:t>
            </w:r>
          </w:p>
        </w:tc>
        <w:tc>
          <w:tcPr>
            <w:tcW w:w="1782" w:type="dxa"/>
            <w:vAlign w:val="center"/>
          </w:tcPr>
          <w:p w14:paraId="0ED83B17" w14:textId="77777777" w:rsidR="00970822" w:rsidRPr="005D6582" w:rsidRDefault="009772C7" w:rsidP="00C95841">
            <w:pPr>
              <w:spacing w:after="0" w:line="276" w:lineRule="auto"/>
              <w:jc w:val="center"/>
              <w:rPr>
                <w:rFonts w:cs="Calibri"/>
                <w:b/>
              </w:rPr>
            </w:pPr>
            <w:r w:rsidRPr="005D6582">
              <w:rPr>
                <w:rFonts w:cs="Calibri"/>
                <w:b/>
              </w:rPr>
              <w:t>10 %</w:t>
            </w:r>
          </w:p>
        </w:tc>
      </w:tr>
    </w:tbl>
    <w:p w14:paraId="26FCF41F" w14:textId="77777777" w:rsidR="00B7745E" w:rsidRPr="005D6582" w:rsidRDefault="009772C7" w:rsidP="00970822">
      <w:pPr>
        <w:pStyle w:val="Nadpis1"/>
      </w:pPr>
      <w:bookmarkStart w:id="34" w:name="_Toc522175290"/>
      <w:bookmarkStart w:id="35" w:name="_Toc499279788"/>
      <w:r w:rsidRPr="005D6582">
        <w:lastRenderedPageBreak/>
        <w:t>Výběr projektů</w:t>
      </w:r>
      <w:bookmarkEnd w:id="34"/>
      <w:bookmarkEnd w:id="35"/>
    </w:p>
    <w:p w14:paraId="512E062D" w14:textId="77777777" w:rsidR="00B7745E" w:rsidRPr="005D6582" w:rsidRDefault="00553FDD" w:rsidP="00E81C7B">
      <w:pPr>
        <w:pStyle w:val="Nadpis2"/>
      </w:pPr>
      <w:bookmarkStart w:id="36" w:name="_Toc420933915"/>
      <w:bookmarkStart w:id="37" w:name="_Toc522175291"/>
      <w:bookmarkStart w:id="38" w:name="_Toc499279789"/>
      <w:r w:rsidRPr="005D6582">
        <w:t>Výběrová kritéria</w:t>
      </w:r>
      <w:bookmarkEnd w:id="36"/>
      <w:bookmarkEnd w:id="37"/>
      <w:bookmarkEnd w:id="38"/>
    </w:p>
    <w:p w14:paraId="6DAFE009" w14:textId="77777777" w:rsidR="00B7745E" w:rsidRPr="005D6582" w:rsidRDefault="00553FDD" w:rsidP="00B83B1F">
      <w:pPr>
        <w:spacing w:line="276" w:lineRule="auto"/>
      </w:pPr>
      <w:r w:rsidRPr="005D6582">
        <w:t>Výběrovými kritérii pro poskytnutí podpory je splnění podmínek pro příjemce podpory (bod 3</w:t>
      </w:r>
      <w:r w:rsidR="00C535BC" w:rsidRPr="005D6582">
        <w:t xml:space="preserve"> </w:t>
      </w:r>
      <w:r w:rsidR="002F67EA" w:rsidRPr="005D6582">
        <w:t xml:space="preserve">této </w:t>
      </w:r>
      <w:r w:rsidR="001E35E9" w:rsidRPr="005D6582">
        <w:t>v</w:t>
      </w:r>
      <w:r w:rsidR="00B34C59" w:rsidRPr="005D6582">
        <w:t>ýzvy</w:t>
      </w:r>
      <w:r w:rsidRPr="005D6582">
        <w:t>), podmínek přijatelnosti projektu (bod 4.1</w:t>
      </w:r>
      <w:r w:rsidR="00B34C59" w:rsidRPr="005D6582">
        <w:t xml:space="preserve"> </w:t>
      </w:r>
      <w:r w:rsidR="002F67EA" w:rsidRPr="005D6582">
        <w:t xml:space="preserve">této </w:t>
      </w:r>
      <w:r w:rsidR="001E35E9" w:rsidRPr="005D6582">
        <w:t>v</w:t>
      </w:r>
      <w:r w:rsidR="00B34C59" w:rsidRPr="005D6582">
        <w:t>ýzvy</w:t>
      </w:r>
      <w:r w:rsidRPr="005D6582">
        <w:t>), podmínek pro poskytování veřejné podpory a podmínek úvěrovatelnosti příjemce podpory uplatňovaných ČMZRB (akceptovatelná míra úvěrového rizika). Míra úvěrového rizika se posuzuje na základě obvyklých postupů uplatňovaných ČMZRB.</w:t>
      </w:r>
    </w:p>
    <w:p w14:paraId="0F32A47F" w14:textId="77777777" w:rsidR="001942C3" w:rsidRPr="005D6582" w:rsidRDefault="00553FDD" w:rsidP="00970822">
      <w:r w:rsidRPr="005D6582">
        <w:t xml:space="preserve">Hodnotící kritéria pro posuzování žádostí jsou uvedena v příloze č. </w:t>
      </w:r>
      <w:r w:rsidR="00306C73" w:rsidRPr="005D6582">
        <w:t>2</w:t>
      </w:r>
      <w:r w:rsidRPr="005D6582">
        <w:t xml:space="preserve"> této </w:t>
      </w:r>
      <w:r w:rsidR="001E35E9" w:rsidRPr="005D6582">
        <w:t>v</w:t>
      </w:r>
      <w:r w:rsidRPr="005D6582">
        <w:t>ýzvy.</w:t>
      </w:r>
    </w:p>
    <w:p w14:paraId="24DD4CEB" w14:textId="77777777" w:rsidR="00B7745E" w:rsidRPr="005D6582" w:rsidRDefault="00553FDD" w:rsidP="00E81C7B">
      <w:pPr>
        <w:pStyle w:val="Nadpis2"/>
      </w:pPr>
      <w:bookmarkStart w:id="39" w:name="_Toc420933916"/>
      <w:bookmarkStart w:id="40" w:name="_Toc522175292"/>
      <w:bookmarkStart w:id="41" w:name="_Toc499279790"/>
      <w:r w:rsidRPr="005D6582">
        <w:t>Způsob výběru projektů</w:t>
      </w:r>
      <w:bookmarkEnd w:id="39"/>
      <w:bookmarkEnd w:id="40"/>
      <w:bookmarkEnd w:id="41"/>
    </w:p>
    <w:p w14:paraId="58DC905D" w14:textId="77777777" w:rsidR="00B7745E" w:rsidRPr="005D6582" w:rsidRDefault="00553FDD" w:rsidP="000E5074">
      <w:r w:rsidRPr="005D6582">
        <w:t>O poskytnutí podpory rozhoduje ČMZRB, a to v závislosti na splnění výběrových kritérií.</w:t>
      </w:r>
      <w:r w:rsidR="0058083A" w:rsidRPr="005D6582">
        <w:t xml:space="preserve"> </w:t>
      </w:r>
      <w:r w:rsidRPr="005D6582">
        <w:t>Neúplné žádosti o podporu mohou být po uplynutí 3 měsíců od data jejich podání ČMZRB zamítnuty.</w:t>
      </w:r>
    </w:p>
    <w:p w14:paraId="209B1415" w14:textId="77777777" w:rsidR="00B7745E" w:rsidRPr="005D6582" w:rsidRDefault="00553FDD" w:rsidP="00970822">
      <w:pPr>
        <w:pStyle w:val="Nadpis1"/>
      </w:pPr>
      <w:bookmarkStart w:id="42" w:name="_Toc522175293"/>
      <w:bookmarkStart w:id="43" w:name="_Toc499279791"/>
      <w:r w:rsidRPr="005D6582">
        <w:t>Souběh podpor</w:t>
      </w:r>
      <w:bookmarkEnd w:id="42"/>
      <w:bookmarkEnd w:id="43"/>
    </w:p>
    <w:p w14:paraId="785E2A5D" w14:textId="77777777" w:rsidR="004D7746" w:rsidRPr="005D6582" w:rsidRDefault="004D7746" w:rsidP="004D7746">
      <w:pPr>
        <w:rPr>
          <w:szCs w:val="22"/>
        </w:rPr>
      </w:pPr>
      <w:r w:rsidRPr="005D6582">
        <w:rPr>
          <w:szCs w:val="22"/>
        </w:rPr>
        <w:t xml:space="preserve">Na způsobilé výdaje projektu </w:t>
      </w:r>
      <w:r w:rsidR="00D63176" w:rsidRPr="005D6582">
        <w:rPr>
          <w:szCs w:val="22"/>
        </w:rPr>
        <w:t xml:space="preserve">podpořené zvýhodněným úvěrem nebo finančním příspěvkem </w:t>
      </w:r>
      <w:r w:rsidRPr="005D6582">
        <w:rPr>
          <w:szCs w:val="22"/>
        </w:rPr>
        <w:t xml:space="preserve">nesmí </w:t>
      </w:r>
      <w:r w:rsidR="00B34C59" w:rsidRPr="005D6582">
        <w:rPr>
          <w:szCs w:val="22"/>
        </w:rPr>
        <w:t xml:space="preserve">příjemce podpory získat </w:t>
      </w:r>
      <w:r w:rsidRPr="005D6582">
        <w:rPr>
          <w:szCs w:val="22"/>
        </w:rPr>
        <w:t>jin</w:t>
      </w:r>
      <w:r w:rsidR="00B34C59" w:rsidRPr="005D6582">
        <w:rPr>
          <w:szCs w:val="22"/>
        </w:rPr>
        <w:t>ou</w:t>
      </w:r>
      <w:r w:rsidRPr="005D6582">
        <w:rPr>
          <w:szCs w:val="22"/>
        </w:rPr>
        <w:t xml:space="preserve"> veřejn</w:t>
      </w:r>
      <w:r w:rsidR="00B34C59" w:rsidRPr="005D6582">
        <w:rPr>
          <w:szCs w:val="22"/>
        </w:rPr>
        <w:t>ou</w:t>
      </w:r>
      <w:r w:rsidRPr="005D6582">
        <w:rPr>
          <w:szCs w:val="22"/>
        </w:rPr>
        <w:t xml:space="preserve"> podpor</w:t>
      </w:r>
      <w:r w:rsidR="00B34C59" w:rsidRPr="005D6582">
        <w:rPr>
          <w:szCs w:val="22"/>
        </w:rPr>
        <w:t>u</w:t>
      </w:r>
      <w:r w:rsidRPr="005D6582">
        <w:rPr>
          <w:szCs w:val="22"/>
        </w:rPr>
        <w:t xml:space="preserve"> nebo podpor</w:t>
      </w:r>
      <w:r w:rsidR="00B34C59" w:rsidRPr="005D6582">
        <w:rPr>
          <w:szCs w:val="22"/>
        </w:rPr>
        <w:t>u</w:t>
      </w:r>
      <w:r w:rsidRPr="005D6582">
        <w:rPr>
          <w:szCs w:val="22"/>
        </w:rPr>
        <w:t xml:space="preserve"> </w:t>
      </w:r>
      <w:r w:rsidR="002F67EA" w:rsidRPr="005D6582">
        <w:t xml:space="preserve">de </w:t>
      </w:r>
      <w:proofErr w:type="spellStart"/>
      <w:r w:rsidR="002F67EA" w:rsidRPr="005D6582">
        <w:t>minimis</w:t>
      </w:r>
      <w:proofErr w:type="spellEnd"/>
      <w:r w:rsidRPr="005D6582">
        <w:rPr>
          <w:szCs w:val="22"/>
        </w:rPr>
        <w:t xml:space="preserve"> ani podpor</w:t>
      </w:r>
      <w:r w:rsidR="00B34C59" w:rsidRPr="005D6582">
        <w:rPr>
          <w:szCs w:val="22"/>
        </w:rPr>
        <w:t>u</w:t>
      </w:r>
      <w:r w:rsidRPr="005D6582">
        <w:rPr>
          <w:szCs w:val="22"/>
        </w:rPr>
        <w:t xml:space="preserve"> z přímo řízeného nástroje Evropské unie.</w:t>
      </w:r>
    </w:p>
    <w:p w14:paraId="4F8C2F97" w14:textId="5E9425CE" w:rsidR="003D6F4C" w:rsidRPr="005D6582" w:rsidRDefault="00553FDD" w:rsidP="00764FED">
      <w:pPr>
        <w:spacing w:line="276" w:lineRule="auto"/>
      </w:pPr>
      <w:r w:rsidRPr="005D6582">
        <w:t xml:space="preserve">V případě projektu podpořeného podle čl. 14 Nařízení Komise č. 651/2014 musí být alespoň 25 </w:t>
      </w:r>
      <w:r w:rsidR="009772C7" w:rsidRPr="005D6582">
        <w:t xml:space="preserve">% způsobilých výdajů projektu financováno formou neobsahující žádnou veřejnou podporu, podporu de </w:t>
      </w:r>
      <w:proofErr w:type="spellStart"/>
      <w:r w:rsidR="009772C7" w:rsidRPr="005D6582">
        <w:t>minimis</w:t>
      </w:r>
      <w:proofErr w:type="spellEnd"/>
      <w:r w:rsidR="009772C7" w:rsidRPr="005D6582">
        <w:t xml:space="preserve"> či podporu z přímo řízeného nástroje EU, ať už z vlastních prostředků příjemce podpory či formou externího financování.</w:t>
      </w:r>
    </w:p>
    <w:p w14:paraId="500A8CCB" w14:textId="77777777" w:rsidR="00B7745E" w:rsidRPr="005D6582" w:rsidRDefault="009772C7" w:rsidP="00970822">
      <w:pPr>
        <w:pStyle w:val="Nadpis1"/>
      </w:pPr>
      <w:bookmarkStart w:id="44" w:name="_Toc522175294"/>
      <w:bookmarkStart w:id="45" w:name="_Toc499279792"/>
      <w:r w:rsidRPr="005D6582">
        <w:t>Náležitosti žádosti o poskytnutí podpory a způsob předložení</w:t>
      </w:r>
      <w:bookmarkEnd w:id="44"/>
      <w:bookmarkEnd w:id="45"/>
    </w:p>
    <w:p w14:paraId="3FC838E3" w14:textId="77777777" w:rsidR="000E39BF" w:rsidRPr="005D6582" w:rsidRDefault="00553FDD" w:rsidP="00E81C7B">
      <w:pPr>
        <w:pStyle w:val="Nadpis2"/>
      </w:pPr>
      <w:bookmarkStart w:id="46" w:name="_Toc420933917"/>
      <w:bookmarkStart w:id="47" w:name="_Toc522175295"/>
      <w:bookmarkStart w:id="48" w:name="_Toc499279793"/>
      <w:r w:rsidRPr="005D6582">
        <w:t>Obsah žádosti o podporu</w:t>
      </w:r>
      <w:bookmarkEnd w:id="46"/>
      <w:bookmarkEnd w:id="47"/>
      <w:bookmarkEnd w:id="48"/>
    </w:p>
    <w:p w14:paraId="7F3B40F1" w14:textId="77777777" w:rsidR="005E5823" w:rsidRPr="005D6582" w:rsidRDefault="00553FDD" w:rsidP="003E1EB4">
      <w:pPr>
        <w:spacing w:after="120" w:line="276" w:lineRule="auto"/>
      </w:pPr>
      <w:r w:rsidRPr="005D6582">
        <w:t>Žádost o podporu musí k datu jejího předložení obsahovat minimálně:</w:t>
      </w:r>
    </w:p>
    <w:p w14:paraId="1F374DA5" w14:textId="77777777" w:rsidR="005E5823" w:rsidRPr="005D6582" w:rsidRDefault="00553FDD" w:rsidP="000C796A">
      <w:pPr>
        <w:pStyle w:val="Odrka"/>
        <w:spacing w:line="276" w:lineRule="auto"/>
      </w:pPr>
      <w:r w:rsidRPr="005D6582">
        <w:t>název a velikost podniku žadatele,</w:t>
      </w:r>
    </w:p>
    <w:p w14:paraId="27AA8298" w14:textId="77777777" w:rsidR="005E5823" w:rsidRPr="005D6582" w:rsidRDefault="00553FDD" w:rsidP="000C796A">
      <w:pPr>
        <w:pStyle w:val="Odrka"/>
        <w:spacing w:line="276" w:lineRule="auto"/>
      </w:pPr>
      <w:r w:rsidRPr="005D6582">
        <w:t>popis projektu, včetně předpokládaného termínu jeho zahájení a ukončení,</w:t>
      </w:r>
    </w:p>
    <w:p w14:paraId="5360B7EA" w14:textId="77777777" w:rsidR="005E5823" w:rsidRPr="005D6582" w:rsidRDefault="00553FDD" w:rsidP="000C796A">
      <w:pPr>
        <w:pStyle w:val="Odrka"/>
        <w:spacing w:line="276" w:lineRule="auto"/>
      </w:pPr>
      <w:r w:rsidRPr="005D6582">
        <w:t>umístění projektu,</w:t>
      </w:r>
    </w:p>
    <w:p w14:paraId="407C7CC6" w14:textId="77777777" w:rsidR="005E5823" w:rsidRPr="005D6582" w:rsidRDefault="00553FDD" w:rsidP="000C796A">
      <w:pPr>
        <w:pStyle w:val="Odrka"/>
        <w:spacing w:line="276" w:lineRule="auto"/>
      </w:pPr>
      <w:r w:rsidRPr="005D6582">
        <w:t>seznam nákladů projektu,</w:t>
      </w:r>
    </w:p>
    <w:p w14:paraId="02CB9FEF" w14:textId="77777777" w:rsidR="00C57BB4" w:rsidRPr="005D6582" w:rsidRDefault="00553FDD" w:rsidP="000C796A">
      <w:pPr>
        <w:pStyle w:val="Odrka"/>
        <w:spacing w:line="276" w:lineRule="auto"/>
      </w:pPr>
      <w:r w:rsidRPr="005D6582">
        <w:t>druh podpory a výši veřejného financování, které je pro daný projekt zapotřebí.</w:t>
      </w:r>
    </w:p>
    <w:p w14:paraId="58C34BCB" w14:textId="77777777" w:rsidR="005759E1" w:rsidRPr="005D6582" w:rsidRDefault="00553FDD" w:rsidP="00E81C7B">
      <w:pPr>
        <w:pStyle w:val="Nadpis2"/>
      </w:pPr>
      <w:bookmarkStart w:id="49" w:name="_Toc420933918"/>
      <w:bookmarkStart w:id="50" w:name="_Toc522175296"/>
      <w:bookmarkStart w:id="51" w:name="_Toc499279794"/>
      <w:r w:rsidRPr="005D6582">
        <w:t>Formuláře žádosti o podporu</w:t>
      </w:r>
      <w:bookmarkEnd w:id="49"/>
      <w:bookmarkEnd w:id="50"/>
      <w:bookmarkEnd w:id="51"/>
    </w:p>
    <w:p w14:paraId="573F9EE3" w14:textId="77777777" w:rsidR="005759E1" w:rsidRPr="005D6582" w:rsidRDefault="00553FDD" w:rsidP="00764FED">
      <w:pPr>
        <w:spacing w:line="276" w:lineRule="auto"/>
      </w:pPr>
      <w:r w:rsidRPr="005D6582">
        <w:t>Formuláře žádosti o podporu</w:t>
      </w:r>
      <w:r w:rsidR="00803E92" w:rsidRPr="005D6582">
        <w:t>,</w:t>
      </w:r>
      <w:r w:rsidRPr="005D6582">
        <w:t xml:space="preserve"> pokyny k předložení žádosti</w:t>
      </w:r>
      <w:r w:rsidR="00803E92" w:rsidRPr="005D6582">
        <w:t>,</w:t>
      </w:r>
      <w:r w:rsidR="001E35E9" w:rsidRPr="005D6582">
        <w:t xml:space="preserve"> informace o </w:t>
      </w:r>
      <w:r w:rsidR="00FD22E5" w:rsidRPr="005D6582">
        <w:t xml:space="preserve">režimech veřejné podpory a podpory de </w:t>
      </w:r>
      <w:proofErr w:type="spellStart"/>
      <w:r w:rsidR="00FD22E5" w:rsidRPr="005D6582">
        <w:t>minimis</w:t>
      </w:r>
      <w:proofErr w:type="spellEnd"/>
      <w:r w:rsidR="00FD22E5" w:rsidRPr="005D6582">
        <w:t xml:space="preserve">, včetně definice jednoho podniku, definice podniku v obtížích a metodiky výpočtu hrubého ekvivalentu podpory </w:t>
      </w:r>
      <w:r w:rsidRPr="005D6582">
        <w:t xml:space="preserve">jsou k dispozici na internetových stránkách </w:t>
      </w:r>
      <w:hyperlink r:id="rId13" w:history="1">
        <w:r w:rsidR="004A6D82" w:rsidRPr="005D6582">
          <w:rPr>
            <w:rStyle w:val="Hypertextovodkaz"/>
            <w:rFonts w:cs="Arial"/>
            <w:bCs/>
            <w:szCs w:val="22"/>
          </w:rPr>
          <w:t>www.cmzrb.cz</w:t>
        </w:r>
      </w:hyperlink>
      <w:r w:rsidRPr="005D6582">
        <w:t>.</w:t>
      </w:r>
    </w:p>
    <w:p w14:paraId="3EBF49C6" w14:textId="77777777" w:rsidR="005759E1" w:rsidRPr="005D6582" w:rsidRDefault="00553FDD" w:rsidP="00E81C7B">
      <w:pPr>
        <w:pStyle w:val="Nadpis2"/>
      </w:pPr>
      <w:bookmarkStart w:id="52" w:name="_Toc420933919"/>
      <w:bookmarkStart w:id="53" w:name="_Toc522175297"/>
      <w:bookmarkStart w:id="54" w:name="_Toc499279795"/>
      <w:r w:rsidRPr="005D6582">
        <w:lastRenderedPageBreak/>
        <w:t>Příjem žádostí o podporu</w:t>
      </w:r>
      <w:bookmarkEnd w:id="52"/>
      <w:bookmarkEnd w:id="53"/>
      <w:bookmarkEnd w:id="54"/>
    </w:p>
    <w:p w14:paraId="4B7E0C91" w14:textId="77777777" w:rsidR="005759E1" w:rsidRPr="005D6582" w:rsidRDefault="00553FDD" w:rsidP="00970822">
      <w:r w:rsidRPr="005D6582">
        <w:t xml:space="preserve">Žádosti o podporu přijímají pobočky Českomoravské záruční a rozvojové banky, a.s. Přehled poboček je uveden na internetových stránkách </w:t>
      </w:r>
      <w:hyperlink r:id="rId14" w:history="1">
        <w:r w:rsidR="004A6D82" w:rsidRPr="005D6582">
          <w:rPr>
            <w:rStyle w:val="Hypertextovodkaz"/>
            <w:rFonts w:cs="Arial"/>
            <w:bCs/>
            <w:szCs w:val="22"/>
          </w:rPr>
          <w:t>www.cmzrb.cz</w:t>
        </w:r>
      </w:hyperlink>
      <w:r w:rsidRPr="005D6582">
        <w:t>.</w:t>
      </w:r>
    </w:p>
    <w:p w14:paraId="3DB4F623" w14:textId="77777777" w:rsidR="00B7745E" w:rsidRPr="005D6582" w:rsidRDefault="00553FDD" w:rsidP="002D1037">
      <w:pPr>
        <w:pStyle w:val="Nadpis1"/>
      </w:pPr>
      <w:bookmarkStart w:id="55" w:name="_Toc420933920"/>
      <w:bookmarkStart w:id="56" w:name="_Toc522175298"/>
      <w:bookmarkStart w:id="57" w:name="_Toc499279796"/>
      <w:r w:rsidRPr="005D6582">
        <w:rPr>
          <w:szCs w:val="22"/>
        </w:rPr>
        <w:t>Sankce</w:t>
      </w:r>
      <w:bookmarkEnd w:id="55"/>
      <w:bookmarkEnd w:id="56"/>
      <w:bookmarkEnd w:id="57"/>
    </w:p>
    <w:p w14:paraId="62535FEC" w14:textId="77777777" w:rsidR="00F206EF" w:rsidRPr="005D6582" w:rsidRDefault="00553FDD" w:rsidP="00E81C7B">
      <w:pPr>
        <w:pStyle w:val="Nadpis2"/>
      </w:pPr>
      <w:bookmarkStart w:id="58" w:name="_Toc522175299"/>
      <w:bookmarkStart w:id="59" w:name="_Toc499279797"/>
      <w:r w:rsidRPr="005D6582">
        <w:t>Sankce za neplnění podmínek programu</w:t>
      </w:r>
      <w:bookmarkEnd w:id="58"/>
      <w:bookmarkEnd w:id="59"/>
    </w:p>
    <w:p w14:paraId="3393DE51" w14:textId="77777777" w:rsidR="005C2638" w:rsidRPr="005D6582" w:rsidRDefault="00553FDD" w:rsidP="00764FED">
      <w:pPr>
        <w:spacing w:line="276" w:lineRule="auto"/>
      </w:pPr>
      <w:r w:rsidRPr="005D6582">
        <w:t>V případě uvedení nepravdivých údajů týkajících se příjemce podpory (bod 3), údajů o naplnění podmínek přijatelnosti projektu (bod 4.1), údajů o způsobilých výdajích (bod 4.3), údajů v přiznání k dani z příjmu, údajů o naplnění podmínek poskytnutí veřejné podpory vyžadovaných Nařízením Komise č. 1407/2013 nebo Nařízením Komise č. 651/2014, a dále v případě neplnění podmínek programu podle bodu 4.2, je příjemce podpory povinen:</w:t>
      </w:r>
    </w:p>
    <w:p w14:paraId="4AC48D63" w14:textId="77777777" w:rsidR="008E5E9B" w:rsidRPr="005D6582" w:rsidRDefault="00553FDD">
      <w:pPr>
        <w:pStyle w:val="Odrka"/>
        <w:rPr>
          <w:color w:val="000000"/>
        </w:rPr>
      </w:pPr>
      <w:r w:rsidRPr="005D6582">
        <w:t>jednorázově splatit poskytnutý zvýhodněný úvěr a/nebo</w:t>
      </w:r>
    </w:p>
    <w:p w14:paraId="7170DF23" w14:textId="77777777" w:rsidR="008E5E9B" w:rsidRPr="005D6582" w:rsidRDefault="00553FDD">
      <w:pPr>
        <w:pStyle w:val="Odrka"/>
        <w:rPr>
          <w:color w:val="000000"/>
        </w:rPr>
      </w:pPr>
      <w:r w:rsidRPr="005D6582">
        <w:t>vráti</w:t>
      </w:r>
      <w:r w:rsidR="001A4ED6" w:rsidRPr="005D6582">
        <w:t xml:space="preserve">t vyplacený finanční příspěvek, zároveň </w:t>
      </w:r>
      <w:r w:rsidRPr="005D6582">
        <w:t>příjemce podpory ztrácí nárok na výplatu nevyplacené části finančního příspěvku</w:t>
      </w:r>
      <w:r w:rsidRPr="005D6582">
        <w:rPr>
          <w:rFonts w:ascii="Arial" w:hAnsi="Arial"/>
          <w:sz w:val="20"/>
        </w:rPr>
        <w:t>.</w:t>
      </w:r>
    </w:p>
    <w:p w14:paraId="122D2932" w14:textId="77777777" w:rsidR="00146547" w:rsidRPr="005D6582" w:rsidRDefault="00553FDD" w:rsidP="00764FED">
      <w:pPr>
        <w:spacing w:line="276" w:lineRule="auto"/>
      </w:pPr>
      <w:r w:rsidRPr="005D6582">
        <w:t>V případě uvedení nepravdivých údajů rozhodných pro výplatu finančního příspěvku je příjemce podpory povinen vrátit vyplacený finanční příspěvek a zároveň ztrácí nárok na výplatu nevyplacené části finančního příspěvku.</w:t>
      </w:r>
    </w:p>
    <w:p w14:paraId="699210CB" w14:textId="77777777" w:rsidR="00B442D8" w:rsidRPr="005D6582" w:rsidRDefault="00553FDD" w:rsidP="00764FED">
      <w:pPr>
        <w:spacing w:line="276" w:lineRule="auto"/>
      </w:pPr>
      <w:r w:rsidRPr="005D6582">
        <w:t>V případě prodlení se splacením dlužných částek vzniklých z uplatnění sankcí v podobě jednorázové splatnosti úvěru nebo vrácení finančního příspěvku</w:t>
      </w:r>
      <w:r w:rsidR="00B34C59" w:rsidRPr="005D6582">
        <w:t>,</w:t>
      </w:r>
      <w:r w:rsidRPr="005D6582">
        <w:t xml:space="preserve"> je příjemce podpory povinen zaplatit úrok z prodlení ve výši 9 % p. a. z dlužné částky po splatnosti.</w:t>
      </w:r>
    </w:p>
    <w:p w14:paraId="239B2D57" w14:textId="77777777" w:rsidR="00970822" w:rsidRPr="005D6582" w:rsidRDefault="00553FDD" w:rsidP="00764FED">
      <w:pPr>
        <w:spacing w:line="276" w:lineRule="auto"/>
      </w:pPr>
      <w:r w:rsidRPr="005D6582">
        <w:t>Neposkytnutí informace nebo dokladu o naplnění některé podmínky programu je považováno za porušení této podmínky programu.</w:t>
      </w:r>
    </w:p>
    <w:p w14:paraId="1327242C" w14:textId="77777777" w:rsidR="009772C7" w:rsidRPr="005D6582" w:rsidRDefault="00453B5D" w:rsidP="009A3993">
      <w:r w:rsidRPr="005D6582">
        <w:t>P</w:t>
      </w:r>
      <w:r w:rsidR="00B34C59" w:rsidRPr="005D6582">
        <w:t>oskytovatel podpory je oprávněn klientovi smluvně stanovit další smluvní pokuty za neplnění jeho povinností vyplývajících ze smlouvy o zvýhodněném úvěru.</w:t>
      </w:r>
    </w:p>
    <w:p w14:paraId="5FA35CFC" w14:textId="77777777" w:rsidR="00B7745E" w:rsidRPr="005D6582" w:rsidRDefault="009772C7" w:rsidP="00970822">
      <w:pPr>
        <w:pStyle w:val="Nadpis1"/>
      </w:pPr>
      <w:bookmarkStart w:id="60" w:name="_Toc522175300"/>
      <w:bookmarkStart w:id="61" w:name="_Toc499279798"/>
      <w:r w:rsidRPr="005D6582">
        <w:t>Ostatní ustanovení</w:t>
      </w:r>
      <w:bookmarkEnd w:id="60"/>
      <w:bookmarkEnd w:id="61"/>
    </w:p>
    <w:p w14:paraId="193327CF" w14:textId="77777777" w:rsidR="009772C7" w:rsidRPr="005D6582" w:rsidRDefault="009772C7" w:rsidP="00A81585">
      <w:pPr>
        <w:pStyle w:val="Odstavecseseznamem"/>
        <w:numPr>
          <w:ilvl w:val="0"/>
          <w:numId w:val="77"/>
        </w:numPr>
        <w:spacing w:line="276" w:lineRule="auto"/>
        <w:rPr>
          <w:sz w:val="22"/>
          <w:szCs w:val="22"/>
        </w:rPr>
      </w:pPr>
      <w:r w:rsidRPr="005D6582">
        <w:rPr>
          <w:sz w:val="22"/>
          <w:szCs w:val="22"/>
        </w:rPr>
        <w:t>Na podporu není právní nárok.</w:t>
      </w:r>
    </w:p>
    <w:p w14:paraId="5A8AF821" w14:textId="77777777" w:rsidR="009772C7" w:rsidRPr="005D6582" w:rsidRDefault="00553FDD" w:rsidP="00052838">
      <w:pPr>
        <w:pStyle w:val="Odstavecseseznamem"/>
        <w:numPr>
          <w:ilvl w:val="0"/>
          <w:numId w:val="77"/>
        </w:numPr>
        <w:spacing w:line="276" w:lineRule="auto"/>
        <w:rPr>
          <w:sz w:val="22"/>
          <w:szCs w:val="22"/>
        </w:rPr>
      </w:pPr>
      <w:r w:rsidRPr="005D6582">
        <w:rPr>
          <w:sz w:val="22"/>
          <w:szCs w:val="22"/>
        </w:rPr>
        <w:t>Příjemce podpory je povinen předat správci finančního nástroje za podmínek stanovených ve smlouvě o zvýhodněném úvěru:</w:t>
      </w:r>
    </w:p>
    <w:p w14:paraId="205DF237" w14:textId="77777777" w:rsidR="00E81C7B" w:rsidRPr="005D6582" w:rsidRDefault="00553FDD">
      <w:pPr>
        <w:pStyle w:val="Odstavecseseznamem"/>
        <w:numPr>
          <w:ilvl w:val="0"/>
          <w:numId w:val="112"/>
        </w:numPr>
        <w:spacing w:before="120"/>
        <w:rPr>
          <w:sz w:val="22"/>
          <w:szCs w:val="22"/>
        </w:rPr>
      </w:pPr>
      <w:r w:rsidRPr="005D6582">
        <w:rPr>
          <w:sz w:val="22"/>
          <w:szCs w:val="22"/>
        </w:rPr>
        <w:t>hodnoty následujících indikátorů:</w:t>
      </w:r>
    </w:p>
    <w:p w14:paraId="4F21F4DB" w14:textId="77777777" w:rsidR="00E81C7B" w:rsidRPr="005D6582" w:rsidRDefault="00553FDD">
      <w:pPr>
        <w:ind w:left="709"/>
        <w:rPr>
          <w:szCs w:val="22"/>
        </w:rPr>
      </w:pPr>
      <w:r w:rsidRPr="005D6582">
        <w:rPr>
          <w:szCs w:val="22"/>
        </w:rPr>
        <w:t>10700 Přidaná hodnota MSP</w:t>
      </w:r>
    </w:p>
    <w:p w14:paraId="64BB5D55" w14:textId="77777777" w:rsidR="00E81C7B" w:rsidRPr="005D6582" w:rsidRDefault="00553FDD">
      <w:pPr>
        <w:ind w:left="709"/>
        <w:rPr>
          <w:szCs w:val="22"/>
        </w:rPr>
      </w:pPr>
      <w:r w:rsidRPr="005D6582">
        <w:rPr>
          <w:szCs w:val="22"/>
        </w:rPr>
        <w:t>10400 Zvýšení zaměstnanosti v podporovaných podnicích</w:t>
      </w:r>
    </w:p>
    <w:p w14:paraId="02F875AD" w14:textId="77777777" w:rsidR="00E81C7B" w:rsidRPr="005D6582" w:rsidRDefault="00553FDD">
      <w:pPr>
        <w:spacing w:before="120"/>
        <w:ind w:left="709"/>
        <w:rPr>
          <w:szCs w:val="22"/>
        </w:rPr>
      </w:pPr>
      <w:r w:rsidRPr="005D6582">
        <w:rPr>
          <w:szCs w:val="22"/>
        </w:rPr>
        <w:lastRenderedPageBreak/>
        <w:t>10402 Počet nově vytvořených pracovních míst – ženy</w:t>
      </w:r>
    </w:p>
    <w:p w14:paraId="10C721A0" w14:textId="77777777" w:rsidR="00C24F1A" w:rsidRDefault="006D28FE">
      <w:pPr>
        <w:spacing w:before="120"/>
        <w:ind w:left="709"/>
        <w:rPr>
          <w:szCs w:val="22"/>
        </w:rPr>
      </w:pPr>
      <w:r w:rsidRPr="005D6582">
        <w:rPr>
          <w:szCs w:val="22"/>
        </w:rPr>
        <w:t>30203 Nové a modernizované přípojky sítí NGA</w:t>
      </w:r>
      <w:r w:rsidRPr="00C40B67">
        <w:rPr>
          <w:szCs w:val="22"/>
          <w:vertAlign w:val="superscript"/>
        </w:rPr>
        <w:footnoteReference w:id="21"/>
      </w:r>
    </w:p>
    <w:p w14:paraId="4261BE4F" w14:textId="747B2E8B" w:rsidR="00285021" w:rsidRPr="005D6582" w:rsidRDefault="00285021">
      <w:pPr>
        <w:spacing w:before="120"/>
        <w:ind w:left="709"/>
        <w:rPr>
          <w:szCs w:val="22"/>
        </w:rPr>
      </w:pPr>
      <w:r w:rsidRPr="005D6582">
        <w:rPr>
          <w:szCs w:val="22"/>
        </w:rPr>
        <w:t xml:space="preserve">Údaje o navýšení zaměstnanosti je příjemce podpory povinen doložit pracovními smlouvami </w:t>
      </w:r>
    </w:p>
    <w:p w14:paraId="3ACEBC9C" w14:textId="77777777" w:rsidR="00E81C7B" w:rsidRPr="005D6582" w:rsidRDefault="00553FDD">
      <w:pPr>
        <w:pStyle w:val="Odstavecseseznamem"/>
        <w:numPr>
          <w:ilvl w:val="0"/>
          <w:numId w:val="112"/>
        </w:numPr>
        <w:spacing w:before="120"/>
        <w:rPr>
          <w:sz w:val="22"/>
          <w:szCs w:val="22"/>
        </w:rPr>
      </w:pPr>
      <w:r w:rsidRPr="005D6582">
        <w:rPr>
          <w:sz w:val="22"/>
          <w:szCs w:val="22"/>
        </w:rPr>
        <w:t>údaje o celkové výši výdajů projektu (způsobilých i nezpůsobilých).</w:t>
      </w:r>
    </w:p>
    <w:p w14:paraId="28267355" w14:textId="77777777" w:rsidR="00601CB3" w:rsidRPr="005D6582" w:rsidRDefault="00553FDD" w:rsidP="00052838">
      <w:pPr>
        <w:pStyle w:val="Odstavecseseznamem"/>
        <w:numPr>
          <w:ilvl w:val="0"/>
          <w:numId w:val="77"/>
        </w:numPr>
        <w:spacing w:line="276" w:lineRule="auto"/>
        <w:rPr>
          <w:sz w:val="22"/>
          <w:szCs w:val="22"/>
        </w:rPr>
      </w:pPr>
      <w:r w:rsidRPr="005D6582">
        <w:rPr>
          <w:sz w:val="22"/>
          <w:szCs w:val="22"/>
        </w:rPr>
        <w:t>Správce programu si vyhrazuje právo Výzvu pozastavit nebo předčasně ukončit či změnit její ustanovení vzhledem k vývoji podmínek na finančním trhu a výši prostředků na financování programu.</w:t>
      </w:r>
    </w:p>
    <w:p w14:paraId="6623425E" w14:textId="77777777" w:rsidR="007D704D" w:rsidRPr="005D6582" w:rsidRDefault="00FD7882" w:rsidP="00052838">
      <w:pPr>
        <w:pStyle w:val="Odstavecseseznamem"/>
        <w:numPr>
          <w:ilvl w:val="0"/>
          <w:numId w:val="77"/>
        </w:numPr>
        <w:spacing w:line="276" w:lineRule="auto"/>
        <w:rPr>
          <w:sz w:val="22"/>
          <w:szCs w:val="22"/>
        </w:rPr>
      </w:pPr>
      <w:r w:rsidRPr="005D6582">
        <w:rPr>
          <w:sz w:val="22"/>
          <w:szCs w:val="22"/>
        </w:rPr>
        <w:t>Správce programu bude uchovávat dokumenty k ověření oprávněnosti poskytnuté veřejné podpory po dobu 10 let od poskytnutí podpory</w:t>
      </w:r>
      <w:r w:rsidR="004000E3" w:rsidRPr="005D6582">
        <w:rPr>
          <w:sz w:val="22"/>
          <w:szCs w:val="22"/>
        </w:rPr>
        <w:t xml:space="preserve"> v rámci tohoto režimu</w:t>
      </w:r>
      <w:r w:rsidRPr="005D6582">
        <w:rPr>
          <w:sz w:val="22"/>
          <w:szCs w:val="22"/>
        </w:rPr>
        <w:t xml:space="preserve"> poslednímu </w:t>
      </w:r>
      <w:r w:rsidR="004000E3" w:rsidRPr="005D6582">
        <w:rPr>
          <w:sz w:val="22"/>
          <w:szCs w:val="22"/>
        </w:rPr>
        <w:t>p</w:t>
      </w:r>
      <w:r w:rsidRPr="005D6582">
        <w:rPr>
          <w:sz w:val="22"/>
          <w:szCs w:val="22"/>
        </w:rPr>
        <w:t>říjemci podpory.</w:t>
      </w:r>
      <w:r w:rsidR="00247433" w:rsidRPr="005D6582">
        <w:rPr>
          <w:sz w:val="22"/>
          <w:szCs w:val="22"/>
        </w:rPr>
        <w:t xml:space="preserve"> </w:t>
      </w:r>
      <w:r w:rsidR="007D704D" w:rsidRPr="005D6582">
        <w:rPr>
          <w:sz w:val="22"/>
          <w:szCs w:val="22"/>
        </w:rPr>
        <w:t xml:space="preserve">U podpory de </w:t>
      </w:r>
      <w:proofErr w:type="spellStart"/>
      <w:r w:rsidR="007D704D" w:rsidRPr="005D6582">
        <w:rPr>
          <w:sz w:val="22"/>
          <w:szCs w:val="22"/>
        </w:rPr>
        <w:t>minimis</w:t>
      </w:r>
      <w:proofErr w:type="spellEnd"/>
      <w:r w:rsidR="007D704D" w:rsidRPr="005D6582">
        <w:rPr>
          <w:sz w:val="22"/>
          <w:szCs w:val="22"/>
        </w:rPr>
        <w:t xml:space="preserve"> budou záznamy archivovány po dobu po dobu deseti jednoletých účetních období ode dne, kdy byla v rámci tohoto režimu poskytnuta poslední jednotlivá podpora.</w:t>
      </w:r>
    </w:p>
    <w:p w14:paraId="71B5FCB8" w14:textId="77777777" w:rsidR="00B7745E" w:rsidRPr="005D6582" w:rsidRDefault="00553FDD" w:rsidP="00970822">
      <w:pPr>
        <w:pStyle w:val="Nadpis1"/>
      </w:pPr>
      <w:bookmarkStart w:id="62" w:name="_Toc522175301"/>
      <w:bookmarkStart w:id="63" w:name="_Toc499279799"/>
      <w:r w:rsidRPr="005D6582">
        <w:t>Definice</w:t>
      </w:r>
      <w:bookmarkEnd w:id="62"/>
      <w:bookmarkEnd w:id="63"/>
    </w:p>
    <w:p w14:paraId="6DAD0040" w14:textId="77777777" w:rsidR="00B34C59" w:rsidRPr="005D6582" w:rsidRDefault="00B34C59" w:rsidP="001A27C6">
      <w:r w:rsidRPr="005D6582">
        <w:rPr>
          <w:b/>
        </w:rPr>
        <w:t>Bankovní úvěr</w:t>
      </w:r>
      <w:r w:rsidR="009E71D1" w:rsidRPr="005D6582">
        <w:rPr>
          <w:b/>
        </w:rPr>
        <w:t xml:space="preserve"> </w:t>
      </w:r>
      <w:r w:rsidRPr="005D6582">
        <w:t>–</w:t>
      </w:r>
      <w:r w:rsidRPr="005D6582">
        <w:rPr>
          <w:b/>
        </w:rPr>
        <w:t xml:space="preserve"> </w:t>
      </w:r>
      <w:r w:rsidRPr="005D6582">
        <w:t>úvěr poskytnutý příjemci podpory spolupracujícím partnerem, určený ke spolufinancování projektu spolu se zvýhodněným úvěrem v rámci této výzvy.</w:t>
      </w:r>
    </w:p>
    <w:p w14:paraId="20EF7630" w14:textId="77777777" w:rsidR="00E731FA" w:rsidRPr="000A00E3" w:rsidRDefault="00553FDD" w:rsidP="00764FED">
      <w:pPr>
        <w:spacing w:line="276" w:lineRule="auto"/>
      </w:pPr>
      <w:r w:rsidRPr="005D6582">
        <w:rPr>
          <w:b/>
        </w:rPr>
        <w:t xml:space="preserve">Dohoda o financování </w:t>
      </w:r>
      <w:r w:rsidRPr="005D6582">
        <w:t>- dohoda uzavřená mezi správcem programu a správcem finančního nástroje, která upravuje vzájemné vztahy a podmínky správy finančního nástroje, ze kterého jsou financovány podpory poskytované podle této Výzvy.</w:t>
      </w:r>
    </w:p>
    <w:p w14:paraId="1D95C84F" w14:textId="77777777" w:rsidR="00CD6EB4" w:rsidRPr="005D6582" w:rsidRDefault="00B97853" w:rsidP="005D6582">
      <w:pPr>
        <w:spacing w:after="120" w:line="276" w:lineRule="auto"/>
      </w:pPr>
      <w:r w:rsidRPr="005D6582">
        <w:rPr>
          <w:b/>
        </w:rPr>
        <w:t>Efektivní využívání vody v průmyslu</w:t>
      </w:r>
      <w:r w:rsidRPr="005D6582">
        <w:t xml:space="preserve"> - posílení aktivit průmyslových podniků v efektivnějším nakládání s</w:t>
      </w:r>
      <w:r w:rsidR="00C24F1A">
        <w:t> </w:t>
      </w:r>
      <w:r w:rsidRPr="005D6582">
        <w:t>vodou s cílem reagovat na rizika spojená s projevy sucha, tedy především potenciálního nedostatku vody pro zajištění výroby a tím možného snížení výkonu ekonomiky</w:t>
      </w:r>
      <w:r w:rsidR="00CD6EB4" w:rsidRPr="005D6582">
        <w:t xml:space="preserve">. </w:t>
      </w:r>
      <w:r w:rsidR="00CD6EB4" w:rsidRPr="005D6582">
        <w:rPr>
          <w:szCs w:val="22"/>
        </w:rPr>
        <w:t>Projekt efektivního využívání vody v průmyslu musí být zaměřen na některou z následujících oblastí:</w:t>
      </w:r>
    </w:p>
    <w:p w14:paraId="1632535F" w14:textId="77777777" w:rsidR="00CD6EB4" w:rsidRPr="005D6582" w:rsidRDefault="00CD6EB4" w:rsidP="00CD6EB4">
      <w:pPr>
        <w:numPr>
          <w:ilvl w:val="1"/>
          <w:numId w:val="128"/>
        </w:numPr>
        <w:spacing w:after="120" w:line="276" w:lineRule="auto"/>
      </w:pPr>
      <w:r w:rsidRPr="005D6582">
        <w:t xml:space="preserve">proces optimalizace spotřeby vody v rámci samotného výrobního procesu – zavádění technologických změn a inovací, jejichž cílem je primární snížení spotřeby vody, případně i úplná eliminace potřeby vody </w:t>
      </w:r>
    </w:p>
    <w:p w14:paraId="23B520BB" w14:textId="77777777" w:rsidR="00CD6EB4" w:rsidRPr="005D6582" w:rsidRDefault="00CD6EB4" w:rsidP="00CD6EB4">
      <w:pPr>
        <w:numPr>
          <w:ilvl w:val="1"/>
          <w:numId w:val="128"/>
        </w:numPr>
        <w:spacing w:after="120" w:line="276" w:lineRule="auto"/>
      </w:pPr>
      <w:r w:rsidRPr="005D6582">
        <w:t>přímá recyklace vody ve výrobních podnicích v odvětvích s vysokou spotřebou vody (potravinářský, papírenský, chemický, textilní, energetika), instalace uzavřených cirkulačních okruhů namísto lineárních/otevřených</w:t>
      </w:r>
    </w:p>
    <w:p w14:paraId="76B568C4" w14:textId="77777777" w:rsidR="00CD6EB4" w:rsidRPr="005D6582" w:rsidRDefault="00CD6EB4" w:rsidP="00CD6EB4">
      <w:pPr>
        <w:numPr>
          <w:ilvl w:val="1"/>
          <w:numId w:val="128"/>
        </w:numPr>
        <w:spacing w:after="120" w:line="276" w:lineRule="auto"/>
      </w:pPr>
      <w:r w:rsidRPr="005D6582">
        <w:t xml:space="preserve">následné využívání znečištěné/využité provozní vody v jiných procesech – instalace filtračních technologií (např. pro vody znečištěné pouze tuhými látkami) a pro přípravu vody k dalšímu jinému využití v rámci podniku, včetně sociálních zařízení </w:t>
      </w:r>
    </w:p>
    <w:p w14:paraId="2881284E" w14:textId="77777777" w:rsidR="00CD6EB4" w:rsidRPr="005D6582" w:rsidRDefault="00CD6EB4" w:rsidP="00CD6EB4">
      <w:pPr>
        <w:numPr>
          <w:ilvl w:val="1"/>
          <w:numId w:val="128"/>
        </w:numPr>
        <w:spacing w:after="120" w:line="276" w:lineRule="auto"/>
      </w:pPr>
      <w:r w:rsidRPr="005D6582">
        <w:t xml:space="preserve">optimalizace využívání vody v obslužných provozech podniků (mimo hlavní výrobní proces) – údržba, logistika, doprava, sociální zařízení </w:t>
      </w:r>
    </w:p>
    <w:p w14:paraId="7DF410F9" w14:textId="77777777" w:rsidR="00CD6EB4" w:rsidRPr="005D6582" w:rsidRDefault="00CD6EB4" w:rsidP="00CD6EB4">
      <w:pPr>
        <w:numPr>
          <w:ilvl w:val="1"/>
          <w:numId w:val="128"/>
        </w:numPr>
        <w:spacing w:after="120" w:line="276" w:lineRule="auto"/>
      </w:pPr>
      <w:r w:rsidRPr="005D6582">
        <w:lastRenderedPageBreak/>
        <w:t>snižování ztrát vody v uzavřených okruzích nebo rozvodech vody</w:t>
      </w:r>
    </w:p>
    <w:p w14:paraId="173C1C17" w14:textId="77777777" w:rsidR="00CD6EB4" w:rsidRPr="005D6582" w:rsidRDefault="00CD6EB4" w:rsidP="00CD6EB4">
      <w:pPr>
        <w:numPr>
          <w:ilvl w:val="1"/>
          <w:numId w:val="128"/>
        </w:numPr>
        <w:spacing w:after="120" w:line="276" w:lineRule="auto"/>
      </w:pPr>
      <w:r w:rsidRPr="005D6582">
        <w:t xml:space="preserve">využívání potenciálu odpadní páry (záchyt a odběr tepla a další využití v podniku) </w:t>
      </w:r>
    </w:p>
    <w:p w14:paraId="780E6D1A" w14:textId="77777777" w:rsidR="00CD6EB4" w:rsidRPr="005D6582" w:rsidRDefault="00CD6EB4" w:rsidP="00CD6EB4">
      <w:pPr>
        <w:numPr>
          <w:ilvl w:val="1"/>
          <w:numId w:val="128"/>
        </w:numPr>
        <w:spacing w:after="120" w:line="276" w:lineRule="auto"/>
      </w:pPr>
      <w:r w:rsidRPr="005D6582">
        <w:t>optimalizace technologie chlazení (náhrada otevřených chladicích věží se skrápěním adiabatických chlazením)</w:t>
      </w:r>
    </w:p>
    <w:p w14:paraId="5C7C7AFA" w14:textId="77777777" w:rsidR="00CD6EB4" w:rsidRPr="005D6582" w:rsidRDefault="00CD6EB4" w:rsidP="00C40B67">
      <w:pPr>
        <w:numPr>
          <w:ilvl w:val="1"/>
          <w:numId w:val="128"/>
        </w:numPr>
        <w:spacing w:line="276" w:lineRule="auto"/>
        <w:ind w:left="1434" w:hanging="357"/>
      </w:pPr>
      <w:r w:rsidRPr="005D6582">
        <w:t>jímání a využívání dešťové vody</w:t>
      </w:r>
    </w:p>
    <w:p w14:paraId="2E869E77" w14:textId="77777777" w:rsidR="0067427F" w:rsidRPr="005D6582" w:rsidRDefault="00553FDD" w:rsidP="00764FED">
      <w:pPr>
        <w:spacing w:line="276" w:lineRule="auto"/>
        <w:rPr>
          <w:rFonts w:cs="Arial"/>
          <w:b/>
          <w:color w:val="000000"/>
          <w:szCs w:val="22"/>
        </w:rPr>
      </w:pPr>
      <w:r w:rsidRPr="005D6582">
        <w:rPr>
          <w:rFonts w:cs="Arial"/>
          <w:b/>
          <w:color w:val="000000"/>
          <w:szCs w:val="22"/>
        </w:rPr>
        <w:t xml:space="preserve">Finanční nástroj </w:t>
      </w:r>
      <w:r w:rsidRPr="005D6582">
        <w:rPr>
          <w:rFonts w:cs="Arial"/>
          <w:color w:val="000000"/>
          <w:szCs w:val="22"/>
        </w:rPr>
        <w:t>- opatření finanční podpory formou zvýhodněných úvěrů a zvýhodněných úvěrů s finančním příspěvkem.</w:t>
      </w:r>
    </w:p>
    <w:p w14:paraId="7D7A064E" w14:textId="77777777" w:rsidR="00EF5574" w:rsidRPr="005D6582" w:rsidRDefault="00553FDD" w:rsidP="005C3DB1">
      <w:pPr>
        <w:rPr>
          <w:rFonts w:cs="Arial"/>
          <w:color w:val="000000"/>
          <w:szCs w:val="22"/>
        </w:rPr>
      </w:pPr>
      <w:r w:rsidRPr="005D6582">
        <w:rPr>
          <w:rFonts w:cs="Arial"/>
          <w:b/>
          <w:color w:val="000000"/>
          <w:szCs w:val="22"/>
        </w:rPr>
        <w:t xml:space="preserve">Finanční příspěvek </w:t>
      </w:r>
      <w:r w:rsidRPr="005D6582">
        <w:rPr>
          <w:rFonts w:cs="Arial"/>
          <w:color w:val="000000"/>
          <w:szCs w:val="22"/>
        </w:rPr>
        <w:t xml:space="preserve">– finanční příspěvek k úhradě úroků z bankovního úvěru poskytnutého na spolufinancování projektu podpořeného zvýhodněným úvěrem podle této </w:t>
      </w:r>
      <w:r w:rsidR="00B34C59" w:rsidRPr="005D6582">
        <w:rPr>
          <w:rFonts w:cs="Arial"/>
          <w:color w:val="000000"/>
          <w:szCs w:val="22"/>
        </w:rPr>
        <w:t>v</w:t>
      </w:r>
      <w:r w:rsidRPr="005D6582">
        <w:rPr>
          <w:rFonts w:cs="Arial"/>
          <w:color w:val="000000"/>
          <w:szCs w:val="22"/>
        </w:rPr>
        <w:t>ýzvy.</w:t>
      </w:r>
      <w:r w:rsidRPr="005D6582">
        <w:t xml:space="preserve"> Finanční příspěvek je subvencí úroků ve smyslu odst. 7 článku 37 Nařízení Evropského parla</w:t>
      </w:r>
      <w:r w:rsidR="001A4ED6" w:rsidRPr="005D6582">
        <w:t xml:space="preserve">mentu a Rady (EU) č. 1303/2013 </w:t>
      </w:r>
      <w:r w:rsidRPr="005D6582">
        <w:t>(Úřední věstník Evropské unie, L 347, 20. 12. 2013, str. 320-469).</w:t>
      </w:r>
    </w:p>
    <w:p w14:paraId="4D50DEB0" w14:textId="77777777" w:rsidR="00055051" w:rsidRPr="005D6582" w:rsidRDefault="00553FDD" w:rsidP="00764FED">
      <w:pPr>
        <w:spacing w:line="276" w:lineRule="auto"/>
        <w:rPr>
          <w:rFonts w:cs="Arial"/>
          <w:color w:val="000000"/>
          <w:szCs w:val="22"/>
        </w:rPr>
      </w:pPr>
      <w:r w:rsidRPr="005D6582">
        <w:rPr>
          <w:rFonts w:cs="Arial"/>
          <w:b/>
          <w:color w:val="000000"/>
          <w:szCs w:val="22"/>
        </w:rPr>
        <w:t>Intenzita veřejné podpory</w:t>
      </w:r>
      <w:r w:rsidRPr="005D6582">
        <w:rPr>
          <w:rFonts w:cs="Arial"/>
          <w:color w:val="000000"/>
          <w:szCs w:val="22"/>
        </w:rPr>
        <w:t xml:space="preserve"> - poměr mezi hrubým ekvivalentem podpory poskytnuté na projekt ve formě zvýhodněného úvěru či zvýhodněného úvěru s finančním příspěvkem, a diskontovanou výší způsobilých výdajů projektu vyjádřený v procentech.</w:t>
      </w:r>
    </w:p>
    <w:p w14:paraId="327BE59F" w14:textId="77777777" w:rsidR="00306C73" w:rsidRPr="005D6582" w:rsidRDefault="00553FDD" w:rsidP="007A4B29">
      <w:pPr>
        <w:spacing w:line="276" w:lineRule="auto"/>
        <w:rPr>
          <w:b/>
        </w:rPr>
      </w:pPr>
      <w:r w:rsidRPr="005D6582">
        <w:rPr>
          <w:rFonts w:cs="Arial"/>
          <w:b/>
          <w:color w:val="000000"/>
          <w:szCs w:val="22"/>
        </w:rPr>
        <w:t>Hrubý ekvivalent podpory -</w:t>
      </w:r>
      <w:r w:rsidRPr="005D6582">
        <w:rPr>
          <w:rFonts w:cs="Arial"/>
          <w:color w:val="000000"/>
          <w:szCs w:val="22"/>
        </w:rPr>
        <w:t xml:space="preserve"> veličina vyjádřena v peněžním vyjádření. Výše zvýhodněného úvěru se speciálním pr</w:t>
      </w:r>
      <w:r w:rsidRPr="005D6582">
        <w:t>opočtem převede na hodnotu srovnatelnou s poskytnutím podpory formou dotace</w:t>
      </w:r>
    </w:p>
    <w:p w14:paraId="5624DCE0" w14:textId="77777777" w:rsidR="00306C73" w:rsidRPr="005D6582" w:rsidRDefault="00306C73" w:rsidP="00306C73">
      <w:pPr>
        <w:spacing w:line="276" w:lineRule="auto"/>
      </w:pPr>
      <w:r w:rsidRPr="005D6582">
        <w:rPr>
          <w:b/>
        </w:rPr>
        <w:t>Jeden podnik</w:t>
      </w:r>
      <w:r w:rsidRPr="005D6582">
        <w:t xml:space="preserve"> – Za </w:t>
      </w:r>
      <w:r w:rsidR="003223D3" w:rsidRPr="005D6582">
        <w:t>jeden podnik</w:t>
      </w:r>
      <w:r w:rsidR="007D7445" w:rsidRPr="005D6582">
        <w:t xml:space="preserve"> </w:t>
      </w:r>
      <w:r w:rsidRPr="005D6582">
        <w:t>se považují podnikatelé registrovaní na území ČR i mimo něj, pokud i tyto subjekty mezi sebou mají některý z následujících vztahů:</w:t>
      </w:r>
    </w:p>
    <w:p w14:paraId="5F3A6E97" w14:textId="77777777" w:rsidR="00306C73" w:rsidRPr="005D6582" w:rsidRDefault="00306C73" w:rsidP="00306C73">
      <w:pPr>
        <w:numPr>
          <w:ilvl w:val="0"/>
          <w:numId w:val="27"/>
        </w:numPr>
        <w:spacing w:after="120" w:line="276" w:lineRule="auto"/>
        <w:ind w:left="714" w:hanging="357"/>
      </w:pPr>
      <w:r w:rsidRPr="005D6582">
        <w:t>jeden subjekt vlastní více než 50 % hlasovacích práv, která náležejí akcionářům nebo společníkům, v jiném subjektu,</w:t>
      </w:r>
    </w:p>
    <w:p w14:paraId="5FB1824D" w14:textId="77777777" w:rsidR="00306C73" w:rsidRPr="005D6582" w:rsidRDefault="00306C73" w:rsidP="00306C73">
      <w:pPr>
        <w:numPr>
          <w:ilvl w:val="0"/>
          <w:numId w:val="27"/>
        </w:numPr>
        <w:spacing w:after="120" w:line="276" w:lineRule="auto"/>
        <w:ind w:left="714" w:hanging="357"/>
      </w:pPr>
      <w:r w:rsidRPr="005D6582">
        <w:t>jeden subjekt má právo jmenovat nebo odvolat více než 50 % členů správního, řídícího nebo dozorčího orgánu jiného subjektu,</w:t>
      </w:r>
    </w:p>
    <w:p w14:paraId="37E0AFF2" w14:textId="77777777" w:rsidR="00306C73" w:rsidRPr="005D6582" w:rsidRDefault="00306C73" w:rsidP="00306C73">
      <w:pPr>
        <w:numPr>
          <w:ilvl w:val="0"/>
          <w:numId w:val="27"/>
        </w:numPr>
        <w:spacing w:after="120" w:line="276" w:lineRule="auto"/>
        <w:ind w:left="714" w:hanging="357"/>
      </w:pPr>
      <w:r w:rsidRPr="005D6582">
        <w:t>jeden subjekt má právo uplatňovat více než 50% vliv v jiném subjektu podle smlouvy uzavřené s daným subjektem nebo dle ustanovení v zakladatelské smlouvě nebo ve stanovách tohoto subjektu,</w:t>
      </w:r>
    </w:p>
    <w:p w14:paraId="41CAA6F0" w14:textId="77777777" w:rsidR="00306C73" w:rsidRPr="005D6582" w:rsidRDefault="00306C73" w:rsidP="00306C73">
      <w:pPr>
        <w:numPr>
          <w:ilvl w:val="0"/>
          <w:numId w:val="27"/>
        </w:numPr>
        <w:spacing w:after="120" w:line="276" w:lineRule="auto"/>
        <w:ind w:left="714" w:hanging="357"/>
      </w:pPr>
      <w:r w:rsidRPr="005D6582">
        <w:t>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16731EBB" w14:textId="77777777" w:rsidR="00C86974" w:rsidRPr="005D6582" w:rsidRDefault="00306C73" w:rsidP="00306C73">
      <w:pPr>
        <w:spacing w:line="276" w:lineRule="auto"/>
      </w:pPr>
      <w:r w:rsidRPr="005D6582">
        <w:t>Subjekty, které mají s žadatelem o podporu jakýkoli vztah uvedený pod písm. a) až d) prostřednictvím jednoho nebo více dalších subjektů, se také považují za </w:t>
      </w:r>
      <w:r w:rsidR="007D7445" w:rsidRPr="005D6582">
        <w:t xml:space="preserve">jeden </w:t>
      </w:r>
      <w:r w:rsidRPr="005D6582">
        <w:t>podnik.</w:t>
      </w:r>
    </w:p>
    <w:p w14:paraId="596EA1BB" w14:textId="77777777" w:rsidR="007A4B29" w:rsidRPr="005D6582" w:rsidRDefault="00553FDD" w:rsidP="007A4B29">
      <w:pPr>
        <w:spacing w:line="276" w:lineRule="auto"/>
      </w:pPr>
      <w:r w:rsidRPr="005D6582">
        <w:rPr>
          <w:b/>
        </w:rPr>
        <w:t>Národní RIS3 strategie</w:t>
      </w:r>
      <w:r w:rsidRPr="005D6582">
        <w:t xml:space="preserve"> – dokument </w:t>
      </w:r>
      <w:r w:rsidRPr="005D6582">
        <w:rPr>
          <w:i/>
        </w:rPr>
        <w:t>Národní výzkumná a inovační strategie pro inteligentní specializaci České republiky</w:t>
      </w:r>
      <w:r w:rsidRPr="005D6582">
        <w:t>.</w:t>
      </w:r>
    </w:p>
    <w:p w14:paraId="043F6CD0" w14:textId="77777777" w:rsidR="009E71D1" w:rsidRPr="005D6582" w:rsidRDefault="00B34C59" w:rsidP="00764FED">
      <w:pPr>
        <w:spacing w:line="276" w:lineRule="auto"/>
        <w:rPr>
          <w:rFonts w:cs="Calibri"/>
          <w:szCs w:val="22"/>
        </w:rPr>
      </w:pPr>
      <w:r w:rsidRPr="005D6582">
        <w:rPr>
          <w:rFonts w:cs="Calibri"/>
          <w:b/>
          <w:szCs w:val="22"/>
        </w:rPr>
        <w:t xml:space="preserve">Nařízením Komise č. 651/2014 </w:t>
      </w:r>
      <w:r w:rsidRPr="005D6582">
        <w:rPr>
          <w:rFonts w:cs="Calibri"/>
          <w:szCs w:val="22"/>
        </w:rPr>
        <w:t>se rozumí Nařízení Komise (EU) č. 651/2014 ze dne 17. června 2014, kterým se v souladu s články 107 a 108 Smlouvy prohlašují určité kategorie podpory za slučitelné s vnitřním trhem, ve znění nařízení Komise (EU) č. 2017/1084 ze dne 14. června 2017 (Úřední věstník EU, L 187, 26. 6. 2014, str. 1-84).</w:t>
      </w:r>
    </w:p>
    <w:p w14:paraId="103E0DEE" w14:textId="77777777" w:rsidR="006D28FE" w:rsidRPr="005D6582" w:rsidRDefault="006D28FE" w:rsidP="00764FED">
      <w:pPr>
        <w:spacing w:line="276" w:lineRule="auto"/>
        <w:rPr>
          <w:rFonts w:cs="Calibri"/>
          <w:szCs w:val="22"/>
        </w:rPr>
      </w:pPr>
      <w:r w:rsidRPr="005D6582">
        <w:rPr>
          <w:rFonts w:cs="Calibri"/>
          <w:b/>
          <w:szCs w:val="22"/>
        </w:rPr>
        <w:lastRenderedPageBreak/>
        <w:t>NGA</w:t>
      </w:r>
      <w:r w:rsidRPr="005D6582">
        <w:rPr>
          <w:rFonts w:cs="Calibri"/>
          <w:szCs w:val="22"/>
        </w:rPr>
        <w:t xml:space="preserve"> – </w:t>
      </w:r>
      <w:r w:rsidR="00C24F1A">
        <w:rPr>
          <w:rFonts w:cs="Calibri"/>
          <w:szCs w:val="22"/>
        </w:rPr>
        <w:t>(</w:t>
      </w:r>
      <w:proofErr w:type="spellStart"/>
      <w:r w:rsidR="00D22762" w:rsidRPr="005D6582">
        <w:rPr>
          <w:rFonts w:cs="Calibri"/>
          <w:szCs w:val="22"/>
        </w:rPr>
        <w:t>N</w:t>
      </w:r>
      <w:r w:rsidRPr="005D6582">
        <w:rPr>
          <w:rFonts w:cs="Calibri"/>
          <w:szCs w:val="22"/>
        </w:rPr>
        <w:t>ext</w:t>
      </w:r>
      <w:proofErr w:type="spellEnd"/>
      <w:r w:rsidRPr="005D6582">
        <w:rPr>
          <w:rFonts w:cs="Calibri"/>
          <w:szCs w:val="22"/>
        </w:rPr>
        <w:t xml:space="preserve"> </w:t>
      </w:r>
      <w:proofErr w:type="spellStart"/>
      <w:r w:rsidR="00D22762" w:rsidRPr="005D6582">
        <w:rPr>
          <w:rFonts w:cs="Calibri"/>
          <w:szCs w:val="22"/>
        </w:rPr>
        <w:t>G</w:t>
      </w:r>
      <w:r w:rsidRPr="005D6582">
        <w:rPr>
          <w:rFonts w:cs="Calibri"/>
          <w:szCs w:val="22"/>
        </w:rPr>
        <w:t>eneration</w:t>
      </w:r>
      <w:proofErr w:type="spellEnd"/>
      <w:r w:rsidRPr="005D6582">
        <w:rPr>
          <w:rFonts w:cs="Calibri"/>
          <w:szCs w:val="22"/>
        </w:rPr>
        <w:t xml:space="preserve"> </w:t>
      </w:r>
      <w:r w:rsidR="00D22762" w:rsidRPr="005D6582">
        <w:rPr>
          <w:rFonts w:cs="Calibri"/>
          <w:szCs w:val="22"/>
        </w:rPr>
        <w:t>A</w:t>
      </w:r>
      <w:r w:rsidRPr="005D6582">
        <w:rPr>
          <w:rFonts w:cs="Calibri"/>
          <w:szCs w:val="22"/>
        </w:rPr>
        <w:t xml:space="preserve">ccess </w:t>
      </w:r>
      <w:proofErr w:type="spellStart"/>
      <w:r w:rsidRPr="005D6582">
        <w:rPr>
          <w:rFonts w:cs="Calibri"/>
          <w:szCs w:val="22"/>
        </w:rPr>
        <w:t>networks</w:t>
      </w:r>
      <w:proofErr w:type="spellEnd"/>
      <w:r w:rsidR="00C24F1A">
        <w:rPr>
          <w:rFonts w:cs="Calibri"/>
          <w:szCs w:val="22"/>
        </w:rPr>
        <w:t>, tj.</w:t>
      </w:r>
      <w:r w:rsidR="00D22762" w:rsidRPr="005D6582">
        <w:rPr>
          <w:rFonts w:cs="Calibri"/>
          <w:szCs w:val="22"/>
        </w:rPr>
        <w:t xml:space="preserve"> přístupové sítě nové generace)</w:t>
      </w:r>
      <w:r w:rsidRPr="005D6582">
        <w:rPr>
          <w:rFonts w:cs="Calibri"/>
          <w:szCs w:val="22"/>
        </w:rPr>
        <w:t xml:space="preserve"> – projekty realizované v rámci CZ-NACE 61 zahrnující opatření na zřízení nových nebo rekonstrukci stávajících přípojek sítí NGA, tj.  sítí, které byly zcela nebo zčásti vylepšeny, využívají stávající infrastruktury a technologie místního přístupu a / nebo využívají nové infrastruktury, a které poskytují, nebo budou poskytovat </w:t>
      </w:r>
      <w:proofErr w:type="gramStart"/>
      <w:r w:rsidRPr="005D6582">
        <w:rPr>
          <w:rFonts w:cs="Calibri"/>
          <w:szCs w:val="22"/>
        </w:rPr>
        <w:t>služby  vysokorychlostního</w:t>
      </w:r>
      <w:proofErr w:type="gramEnd"/>
      <w:r w:rsidRPr="005D6582">
        <w:rPr>
          <w:rFonts w:cs="Calibri"/>
          <w:szCs w:val="22"/>
        </w:rPr>
        <w:t xml:space="preserve"> přístupu k internetu podle parametrů uvedených v NPRSNG pro nově budované sítě NGA.</w:t>
      </w:r>
    </w:p>
    <w:p w14:paraId="37A916F0" w14:textId="77777777" w:rsidR="000825DC" w:rsidRPr="005D6582" w:rsidRDefault="00553FDD" w:rsidP="00764FED">
      <w:pPr>
        <w:spacing w:line="276" w:lineRule="auto"/>
      </w:pPr>
      <w:r w:rsidRPr="005D6582">
        <w:rPr>
          <w:b/>
        </w:rPr>
        <w:t xml:space="preserve">NUTS 2 </w:t>
      </w:r>
      <w:r w:rsidRPr="005D6582">
        <w:t>– územní jednotka tvořená územím jednoho nebo více krajů podle usnesení vlády České republiky č. 707 ze dne 26. října 1998.</w:t>
      </w:r>
    </w:p>
    <w:p w14:paraId="6CE1C6DB" w14:textId="77777777" w:rsidR="0001365C" w:rsidRPr="005D6582" w:rsidRDefault="00553FDD" w:rsidP="00764FED">
      <w:pPr>
        <w:spacing w:line="276" w:lineRule="auto"/>
      </w:pPr>
      <w:r w:rsidRPr="005D6582">
        <w:rPr>
          <w:b/>
        </w:rPr>
        <w:t xml:space="preserve">OP PIK </w:t>
      </w:r>
      <w:r w:rsidRPr="000A00E3">
        <w:t>–</w:t>
      </w:r>
      <w:r w:rsidRPr="005D6582">
        <w:rPr>
          <w:b/>
        </w:rPr>
        <w:t xml:space="preserve"> </w:t>
      </w:r>
      <w:r w:rsidRPr="005D6582">
        <w:t>Operační program Podnikání a inovace pro konkurenceschopnost.</w:t>
      </w:r>
    </w:p>
    <w:p w14:paraId="2C96BF50" w14:textId="77777777" w:rsidR="00FA6188" w:rsidRPr="005D6582" w:rsidRDefault="00553FDD" w:rsidP="00347B61">
      <w:pPr>
        <w:spacing w:after="120" w:line="276" w:lineRule="auto"/>
      </w:pPr>
      <w:r w:rsidRPr="005D6582">
        <w:rPr>
          <w:b/>
        </w:rPr>
        <w:t xml:space="preserve">Počáteční investice </w:t>
      </w:r>
      <w:r w:rsidRPr="005D6582">
        <w:t xml:space="preserve">- za počáteční investici se považuje </w:t>
      </w:r>
      <w:r w:rsidRPr="005D6582">
        <w:rPr>
          <w:rFonts w:cs="Arial"/>
          <w:szCs w:val="22"/>
        </w:rPr>
        <w:t>pořízení</w:t>
      </w:r>
      <w:r w:rsidRPr="005D6582">
        <w:t xml:space="preserve"> a rekonstrukce dlouhodobého hmotného majetku a pořízení dlouhodobého nehmotného majetku za účelem:</w:t>
      </w:r>
    </w:p>
    <w:p w14:paraId="2E362E5D" w14:textId="77777777" w:rsidR="00FA6188" w:rsidRPr="005D6582" w:rsidRDefault="00553FDD" w:rsidP="00764FED">
      <w:pPr>
        <w:pStyle w:val="Odrka"/>
        <w:spacing w:line="276" w:lineRule="auto"/>
      </w:pPr>
      <w:r w:rsidRPr="005D6582">
        <w:t xml:space="preserve">založení nové provozovny, </w:t>
      </w:r>
    </w:p>
    <w:p w14:paraId="6F9D7881" w14:textId="77777777" w:rsidR="00FA6188" w:rsidRPr="005D6582" w:rsidRDefault="00553FDD" w:rsidP="00764FED">
      <w:pPr>
        <w:pStyle w:val="Odrka"/>
        <w:spacing w:line="276" w:lineRule="auto"/>
      </w:pPr>
      <w:r w:rsidRPr="005D6582">
        <w:t xml:space="preserve">rozšíření kapacity stávající provozovny, </w:t>
      </w:r>
    </w:p>
    <w:p w14:paraId="0724DB16" w14:textId="77777777" w:rsidR="00FA6188" w:rsidRPr="005D6582" w:rsidRDefault="00553FDD" w:rsidP="00764FED">
      <w:pPr>
        <w:pStyle w:val="Odrka"/>
        <w:spacing w:line="276" w:lineRule="auto"/>
      </w:pPr>
      <w:r w:rsidRPr="005D6582">
        <w:t xml:space="preserve">rozšíření výrobního sortimentu provozovny o výrobky, které nebyly dříve v této provozovně vyráběny, </w:t>
      </w:r>
    </w:p>
    <w:p w14:paraId="2BF595F6" w14:textId="77777777" w:rsidR="00FA6188" w:rsidRPr="005D6582" w:rsidRDefault="00553FDD" w:rsidP="00764FED">
      <w:pPr>
        <w:pStyle w:val="Odrka"/>
        <w:spacing w:line="276" w:lineRule="auto"/>
      </w:pPr>
      <w:r w:rsidRPr="005D6582">
        <w:t>zásadní změny celkového výrobního postupu.</w:t>
      </w:r>
    </w:p>
    <w:p w14:paraId="0786D656" w14:textId="34B57B1D" w:rsidR="00280FC4" w:rsidRPr="005D6582" w:rsidRDefault="00553FDD" w:rsidP="00764FED">
      <w:pPr>
        <w:spacing w:line="276" w:lineRule="auto"/>
      </w:pPr>
      <w:r w:rsidRPr="005D6582">
        <w:rPr>
          <w:b/>
        </w:rPr>
        <w:t>Podpora</w:t>
      </w:r>
      <w:r w:rsidRPr="005D6582">
        <w:t xml:space="preserve"> </w:t>
      </w:r>
      <w:r w:rsidR="00D24450" w:rsidRPr="005D6582">
        <w:t>–</w:t>
      </w:r>
      <w:r w:rsidRPr="005D6582">
        <w:t xml:space="preserve"> zvýhodněný úvěr nebo finanční příspěvek.</w:t>
      </w:r>
    </w:p>
    <w:p w14:paraId="5AD95E28" w14:textId="77777777" w:rsidR="00202118" w:rsidRPr="005D6582" w:rsidRDefault="00B34C59" w:rsidP="00202118">
      <w:pPr>
        <w:overflowPunct/>
        <w:autoSpaceDE/>
        <w:autoSpaceDN/>
        <w:adjustRightInd/>
        <w:spacing w:after="200"/>
        <w:textAlignment w:val="auto"/>
      </w:pPr>
      <w:r w:rsidRPr="005D6582">
        <w:rPr>
          <w:rFonts w:cs="Calibri"/>
          <w:b/>
        </w:rPr>
        <w:t xml:space="preserve">Podpora de </w:t>
      </w:r>
      <w:proofErr w:type="spellStart"/>
      <w:r w:rsidRPr="005D6582">
        <w:rPr>
          <w:rFonts w:cs="Calibri"/>
          <w:b/>
        </w:rPr>
        <w:t>minimis</w:t>
      </w:r>
      <w:proofErr w:type="spellEnd"/>
      <w:r w:rsidRPr="005D6582">
        <w:rPr>
          <w:rFonts w:cs="Calibri"/>
          <w:b/>
        </w:rPr>
        <w:t xml:space="preserve"> – </w:t>
      </w:r>
      <w:r w:rsidR="002F67EA" w:rsidRPr="005D6582">
        <w:rPr>
          <w:rFonts w:cs="Calibri"/>
        </w:rPr>
        <w:t>představuje</w:t>
      </w:r>
      <w:r w:rsidRPr="005D6582">
        <w:rPr>
          <w:rFonts w:cs="Calibri"/>
        </w:rPr>
        <w:t xml:space="preserve"> podporu podle Nařízení Komise (EU) č. 1407/2013</w:t>
      </w:r>
      <w:r w:rsidR="00273D9B" w:rsidRPr="005D6582">
        <w:rPr>
          <w:rFonts w:cs="Calibri"/>
        </w:rPr>
        <w:t xml:space="preserve"> </w:t>
      </w:r>
      <w:r w:rsidR="002F67EA" w:rsidRPr="005D6582">
        <w:rPr>
          <w:rFonts w:cs="Calibri"/>
        </w:rPr>
        <w:t xml:space="preserve">ze dne 18. prosince 2013 o použití článků 107 a 108 Smlouvy o fungování Evropské unie na podporu de </w:t>
      </w:r>
      <w:proofErr w:type="spellStart"/>
      <w:r w:rsidR="002F67EA" w:rsidRPr="005D6582">
        <w:rPr>
          <w:rFonts w:cs="Calibri"/>
        </w:rPr>
        <w:t>minimis</w:t>
      </w:r>
      <w:proofErr w:type="spellEnd"/>
      <w:r w:rsidR="002F67EA" w:rsidRPr="005D6582">
        <w:rPr>
          <w:rFonts w:cs="Calibri"/>
        </w:rPr>
        <w:t xml:space="preserve"> (Úřední věstník EU, L 352. 24. 12. 2013, str.  1- 8)</w:t>
      </w:r>
      <w:r w:rsidR="001C1946" w:rsidRPr="005D6582">
        <w:rPr>
          <w:b/>
        </w:rPr>
        <w:t xml:space="preserve">. </w:t>
      </w:r>
      <w:r w:rsidR="001C1946" w:rsidRPr="005D6582">
        <w:rPr>
          <w:rFonts w:cs="Calibri"/>
        </w:rPr>
        <w:t xml:space="preserve">Podpora de </w:t>
      </w:r>
      <w:proofErr w:type="spellStart"/>
      <w:r w:rsidR="001C1946" w:rsidRPr="005D6582">
        <w:rPr>
          <w:rFonts w:cs="Calibri"/>
        </w:rPr>
        <w:t>minimis</w:t>
      </w:r>
      <w:proofErr w:type="spellEnd"/>
      <w:r w:rsidR="00A0786E" w:rsidRPr="005D6582">
        <w:rPr>
          <w:rFonts w:cs="Calibri"/>
        </w:rPr>
        <w:t xml:space="preserve"> </w:t>
      </w:r>
      <w:r w:rsidR="00F843C9" w:rsidRPr="005D6582">
        <w:t xml:space="preserve">představuje takovou podporu, která nesmí spolu s ostatními podporami „de </w:t>
      </w:r>
      <w:proofErr w:type="spellStart"/>
      <w:r w:rsidR="00F843C9" w:rsidRPr="005D6582">
        <w:t>minimis</w:t>
      </w:r>
      <w:proofErr w:type="spellEnd"/>
      <w:r w:rsidR="00F843C9" w:rsidRPr="005D6582">
        <w:t>“ poskytnutými jednomu podniku</w:t>
      </w:r>
      <w:r w:rsidR="00F843C9" w:rsidRPr="005D6582">
        <w:rPr>
          <w:vertAlign w:val="superscript"/>
        </w:rPr>
        <w:footnoteReference w:id="22"/>
      </w:r>
      <w:r w:rsidR="00F843C9" w:rsidRPr="005D6582">
        <w:t xml:space="preserve"> za dobu současného a dvou předchozích účetních období přesáhnout výši odpovídající částce 200 000 EUR. Pro přepočet se používá měnový kurz Evropské centrální banky platný v den vydání Rozhodnutí o poskytnutí podpory. Pro podniky, které provozují silniční nákladní dopravu pro cizí potřebu, je maximální výše podpory de </w:t>
      </w:r>
      <w:proofErr w:type="spellStart"/>
      <w:r w:rsidR="00F843C9" w:rsidRPr="005D6582">
        <w:t>minimis</w:t>
      </w:r>
      <w:proofErr w:type="spellEnd"/>
      <w:r w:rsidR="00F843C9" w:rsidRPr="005D6582">
        <w:t xml:space="preserve"> snížena na 100 000 EUR/3 roky.</w:t>
      </w:r>
    </w:p>
    <w:p w14:paraId="5FFE1838" w14:textId="77777777" w:rsidR="00E733B9" w:rsidRPr="005D6582" w:rsidRDefault="00553FDD" w:rsidP="00764FED">
      <w:pPr>
        <w:spacing w:line="276" w:lineRule="auto"/>
      </w:pPr>
      <w:r w:rsidRPr="005D6582">
        <w:rPr>
          <w:b/>
        </w:rPr>
        <w:lastRenderedPageBreak/>
        <w:t xml:space="preserve">Podpořený úvěr </w:t>
      </w:r>
      <w:r w:rsidRPr="005D6582">
        <w:t>– zvýhodněný úvěr a/nebo bankovní úvěr podpořený finančním příspěvkem</w:t>
      </w:r>
      <w:r w:rsidR="003F292F" w:rsidRPr="005D6582">
        <w:t xml:space="preserve"> dle této výzvy</w:t>
      </w:r>
      <w:r w:rsidRPr="005D6582">
        <w:t xml:space="preserve">. </w:t>
      </w:r>
    </w:p>
    <w:p w14:paraId="31F40791" w14:textId="211E7108" w:rsidR="008D078E" w:rsidRPr="005D6582" w:rsidRDefault="00553FDD" w:rsidP="00764FED">
      <w:pPr>
        <w:spacing w:line="276" w:lineRule="auto"/>
        <w:rPr>
          <w:b/>
          <w:iCs/>
        </w:rPr>
      </w:pPr>
      <w:r w:rsidRPr="005D6582">
        <w:rPr>
          <w:b/>
          <w:iCs/>
        </w:rPr>
        <w:t xml:space="preserve">Program </w:t>
      </w:r>
      <w:r w:rsidRPr="000A00E3">
        <w:t>–</w:t>
      </w:r>
      <w:r w:rsidRPr="005D6582">
        <w:rPr>
          <w:b/>
          <w:iCs/>
        </w:rPr>
        <w:t xml:space="preserve"> </w:t>
      </w:r>
      <w:r w:rsidRPr="005D6582">
        <w:rPr>
          <w:iCs/>
        </w:rPr>
        <w:t>program EXPANZE schválený unesením vlády č. 1344 z 9. listopadu 2015</w:t>
      </w:r>
    </w:p>
    <w:p w14:paraId="79D31CBD" w14:textId="27E308D0" w:rsidR="00B7745E" w:rsidRPr="005D6582" w:rsidRDefault="00553FDD" w:rsidP="00764FED">
      <w:pPr>
        <w:spacing w:line="276" w:lineRule="auto"/>
      </w:pPr>
      <w:r w:rsidRPr="005D6582">
        <w:rPr>
          <w:b/>
          <w:iCs/>
        </w:rPr>
        <w:t>Projekt</w:t>
      </w:r>
      <w:r w:rsidRPr="005D6582">
        <w:rPr>
          <w:iCs/>
        </w:rPr>
        <w:t xml:space="preserve"> </w:t>
      </w:r>
      <w:r w:rsidR="00D24450" w:rsidRPr="005D6582">
        <w:t>–</w:t>
      </w:r>
      <w:r w:rsidRPr="005D6582">
        <w:rPr>
          <w:iCs/>
        </w:rPr>
        <w:t xml:space="preserve"> </w:t>
      </w:r>
      <w:r w:rsidRPr="005D6582">
        <w:t>pořízení a financování aktiv a dalších výdajů k provádění podnikatelské činnosti.</w:t>
      </w:r>
    </w:p>
    <w:p w14:paraId="33028169" w14:textId="77777777" w:rsidR="001216D1" w:rsidRPr="005D6582" w:rsidRDefault="00553FDD" w:rsidP="001216D1">
      <w:r w:rsidRPr="005D6582">
        <w:rPr>
          <w:b/>
        </w:rPr>
        <w:t>Příjemce podpory</w:t>
      </w:r>
      <w:r w:rsidRPr="005D6582">
        <w:t xml:space="preserve"> - podnikatel, jemuž je v souladu s ustanovením Zákona o podpoře malého a středního podnikání a podmínkami uvedenými ve Výzvě </w:t>
      </w:r>
      <w:r w:rsidR="00BD637E" w:rsidRPr="005D6582">
        <w:t>poskytován Zvýhodněný úvěr</w:t>
      </w:r>
      <w:r w:rsidRPr="005D6582">
        <w:t>, případ</w:t>
      </w:r>
      <w:r w:rsidR="001A4ED6" w:rsidRPr="005D6582">
        <w:t>ně Finanční příspěvek. Příjemce</w:t>
      </w:r>
      <w:r w:rsidRPr="005D6582">
        <w:t xml:space="preserve"> podpory je konečným příjemcem ve smyslu článku 2 bod 12 Obecného nařízení. </w:t>
      </w:r>
    </w:p>
    <w:p w14:paraId="022B71A4" w14:textId="77777777" w:rsidR="00AE72D4" w:rsidRDefault="00553FDD" w:rsidP="00764FED">
      <w:pPr>
        <w:spacing w:line="276" w:lineRule="auto"/>
      </w:pPr>
      <w:r w:rsidRPr="005D6582">
        <w:rPr>
          <w:b/>
        </w:rPr>
        <w:t xml:space="preserve">Příjmy </w:t>
      </w:r>
      <w:r w:rsidRPr="000A00E3">
        <w:t>–</w:t>
      </w:r>
      <w:r w:rsidRPr="005D6582">
        <w:rPr>
          <w:b/>
        </w:rPr>
        <w:t xml:space="preserve"> </w:t>
      </w:r>
      <w:r w:rsidRPr="005D6582">
        <w:t>příjmy ze samostatné činnosti podle § 7 zákona č. 586/1992 Sb., o daních z příjmu, v platném znění.</w:t>
      </w:r>
    </w:p>
    <w:p w14:paraId="57B3418C" w14:textId="4BD5E349" w:rsidR="007555A5" w:rsidRPr="005D6582" w:rsidRDefault="00553FDD" w:rsidP="00764FED">
      <w:pPr>
        <w:spacing w:line="276" w:lineRule="auto"/>
      </w:pPr>
      <w:r w:rsidRPr="005D6582">
        <w:rPr>
          <w:b/>
        </w:rPr>
        <w:t xml:space="preserve">Smlouva o zvýhodněném </w:t>
      </w:r>
      <w:proofErr w:type="gramStart"/>
      <w:r w:rsidRPr="005D6582">
        <w:rPr>
          <w:b/>
        </w:rPr>
        <w:t xml:space="preserve">úvěru </w:t>
      </w:r>
      <w:r w:rsidRPr="005D6582">
        <w:t xml:space="preserve"> </w:t>
      </w:r>
      <w:r w:rsidR="00D24450" w:rsidRPr="005D6582">
        <w:t>–</w:t>
      </w:r>
      <w:r w:rsidRPr="005D6582">
        <w:t xml:space="preserve"> smlouva</w:t>
      </w:r>
      <w:proofErr w:type="gramEnd"/>
      <w:r w:rsidRPr="005D6582">
        <w:t xml:space="preserve"> o poskytnutí zvýhodněného úvěru nebo smlouva o poskytnutí zvýhodněného úvěru s finančním příspěvkem uzavřená mezi správcem finančního nástroje a příjemcem podpory.</w:t>
      </w:r>
    </w:p>
    <w:p w14:paraId="12E66EB5" w14:textId="77777777" w:rsidR="003F292F" w:rsidRPr="005D6582" w:rsidRDefault="003F292F" w:rsidP="003F292F">
      <w:bookmarkStart w:id="64" w:name="_Hlk480663025"/>
      <w:r w:rsidRPr="005D6582">
        <w:rPr>
          <w:b/>
        </w:rPr>
        <w:t>Spolupracující partner</w:t>
      </w:r>
      <w:r w:rsidR="009E71D1" w:rsidRPr="005D6582">
        <w:rPr>
          <w:b/>
        </w:rPr>
        <w:t xml:space="preserve"> </w:t>
      </w:r>
      <w:r w:rsidR="002E0DFC" w:rsidRPr="000A00E3">
        <w:t>–</w:t>
      </w:r>
      <w:r w:rsidR="002E0DFC" w:rsidRPr="005D6582">
        <w:rPr>
          <w:b/>
        </w:rPr>
        <w:t xml:space="preserve"> </w:t>
      </w:r>
      <w:r w:rsidRPr="005D6582">
        <w:t xml:space="preserve">právnická osoba, která je oprávněna k poskytování úvěrů na území České republiky, pokud má s ČMZRB uzavřenu smlouvu o spolupráci při poskytování zvýhodněných úvěrů v OP PIK, viz seznam spolupracujících partnerů na </w:t>
      </w:r>
      <w:hyperlink r:id="rId15" w:history="1">
        <w:r w:rsidRPr="005D6582">
          <w:rPr>
            <w:rStyle w:val="Hypertextovodkaz"/>
          </w:rPr>
          <w:t>www.cmzrb.cz</w:t>
        </w:r>
      </w:hyperlink>
      <w:r w:rsidRPr="005D6582">
        <w:t>.</w:t>
      </w:r>
    </w:p>
    <w:bookmarkEnd w:id="64"/>
    <w:p w14:paraId="2D31CDE0" w14:textId="70BE0995" w:rsidR="00ED7B02" w:rsidRPr="005D6582" w:rsidRDefault="00553FDD" w:rsidP="00764FED">
      <w:pPr>
        <w:spacing w:line="276" w:lineRule="auto"/>
      </w:pPr>
      <w:r w:rsidRPr="005D6582">
        <w:rPr>
          <w:b/>
        </w:rPr>
        <w:t xml:space="preserve">Ukončení realizace projektu </w:t>
      </w:r>
      <w:r w:rsidR="00D24450" w:rsidRPr="005D6582">
        <w:t>–</w:t>
      </w:r>
      <w:r w:rsidRPr="005D6582">
        <w:t xml:space="preserve"> datum, kdy byl projekt fyzicky dokončen a  příjemce podpory v souvislosti s ním provedl všechny příslušné platby, nebo datum uvedení majetku pořízeného ze zvýhodněného úvěru či bankovního úvěru podpořeného finančním příspěvkem úvěru do užívání, nebo datum kolaudačního souhlasu, podle toho, co nastane později.</w:t>
      </w:r>
    </w:p>
    <w:p w14:paraId="6AB3E616" w14:textId="45829270" w:rsidR="00C57BB4" w:rsidRPr="005D6582" w:rsidRDefault="00553FDD" w:rsidP="00764FED">
      <w:pPr>
        <w:spacing w:line="276" w:lineRule="auto"/>
      </w:pPr>
      <w:r w:rsidRPr="005D6582">
        <w:rPr>
          <w:b/>
        </w:rPr>
        <w:t xml:space="preserve">Tržby </w:t>
      </w:r>
      <w:r w:rsidR="00D24450" w:rsidRPr="005D6582">
        <w:t>–</w:t>
      </w:r>
      <w:r w:rsidRPr="005D6582">
        <w:rPr>
          <w:b/>
        </w:rPr>
        <w:t xml:space="preserve"> </w:t>
      </w:r>
      <w:r w:rsidRPr="005D6582">
        <w:t>tržby za vlastní výkony a zboží, účtová třída 6, pro příjemce podpory vedoucí účetnictví; pro příjemce vedoucího daňovou evidenci příjmy z prodeje zboží, výrobků a služeb.</w:t>
      </w:r>
    </w:p>
    <w:p w14:paraId="128EC06C" w14:textId="3D38AF86" w:rsidR="000B1EE7" w:rsidRPr="005D6582" w:rsidRDefault="00553FDD" w:rsidP="00764FED">
      <w:pPr>
        <w:spacing w:line="276" w:lineRule="auto"/>
      </w:pPr>
      <w:r w:rsidRPr="005D6582">
        <w:rPr>
          <w:b/>
        </w:rPr>
        <w:t xml:space="preserve">Velký investiční projekt </w:t>
      </w:r>
      <w:r w:rsidR="00D24450" w:rsidRPr="005D6582">
        <w:t>–</w:t>
      </w:r>
      <w:r w:rsidRPr="005D6582">
        <w:t xml:space="preserve"> </w:t>
      </w:r>
      <w:r w:rsidR="009C1854" w:rsidRPr="005D6582">
        <w:t>počáteční investice, jejíž způsobilé výdaje vypočtené na základě cen a směnných kurzů k datu poskytnutí podpory přesahují 50 milionů EUR.</w:t>
      </w:r>
    </w:p>
    <w:p w14:paraId="0978AE54" w14:textId="42B2838B" w:rsidR="00DF3E14" w:rsidRPr="005D6582" w:rsidRDefault="00553FDD" w:rsidP="00764FED">
      <w:pPr>
        <w:spacing w:line="276" w:lineRule="auto"/>
        <w:rPr>
          <w:b/>
        </w:rPr>
      </w:pPr>
      <w:r w:rsidRPr="005D6582">
        <w:rPr>
          <w:b/>
        </w:rPr>
        <w:t xml:space="preserve">Veřejná podpora </w:t>
      </w:r>
      <w:r w:rsidR="00D24450" w:rsidRPr="005D6582">
        <w:t>–</w:t>
      </w:r>
      <w:r w:rsidRPr="005D6582">
        <w:rPr>
          <w:b/>
        </w:rPr>
        <w:t xml:space="preserve"> </w:t>
      </w:r>
      <w:r w:rsidRPr="005D6582">
        <w:t>finanční výhoda získaná příjemcem podpory vyjádřená hrubým ekvivalentem podpory.</w:t>
      </w:r>
    </w:p>
    <w:p w14:paraId="75C47DBE" w14:textId="77777777" w:rsidR="0099350E" w:rsidRPr="005D6582" w:rsidRDefault="00553FDD" w:rsidP="00764FED">
      <w:pPr>
        <w:spacing w:line="276" w:lineRule="auto"/>
      </w:pPr>
      <w:r w:rsidRPr="005D6582">
        <w:rPr>
          <w:b/>
        </w:rPr>
        <w:t>Výzva</w:t>
      </w:r>
      <w:r w:rsidRPr="005D6582">
        <w:t xml:space="preserve"> </w:t>
      </w:r>
      <w:r w:rsidR="001A4ED6" w:rsidRPr="005D6582">
        <w:t>–</w:t>
      </w:r>
      <w:r w:rsidR="009E71D1" w:rsidRPr="005D6582">
        <w:t xml:space="preserve"> </w:t>
      </w:r>
      <w:r w:rsidR="003F292F" w:rsidRPr="005D6582">
        <w:t>v</w:t>
      </w:r>
      <w:r w:rsidRPr="005D6582">
        <w:t>ýzva</w:t>
      </w:r>
      <w:r w:rsidR="009E71D1" w:rsidRPr="005D6582">
        <w:t xml:space="preserve"> I</w:t>
      </w:r>
      <w:r w:rsidRPr="005D6582">
        <w:t xml:space="preserve"> </w:t>
      </w:r>
      <w:r w:rsidR="001A4ED6" w:rsidRPr="005D6582">
        <w:t xml:space="preserve">programu </w:t>
      </w:r>
      <w:r w:rsidR="003F292F" w:rsidRPr="005D6582">
        <w:t xml:space="preserve">EXPANZE </w:t>
      </w:r>
      <w:r w:rsidRPr="005D6582">
        <w:t>k podávání žádosti o podporu zveřejněná správcem finančního nástroje.</w:t>
      </w:r>
    </w:p>
    <w:p w14:paraId="0E18C8D4" w14:textId="77777777" w:rsidR="00F02DF2" w:rsidRDefault="00F02DF2" w:rsidP="00F02DF2">
      <w:pPr>
        <w:spacing w:line="276" w:lineRule="auto"/>
      </w:pPr>
      <w:r>
        <w:rPr>
          <w:b/>
        </w:rPr>
        <w:t>Zpracování</w:t>
      </w:r>
      <w:r w:rsidRPr="007D6985">
        <w:rPr>
          <w:b/>
        </w:rPr>
        <w:t xml:space="preserve"> kalamitního dřeva </w:t>
      </w:r>
      <w:r>
        <w:t>– projekty zaměřené zejména na pořízení nových technologií na zpracování kalamitního dřeva a na rozšíření i vznik nových skladovacích prostor ke skladování dřeva ze stromů napadených kůrovcem</w:t>
      </w:r>
      <w:r w:rsidRPr="008971BF">
        <w:t xml:space="preserve">. </w:t>
      </w:r>
    </w:p>
    <w:p w14:paraId="67DD2895" w14:textId="77777777" w:rsidR="00C40B67" w:rsidRPr="00C40B67" w:rsidRDefault="00C40B67" w:rsidP="00F02DF2">
      <w:pPr>
        <w:spacing w:line="276" w:lineRule="auto"/>
      </w:pPr>
      <w:r w:rsidRPr="00C40B67">
        <w:rPr>
          <w:b/>
        </w:rPr>
        <w:t>Zvláštní podporované aktivity</w:t>
      </w:r>
      <w:r>
        <w:rPr>
          <w:b/>
        </w:rPr>
        <w:t xml:space="preserve"> </w:t>
      </w:r>
      <w:r w:rsidRPr="00C40B67">
        <w:t>– Zpracování kalamitního dřeva, NGA, Efektivní využívání vody v průmyslu</w:t>
      </w:r>
    </w:p>
    <w:p w14:paraId="2A6AC57B" w14:textId="77777777" w:rsidR="00C9664D" w:rsidRPr="005D6582" w:rsidRDefault="00553FDD" w:rsidP="00764FED">
      <w:pPr>
        <w:spacing w:line="276" w:lineRule="auto"/>
      </w:pPr>
      <w:r w:rsidRPr="005D6582">
        <w:rPr>
          <w:b/>
        </w:rPr>
        <w:t xml:space="preserve">Zvýhodněný úvěr </w:t>
      </w:r>
      <w:r w:rsidRPr="005D6582">
        <w:t>– úvěr poskytnutý správcem finančního nástroje</w:t>
      </w:r>
      <w:r w:rsidR="003F292F" w:rsidRPr="005D6582">
        <w:t xml:space="preserve"> příjemci podpory v rámci této výzvy</w:t>
      </w:r>
      <w:r w:rsidRPr="005D6582">
        <w:t>.</w:t>
      </w:r>
    </w:p>
    <w:p w14:paraId="5D26C1FE" w14:textId="77777777" w:rsidR="001E2746" w:rsidRPr="005D6582" w:rsidRDefault="001E2746" w:rsidP="00764FED">
      <w:pPr>
        <w:spacing w:line="276" w:lineRule="auto"/>
      </w:pPr>
      <w:r w:rsidRPr="005D6582">
        <w:rPr>
          <w:b/>
        </w:rPr>
        <w:t>Žádost o podporu</w:t>
      </w:r>
      <w:r w:rsidRPr="005D6582">
        <w:t xml:space="preserve"> – žádost o zvýhodněný úvěr </w:t>
      </w:r>
      <w:r w:rsidR="002F67EA" w:rsidRPr="005D6582">
        <w:t>nebo o zvýhodněný úvěr a finanční příspěvek</w:t>
      </w:r>
    </w:p>
    <w:p w14:paraId="32ED23F6" w14:textId="77777777" w:rsidR="000B1EE7" w:rsidRPr="005D6582" w:rsidRDefault="000B1EE7" w:rsidP="00764FED">
      <w:pPr>
        <w:spacing w:line="276" w:lineRule="auto"/>
      </w:pPr>
    </w:p>
    <w:p w14:paraId="4E89636A" w14:textId="77777777" w:rsidR="00B7745E" w:rsidRPr="005D6582" w:rsidRDefault="009772C7" w:rsidP="00970822">
      <w:pPr>
        <w:pStyle w:val="Nadplev"/>
      </w:pPr>
      <w:r w:rsidRPr="005D6582">
        <w:lastRenderedPageBreak/>
        <w:t>Přílohy</w:t>
      </w:r>
    </w:p>
    <w:p w14:paraId="07B7CB8D" w14:textId="77777777" w:rsidR="00B7745E" w:rsidRPr="005D6582" w:rsidRDefault="00553FDD" w:rsidP="00970822">
      <w:pPr>
        <w:spacing w:after="0" w:line="360" w:lineRule="auto"/>
      </w:pPr>
      <w:r w:rsidRPr="005D6582">
        <w:t>č. 1:</w:t>
      </w:r>
      <w:r w:rsidRPr="005D6582">
        <w:tab/>
        <w:t xml:space="preserve">Podporované ekonomické činnosti </w:t>
      </w:r>
      <w:r w:rsidR="00F55356" w:rsidRPr="005D6582">
        <w:t>(</w:t>
      </w:r>
      <w:r w:rsidRPr="005D6582">
        <w:t>podle CZ-NACE</w:t>
      </w:r>
      <w:r w:rsidR="00F55356" w:rsidRPr="005D6582">
        <w:t>)</w:t>
      </w:r>
    </w:p>
    <w:p w14:paraId="3108A53C" w14:textId="77777777" w:rsidR="001942C3" w:rsidRPr="005D6582" w:rsidRDefault="00553FDD" w:rsidP="00970822">
      <w:pPr>
        <w:spacing w:after="0" w:line="360" w:lineRule="auto"/>
      </w:pPr>
      <w:r w:rsidRPr="005D6582">
        <w:t xml:space="preserve">č. </w:t>
      </w:r>
      <w:r w:rsidR="00FD22E5" w:rsidRPr="005D6582">
        <w:t>2</w:t>
      </w:r>
      <w:r w:rsidRPr="005D6582">
        <w:t>:</w:t>
      </w:r>
      <w:r w:rsidRPr="005D6582">
        <w:tab/>
        <w:t xml:space="preserve">Hodnotící kritéria </w:t>
      </w:r>
    </w:p>
    <w:p w14:paraId="33B7AD70" w14:textId="77777777" w:rsidR="000E772E" w:rsidRPr="005D6582" w:rsidRDefault="00553FDD" w:rsidP="00970822">
      <w:pPr>
        <w:spacing w:after="0" w:line="360" w:lineRule="auto"/>
      </w:pPr>
      <w:r w:rsidRPr="005D6582">
        <w:t xml:space="preserve">č. </w:t>
      </w:r>
      <w:r w:rsidR="00FD22E5" w:rsidRPr="005D6582">
        <w:t>3</w:t>
      </w:r>
      <w:r w:rsidRPr="005D6582">
        <w:t>:</w:t>
      </w:r>
      <w:r w:rsidRPr="005D6582">
        <w:tab/>
        <w:t>Zvýhodněné regiony</w:t>
      </w:r>
    </w:p>
    <w:p w14:paraId="288575D5" w14:textId="77777777" w:rsidR="008C6783" w:rsidRPr="005D6582" w:rsidRDefault="00553FDD" w:rsidP="0060446D">
      <w:pPr>
        <w:jc w:val="right"/>
        <w:rPr>
          <w:b/>
        </w:rPr>
      </w:pPr>
      <w:r w:rsidRPr="005D6582">
        <w:rPr>
          <w:rFonts w:ascii="Arial" w:hAnsi="Arial"/>
          <w:sz w:val="24"/>
        </w:rPr>
        <w:br w:type="page"/>
      </w:r>
      <w:r w:rsidRPr="005D6582">
        <w:rPr>
          <w:b/>
        </w:rPr>
        <w:lastRenderedPageBreak/>
        <w:t>Příloha č. 1 Výzvy I - úvěry v  programu EXPANZE</w:t>
      </w:r>
    </w:p>
    <w:p w14:paraId="2306458C" w14:textId="77777777" w:rsidR="00970822" w:rsidRPr="005D6582" w:rsidRDefault="00553FDD" w:rsidP="00237D12">
      <w:pPr>
        <w:pStyle w:val="Nadpissted"/>
        <w:spacing w:before="480" w:after="120"/>
      </w:pPr>
      <w:r w:rsidRPr="005D6582">
        <w:t>Podporované ekon</w:t>
      </w:r>
      <w:r w:rsidR="00F55356" w:rsidRPr="005D6582">
        <w:t>omické činnosti (podle CZ-NACE)</w:t>
      </w:r>
    </w:p>
    <w:p w14:paraId="42A6C52E" w14:textId="77777777" w:rsidR="00237D12" w:rsidRPr="005D6582" w:rsidRDefault="00553FDD" w:rsidP="00237D12">
      <w:pPr>
        <w:pStyle w:val="Nadplev"/>
        <w:spacing w:before="480" w:after="240"/>
        <w:rPr>
          <w:sz w:val="28"/>
          <w:szCs w:val="28"/>
        </w:rPr>
      </w:pPr>
      <w:bookmarkStart w:id="65" w:name="_Toc271101747"/>
      <w:bookmarkStart w:id="66" w:name="_Toc283972785"/>
      <w:bookmarkStart w:id="67" w:name="_Toc294619792"/>
      <w:r w:rsidRPr="005D6582">
        <w:rPr>
          <w:sz w:val="28"/>
          <w:szCs w:val="28"/>
        </w:rPr>
        <w:t>Část A</w:t>
      </w:r>
    </w:p>
    <w:p w14:paraId="12E74DD4" w14:textId="77777777" w:rsidR="00075B25" w:rsidRPr="005D6582" w:rsidRDefault="00075B25" w:rsidP="00075B25">
      <w:pPr>
        <w:rPr>
          <w:rFonts w:cs="Calibri"/>
          <w:color w:val="4F81BD"/>
          <w:sz w:val="28"/>
        </w:rPr>
      </w:pPr>
    </w:p>
    <w:tbl>
      <w:tblPr>
        <w:tblW w:w="10053" w:type="dxa"/>
        <w:tblLayout w:type="fixed"/>
        <w:tblCellMar>
          <w:left w:w="70" w:type="dxa"/>
          <w:right w:w="70" w:type="dxa"/>
        </w:tblCellMar>
        <w:tblLook w:val="04A0" w:firstRow="1" w:lastRow="0" w:firstColumn="1" w:lastColumn="0" w:noHBand="0" w:noVBand="1"/>
      </w:tblPr>
      <w:tblGrid>
        <w:gridCol w:w="1204"/>
        <w:gridCol w:w="54"/>
        <w:gridCol w:w="8795"/>
      </w:tblGrid>
      <w:tr w:rsidR="00075B25" w:rsidRPr="005D6582" w14:paraId="4C33BCB1" w14:textId="77777777" w:rsidTr="001C1946">
        <w:trPr>
          <w:trHeight w:val="270"/>
        </w:trPr>
        <w:tc>
          <w:tcPr>
            <w:tcW w:w="125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A188DE" w14:textId="77777777" w:rsidR="00075B25" w:rsidRPr="005D6582" w:rsidRDefault="00075B25" w:rsidP="001A27C6">
            <w:pPr>
              <w:spacing w:after="0"/>
              <w:rPr>
                <w:b/>
                <w:sz w:val="20"/>
              </w:rPr>
            </w:pPr>
            <w:r w:rsidRPr="005D6582">
              <w:rPr>
                <w:b/>
                <w:sz w:val="20"/>
              </w:rPr>
              <w:t>Oddíl</w:t>
            </w:r>
          </w:p>
        </w:tc>
        <w:tc>
          <w:tcPr>
            <w:tcW w:w="8795" w:type="dxa"/>
            <w:tcBorders>
              <w:top w:val="single" w:sz="8" w:space="0" w:color="auto"/>
              <w:left w:val="nil"/>
              <w:bottom w:val="single" w:sz="8" w:space="0" w:color="auto"/>
              <w:right w:val="single" w:sz="8" w:space="0" w:color="auto"/>
            </w:tcBorders>
            <w:shd w:val="clear" w:color="auto" w:fill="auto"/>
            <w:noWrap/>
            <w:vAlign w:val="bottom"/>
            <w:hideMark/>
          </w:tcPr>
          <w:p w14:paraId="260C9819" w14:textId="77777777" w:rsidR="00075B25" w:rsidRPr="005D6582" w:rsidRDefault="00075B25" w:rsidP="001A27C6">
            <w:pPr>
              <w:spacing w:after="0"/>
              <w:rPr>
                <w:b/>
                <w:sz w:val="20"/>
              </w:rPr>
            </w:pPr>
            <w:r w:rsidRPr="005D6582">
              <w:rPr>
                <w:b/>
                <w:sz w:val="20"/>
              </w:rPr>
              <w:t>Název</w:t>
            </w:r>
          </w:p>
        </w:tc>
      </w:tr>
      <w:tr w:rsidR="001C1946" w:rsidRPr="005D6582" w14:paraId="199223B2"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77DAA252" w14:textId="77777777" w:rsidR="001C1946" w:rsidRPr="005D6582" w:rsidRDefault="001C1946" w:rsidP="001C1946">
            <w:pPr>
              <w:spacing w:after="0"/>
              <w:rPr>
                <w:rFonts w:cs="Calibri"/>
                <w:b/>
                <w:bCs/>
                <w:caps/>
                <w:color w:val="4472C4"/>
                <w:sz w:val="20"/>
              </w:rPr>
            </w:pPr>
            <w:r w:rsidRPr="005D6582">
              <w:rPr>
                <w:rFonts w:cs="Calibri"/>
                <w:b/>
                <w:bCs/>
                <w:caps/>
                <w:color w:val="4472C4"/>
                <w:sz w:val="20"/>
              </w:rPr>
              <w:t>Sekce B - Těžba a dobývání</w:t>
            </w:r>
          </w:p>
        </w:tc>
      </w:tr>
      <w:tr w:rsidR="001C1946" w:rsidRPr="005D6582" w14:paraId="759588A3" w14:textId="77777777" w:rsidTr="001C1946">
        <w:trPr>
          <w:trHeight w:val="270"/>
        </w:trPr>
        <w:tc>
          <w:tcPr>
            <w:tcW w:w="1204" w:type="dxa"/>
            <w:tcBorders>
              <w:top w:val="single" w:sz="4" w:space="0" w:color="auto"/>
              <w:left w:val="single" w:sz="8" w:space="0" w:color="auto"/>
              <w:bottom w:val="single" w:sz="4" w:space="0" w:color="auto"/>
              <w:right w:val="single" w:sz="8" w:space="0" w:color="000000"/>
            </w:tcBorders>
          </w:tcPr>
          <w:p w14:paraId="1670198A" w14:textId="77777777" w:rsidR="001C1946" w:rsidRPr="005D6582" w:rsidRDefault="001C1946" w:rsidP="001C1946">
            <w:pPr>
              <w:spacing w:after="0"/>
              <w:rPr>
                <w:b/>
                <w:sz w:val="20"/>
              </w:rPr>
            </w:pPr>
            <w:r w:rsidRPr="005D6582">
              <w:rPr>
                <w:b/>
                <w:sz w:val="20"/>
              </w:rPr>
              <w:t>8</w:t>
            </w:r>
          </w:p>
        </w:tc>
        <w:tc>
          <w:tcPr>
            <w:tcW w:w="8849" w:type="dxa"/>
            <w:gridSpan w:val="2"/>
            <w:tcBorders>
              <w:top w:val="single" w:sz="4" w:space="0" w:color="auto"/>
              <w:left w:val="single" w:sz="8" w:space="0" w:color="auto"/>
              <w:bottom w:val="single" w:sz="4" w:space="0" w:color="auto"/>
              <w:right w:val="single" w:sz="8" w:space="0" w:color="000000"/>
            </w:tcBorders>
          </w:tcPr>
          <w:p w14:paraId="65908D9C" w14:textId="77777777" w:rsidR="001C1946" w:rsidRPr="005D6582" w:rsidRDefault="001C1946" w:rsidP="001C1946">
            <w:pPr>
              <w:spacing w:after="0"/>
              <w:rPr>
                <w:b/>
                <w:color w:val="4472C4"/>
                <w:sz w:val="20"/>
              </w:rPr>
            </w:pPr>
            <w:r w:rsidRPr="005D6582">
              <w:rPr>
                <w:b/>
                <w:sz w:val="20"/>
              </w:rPr>
              <w:t>Ostatní těžba a dobývání</w:t>
            </w:r>
          </w:p>
        </w:tc>
      </w:tr>
      <w:tr w:rsidR="001C1946" w:rsidRPr="005D6582" w14:paraId="35C19AE6" w14:textId="77777777" w:rsidTr="001C1946">
        <w:trPr>
          <w:trHeight w:val="270"/>
        </w:trPr>
        <w:tc>
          <w:tcPr>
            <w:tcW w:w="10053" w:type="dxa"/>
            <w:gridSpan w:val="3"/>
            <w:tcBorders>
              <w:top w:val="single" w:sz="4" w:space="0" w:color="auto"/>
              <w:left w:val="single" w:sz="8" w:space="0" w:color="auto"/>
              <w:bottom w:val="single" w:sz="4" w:space="0" w:color="auto"/>
              <w:right w:val="single" w:sz="8" w:space="0" w:color="000000"/>
            </w:tcBorders>
          </w:tcPr>
          <w:p w14:paraId="04A7D5CC" w14:textId="77777777" w:rsidR="001C1946" w:rsidRPr="005D6582" w:rsidRDefault="001C1946" w:rsidP="001A27C6">
            <w:pPr>
              <w:spacing w:after="0"/>
              <w:rPr>
                <w:b/>
                <w:sz w:val="20"/>
              </w:rPr>
            </w:pPr>
          </w:p>
        </w:tc>
      </w:tr>
      <w:tr w:rsidR="001C1946" w:rsidRPr="005D6582" w14:paraId="07DE8FB5" w14:textId="77777777" w:rsidTr="001C1946">
        <w:trPr>
          <w:trHeight w:val="270"/>
        </w:trPr>
        <w:tc>
          <w:tcPr>
            <w:tcW w:w="10053" w:type="dxa"/>
            <w:gridSpan w:val="3"/>
            <w:tcBorders>
              <w:top w:val="single" w:sz="4" w:space="0" w:color="auto"/>
              <w:left w:val="single" w:sz="8" w:space="0" w:color="auto"/>
              <w:bottom w:val="single" w:sz="4" w:space="0" w:color="auto"/>
              <w:right w:val="single" w:sz="8" w:space="0" w:color="000000"/>
            </w:tcBorders>
          </w:tcPr>
          <w:p w14:paraId="5F602E56" w14:textId="77777777" w:rsidR="001C1946" w:rsidRPr="005D6582" w:rsidRDefault="001C1946" w:rsidP="001A27C6">
            <w:pPr>
              <w:spacing w:after="0"/>
              <w:rPr>
                <w:b/>
                <w:sz w:val="20"/>
              </w:rPr>
            </w:pPr>
            <w:r w:rsidRPr="005D6582">
              <w:rPr>
                <w:rFonts w:cs="Calibri"/>
                <w:b/>
                <w:bCs/>
                <w:caps/>
                <w:color w:val="4472C4"/>
                <w:sz w:val="20"/>
              </w:rPr>
              <w:t>Sekce C - Zpracovatelský průmysl</w:t>
            </w:r>
          </w:p>
        </w:tc>
      </w:tr>
      <w:tr w:rsidR="001C1946" w:rsidRPr="005D6582" w14:paraId="099C907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003BCCE7" w14:textId="77777777" w:rsidR="001C1946" w:rsidRPr="005D6582" w:rsidRDefault="001C1946" w:rsidP="001A27C6">
            <w:pPr>
              <w:spacing w:after="0"/>
              <w:rPr>
                <w:b/>
                <w:sz w:val="20"/>
              </w:rPr>
            </w:pPr>
            <w:r w:rsidRPr="005D6582">
              <w:rPr>
                <w:b/>
                <w:sz w:val="20"/>
              </w:rPr>
              <w:t>10</w:t>
            </w:r>
          </w:p>
        </w:tc>
        <w:tc>
          <w:tcPr>
            <w:tcW w:w="8795" w:type="dxa"/>
            <w:tcBorders>
              <w:top w:val="nil"/>
              <w:left w:val="nil"/>
              <w:bottom w:val="single" w:sz="4" w:space="0" w:color="auto"/>
              <w:right w:val="single" w:sz="8" w:space="0" w:color="auto"/>
            </w:tcBorders>
            <w:shd w:val="clear" w:color="auto" w:fill="auto"/>
            <w:hideMark/>
          </w:tcPr>
          <w:p w14:paraId="11306B99" w14:textId="77777777" w:rsidR="001C1946" w:rsidRPr="005D6582" w:rsidRDefault="001C1946" w:rsidP="001A27C6">
            <w:pPr>
              <w:spacing w:after="0"/>
              <w:rPr>
                <w:b/>
                <w:sz w:val="20"/>
              </w:rPr>
            </w:pPr>
            <w:r w:rsidRPr="005D6582">
              <w:rPr>
                <w:b/>
                <w:sz w:val="20"/>
              </w:rPr>
              <w:t xml:space="preserve">Výroba potravinářských </w:t>
            </w:r>
            <w:r w:rsidRPr="005D6582">
              <w:rPr>
                <w:rFonts w:cs="Calibri"/>
                <w:b/>
                <w:bCs/>
                <w:sz w:val="20"/>
              </w:rPr>
              <w:t>výrobků</w:t>
            </w:r>
            <w:r w:rsidRPr="005D6582">
              <w:rPr>
                <w:sz w:val="20"/>
                <w:vertAlign w:val="superscript"/>
              </w:rPr>
              <w:t>1)</w:t>
            </w:r>
          </w:p>
        </w:tc>
      </w:tr>
      <w:tr w:rsidR="001C1946" w:rsidRPr="005D6582" w14:paraId="762AE0D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65F232A" w14:textId="77777777" w:rsidR="001C1946" w:rsidRPr="005D6582" w:rsidRDefault="001C1946" w:rsidP="001A27C6">
            <w:pPr>
              <w:spacing w:after="0"/>
              <w:rPr>
                <w:b/>
                <w:sz w:val="20"/>
              </w:rPr>
            </w:pPr>
            <w:r w:rsidRPr="005D6582">
              <w:rPr>
                <w:b/>
                <w:sz w:val="20"/>
              </w:rPr>
              <w:t>11</w:t>
            </w:r>
          </w:p>
        </w:tc>
        <w:tc>
          <w:tcPr>
            <w:tcW w:w="8795" w:type="dxa"/>
            <w:tcBorders>
              <w:top w:val="nil"/>
              <w:left w:val="nil"/>
              <w:bottom w:val="single" w:sz="4" w:space="0" w:color="auto"/>
              <w:right w:val="single" w:sz="8" w:space="0" w:color="auto"/>
            </w:tcBorders>
            <w:shd w:val="clear" w:color="auto" w:fill="auto"/>
            <w:hideMark/>
          </w:tcPr>
          <w:p w14:paraId="1AD4F0E9" w14:textId="77777777" w:rsidR="001C1946" w:rsidRPr="005D6582" w:rsidRDefault="001C1946" w:rsidP="001A27C6">
            <w:pPr>
              <w:spacing w:after="0"/>
              <w:rPr>
                <w:b/>
                <w:sz w:val="20"/>
              </w:rPr>
            </w:pPr>
            <w:r w:rsidRPr="005D6582">
              <w:rPr>
                <w:b/>
                <w:sz w:val="20"/>
              </w:rPr>
              <w:t xml:space="preserve">Výroba </w:t>
            </w:r>
            <w:r w:rsidRPr="005D6582">
              <w:rPr>
                <w:rFonts w:cs="Calibri"/>
                <w:b/>
                <w:bCs/>
                <w:sz w:val="20"/>
              </w:rPr>
              <w:t>nápojů</w:t>
            </w:r>
            <w:r w:rsidRPr="005D6582">
              <w:rPr>
                <w:sz w:val="20"/>
                <w:vertAlign w:val="superscript"/>
              </w:rPr>
              <w:t>1)</w:t>
            </w:r>
          </w:p>
        </w:tc>
      </w:tr>
      <w:tr w:rsidR="001C1946" w:rsidRPr="005D6582" w14:paraId="261ECCE6"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6600EC9A" w14:textId="77777777" w:rsidR="001C1946" w:rsidRPr="005D6582" w:rsidRDefault="001C1946" w:rsidP="001A27C6">
            <w:pPr>
              <w:spacing w:after="0"/>
              <w:rPr>
                <w:b/>
                <w:sz w:val="20"/>
              </w:rPr>
            </w:pPr>
            <w:r w:rsidRPr="005D6582">
              <w:rPr>
                <w:b/>
                <w:sz w:val="20"/>
              </w:rPr>
              <w:t>13</w:t>
            </w:r>
          </w:p>
        </w:tc>
        <w:tc>
          <w:tcPr>
            <w:tcW w:w="8795" w:type="dxa"/>
            <w:tcBorders>
              <w:top w:val="nil"/>
              <w:left w:val="nil"/>
              <w:bottom w:val="single" w:sz="4" w:space="0" w:color="auto"/>
              <w:right w:val="single" w:sz="8" w:space="0" w:color="auto"/>
            </w:tcBorders>
            <w:shd w:val="clear" w:color="auto" w:fill="auto"/>
            <w:hideMark/>
          </w:tcPr>
          <w:p w14:paraId="4C81AEE1" w14:textId="77777777" w:rsidR="001C1946" w:rsidRPr="005D6582" w:rsidRDefault="001C1946" w:rsidP="001A27C6">
            <w:pPr>
              <w:spacing w:after="0"/>
              <w:rPr>
                <w:b/>
                <w:sz w:val="20"/>
              </w:rPr>
            </w:pPr>
            <w:r w:rsidRPr="005D6582">
              <w:rPr>
                <w:b/>
                <w:sz w:val="20"/>
              </w:rPr>
              <w:t xml:space="preserve">Výroba </w:t>
            </w:r>
            <w:r w:rsidRPr="005D6582">
              <w:rPr>
                <w:rFonts w:cs="Calibri"/>
                <w:b/>
                <w:bCs/>
                <w:sz w:val="20"/>
              </w:rPr>
              <w:t>textilií</w:t>
            </w:r>
            <w:r w:rsidRPr="005D6582">
              <w:rPr>
                <w:sz w:val="20"/>
                <w:vertAlign w:val="superscript"/>
              </w:rPr>
              <w:t>1)</w:t>
            </w:r>
            <w:r w:rsidRPr="005D6582">
              <w:rPr>
                <w:rFonts w:cs="Calibri"/>
                <w:b/>
                <w:bCs/>
                <w:sz w:val="20"/>
              </w:rPr>
              <w:t xml:space="preserve"> </w:t>
            </w:r>
          </w:p>
        </w:tc>
      </w:tr>
      <w:tr w:rsidR="001C1946" w:rsidRPr="005D6582" w14:paraId="79D8FFE2"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06A76142" w14:textId="77777777" w:rsidR="001C1946" w:rsidRPr="005D6582" w:rsidRDefault="001C1946" w:rsidP="001A27C6">
            <w:pPr>
              <w:spacing w:after="0"/>
              <w:rPr>
                <w:b/>
                <w:sz w:val="20"/>
              </w:rPr>
            </w:pPr>
            <w:r w:rsidRPr="005D6582">
              <w:rPr>
                <w:b/>
                <w:sz w:val="20"/>
              </w:rPr>
              <w:t>14</w:t>
            </w:r>
          </w:p>
        </w:tc>
        <w:tc>
          <w:tcPr>
            <w:tcW w:w="8795" w:type="dxa"/>
            <w:tcBorders>
              <w:top w:val="nil"/>
              <w:left w:val="nil"/>
              <w:bottom w:val="single" w:sz="4" w:space="0" w:color="auto"/>
              <w:right w:val="single" w:sz="8" w:space="0" w:color="auto"/>
            </w:tcBorders>
            <w:shd w:val="clear" w:color="auto" w:fill="auto"/>
            <w:hideMark/>
          </w:tcPr>
          <w:p w14:paraId="5E4AE250" w14:textId="77777777" w:rsidR="001C1946" w:rsidRPr="005D6582" w:rsidRDefault="001C1946" w:rsidP="001A27C6">
            <w:pPr>
              <w:spacing w:after="0"/>
              <w:rPr>
                <w:b/>
                <w:sz w:val="20"/>
              </w:rPr>
            </w:pPr>
            <w:r w:rsidRPr="005D6582">
              <w:rPr>
                <w:b/>
                <w:sz w:val="20"/>
              </w:rPr>
              <w:t>Výroba oděvů</w:t>
            </w:r>
          </w:p>
        </w:tc>
      </w:tr>
      <w:tr w:rsidR="001C1946" w:rsidRPr="005D6582" w14:paraId="29A7D068"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4DD85BA" w14:textId="77777777" w:rsidR="001C1946" w:rsidRPr="005D6582" w:rsidRDefault="001C1946" w:rsidP="001A27C6">
            <w:pPr>
              <w:spacing w:after="0"/>
              <w:rPr>
                <w:b/>
                <w:sz w:val="20"/>
              </w:rPr>
            </w:pPr>
            <w:r w:rsidRPr="005D6582">
              <w:rPr>
                <w:b/>
                <w:sz w:val="20"/>
              </w:rPr>
              <w:t>15</w:t>
            </w:r>
          </w:p>
        </w:tc>
        <w:tc>
          <w:tcPr>
            <w:tcW w:w="8795" w:type="dxa"/>
            <w:tcBorders>
              <w:top w:val="nil"/>
              <w:left w:val="nil"/>
              <w:bottom w:val="single" w:sz="4" w:space="0" w:color="auto"/>
              <w:right w:val="single" w:sz="8" w:space="0" w:color="auto"/>
            </w:tcBorders>
            <w:shd w:val="clear" w:color="auto" w:fill="auto"/>
            <w:hideMark/>
          </w:tcPr>
          <w:p w14:paraId="115FF788" w14:textId="77777777" w:rsidR="001C1946" w:rsidRPr="005D6582" w:rsidRDefault="001C1946" w:rsidP="001A27C6">
            <w:pPr>
              <w:spacing w:after="0"/>
              <w:rPr>
                <w:b/>
                <w:sz w:val="20"/>
              </w:rPr>
            </w:pPr>
            <w:r w:rsidRPr="005D6582">
              <w:rPr>
                <w:b/>
                <w:sz w:val="20"/>
              </w:rPr>
              <w:t>Výroba usní a souvisejících výrobků</w:t>
            </w:r>
            <w:r w:rsidRPr="005D6582">
              <w:rPr>
                <w:rFonts w:cs="Calibri"/>
                <w:b/>
                <w:bCs/>
                <w:sz w:val="20"/>
              </w:rPr>
              <w:t xml:space="preserve"> </w:t>
            </w:r>
          </w:p>
        </w:tc>
      </w:tr>
      <w:tr w:rsidR="001C1946" w:rsidRPr="005D6582" w14:paraId="47390C6F" w14:textId="77777777" w:rsidTr="001C1946">
        <w:trPr>
          <w:trHeight w:val="278"/>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5F301DF" w14:textId="77777777" w:rsidR="001C1946" w:rsidRPr="005D6582" w:rsidRDefault="001C1946" w:rsidP="001A27C6">
            <w:pPr>
              <w:spacing w:after="0"/>
              <w:rPr>
                <w:b/>
                <w:sz w:val="20"/>
              </w:rPr>
            </w:pPr>
            <w:r w:rsidRPr="005D6582">
              <w:rPr>
                <w:b/>
                <w:sz w:val="20"/>
              </w:rPr>
              <w:t>16</w:t>
            </w:r>
          </w:p>
        </w:tc>
        <w:tc>
          <w:tcPr>
            <w:tcW w:w="8795" w:type="dxa"/>
            <w:tcBorders>
              <w:top w:val="nil"/>
              <w:left w:val="nil"/>
              <w:bottom w:val="single" w:sz="4" w:space="0" w:color="auto"/>
              <w:right w:val="single" w:sz="8" w:space="0" w:color="auto"/>
            </w:tcBorders>
            <w:shd w:val="clear" w:color="auto" w:fill="auto"/>
            <w:vAlign w:val="bottom"/>
            <w:hideMark/>
          </w:tcPr>
          <w:p w14:paraId="769B848D" w14:textId="77777777" w:rsidR="001C1946" w:rsidRPr="005D6582" w:rsidRDefault="001C1946" w:rsidP="001A27C6">
            <w:pPr>
              <w:spacing w:after="0"/>
              <w:rPr>
                <w:b/>
                <w:sz w:val="20"/>
              </w:rPr>
            </w:pPr>
            <w:r w:rsidRPr="005D6582">
              <w:rPr>
                <w:b/>
                <w:sz w:val="20"/>
              </w:rPr>
              <w:t>Zpracování dřeva, výroba dřevěných, korkových, proutěných a slaměných výrobků, kromě nábytku</w:t>
            </w:r>
          </w:p>
        </w:tc>
      </w:tr>
      <w:tr w:rsidR="001C1946" w:rsidRPr="005D6582" w14:paraId="7A5FA06F"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729ED7DC" w14:textId="77777777" w:rsidR="001C1946" w:rsidRPr="005D6582" w:rsidRDefault="001C1946" w:rsidP="001A27C6">
            <w:pPr>
              <w:spacing w:after="0"/>
              <w:rPr>
                <w:b/>
                <w:sz w:val="20"/>
              </w:rPr>
            </w:pPr>
            <w:r w:rsidRPr="005D6582">
              <w:rPr>
                <w:b/>
                <w:sz w:val="20"/>
              </w:rPr>
              <w:t>17</w:t>
            </w:r>
          </w:p>
        </w:tc>
        <w:tc>
          <w:tcPr>
            <w:tcW w:w="8795" w:type="dxa"/>
            <w:tcBorders>
              <w:top w:val="nil"/>
              <w:left w:val="nil"/>
              <w:bottom w:val="single" w:sz="4" w:space="0" w:color="auto"/>
              <w:right w:val="single" w:sz="8" w:space="0" w:color="auto"/>
            </w:tcBorders>
            <w:shd w:val="clear" w:color="auto" w:fill="auto"/>
            <w:hideMark/>
          </w:tcPr>
          <w:p w14:paraId="52CC1572" w14:textId="77777777" w:rsidR="001C1946" w:rsidRPr="005D6582" w:rsidRDefault="001C1946" w:rsidP="001A27C6">
            <w:pPr>
              <w:spacing w:after="0"/>
              <w:rPr>
                <w:b/>
                <w:sz w:val="20"/>
              </w:rPr>
            </w:pPr>
            <w:r w:rsidRPr="005D6582">
              <w:rPr>
                <w:b/>
                <w:sz w:val="20"/>
              </w:rPr>
              <w:t>Výroba papíru a výrobků z</w:t>
            </w:r>
            <w:r w:rsidR="00AE6015">
              <w:rPr>
                <w:b/>
                <w:sz w:val="20"/>
              </w:rPr>
              <w:t> </w:t>
            </w:r>
            <w:r w:rsidRPr="005D6582">
              <w:rPr>
                <w:b/>
                <w:sz w:val="20"/>
              </w:rPr>
              <w:t>papíru</w:t>
            </w:r>
          </w:p>
        </w:tc>
      </w:tr>
      <w:tr w:rsidR="001C1946" w:rsidRPr="005D6582" w14:paraId="1CBA406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19AC35A" w14:textId="77777777" w:rsidR="001C1946" w:rsidRPr="005D6582" w:rsidRDefault="001C1946" w:rsidP="001A27C6">
            <w:pPr>
              <w:spacing w:after="0"/>
              <w:rPr>
                <w:b/>
                <w:sz w:val="20"/>
              </w:rPr>
            </w:pPr>
            <w:r w:rsidRPr="005D6582">
              <w:rPr>
                <w:b/>
                <w:sz w:val="20"/>
              </w:rPr>
              <w:t>18</w:t>
            </w:r>
          </w:p>
        </w:tc>
        <w:tc>
          <w:tcPr>
            <w:tcW w:w="8795" w:type="dxa"/>
            <w:tcBorders>
              <w:top w:val="nil"/>
              <w:left w:val="nil"/>
              <w:bottom w:val="single" w:sz="4" w:space="0" w:color="auto"/>
              <w:right w:val="single" w:sz="8" w:space="0" w:color="auto"/>
            </w:tcBorders>
            <w:shd w:val="clear" w:color="auto" w:fill="auto"/>
            <w:hideMark/>
          </w:tcPr>
          <w:p w14:paraId="69452571" w14:textId="77777777" w:rsidR="001C1946" w:rsidRPr="005D6582" w:rsidRDefault="001C1946" w:rsidP="001A27C6">
            <w:pPr>
              <w:spacing w:after="0"/>
              <w:rPr>
                <w:b/>
                <w:sz w:val="20"/>
              </w:rPr>
            </w:pPr>
            <w:r w:rsidRPr="005D6582">
              <w:rPr>
                <w:b/>
                <w:sz w:val="20"/>
              </w:rPr>
              <w:t>Tisk a rozmnožování nahraných nosičů</w:t>
            </w:r>
          </w:p>
        </w:tc>
      </w:tr>
      <w:tr w:rsidR="001C1946" w:rsidRPr="005D6582" w14:paraId="68E5BEB1"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045C640" w14:textId="77777777" w:rsidR="001C1946" w:rsidRPr="005D6582" w:rsidRDefault="001C1946" w:rsidP="001A27C6">
            <w:pPr>
              <w:spacing w:after="0"/>
              <w:rPr>
                <w:b/>
                <w:sz w:val="20"/>
              </w:rPr>
            </w:pPr>
            <w:r w:rsidRPr="005D6582">
              <w:rPr>
                <w:b/>
                <w:sz w:val="20"/>
              </w:rPr>
              <w:t>20</w:t>
            </w:r>
          </w:p>
        </w:tc>
        <w:tc>
          <w:tcPr>
            <w:tcW w:w="8795" w:type="dxa"/>
            <w:tcBorders>
              <w:top w:val="nil"/>
              <w:left w:val="nil"/>
              <w:bottom w:val="single" w:sz="4" w:space="0" w:color="auto"/>
              <w:right w:val="single" w:sz="8" w:space="0" w:color="auto"/>
            </w:tcBorders>
            <w:shd w:val="clear" w:color="auto" w:fill="auto"/>
            <w:hideMark/>
          </w:tcPr>
          <w:p w14:paraId="7FD35160" w14:textId="77777777" w:rsidR="001C1946" w:rsidRPr="005D6582" w:rsidRDefault="001C1946" w:rsidP="001A27C6">
            <w:pPr>
              <w:spacing w:after="0"/>
              <w:rPr>
                <w:b/>
                <w:sz w:val="20"/>
              </w:rPr>
            </w:pPr>
            <w:r w:rsidRPr="005D6582">
              <w:rPr>
                <w:b/>
                <w:sz w:val="20"/>
              </w:rPr>
              <w:t xml:space="preserve">Výroba chemických látek a chemických přípravků (20.60 </w:t>
            </w:r>
            <w:r w:rsidRPr="005D6582">
              <w:rPr>
                <w:rFonts w:cs="Calibri"/>
                <w:b/>
                <w:bCs/>
                <w:sz w:val="20"/>
              </w:rPr>
              <w:t>výroba</w:t>
            </w:r>
            <w:r w:rsidRPr="005D6582">
              <w:rPr>
                <w:b/>
                <w:sz w:val="20"/>
              </w:rPr>
              <w:t xml:space="preserve"> syntetických vláken</w:t>
            </w:r>
            <w:r w:rsidRPr="005D6582">
              <w:rPr>
                <w:rFonts w:cs="Calibri"/>
                <w:b/>
                <w:bCs/>
                <w:sz w:val="20"/>
              </w:rPr>
              <w:t xml:space="preserve"> pouze v případě podpory de </w:t>
            </w:r>
            <w:proofErr w:type="spellStart"/>
            <w:r w:rsidRPr="005D6582">
              <w:rPr>
                <w:rFonts w:cs="Calibri"/>
                <w:b/>
                <w:bCs/>
                <w:sz w:val="20"/>
              </w:rPr>
              <w:t>minimis</w:t>
            </w:r>
            <w:proofErr w:type="spellEnd"/>
            <w:r w:rsidRPr="005D6582">
              <w:rPr>
                <w:rFonts w:cs="Calibri"/>
                <w:b/>
                <w:bCs/>
                <w:sz w:val="20"/>
              </w:rPr>
              <w:t>)</w:t>
            </w:r>
            <w:r w:rsidRPr="005D6582">
              <w:rPr>
                <w:sz w:val="20"/>
                <w:vertAlign w:val="superscript"/>
              </w:rPr>
              <w:t>1)</w:t>
            </w:r>
          </w:p>
        </w:tc>
      </w:tr>
      <w:tr w:rsidR="001C1946" w:rsidRPr="005D6582" w14:paraId="4ED3A6D7" w14:textId="77777777" w:rsidTr="001C1946">
        <w:trPr>
          <w:trHeight w:val="31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0D17F04" w14:textId="77777777" w:rsidR="001C1946" w:rsidRPr="005D6582" w:rsidRDefault="001C1946" w:rsidP="001A27C6">
            <w:pPr>
              <w:spacing w:after="0"/>
              <w:rPr>
                <w:b/>
                <w:sz w:val="20"/>
              </w:rPr>
            </w:pPr>
            <w:r w:rsidRPr="005D6582">
              <w:rPr>
                <w:b/>
                <w:sz w:val="20"/>
              </w:rPr>
              <w:t>21</w:t>
            </w:r>
          </w:p>
        </w:tc>
        <w:tc>
          <w:tcPr>
            <w:tcW w:w="8795" w:type="dxa"/>
            <w:tcBorders>
              <w:top w:val="nil"/>
              <w:left w:val="nil"/>
              <w:bottom w:val="single" w:sz="4" w:space="0" w:color="auto"/>
              <w:right w:val="single" w:sz="8" w:space="0" w:color="auto"/>
            </w:tcBorders>
            <w:shd w:val="clear" w:color="auto" w:fill="auto"/>
            <w:hideMark/>
          </w:tcPr>
          <w:p w14:paraId="100299D1" w14:textId="77777777" w:rsidR="001C1946" w:rsidRPr="005D6582" w:rsidRDefault="001C1946" w:rsidP="001A27C6">
            <w:pPr>
              <w:spacing w:after="0"/>
              <w:rPr>
                <w:b/>
                <w:sz w:val="20"/>
              </w:rPr>
            </w:pPr>
            <w:r w:rsidRPr="005D6582">
              <w:rPr>
                <w:b/>
                <w:sz w:val="20"/>
              </w:rPr>
              <w:t>Výroba základních farmaceutických výrobků a</w:t>
            </w:r>
            <w:r w:rsidRPr="005D6582">
              <w:rPr>
                <w:rFonts w:cs="Calibri"/>
                <w:b/>
                <w:bCs/>
                <w:sz w:val="20"/>
              </w:rPr>
              <w:t> </w:t>
            </w:r>
            <w:r w:rsidRPr="005D6582">
              <w:rPr>
                <w:b/>
                <w:sz w:val="20"/>
              </w:rPr>
              <w:t xml:space="preserve">farmaceutických </w:t>
            </w:r>
            <w:r w:rsidRPr="005D6582">
              <w:rPr>
                <w:rFonts w:cs="Calibri"/>
                <w:b/>
                <w:bCs/>
                <w:sz w:val="20"/>
              </w:rPr>
              <w:t>přípravků</w:t>
            </w:r>
            <w:r w:rsidRPr="005D6582">
              <w:rPr>
                <w:sz w:val="20"/>
                <w:vertAlign w:val="superscript"/>
              </w:rPr>
              <w:t>1)</w:t>
            </w:r>
          </w:p>
        </w:tc>
      </w:tr>
      <w:tr w:rsidR="001C1946" w:rsidRPr="005D6582" w14:paraId="6B50B945"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8B45DA0" w14:textId="77777777" w:rsidR="001C1946" w:rsidRPr="005D6582" w:rsidRDefault="001C1946" w:rsidP="001A27C6">
            <w:pPr>
              <w:spacing w:after="0"/>
              <w:rPr>
                <w:b/>
                <w:sz w:val="20"/>
              </w:rPr>
            </w:pPr>
            <w:r w:rsidRPr="005D6582">
              <w:rPr>
                <w:b/>
                <w:sz w:val="20"/>
              </w:rPr>
              <w:t>22</w:t>
            </w:r>
          </w:p>
        </w:tc>
        <w:tc>
          <w:tcPr>
            <w:tcW w:w="8795" w:type="dxa"/>
            <w:tcBorders>
              <w:top w:val="nil"/>
              <w:left w:val="nil"/>
              <w:bottom w:val="single" w:sz="4" w:space="0" w:color="auto"/>
              <w:right w:val="single" w:sz="8" w:space="0" w:color="auto"/>
            </w:tcBorders>
            <w:shd w:val="clear" w:color="auto" w:fill="auto"/>
            <w:hideMark/>
          </w:tcPr>
          <w:p w14:paraId="2A787C99" w14:textId="77777777" w:rsidR="001C1946" w:rsidRPr="005D6582" w:rsidRDefault="001C1946" w:rsidP="001A27C6">
            <w:pPr>
              <w:spacing w:after="0"/>
              <w:rPr>
                <w:b/>
                <w:sz w:val="20"/>
              </w:rPr>
            </w:pPr>
            <w:r w:rsidRPr="005D6582">
              <w:rPr>
                <w:b/>
                <w:sz w:val="20"/>
              </w:rPr>
              <w:t>Výroba pryžových a plastových výrobků</w:t>
            </w:r>
          </w:p>
        </w:tc>
      </w:tr>
      <w:tr w:rsidR="001C1946" w:rsidRPr="005D6582" w14:paraId="66EB45D0"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2E0750B" w14:textId="77777777" w:rsidR="001C1946" w:rsidRPr="005D6582" w:rsidRDefault="001C1946" w:rsidP="001A27C6">
            <w:pPr>
              <w:spacing w:after="0"/>
              <w:rPr>
                <w:b/>
                <w:sz w:val="20"/>
              </w:rPr>
            </w:pPr>
            <w:r w:rsidRPr="005D6582">
              <w:rPr>
                <w:b/>
                <w:sz w:val="20"/>
              </w:rPr>
              <w:t>23</w:t>
            </w:r>
          </w:p>
        </w:tc>
        <w:tc>
          <w:tcPr>
            <w:tcW w:w="8795" w:type="dxa"/>
            <w:tcBorders>
              <w:top w:val="nil"/>
              <w:left w:val="nil"/>
              <w:bottom w:val="single" w:sz="4" w:space="0" w:color="auto"/>
              <w:right w:val="single" w:sz="8" w:space="0" w:color="auto"/>
            </w:tcBorders>
            <w:shd w:val="clear" w:color="auto" w:fill="auto"/>
            <w:hideMark/>
          </w:tcPr>
          <w:p w14:paraId="47F6ECE7" w14:textId="77777777" w:rsidR="001C1946" w:rsidRPr="005D6582" w:rsidRDefault="001C1946" w:rsidP="001A27C6">
            <w:pPr>
              <w:spacing w:after="0"/>
              <w:rPr>
                <w:b/>
                <w:sz w:val="20"/>
              </w:rPr>
            </w:pPr>
            <w:r w:rsidRPr="005D6582">
              <w:rPr>
                <w:b/>
                <w:sz w:val="20"/>
              </w:rPr>
              <w:t>Výroba ostatních nekovových minerálních výrobků</w:t>
            </w:r>
          </w:p>
        </w:tc>
      </w:tr>
      <w:tr w:rsidR="001C1946" w:rsidRPr="005D6582" w14:paraId="74F24F67"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6AE22BFB" w14:textId="77777777" w:rsidR="001C1946" w:rsidRPr="005D6582" w:rsidRDefault="001C1946" w:rsidP="001A27C6">
            <w:pPr>
              <w:spacing w:after="0"/>
              <w:rPr>
                <w:b/>
                <w:sz w:val="20"/>
              </w:rPr>
            </w:pPr>
            <w:r w:rsidRPr="005D6582">
              <w:rPr>
                <w:b/>
                <w:sz w:val="20"/>
              </w:rPr>
              <w:t>24</w:t>
            </w:r>
          </w:p>
        </w:tc>
        <w:tc>
          <w:tcPr>
            <w:tcW w:w="8795" w:type="dxa"/>
            <w:tcBorders>
              <w:top w:val="nil"/>
              <w:left w:val="nil"/>
              <w:bottom w:val="single" w:sz="4" w:space="0" w:color="auto"/>
              <w:right w:val="single" w:sz="8" w:space="0" w:color="auto"/>
            </w:tcBorders>
            <w:shd w:val="clear" w:color="auto" w:fill="auto"/>
            <w:hideMark/>
          </w:tcPr>
          <w:p w14:paraId="01BE19D9" w14:textId="77777777" w:rsidR="001C1946" w:rsidRPr="005D6582" w:rsidRDefault="001C1946" w:rsidP="001A27C6">
            <w:pPr>
              <w:spacing w:after="0"/>
              <w:rPr>
                <w:b/>
                <w:sz w:val="20"/>
              </w:rPr>
            </w:pPr>
            <w:r w:rsidRPr="005D6582">
              <w:rPr>
                <w:b/>
                <w:sz w:val="20"/>
              </w:rPr>
              <w:t>Výroba základních kovů, hutní zpracování kovů; slévárenství (</w:t>
            </w:r>
            <w:r w:rsidRPr="005D6582">
              <w:rPr>
                <w:rFonts w:cs="Calibri"/>
                <w:b/>
                <w:bCs/>
                <w:sz w:val="20"/>
              </w:rPr>
              <w:t xml:space="preserve">v případě podpory dle Nařízení Komise 651/2014 </w:t>
            </w:r>
            <w:r w:rsidRPr="005D6582">
              <w:rPr>
                <w:b/>
                <w:sz w:val="20"/>
              </w:rPr>
              <w:t xml:space="preserve">pouze 24.50 </w:t>
            </w:r>
            <w:r w:rsidRPr="005D6582">
              <w:rPr>
                <w:rFonts w:cs="Calibri"/>
                <w:b/>
                <w:bCs/>
                <w:sz w:val="20"/>
              </w:rPr>
              <w:t>slévárenství</w:t>
            </w:r>
            <w:r w:rsidRPr="005D6582">
              <w:rPr>
                <w:b/>
                <w:sz w:val="20"/>
              </w:rPr>
              <w:t>)</w:t>
            </w:r>
          </w:p>
        </w:tc>
      </w:tr>
      <w:tr w:rsidR="001C1946" w:rsidRPr="005D6582" w14:paraId="373993FD" w14:textId="77777777" w:rsidTr="001C1946">
        <w:trPr>
          <w:trHeight w:val="214"/>
        </w:trPr>
        <w:tc>
          <w:tcPr>
            <w:tcW w:w="1258" w:type="dxa"/>
            <w:gridSpan w:val="2"/>
            <w:tcBorders>
              <w:top w:val="nil"/>
              <w:left w:val="single" w:sz="8" w:space="0" w:color="auto"/>
              <w:bottom w:val="single" w:sz="4" w:space="0" w:color="auto"/>
              <w:right w:val="single" w:sz="4" w:space="0" w:color="auto"/>
            </w:tcBorders>
            <w:shd w:val="clear" w:color="auto" w:fill="auto"/>
            <w:hideMark/>
          </w:tcPr>
          <w:p w14:paraId="0EDD1DC1" w14:textId="77777777" w:rsidR="001C1946" w:rsidRPr="005D6582" w:rsidRDefault="001C1946" w:rsidP="001A27C6">
            <w:pPr>
              <w:spacing w:after="0"/>
              <w:rPr>
                <w:b/>
                <w:sz w:val="20"/>
              </w:rPr>
            </w:pPr>
            <w:r w:rsidRPr="005D6582">
              <w:rPr>
                <w:b/>
                <w:sz w:val="20"/>
              </w:rPr>
              <w:t>25</w:t>
            </w:r>
          </w:p>
        </w:tc>
        <w:tc>
          <w:tcPr>
            <w:tcW w:w="8795" w:type="dxa"/>
            <w:tcBorders>
              <w:top w:val="nil"/>
              <w:left w:val="nil"/>
              <w:bottom w:val="single" w:sz="4" w:space="0" w:color="auto"/>
              <w:right w:val="single" w:sz="8" w:space="0" w:color="auto"/>
            </w:tcBorders>
            <w:shd w:val="clear" w:color="auto" w:fill="auto"/>
            <w:hideMark/>
          </w:tcPr>
          <w:p w14:paraId="53CB3EEB" w14:textId="77777777" w:rsidR="001C1946" w:rsidRPr="005D6582" w:rsidRDefault="001C1946" w:rsidP="001A27C6">
            <w:pPr>
              <w:spacing w:after="0"/>
              <w:rPr>
                <w:b/>
                <w:sz w:val="20"/>
              </w:rPr>
            </w:pPr>
            <w:r w:rsidRPr="005D6582">
              <w:rPr>
                <w:b/>
                <w:sz w:val="20"/>
              </w:rPr>
              <w:t>Výroba kovových konstrukcí a kovodělných výrobků, kromě strojů a</w:t>
            </w:r>
            <w:r w:rsidRPr="005D6582">
              <w:rPr>
                <w:rFonts w:cs="Calibri"/>
                <w:b/>
                <w:bCs/>
                <w:sz w:val="20"/>
              </w:rPr>
              <w:t> </w:t>
            </w:r>
            <w:r w:rsidRPr="005D6582">
              <w:rPr>
                <w:b/>
                <w:sz w:val="20"/>
              </w:rPr>
              <w:t>zařízení</w:t>
            </w:r>
          </w:p>
        </w:tc>
      </w:tr>
      <w:tr w:rsidR="001C1946" w:rsidRPr="005D6582" w14:paraId="041FE6F1"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6EF29DA" w14:textId="77777777" w:rsidR="001C1946" w:rsidRPr="005D6582" w:rsidRDefault="001C1946" w:rsidP="001A27C6">
            <w:pPr>
              <w:spacing w:after="0"/>
              <w:rPr>
                <w:b/>
                <w:sz w:val="20"/>
              </w:rPr>
            </w:pPr>
            <w:r w:rsidRPr="005D6582">
              <w:rPr>
                <w:b/>
                <w:sz w:val="20"/>
              </w:rPr>
              <w:t>26</w:t>
            </w:r>
          </w:p>
        </w:tc>
        <w:tc>
          <w:tcPr>
            <w:tcW w:w="8795" w:type="dxa"/>
            <w:tcBorders>
              <w:top w:val="nil"/>
              <w:left w:val="nil"/>
              <w:bottom w:val="single" w:sz="4" w:space="0" w:color="auto"/>
              <w:right w:val="single" w:sz="8" w:space="0" w:color="auto"/>
            </w:tcBorders>
            <w:shd w:val="clear" w:color="auto" w:fill="auto"/>
            <w:hideMark/>
          </w:tcPr>
          <w:p w14:paraId="10255AFA" w14:textId="77777777" w:rsidR="001C1946" w:rsidRPr="005D6582" w:rsidRDefault="001C1946" w:rsidP="001A27C6">
            <w:pPr>
              <w:spacing w:after="0"/>
              <w:rPr>
                <w:b/>
                <w:sz w:val="20"/>
              </w:rPr>
            </w:pPr>
            <w:r w:rsidRPr="005D6582">
              <w:rPr>
                <w:b/>
                <w:sz w:val="20"/>
              </w:rPr>
              <w:t>Výroba počítačů, elektronických a optických přístrojů a zařízení</w:t>
            </w:r>
          </w:p>
        </w:tc>
      </w:tr>
      <w:tr w:rsidR="001C1946" w:rsidRPr="005D6582" w14:paraId="45E065E1"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6EB4EEA" w14:textId="77777777" w:rsidR="001C1946" w:rsidRPr="005D6582" w:rsidRDefault="001C1946" w:rsidP="001A27C6">
            <w:pPr>
              <w:spacing w:after="0"/>
              <w:rPr>
                <w:b/>
                <w:sz w:val="20"/>
              </w:rPr>
            </w:pPr>
            <w:r w:rsidRPr="005D6582">
              <w:rPr>
                <w:b/>
                <w:sz w:val="20"/>
              </w:rPr>
              <w:t>27</w:t>
            </w:r>
          </w:p>
        </w:tc>
        <w:tc>
          <w:tcPr>
            <w:tcW w:w="8795" w:type="dxa"/>
            <w:tcBorders>
              <w:top w:val="nil"/>
              <w:left w:val="nil"/>
              <w:bottom w:val="single" w:sz="4" w:space="0" w:color="auto"/>
              <w:right w:val="single" w:sz="8" w:space="0" w:color="auto"/>
            </w:tcBorders>
            <w:shd w:val="clear" w:color="auto" w:fill="auto"/>
            <w:hideMark/>
          </w:tcPr>
          <w:p w14:paraId="1C3F5D06" w14:textId="77777777" w:rsidR="001C1946" w:rsidRPr="005D6582" w:rsidRDefault="001C1946" w:rsidP="001A27C6">
            <w:pPr>
              <w:spacing w:after="0"/>
              <w:rPr>
                <w:b/>
                <w:sz w:val="20"/>
              </w:rPr>
            </w:pPr>
            <w:r w:rsidRPr="005D6582">
              <w:rPr>
                <w:b/>
                <w:sz w:val="20"/>
              </w:rPr>
              <w:t>Výroba elektrických zařízení</w:t>
            </w:r>
          </w:p>
        </w:tc>
      </w:tr>
      <w:tr w:rsidR="001C1946" w:rsidRPr="005D6582" w14:paraId="3EEBE19A"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CB13324" w14:textId="77777777" w:rsidR="001C1946" w:rsidRPr="005D6582" w:rsidRDefault="001C1946" w:rsidP="001A27C6">
            <w:pPr>
              <w:spacing w:after="0"/>
              <w:rPr>
                <w:b/>
                <w:sz w:val="20"/>
              </w:rPr>
            </w:pPr>
            <w:r w:rsidRPr="005D6582">
              <w:rPr>
                <w:b/>
                <w:sz w:val="20"/>
              </w:rPr>
              <w:t>28</w:t>
            </w:r>
          </w:p>
        </w:tc>
        <w:tc>
          <w:tcPr>
            <w:tcW w:w="8795" w:type="dxa"/>
            <w:tcBorders>
              <w:top w:val="nil"/>
              <w:left w:val="nil"/>
              <w:bottom w:val="single" w:sz="4" w:space="0" w:color="auto"/>
              <w:right w:val="single" w:sz="8" w:space="0" w:color="auto"/>
            </w:tcBorders>
            <w:shd w:val="clear" w:color="auto" w:fill="auto"/>
            <w:hideMark/>
          </w:tcPr>
          <w:p w14:paraId="4503D414" w14:textId="77777777" w:rsidR="001C1946" w:rsidRPr="005D6582" w:rsidRDefault="001C1946" w:rsidP="001A27C6">
            <w:pPr>
              <w:spacing w:after="0"/>
              <w:rPr>
                <w:b/>
                <w:sz w:val="20"/>
              </w:rPr>
            </w:pPr>
            <w:r w:rsidRPr="005D6582">
              <w:rPr>
                <w:b/>
                <w:sz w:val="20"/>
              </w:rPr>
              <w:t>Výroba strojů a zařízení</w:t>
            </w:r>
            <w:r w:rsidRPr="005D6582">
              <w:rPr>
                <w:rFonts w:cs="Calibri"/>
                <w:b/>
                <w:bCs/>
                <w:sz w:val="20"/>
              </w:rPr>
              <w:t xml:space="preserve"> j. n.</w:t>
            </w:r>
          </w:p>
        </w:tc>
      </w:tr>
      <w:tr w:rsidR="001C1946" w:rsidRPr="005D6582" w14:paraId="1CA9715F"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7A3A9EB8" w14:textId="77777777" w:rsidR="001C1946" w:rsidRPr="005D6582" w:rsidRDefault="001C1946" w:rsidP="001A27C6">
            <w:pPr>
              <w:spacing w:after="0"/>
              <w:rPr>
                <w:b/>
                <w:sz w:val="20"/>
              </w:rPr>
            </w:pPr>
            <w:r w:rsidRPr="005D6582">
              <w:rPr>
                <w:b/>
                <w:sz w:val="20"/>
              </w:rPr>
              <w:t>29</w:t>
            </w:r>
          </w:p>
        </w:tc>
        <w:tc>
          <w:tcPr>
            <w:tcW w:w="8795" w:type="dxa"/>
            <w:tcBorders>
              <w:top w:val="nil"/>
              <w:left w:val="nil"/>
              <w:bottom w:val="single" w:sz="4" w:space="0" w:color="auto"/>
              <w:right w:val="single" w:sz="8" w:space="0" w:color="auto"/>
            </w:tcBorders>
            <w:shd w:val="clear" w:color="auto" w:fill="auto"/>
            <w:hideMark/>
          </w:tcPr>
          <w:p w14:paraId="35E7E784" w14:textId="77777777" w:rsidR="001C1946" w:rsidRPr="005D6582" w:rsidRDefault="001C1946" w:rsidP="001A27C6">
            <w:pPr>
              <w:spacing w:after="0"/>
              <w:rPr>
                <w:b/>
                <w:sz w:val="20"/>
              </w:rPr>
            </w:pPr>
            <w:r w:rsidRPr="005D6582">
              <w:rPr>
                <w:b/>
                <w:sz w:val="20"/>
              </w:rPr>
              <w:t>Výroba motorových vozidel (kromě motocyklů), přívěsů a návěsů</w:t>
            </w:r>
          </w:p>
        </w:tc>
      </w:tr>
      <w:tr w:rsidR="001C1946" w:rsidRPr="005D6582" w14:paraId="33B1E95B"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B6F08C1" w14:textId="77777777" w:rsidR="001C1946" w:rsidRPr="005D6582" w:rsidRDefault="001C1946" w:rsidP="001A27C6">
            <w:pPr>
              <w:spacing w:after="0"/>
              <w:rPr>
                <w:b/>
                <w:sz w:val="20"/>
              </w:rPr>
            </w:pPr>
            <w:r w:rsidRPr="005D6582">
              <w:rPr>
                <w:b/>
                <w:sz w:val="20"/>
              </w:rPr>
              <w:t>30</w:t>
            </w:r>
          </w:p>
        </w:tc>
        <w:tc>
          <w:tcPr>
            <w:tcW w:w="8795" w:type="dxa"/>
            <w:tcBorders>
              <w:top w:val="nil"/>
              <w:left w:val="nil"/>
              <w:bottom w:val="single" w:sz="4" w:space="0" w:color="auto"/>
              <w:right w:val="single" w:sz="8" w:space="0" w:color="auto"/>
            </w:tcBorders>
            <w:shd w:val="clear" w:color="auto" w:fill="auto"/>
            <w:hideMark/>
          </w:tcPr>
          <w:p w14:paraId="5DAF9347" w14:textId="77777777" w:rsidR="001C1946" w:rsidRPr="005D6582" w:rsidRDefault="001C1946" w:rsidP="001A27C6">
            <w:pPr>
              <w:spacing w:after="0"/>
              <w:rPr>
                <w:b/>
                <w:sz w:val="20"/>
              </w:rPr>
            </w:pPr>
            <w:r w:rsidRPr="005D6582">
              <w:rPr>
                <w:b/>
                <w:sz w:val="20"/>
              </w:rPr>
              <w:t xml:space="preserve">Výroba ostatních dopravních prostředků a zařízení </w:t>
            </w:r>
            <w:r w:rsidRPr="005D6582">
              <w:rPr>
                <w:rFonts w:cs="Calibri"/>
                <w:b/>
                <w:bCs/>
                <w:sz w:val="20"/>
              </w:rPr>
              <w:t>(</w:t>
            </w:r>
            <w:r w:rsidRPr="005D6582">
              <w:rPr>
                <w:b/>
                <w:sz w:val="20"/>
              </w:rPr>
              <w:t xml:space="preserve">30.11 </w:t>
            </w:r>
            <w:r w:rsidRPr="005D6582">
              <w:rPr>
                <w:rFonts w:cs="Calibri"/>
                <w:b/>
                <w:bCs/>
                <w:sz w:val="20"/>
              </w:rPr>
              <w:t>stavba</w:t>
            </w:r>
            <w:r w:rsidRPr="005D6582">
              <w:rPr>
                <w:b/>
                <w:sz w:val="20"/>
              </w:rPr>
              <w:t xml:space="preserve"> lodí a plavidel</w:t>
            </w:r>
            <w:r w:rsidRPr="005D6582">
              <w:rPr>
                <w:rFonts w:cs="Calibri"/>
                <w:b/>
                <w:bCs/>
                <w:sz w:val="20"/>
              </w:rPr>
              <w:t xml:space="preserve"> pouze v případě podpory de </w:t>
            </w:r>
            <w:proofErr w:type="spellStart"/>
            <w:r w:rsidRPr="005D6582">
              <w:rPr>
                <w:rFonts w:cs="Calibri"/>
                <w:b/>
                <w:bCs/>
                <w:sz w:val="20"/>
              </w:rPr>
              <w:t>minimis</w:t>
            </w:r>
            <w:proofErr w:type="spellEnd"/>
            <w:r w:rsidRPr="005D6582">
              <w:rPr>
                <w:rFonts w:cs="Calibri"/>
                <w:b/>
                <w:bCs/>
                <w:sz w:val="20"/>
              </w:rPr>
              <w:t>)</w:t>
            </w:r>
          </w:p>
        </w:tc>
      </w:tr>
      <w:tr w:rsidR="001C1946" w:rsidRPr="005D6582" w14:paraId="2C92FF8A"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B520460" w14:textId="77777777" w:rsidR="001C1946" w:rsidRPr="005D6582" w:rsidRDefault="001C1946" w:rsidP="001A27C6">
            <w:pPr>
              <w:spacing w:after="0"/>
              <w:rPr>
                <w:b/>
                <w:sz w:val="20"/>
              </w:rPr>
            </w:pPr>
            <w:r w:rsidRPr="005D6582">
              <w:rPr>
                <w:b/>
                <w:sz w:val="20"/>
              </w:rPr>
              <w:t>31</w:t>
            </w:r>
          </w:p>
        </w:tc>
        <w:tc>
          <w:tcPr>
            <w:tcW w:w="8795" w:type="dxa"/>
            <w:tcBorders>
              <w:top w:val="nil"/>
              <w:left w:val="nil"/>
              <w:bottom w:val="single" w:sz="4" w:space="0" w:color="auto"/>
              <w:right w:val="single" w:sz="8" w:space="0" w:color="auto"/>
            </w:tcBorders>
            <w:shd w:val="clear" w:color="auto" w:fill="auto"/>
            <w:hideMark/>
          </w:tcPr>
          <w:p w14:paraId="247EB92F" w14:textId="77777777" w:rsidR="001C1946" w:rsidRPr="005D6582" w:rsidRDefault="001C1946" w:rsidP="001A27C6">
            <w:pPr>
              <w:spacing w:after="0"/>
              <w:rPr>
                <w:b/>
                <w:sz w:val="20"/>
              </w:rPr>
            </w:pPr>
            <w:r w:rsidRPr="005D6582">
              <w:rPr>
                <w:b/>
                <w:sz w:val="20"/>
              </w:rPr>
              <w:t>Výroba nábytku</w:t>
            </w:r>
          </w:p>
        </w:tc>
      </w:tr>
      <w:tr w:rsidR="001C1946" w:rsidRPr="005D6582" w14:paraId="6C3B45CB"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E622534" w14:textId="77777777" w:rsidR="001C1946" w:rsidRPr="005D6582" w:rsidRDefault="001C1946" w:rsidP="001A27C6">
            <w:pPr>
              <w:spacing w:after="0"/>
              <w:rPr>
                <w:b/>
                <w:sz w:val="20"/>
              </w:rPr>
            </w:pPr>
            <w:r w:rsidRPr="005D6582">
              <w:rPr>
                <w:b/>
                <w:sz w:val="20"/>
              </w:rPr>
              <w:t>32</w:t>
            </w:r>
          </w:p>
        </w:tc>
        <w:tc>
          <w:tcPr>
            <w:tcW w:w="8795" w:type="dxa"/>
            <w:tcBorders>
              <w:top w:val="nil"/>
              <w:left w:val="nil"/>
              <w:bottom w:val="single" w:sz="4" w:space="0" w:color="auto"/>
              <w:right w:val="single" w:sz="8" w:space="0" w:color="auto"/>
            </w:tcBorders>
            <w:shd w:val="clear" w:color="auto" w:fill="auto"/>
            <w:hideMark/>
          </w:tcPr>
          <w:p w14:paraId="363A0E16" w14:textId="77777777" w:rsidR="001C1946" w:rsidRPr="005D6582" w:rsidRDefault="001C1946" w:rsidP="001A27C6">
            <w:pPr>
              <w:spacing w:after="0"/>
              <w:rPr>
                <w:b/>
                <w:sz w:val="20"/>
              </w:rPr>
            </w:pPr>
            <w:r w:rsidRPr="005D6582">
              <w:rPr>
                <w:b/>
                <w:sz w:val="20"/>
              </w:rPr>
              <w:t>Ostatní zpracovatelský průmysl</w:t>
            </w:r>
          </w:p>
        </w:tc>
      </w:tr>
      <w:tr w:rsidR="001C1946" w:rsidRPr="005D6582" w14:paraId="3D4B599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8F17ADA" w14:textId="77777777" w:rsidR="001C1946" w:rsidRPr="005D6582" w:rsidRDefault="001C1946" w:rsidP="001A27C6">
            <w:pPr>
              <w:spacing w:after="0"/>
              <w:rPr>
                <w:b/>
                <w:sz w:val="20"/>
              </w:rPr>
            </w:pPr>
            <w:r w:rsidRPr="005D6582">
              <w:rPr>
                <w:b/>
                <w:sz w:val="20"/>
              </w:rPr>
              <w:t>33</w:t>
            </w:r>
          </w:p>
        </w:tc>
        <w:tc>
          <w:tcPr>
            <w:tcW w:w="8795" w:type="dxa"/>
            <w:tcBorders>
              <w:top w:val="nil"/>
              <w:left w:val="nil"/>
              <w:bottom w:val="single" w:sz="4" w:space="0" w:color="auto"/>
              <w:right w:val="single" w:sz="8" w:space="0" w:color="auto"/>
            </w:tcBorders>
            <w:shd w:val="clear" w:color="auto" w:fill="auto"/>
            <w:hideMark/>
          </w:tcPr>
          <w:p w14:paraId="2302CBA6" w14:textId="77777777" w:rsidR="001C1946" w:rsidRPr="005D6582" w:rsidRDefault="001C1946" w:rsidP="001A27C6">
            <w:pPr>
              <w:spacing w:after="0"/>
              <w:rPr>
                <w:b/>
                <w:sz w:val="20"/>
              </w:rPr>
            </w:pPr>
            <w:r w:rsidRPr="005D6582">
              <w:rPr>
                <w:b/>
                <w:sz w:val="20"/>
              </w:rPr>
              <w:t>Opravy a instalace strojů a zařízení</w:t>
            </w:r>
          </w:p>
        </w:tc>
      </w:tr>
      <w:tr w:rsidR="001C1946" w:rsidRPr="005D6582" w14:paraId="7055D7F4"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tcPr>
          <w:p w14:paraId="0EB92890" w14:textId="77777777" w:rsidR="001C1946" w:rsidRPr="005D6582" w:rsidRDefault="001C1946" w:rsidP="00075B25">
            <w:pPr>
              <w:spacing w:after="0"/>
              <w:rPr>
                <w:rFonts w:cs="Calibri"/>
              </w:rPr>
            </w:pPr>
          </w:p>
        </w:tc>
      </w:tr>
      <w:tr w:rsidR="001C1946" w:rsidRPr="005D6582" w14:paraId="514DEAA2"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84A9BF6" w14:textId="77777777" w:rsidR="001C1946" w:rsidRPr="005D6582" w:rsidRDefault="001C1946" w:rsidP="00075B25">
            <w:pPr>
              <w:spacing w:after="0"/>
              <w:rPr>
                <w:rFonts w:cs="Calibri"/>
                <w:b/>
                <w:bCs/>
                <w:color w:val="4472C4"/>
                <w:sz w:val="20"/>
              </w:rPr>
            </w:pPr>
            <w:r w:rsidRPr="005D6582">
              <w:rPr>
                <w:rFonts w:cs="Calibri"/>
              </w:rPr>
              <w:br w:type="page"/>
            </w:r>
            <w:r w:rsidRPr="005D6582">
              <w:rPr>
                <w:rFonts w:cs="Calibri"/>
                <w:b/>
                <w:bCs/>
                <w:color w:val="4472C4"/>
                <w:sz w:val="20"/>
              </w:rPr>
              <w:t>SEKCE D – VÝROBA A ROZVOD ELEKTŘINY, PLYNU, TEPLA A KLIMATIZOVANÉHO VZDUCHU</w:t>
            </w:r>
          </w:p>
        </w:tc>
      </w:tr>
      <w:tr w:rsidR="001C1946" w:rsidRPr="005D6582" w14:paraId="3D887805"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52F2085" w14:textId="77777777" w:rsidR="001C1946" w:rsidRPr="005D6582" w:rsidRDefault="001C1946" w:rsidP="00075B25">
            <w:pPr>
              <w:spacing w:after="0"/>
              <w:rPr>
                <w:rFonts w:cs="Calibri"/>
                <w:b/>
                <w:bCs/>
                <w:sz w:val="20"/>
              </w:rPr>
            </w:pPr>
            <w:r w:rsidRPr="005D6582">
              <w:rPr>
                <w:rFonts w:cs="Calibri"/>
                <w:b/>
                <w:bCs/>
                <w:sz w:val="20"/>
              </w:rPr>
              <w:t>35</w:t>
            </w:r>
          </w:p>
        </w:tc>
        <w:tc>
          <w:tcPr>
            <w:tcW w:w="8795" w:type="dxa"/>
            <w:tcBorders>
              <w:top w:val="nil"/>
              <w:left w:val="nil"/>
              <w:bottom w:val="single" w:sz="4" w:space="0" w:color="auto"/>
              <w:right w:val="single" w:sz="8" w:space="0" w:color="auto"/>
            </w:tcBorders>
            <w:shd w:val="clear" w:color="auto" w:fill="auto"/>
            <w:hideMark/>
          </w:tcPr>
          <w:p w14:paraId="6BFF55B9" w14:textId="77777777" w:rsidR="001C1946" w:rsidRPr="005D6582" w:rsidRDefault="001C1946" w:rsidP="00075B25">
            <w:pPr>
              <w:spacing w:after="0"/>
              <w:rPr>
                <w:rFonts w:cs="Calibri"/>
                <w:b/>
                <w:bCs/>
                <w:sz w:val="20"/>
                <w:vertAlign w:val="superscript"/>
              </w:rPr>
            </w:pPr>
            <w:r w:rsidRPr="005D6582">
              <w:rPr>
                <w:rFonts w:cs="Calibri"/>
                <w:b/>
                <w:bCs/>
                <w:sz w:val="20"/>
              </w:rPr>
              <w:t xml:space="preserve">Výroba a rozvod elektřiny, plynu, tepla a klimatizovaného vzduchu (pouze v případě podpory de </w:t>
            </w:r>
            <w:proofErr w:type="spellStart"/>
            <w:r w:rsidRPr="005D6582">
              <w:rPr>
                <w:rFonts w:cs="Calibri"/>
                <w:b/>
                <w:bCs/>
                <w:sz w:val="20"/>
              </w:rPr>
              <w:t>minimis</w:t>
            </w:r>
            <w:proofErr w:type="spellEnd"/>
            <w:r w:rsidRPr="005D6582">
              <w:rPr>
                <w:rFonts w:cs="Calibri"/>
                <w:b/>
                <w:bCs/>
                <w:sz w:val="20"/>
              </w:rPr>
              <w:t>)</w:t>
            </w:r>
          </w:p>
        </w:tc>
      </w:tr>
      <w:tr w:rsidR="001C1946" w:rsidRPr="005D6582" w14:paraId="09317A96" w14:textId="77777777" w:rsidTr="001C1946">
        <w:trPr>
          <w:trHeight w:val="255"/>
        </w:trPr>
        <w:tc>
          <w:tcPr>
            <w:tcW w:w="1258" w:type="dxa"/>
            <w:gridSpan w:val="2"/>
            <w:tcBorders>
              <w:top w:val="nil"/>
              <w:left w:val="single" w:sz="8" w:space="0" w:color="auto"/>
              <w:bottom w:val="nil"/>
              <w:right w:val="single" w:sz="4" w:space="0" w:color="auto"/>
            </w:tcBorders>
            <w:shd w:val="clear" w:color="auto" w:fill="auto"/>
            <w:noWrap/>
            <w:vAlign w:val="bottom"/>
            <w:hideMark/>
          </w:tcPr>
          <w:p w14:paraId="37711B2E" w14:textId="77777777" w:rsidR="001C1946" w:rsidRPr="005D6582" w:rsidRDefault="001C1946" w:rsidP="00075B25">
            <w:pPr>
              <w:spacing w:after="0"/>
              <w:rPr>
                <w:rFonts w:cs="Calibri"/>
                <w:sz w:val="20"/>
              </w:rPr>
            </w:pPr>
            <w:r w:rsidRPr="005D6582">
              <w:rPr>
                <w:rFonts w:cs="Calibri"/>
                <w:sz w:val="20"/>
              </w:rPr>
              <w:t> </w:t>
            </w:r>
          </w:p>
        </w:tc>
        <w:tc>
          <w:tcPr>
            <w:tcW w:w="8795" w:type="dxa"/>
            <w:tcBorders>
              <w:top w:val="nil"/>
              <w:left w:val="nil"/>
              <w:bottom w:val="nil"/>
              <w:right w:val="single" w:sz="8" w:space="0" w:color="auto"/>
            </w:tcBorders>
            <w:shd w:val="clear" w:color="auto" w:fill="auto"/>
            <w:hideMark/>
          </w:tcPr>
          <w:p w14:paraId="092C7281" w14:textId="77777777" w:rsidR="001C1946" w:rsidRPr="005D6582" w:rsidRDefault="001C1946" w:rsidP="00075B25">
            <w:pPr>
              <w:spacing w:after="0"/>
              <w:rPr>
                <w:rFonts w:cs="Calibri"/>
                <w:b/>
                <w:bCs/>
                <w:sz w:val="20"/>
              </w:rPr>
            </w:pPr>
            <w:r w:rsidRPr="005D6582">
              <w:rPr>
                <w:rFonts w:cs="Calibri"/>
                <w:b/>
                <w:bCs/>
                <w:sz w:val="20"/>
              </w:rPr>
              <w:t> </w:t>
            </w:r>
          </w:p>
        </w:tc>
      </w:tr>
      <w:tr w:rsidR="001C1946" w:rsidRPr="005D6582" w14:paraId="733C0E27"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4A38770D" w14:textId="77777777" w:rsidR="001C1946" w:rsidRPr="005D6582" w:rsidRDefault="001C1946" w:rsidP="00075B25">
            <w:pPr>
              <w:spacing w:after="0"/>
              <w:rPr>
                <w:rFonts w:cs="Calibri"/>
                <w:b/>
                <w:bCs/>
                <w:color w:val="4472C4"/>
                <w:sz w:val="20"/>
              </w:rPr>
            </w:pPr>
            <w:r w:rsidRPr="005D6582">
              <w:rPr>
                <w:rFonts w:cs="Calibri"/>
              </w:rPr>
              <w:br w:type="page"/>
            </w:r>
            <w:r w:rsidRPr="005D6582">
              <w:rPr>
                <w:rFonts w:cs="Calibri"/>
                <w:b/>
                <w:bCs/>
                <w:color w:val="4472C4"/>
                <w:sz w:val="20"/>
              </w:rPr>
              <w:t>SEKCE E – ZÁSOBOVÁNÍ VODOU; ČINNOSTI SOUVISEJÍCÍ S ODPADNÍMI VODAMI, ODPADY A SANACEMI</w:t>
            </w:r>
          </w:p>
        </w:tc>
      </w:tr>
      <w:tr w:rsidR="001C1946" w:rsidRPr="005D6582" w14:paraId="1A333300"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61F7E59A" w14:textId="77777777" w:rsidR="001C1946" w:rsidRPr="005D6582" w:rsidRDefault="001C1946" w:rsidP="00075B25">
            <w:pPr>
              <w:spacing w:after="0"/>
              <w:rPr>
                <w:rFonts w:cs="Calibri"/>
                <w:b/>
                <w:bCs/>
                <w:sz w:val="20"/>
              </w:rPr>
            </w:pPr>
            <w:r w:rsidRPr="005D6582">
              <w:rPr>
                <w:rFonts w:cs="Calibri"/>
                <w:b/>
                <w:bCs/>
                <w:sz w:val="20"/>
              </w:rPr>
              <w:t>36</w:t>
            </w:r>
          </w:p>
        </w:tc>
        <w:tc>
          <w:tcPr>
            <w:tcW w:w="8795" w:type="dxa"/>
            <w:tcBorders>
              <w:top w:val="nil"/>
              <w:left w:val="nil"/>
              <w:bottom w:val="single" w:sz="4" w:space="0" w:color="auto"/>
              <w:right w:val="single" w:sz="8" w:space="0" w:color="auto"/>
            </w:tcBorders>
            <w:shd w:val="clear" w:color="auto" w:fill="auto"/>
            <w:hideMark/>
          </w:tcPr>
          <w:p w14:paraId="7E303376" w14:textId="77777777" w:rsidR="001C1946" w:rsidRPr="005D6582" w:rsidRDefault="001C1946" w:rsidP="00075B25">
            <w:pPr>
              <w:spacing w:after="0"/>
              <w:rPr>
                <w:rFonts w:cs="Calibri"/>
                <w:b/>
                <w:bCs/>
                <w:sz w:val="20"/>
              </w:rPr>
            </w:pPr>
            <w:r w:rsidRPr="005D6582">
              <w:rPr>
                <w:rFonts w:cs="Calibri"/>
                <w:b/>
                <w:bCs/>
                <w:sz w:val="20"/>
              </w:rPr>
              <w:t xml:space="preserve">Shromažďování, úprava a rozvod vody </w:t>
            </w:r>
          </w:p>
        </w:tc>
      </w:tr>
      <w:tr w:rsidR="001C1946" w:rsidRPr="005D6582" w14:paraId="1995556C"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93847AA" w14:textId="77777777" w:rsidR="001C1946" w:rsidRPr="005D6582" w:rsidRDefault="001C1946" w:rsidP="001A27C6">
            <w:pPr>
              <w:spacing w:after="0"/>
              <w:rPr>
                <w:b/>
                <w:sz w:val="20"/>
              </w:rPr>
            </w:pPr>
            <w:r w:rsidRPr="005D6582">
              <w:rPr>
                <w:rFonts w:cs="Calibri"/>
                <w:b/>
                <w:bCs/>
                <w:sz w:val="20"/>
              </w:rPr>
              <w:t>37</w:t>
            </w:r>
          </w:p>
        </w:tc>
        <w:tc>
          <w:tcPr>
            <w:tcW w:w="8795" w:type="dxa"/>
            <w:tcBorders>
              <w:top w:val="nil"/>
              <w:left w:val="nil"/>
              <w:bottom w:val="single" w:sz="4" w:space="0" w:color="auto"/>
              <w:right w:val="single" w:sz="8" w:space="0" w:color="auto"/>
            </w:tcBorders>
            <w:shd w:val="clear" w:color="auto" w:fill="auto"/>
            <w:hideMark/>
          </w:tcPr>
          <w:p w14:paraId="3F22153B" w14:textId="77777777" w:rsidR="001C1946" w:rsidRPr="005D6582" w:rsidRDefault="001C1946" w:rsidP="001A27C6">
            <w:pPr>
              <w:spacing w:after="0"/>
              <w:rPr>
                <w:b/>
                <w:sz w:val="20"/>
              </w:rPr>
            </w:pPr>
            <w:r w:rsidRPr="005D6582">
              <w:rPr>
                <w:rFonts w:cs="Calibri"/>
                <w:b/>
                <w:bCs/>
                <w:sz w:val="20"/>
              </w:rPr>
              <w:t>Činnosti</w:t>
            </w:r>
            <w:r w:rsidRPr="005D6582">
              <w:rPr>
                <w:b/>
                <w:sz w:val="20"/>
              </w:rPr>
              <w:t xml:space="preserve"> související s odpadními vodami</w:t>
            </w:r>
          </w:p>
        </w:tc>
      </w:tr>
      <w:tr w:rsidR="001C1946" w:rsidRPr="005D6582" w14:paraId="2095AF7C" w14:textId="77777777" w:rsidTr="001C1946">
        <w:trPr>
          <w:trHeight w:val="510"/>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0FAD3AC" w14:textId="77777777" w:rsidR="001C1946" w:rsidRPr="005D6582" w:rsidRDefault="001C1946" w:rsidP="001A27C6">
            <w:pPr>
              <w:spacing w:after="0"/>
              <w:rPr>
                <w:b/>
                <w:sz w:val="20"/>
              </w:rPr>
            </w:pPr>
            <w:r w:rsidRPr="005D6582">
              <w:rPr>
                <w:b/>
                <w:sz w:val="20"/>
              </w:rPr>
              <w:t>38</w:t>
            </w:r>
          </w:p>
        </w:tc>
        <w:tc>
          <w:tcPr>
            <w:tcW w:w="8795" w:type="dxa"/>
            <w:tcBorders>
              <w:top w:val="nil"/>
              <w:left w:val="nil"/>
              <w:bottom w:val="single" w:sz="4" w:space="0" w:color="auto"/>
              <w:right w:val="single" w:sz="8" w:space="0" w:color="auto"/>
            </w:tcBorders>
            <w:shd w:val="clear" w:color="auto" w:fill="auto"/>
            <w:hideMark/>
          </w:tcPr>
          <w:p w14:paraId="0197333F" w14:textId="77777777" w:rsidR="001C1946" w:rsidRPr="005D6582" w:rsidRDefault="001C1946" w:rsidP="001A27C6">
            <w:pPr>
              <w:spacing w:after="0"/>
              <w:rPr>
                <w:b/>
                <w:sz w:val="20"/>
              </w:rPr>
            </w:pPr>
            <w:r w:rsidRPr="005D6582">
              <w:rPr>
                <w:b/>
                <w:sz w:val="20"/>
              </w:rPr>
              <w:t>Shromažďování, sběr a odstraňování odpadů</w:t>
            </w:r>
            <w:r w:rsidRPr="005D6582">
              <w:rPr>
                <w:rFonts w:cs="Calibri"/>
                <w:b/>
                <w:bCs/>
                <w:sz w:val="20"/>
              </w:rPr>
              <w:t>,</w:t>
            </w:r>
            <w:r w:rsidRPr="005D6582">
              <w:rPr>
                <w:b/>
                <w:sz w:val="20"/>
              </w:rPr>
              <w:t xml:space="preserve"> úprava odpadů k</w:t>
            </w:r>
            <w:r w:rsidRPr="005D6582">
              <w:rPr>
                <w:rFonts w:cs="Calibri"/>
                <w:b/>
                <w:bCs/>
                <w:sz w:val="20"/>
              </w:rPr>
              <w:t xml:space="preserve"> </w:t>
            </w:r>
            <w:r w:rsidRPr="005D6582">
              <w:rPr>
                <w:b/>
                <w:sz w:val="20"/>
              </w:rPr>
              <w:t>dalšímu využití</w:t>
            </w:r>
            <w:r w:rsidRPr="005D6582">
              <w:rPr>
                <w:rFonts w:cs="Calibri"/>
                <w:b/>
                <w:bCs/>
                <w:sz w:val="20"/>
              </w:rPr>
              <w:t xml:space="preserve"> (kromě zpracování zbytkových látek z tabáku v rámci 38.32)</w:t>
            </w:r>
          </w:p>
        </w:tc>
      </w:tr>
      <w:tr w:rsidR="001C1946" w:rsidRPr="005D6582" w14:paraId="37BFB3B8" w14:textId="77777777" w:rsidTr="00052838">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979F959" w14:textId="77777777" w:rsidR="001C1946" w:rsidRPr="005D6582" w:rsidRDefault="001C1946" w:rsidP="00075B25">
            <w:pPr>
              <w:spacing w:after="0"/>
              <w:rPr>
                <w:b/>
                <w:sz w:val="20"/>
              </w:rPr>
            </w:pPr>
            <w:r w:rsidRPr="005D6582">
              <w:rPr>
                <w:rFonts w:cs="Calibri"/>
                <w:b/>
                <w:bCs/>
                <w:sz w:val="20"/>
              </w:rPr>
              <w:t>39</w:t>
            </w:r>
          </w:p>
        </w:tc>
        <w:tc>
          <w:tcPr>
            <w:tcW w:w="8795" w:type="dxa"/>
            <w:tcBorders>
              <w:top w:val="nil"/>
              <w:left w:val="nil"/>
              <w:bottom w:val="single" w:sz="4" w:space="0" w:color="auto"/>
              <w:right w:val="single" w:sz="8" w:space="0" w:color="auto"/>
            </w:tcBorders>
            <w:shd w:val="clear" w:color="auto" w:fill="auto"/>
            <w:hideMark/>
          </w:tcPr>
          <w:p w14:paraId="475F8D62" w14:textId="77777777" w:rsidR="001C1946" w:rsidRPr="005D6582" w:rsidRDefault="001C1946" w:rsidP="00075B25">
            <w:pPr>
              <w:spacing w:after="0"/>
              <w:rPr>
                <w:b/>
                <w:sz w:val="20"/>
              </w:rPr>
            </w:pPr>
            <w:r w:rsidRPr="005D6582">
              <w:rPr>
                <w:rFonts w:cs="Calibri"/>
                <w:b/>
                <w:bCs/>
                <w:sz w:val="20"/>
              </w:rPr>
              <w:t>Sanace a jiné činnosti související s</w:t>
            </w:r>
            <w:r w:rsidR="009D6FE6" w:rsidRPr="005D6582">
              <w:rPr>
                <w:rFonts w:cs="Calibri"/>
                <w:b/>
                <w:bCs/>
                <w:sz w:val="20"/>
              </w:rPr>
              <w:t> </w:t>
            </w:r>
            <w:r w:rsidRPr="005D6582">
              <w:rPr>
                <w:rFonts w:cs="Calibri"/>
                <w:b/>
                <w:bCs/>
                <w:sz w:val="20"/>
              </w:rPr>
              <w:t>odpady</w:t>
            </w:r>
          </w:p>
        </w:tc>
      </w:tr>
      <w:tr w:rsidR="001C1946" w:rsidRPr="005D6582" w14:paraId="3B06F4E9" w14:textId="77777777" w:rsidTr="00052838">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E642C" w14:textId="77777777" w:rsidR="001C1946" w:rsidRPr="005D6582" w:rsidRDefault="001C1946" w:rsidP="00075B25">
            <w:pPr>
              <w:spacing w:after="0"/>
              <w:rPr>
                <w:rFonts w:cs="Calibri"/>
                <w:sz w:val="20"/>
              </w:rPr>
            </w:pPr>
            <w:r w:rsidRPr="005D6582">
              <w:rPr>
                <w:rFonts w:cs="Calibri"/>
                <w:sz w:val="20"/>
              </w:rPr>
              <w:lastRenderedPageBreak/>
              <w:t> </w:t>
            </w:r>
          </w:p>
        </w:tc>
        <w:tc>
          <w:tcPr>
            <w:tcW w:w="8795" w:type="dxa"/>
            <w:tcBorders>
              <w:top w:val="single" w:sz="4" w:space="0" w:color="auto"/>
              <w:left w:val="single" w:sz="4" w:space="0" w:color="auto"/>
              <w:bottom w:val="single" w:sz="4" w:space="0" w:color="auto"/>
              <w:right w:val="single" w:sz="4" w:space="0" w:color="auto"/>
            </w:tcBorders>
            <w:shd w:val="clear" w:color="auto" w:fill="auto"/>
            <w:hideMark/>
          </w:tcPr>
          <w:p w14:paraId="5035CD04" w14:textId="77777777" w:rsidR="001C1946" w:rsidRPr="005D6582" w:rsidRDefault="001C1946" w:rsidP="00075B25">
            <w:pPr>
              <w:spacing w:after="0"/>
              <w:rPr>
                <w:rFonts w:cs="Calibri"/>
                <w:b/>
                <w:bCs/>
                <w:sz w:val="20"/>
              </w:rPr>
            </w:pPr>
            <w:r w:rsidRPr="005D6582">
              <w:rPr>
                <w:rFonts w:cs="Calibri"/>
                <w:b/>
                <w:bCs/>
                <w:sz w:val="20"/>
              </w:rPr>
              <w:t> </w:t>
            </w:r>
          </w:p>
        </w:tc>
      </w:tr>
      <w:tr w:rsidR="00D1370B" w:rsidRPr="005D6582" w14:paraId="174E0431" w14:textId="77777777" w:rsidTr="0036005B">
        <w:trPr>
          <w:trHeight w:val="255"/>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tcPr>
          <w:p w14:paraId="14EE5C0C" w14:textId="77777777" w:rsidR="00D1370B" w:rsidRPr="005D6582" w:rsidRDefault="00D1370B" w:rsidP="00D1370B">
            <w:pPr>
              <w:spacing w:after="0"/>
              <w:rPr>
                <w:rFonts w:cs="Calibri"/>
                <w:b/>
                <w:bCs/>
                <w:color w:val="4472C4"/>
                <w:sz w:val="20"/>
              </w:rPr>
            </w:pPr>
            <w:r w:rsidRPr="005D6582">
              <w:rPr>
                <w:rFonts w:cs="Calibri"/>
                <w:b/>
                <w:bCs/>
                <w:color w:val="4472C4"/>
                <w:sz w:val="20"/>
              </w:rPr>
              <w:t xml:space="preserve">SEKCE F </w:t>
            </w:r>
            <w:r w:rsidR="002E0DFC" w:rsidRPr="005D6582">
              <w:rPr>
                <w:rFonts w:cs="Calibri"/>
                <w:b/>
                <w:bCs/>
                <w:color w:val="4472C4"/>
                <w:sz w:val="20"/>
              </w:rPr>
              <w:t>–</w:t>
            </w:r>
            <w:r w:rsidRPr="005D6582">
              <w:rPr>
                <w:rFonts w:cs="Calibri"/>
                <w:b/>
                <w:bCs/>
                <w:color w:val="4472C4"/>
                <w:sz w:val="20"/>
              </w:rPr>
              <w:t xml:space="preserve"> STAVEBNICTVÍ</w:t>
            </w:r>
          </w:p>
        </w:tc>
      </w:tr>
      <w:tr w:rsidR="001C1946" w:rsidRPr="005D6582" w14:paraId="4435D8AE"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7037863" w14:textId="77777777" w:rsidR="001C1946" w:rsidRPr="005D6582" w:rsidRDefault="001C1946" w:rsidP="001A27C6">
            <w:pPr>
              <w:spacing w:after="0"/>
              <w:rPr>
                <w:b/>
                <w:sz w:val="20"/>
              </w:rPr>
            </w:pPr>
            <w:r w:rsidRPr="005D6582">
              <w:rPr>
                <w:b/>
                <w:sz w:val="20"/>
              </w:rPr>
              <w:t>41</w:t>
            </w:r>
          </w:p>
        </w:tc>
        <w:tc>
          <w:tcPr>
            <w:tcW w:w="8795" w:type="dxa"/>
            <w:tcBorders>
              <w:top w:val="nil"/>
              <w:left w:val="nil"/>
              <w:bottom w:val="single" w:sz="4" w:space="0" w:color="auto"/>
              <w:right w:val="single" w:sz="8" w:space="0" w:color="auto"/>
            </w:tcBorders>
            <w:shd w:val="clear" w:color="auto" w:fill="auto"/>
            <w:hideMark/>
          </w:tcPr>
          <w:p w14:paraId="4B2E245D" w14:textId="77777777" w:rsidR="001C1946" w:rsidRPr="005D6582" w:rsidRDefault="001C1946" w:rsidP="001A27C6">
            <w:pPr>
              <w:spacing w:after="0"/>
              <w:rPr>
                <w:b/>
                <w:sz w:val="20"/>
              </w:rPr>
            </w:pPr>
            <w:r w:rsidRPr="005D6582">
              <w:rPr>
                <w:b/>
                <w:sz w:val="20"/>
              </w:rPr>
              <w:t>Výstavba budov (s</w:t>
            </w:r>
            <w:r w:rsidRPr="005D6582">
              <w:rPr>
                <w:rFonts w:cs="Calibri"/>
                <w:b/>
                <w:bCs/>
                <w:sz w:val="20"/>
              </w:rPr>
              <w:t xml:space="preserve"> </w:t>
            </w:r>
            <w:r w:rsidRPr="005D6582">
              <w:rPr>
                <w:b/>
                <w:sz w:val="20"/>
              </w:rPr>
              <w:t>výjimkou 41.1 Developerská činnost)</w:t>
            </w:r>
          </w:p>
        </w:tc>
      </w:tr>
      <w:tr w:rsidR="001C1946" w:rsidRPr="005D6582" w14:paraId="1192E25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60C65D55" w14:textId="77777777" w:rsidR="001C1946" w:rsidRPr="005D6582" w:rsidRDefault="001C1946" w:rsidP="001A27C6">
            <w:pPr>
              <w:spacing w:after="0"/>
              <w:rPr>
                <w:b/>
                <w:sz w:val="20"/>
              </w:rPr>
            </w:pPr>
            <w:r w:rsidRPr="005D6582">
              <w:rPr>
                <w:b/>
                <w:sz w:val="20"/>
              </w:rPr>
              <w:t>42</w:t>
            </w:r>
          </w:p>
        </w:tc>
        <w:tc>
          <w:tcPr>
            <w:tcW w:w="8795" w:type="dxa"/>
            <w:tcBorders>
              <w:top w:val="nil"/>
              <w:left w:val="nil"/>
              <w:bottom w:val="single" w:sz="4" w:space="0" w:color="auto"/>
              <w:right w:val="single" w:sz="8" w:space="0" w:color="auto"/>
            </w:tcBorders>
            <w:shd w:val="clear" w:color="auto" w:fill="auto"/>
            <w:hideMark/>
          </w:tcPr>
          <w:p w14:paraId="34F762B7" w14:textId="77777777" w:rsidR="001C1946" w:rsidRPr="005D6582" w:rsidRDefault="001C1946" w:rsidP="001A27C6">
            <w:pPr>
              <w:spacing w:after="0"/>
              <w:rPr>
                <w:b/>
                <w:sz w:val="20"/>
              </w:rPr>
            </w:pPr>
            <w:r w:rsidRPr="005D6582">
              <w:rPr>
                <w:b/>
                <w:sz w:val="20"/>
              </w:rPr>
              <w:t>Inženýrské stavitelství</w:t>
            </w:r>
          </w:p>
        </w:tc>
      </w:tr>
      <w:tr w:rsidR="001C1946" w:rsidRPr="005D6582" w14:paraId="01EE22AE" w14:textId="77777777" w:rsidTr="00052838">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B0217F8" w14:textId="77777777" w:rsidR="001C1946" w:rsidRPr="005D6582" w:rsidRDefault="001C1946" w:rsidP="001A27C6">
            <w:pPr>
              <w:spacing w:after="0"/>
              <w:rPr>
                <w:b/>
                <w:sz w:val="20"/>
              </w:rPr>
            </w:pPr>
            <w:r w:rsidRPr="005D6582">
              <w:rPr>
                <w:b/>
                <w:sz w:val="20"/>
              </w:rPr>
              <w:t>43</w:t>
            </w:r>
          </w:p>
        </w:tc>
        <w:tc>
          <w:tcPr>
            <w:tcW w:w="8795" w:type="dxa"/>
            <w:tcBorders>
              <w:top w:val="nil"/>
              <w:left w:val="nil"/>
              <w:bottom w:val="single" w:sz="4" w:space="0" w:color="auto"/>
              <w:right w:val="single" w:sz="8" w:space="0" w:color="auto"/>
            </w:tcBorders>
            <w:shd w:val="clear" w:color="auto" w:fill="auto"/>
            <w:hideMark/>
          </w:tcPr>
          <w:p w14:paraId="2A5E624E" w14:textId="77777777" w:rsidR="001C1946" w:rsidRPr="005D6582" w:rsidRDefault="001C1946" w:rsidP="001A27C6">
            <w:pPr>
              <w:spacing w:after="0"/>
              <w:rPr>
                <w:b/>
                <w:sz w:val="20"/>
              </w:rPr>
            </w:pPr>
            <w:r w:rsidRPr="005D6582">
              <w:rPr>
                <w:b/>
                <w:sz w:val="20"/>
              </w:rPr>
              <w:t>Specializované stavební činnosti</w:t>
            </w:r>
            <w:r w:rsidRPr="005D6582">
              <w:rPr>
                <w:rFonts w:cs="Calibri"/>
                <w:b/>
                <w:bCs/>
                <w:sz w:val="20"/>
              </w:rPr>
              <w:t xml:space="preserve"> </w:t>
            </w:r>
          </w:p>
        </w:tc>
      </w:tr>
      <w:tr w:rsidR="001C1946" w:rsidRPr="005D6582" w14:paraId="1737EB6E" w14:textId="77777777" w:rsidTr="00052838">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5269C" w14:textId="77777777" w:rsidR="001C1946" w:rsidRPr="005D6582" w:rsidRDefault="001C1946" w:rsidP="00075B25">
            <w:pPr>
              <w:spacing w:after="0"/>
              <w:rPr>
                <w:b/>
                <w:sz w:val="20"/>
              </w:rPr>
            </w:pPr>
            <w:r w:rsidRPr="005D6582">
              <w:rPr>
                <w:b/>
                <w:sz w:val="20"/>
              </w:rPr>
              <w:t> </w:t>
            </w:r>
          </w:p>
        </w:tc>
        <w:tc>
          <w:tcPr>
            <w:tcW w:w="8795" w:type="dxa"/>
            <w:tcBorders>
              <w:top w:val="single" w:sz="4" w:space="0" w:color="auto"/>
              <w:left w:val="single" w:sz="4" w:space="0" w:color="auto"/>
              <w:bottom w:val="single" w:sz="4" w:space="0" w:color="auto"/>
              <w:right w:val="single" w:sz="4" w:space="0" w:color="auto"/>
            </w:tcBorders>
            <w:shd w:val="clear" w:color="auto" w:fill="auto"/>
            <w:hideMark/>
          </w:tcPr>
          <w:p w14:paraId="6B96E765" w14:textId="77777777" w:rsidR="001C1946" w:rsidRPr="005D6582" w:rsidRDefault="001C1946" w:rsidP="00075B25">
            <w:pPr>
              <w:spacing w:after="0"/>
              <w:rPr>
                <w:b/>
                <w:sz w:val="20"/>
              </w:rPr>
            </w:pPr>
            <w:r w:rsidRPr="005D6582">
              <w:rPr>
                <w:b/>
                <w:sz w:val="20"/>
              </w:rPr>
              <w:t> </w:t>
            </w:r>
          </w:p>
        </w:tc>
      </w:tr>
      <w:tr w:rsidR="00D1370B" w:rsidRPr="005D6582" w14:paraId="237120D8" w14:textId="77777777" w:rsidTr="00052838">
        <w:trPr>
          <w:trHeight w:val="255"/>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4F976D" w14:textId="77777777" w:rsidR="00D1370B" w:rsidRPr="005D6582" w:rsidRDefault="00D1370B" w:rsidP="00D1370B">
            <w:pPr>
              <w:spacing w:after="0"/>
              <w:rPr>
                <w:rFonts w:cs="Calibri"/>
                <w:b/>
                <w:bCs/>
                <w:color w:val="4472C4"/>
                <w:sz w:val="20"/>
              </w:rPr>
            </w:pPr>
            <w:r w:rsidRPr="005D6582">
              <w:rPr>
                <w:rFonts w:cs="Calibri"/>
                <w:b/>
                <w:bCs/>
                <w:color w:val="4472C4"/>
                <w:sz w:val="20"/>
              </w:rPr>
              <w:t>SEKCE G – VELKOOBCHOD A MALOOBCHOD; OPRAVY A ÚDRŽBA MOTOROVÝCH VOZIDEL</w:t>
            </w:r>
          </w:p>
        </w:tc>
      </w:tr>
      <w:tr w:rsidR="001C1946" w:rsidRPr="005D6582" w14:paraId="0BFB9C6B" w14:textId="77777777" w:rsidTr="00052838">
        <w:trPr>
          <w:trHeight w:val="255"/>
        </w:trPr>
        <w:tc>
          <w:tcPr>
            <w:tcW w:w="1258" w:type="dxa"/>
            <w:gridSpan w:val="2"/>
            <w:tcBorders>
              <w:top w:val="single" w:sz="4" w:space="0" w:color="auto"/>
              <w:left w:val="single" w:sz="8" w:space="0" w:color="auto"/>
              <w:bottom w:val="single" w:sz="4" w:space="0" w:color="auto"/>
              <w:right w:val="single" w:sz="4" w:space="0" w:color="auto"/>
            </w:tcBorders>
            <w:shd w:val="clear" w:color="auto" w:fill="auto"/>
            <w:hideMark/>
          </w:tcPr>
          <w:p w14:paraId="4605B5B1" w14:textId="77777777" w:rsidR="001C1946" w:rsidRPr="005D6582" w:rsidRDefault="001C1946" w:rsidP="001A27C6">
            <w:pPr>
              <w:spacing w:after="0"/>
              <w:rPr>
                <w:b/>
                <w:sz w:val="20"/>
              </w:rPr>
            </w:pPr>
            <w:r w:rsidRPr="005D6582">
              <w:rPr>
                <w:b/>
                <w:sz w:val="20"/>
              </w:rPr>
              <w:t>45</w:t>
            </w:r>
          </w:p>
        </w:tc>
        <w:tc>
          <w:tcPr>
            <w:tcW w:w="8795" w:type="dxa"/>
            <w:tcBorders>
              <w:top w:val="single" w:sz="4" w:space="0" w:color="auto"/>
              <w:left w:val="nil"/>
              <w:bottom w:val="single" w:sz="4" w:space="0" w:color="auto"/>
              <w:right w:val="single" w:sz="8" w:space="0" w:color="auto"/>
            </w:tcBorders>
            <w:shd w:val="clear" w:color="auto" w:fill="auto"/>
            <w:hideMark/>
          </w:tcPr>
          <w:p w14:paraId="64181C1E" w14:textId="77777777" w:rsidR="001C1946" w:rsidRPr="005D6582" w:rsidRDefault="001C1946" w:rsidP="001A27C6">
            <w:pPr>
              <w:spacing w:after="0"/>
              <w:rPr>
                <w:b/>
                <w:sz w:val="20"/>
              </w:rPr>
            </w:pPr>
            <w:r w:rsidRPr="005D6582">
              <w:rPr>
                <w:b/>
                <w:sz w:val="20"/>
              </w:rPr>
              <w:t>Velkoobchod, maloobchod a opravy motorových vozidel</w:t>
            </w:r>
            <w:r w:rsidRPr="005D6582">
              <w:rPr>
                <w:rFonts w:cs="Calibri"/>
                <w:b/>
                <w:bCs/>
                <w:sz w:val="20"/>
              </w:rPr>
              <w:t xml:space="preserve"> </w:t>
            </w:r>
          </w:p>
        </w:tc>
      </w:tr>
      <w:tr w:rsidR="001C1946" w:rsidRPr="005D6582" w14:paraId="67C47B5D"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EAC6F77" w14:textId="77777777" w:rsidR="001C1946" w:rsidRPr="005D6582" w:rsidRDefault="001C1946" w:rsidP="001A27C6">
            <w:pPr>
              <w:spacing w:after="0"/>
              <w:rPr>
                <w:b/>
                <w:sz w:val="20"/>
              </w:rPr>
            </w:pPr>
            <w:r w:rsidRPr="005D6582">
              <w:rPr>
                <w:b/>
                <w:sz w:val="20"/>
              </w:rPr>
              <w:t>46</w:t>
            </w:r>
          </w:p>
        </w:tc>
        <w:tc>
          <w:tcPr>
            <w:tcW w:w="8795" w:type="dxa"/>
            <w:tcBorders>
              <w:top w:val="nil"/>
              <w:left w:val="nil"/>
              <w:bottom w:val="single" w:sz="4" w:space="0" w:color="auto"/>
              <w:right w:val="single" w:sz="8" w:space="0" w:color="auto"/>
            </w:tcBorders>
            <w:shd w:val="clear" w:color="auto" w:fill="auto"/>
            <w:hideMark/>
          </w:tcPr>
          <w:p w14:paraId="483D03B8" w14:textId="77777777" w:rsidR="001C1946" w:rsidRPr="005D6582" w:rsidRDefault="001C1946" w:rsidP="001A27C6">
            <w:pPr>
              <w:spacing w:after="0"/>
              <w:rPr>
                <w:b/>
                <w:sz w:val="20"/>
              </w:rPr>
            </w:pPr>
            <w:r w:rsidRPr="005D6582">
              <w:rPr>
                <w:rFonts w:cs="Calibri"/>
                <w:b/>
                <w:bCs/>
                <w:sz w:val="20"/>
              </w:rPr>
              <w:t>Velkoobchod, kromě motorových vozidel (kromě 46.35)</w:t>
            </w:r>
          </w:p>
        </w:tc>
      </w:tr>
      <w:tr w:rsidR="001C1946" w:rsidRPr="005D6582" w14:paraId="330ABFA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77BD9099" w14:textId="77777777" w:rsidR="001C1946" w:rsidRPr="005D6582" w:rsidRDefault="001C1946" w:rsidP="001A27C6">
            <w:pPr>
              <w:spacing w:after="0"/>
              <w:rPr>
                <w:b/>
                <w:sz w:val="20"/>
              </w:rPr>
            </w:pPr>
            <w:r w:rsidRPr="005D6582">
              <w:rPr>
                <w:b/>
                <w:sz w:val="20"/>
              </w:rPr>
              <w:t>47</w:t>
            </w:r>
          </w:p>
        </w:tc>
        <w:tc>
          <w:tcPr>
            <w:tcW w:w="8795" w:type="dxa"/>
            <w:tcBorders>
              <w:top w:val="nil"/>
              <w:left w:val="nil"/>
              <w:bottom w:val="single" w:sz="4" w:space="0" w:color="auto"/>
              <w:right w:val="single" w:sz="8" w:space="0" w:color="auto"/>
            </w:tcBorders>
            <w:shd w:val="clear" w:color="auto" w:fill="auto"/>
            <w:hideMark/>
          </w:tcPr>
          <w:p w14:paraId="3E613A6A" w14:textId="77777777" w:rsidR="001C1946" w:rsidRPr="005D6582" w:rsidRDefault="001C1946" w:rsidP="004F5BDE">
            <w:pPr>
              <w:spacing w:after="0"/>
              <w:rPr>
                <w:b/>
                <w:sz w:val="20"/>
              </w:rPr>
            </w:pPr>
            <w:r w:rsidRPr="005D6582">
              <w:rPr>
                <w:b/>
                <w:sz w:val="20"/>
              </w:rPr>
              <w:t>Maloobchod, kromě motorových vozidel</w:t>
            </w:r>
            <w:r w:rsidRPr="005D6582">
              <w:rPr>
                <w:rFonts w:cs="Calibri"/>
                <w:b/>
                <w:bCs/>
                <w:sz w:val="20"/>
              </w:rPr>
              <w:t xml:space="preserve"> (kromě</w:t>
            </w:r>
            <w:r w:rsidRPr="005D6582">
              <w:rPr>
                <w:b/>
                <w:sz w:val="20"/>
              </w:rPr>
              <w:t xml:space="preserve"> 47.26</w:t>
            </w:r>
            <w:r w:rsidRPr="005D6582">
              <w:rPr>
                <w:rFonts w:cs="Calibri"/>
                <w:b/>
                <w:bCs/>
                <w:sz w:val="20"/>
              </w:rPr>
              <w:t>)</w:t>
            </w:r>
          </w:p>
        </w:tc>
      </w:tr>
      <w:tr w:rsidR="001C1946" w:rsidRPr="005D6582" w14:paraId="7F866398" w14:textId="77777777" w:rsidTr="001C1946">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14:paraId="3E67975A" w14:textId="77777777" w:rsidR="001C1946" w:rsidRPr="005D6582" w:rsidRDefault="001C1946" w:rsidP="00075B25">
            <w:pPr>
              <w:spacing w:after="0"/>
              <w:rPr>
                <w:rFonts w:cs="Calibri"/>
                <w:sz w:val="20"/>
              </w:rPr>
            </w:pPr>
            <w:r w:rsidRPr="005D6582">
              <w:rPr>
                <w:rFonts w:cs="Calibri"/>
                <w:sz w:val="20"/>
              </w:rPr>
              <w:t> </w:t>
            </w:r>
          </w:p>
        </w:tc>
        <w:tc>
          <w:tcPr>
            <w:tcW w:w="8795" w:type="dxa"/>
            <w:tcBorders>
              <w:top w:val="nil"/>
              <w:left w:val="nil"/>
              <w:bottom w:val="nil"/>
              <w:right w:val="single" w:sz="8" w:space="0" w:color="auto"/>
            </w:tcBorders>
            <w:shd w:val="clear" w:color="auto" w:fill="auto"/>
            <w:hideMark/>
          </w:tcPr>
          <w:p w14:paraId="2726332F" w14:textId="77777777" w:rsidR="001C1946" w:rsidRPr="005D6582" w:rsidRDefault="001C1946" w:rsidP="00075B25">
            <w:pPr>
              <w:spacing w:after="0"/>
              <w:rPr>
                <w:rFonts w:cs="Calibri"/>
                <w:sz w:val="20"/>
              </w:rPr>
            </w:pPr>
            <w:r w:rsidRPr="005D6582">
              <w:rPr>
                <w:rFonts w:cs="Calibri"/>
                <w:sz w:val="20"/>
              </w:rPr>
              <w:t> </w:t>
            </w:r>
          </w:p>
        </w:tc>
      </w:tr>
      <w:tr w:rsidR="001C1946" w:rsidRPr="005D6582" w14:paraId="79191FCF"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1A7B008" w14:textId="77777777" w:rsidR="001C1946" w:rsidRPr="005D6582" w:rsidRDefault="001C1946" w:rsidP="00075B25">
            <w:pPr>
              <w:spacing w:after="0"/>
              <w:rPr>
                <w:rFonts w:cs="Calibri"/>
                <w:b/>
                <w:bCs/>
                <w:color w:val="4472C4"/>
                <w:sz w:val="20"/>
              </w:rPr>
            </w:pPr>
            <w:r w:rsidRPr="005D6582">
              <w:rPr>
                <w:rFonts w:cs="Calibri"/>
                <w:b/>
                <w:bCs/>
                <w:color w:val="4472C4"/>
                <w:sz w:val="20"/>
              </w:rPr>
              <w:t>SEKCE H - DOPRAVA A SKLADOVÁNÍ</w:t>
            </w:r>
          </w:p>
        </w:tc>
      </w:tr>
      <w:tr w:rsidR="001C1946" w:rsidRPr="005D6582" w14:paraId="0614C1F8"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3E64088" w14:textId="77777777" w:rsidR="001C1946" w:rsidRPr="005D6582" w:rsidRDefault="001C1946" w:rsidP="00075B25">
            <w:pPr>
              <w:spacing w:after="0"/>
              <w:rPr>
                <w:b/>
                <w:sz w:val="20"/>
              </w:rPr>
            </w:pPr>
            <w:r w:rsidRPr="005D6582">
              <w:rPr>
                <w:rFonts w:cs="Calibri"/>
                <w:b/>
                <w:bCs/>
                <w:sz w:val="20"/>
              </w:rPr>
              <w:t>49</w:t>
            </w:r>
          </w:p>
        </w:tc>
        <w:tc>
          <w:tcPr>
            <w:tcW w:w="8795" w:type="dxa"/>
            <w:tcBorders>
              <w:top w:val="nil"/>
              <w:left w:val="nil"/>
              <w:bottom w:val="single" w:sz="4" w:space="0" w:color="auto"/>
              <w:right w:val="single" w:sz="8" w:space="0" w:color="auto"/>
            </w:tcBorders>
            <w:shd w:val="clear" w:color="auto" w:fill="auto"/>
            <w:hideMark/>
          </w:tcPr>
          <w:p w14:paraId="434696D2" w14:textId="77777777" w:rsidR="001C1946" w:rsidRPr="005D6582" w:rsidRDefault="001C1946" w:rsidP="00FA378A">
            <w:pPr>
              <w:spacing w:after="0"/>
              <w:rPr>
                <w:b/>
                <w:sz w:val="20"/>
              </w:rPr>
            </w:pPr>
            <w:r w:rsidRPr="005D6582">
              <w:rPr>
                <w:rFonts w:cs="Calibri"/>
                <w:b/>
                <w:bCs/>
                <w:sz w:val="20"/>
              </w:rPr>
              <w:t xml:space="preserve">Pozemní a potrubní doprava (pouze v případě podpory de </w:t>
            </w:r>
            <w:proofErr w:type="spellStart"/>
            <w:r w:rsidRPr="005D6582">
              <w:rPr>
                <w:rFonts w:cs="Calibri"/>
                <w:b/>
                <w:bCs/>
                <w:sz w:val="20"/>
              </w:rPr>
              <w:t>minimis</w:t>
            </w:r>
            <w:proofErr w:type="spellEnd"/>
            <w:r w:rsidRPr="005D6582">
              <w:rPr>
                <w:rFonts w:cs="Calibri"/>
                <w:b/>
                <w:bCs/>
                <w:sz w:val="20"/>
              </w:rPr>
              <w:t>)</w:t>
            </w:r>
            <w:r w:rsidRPr="005D6582">
              <w:rPr>
                <w:rFonts w:cs="Calibri"/>
                <w:b/>
                <w:bCs/>
                <w:sz w:val="20"/>
                <w:vertAlign w:val="superscript"/>
              </w:rPr>
              <w:t>2)</w:t>
            </w:r>
          </w:p>
        </w:tc>
      </w:tr>
      <w:tr w:rsidR="001C1946" w:rsidRPr="005D6582" w14:paraId="5F0ADDEC"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65620C1A" w14:textId="77777777" w:rsidR="001C1946" w:rsidRPr="005D6582" w:rsidRDefault="001C1946" w:rsidP="00075B25">
            <w:pPr>
              <w:spacing w:after="0"/>
              <w:rPr>
                <w:rFonts w:cs="Calibri"/>
                <w:b/>
                <w:bCs/>
                <w:sz w:val="20"/>
              </w:rPr>
            </w:pPr>
            <w:r w:rsidRPr="005D6582">
              <w:rPr>
                <w:rFonts w:cs="Calibri"/>
                <w:b/>
                <w:bCs/>
                <w:sz w:val="20"/>
              </w:rPr>
              <w:t>50</w:t>
            </w:r>
          </w:p>
        </w:tc>
        <w:tc>
          <w:tcPr>
            <w:tcW w:w="8795" w:type="dxa"/>
            <w:tcBorders>
              <w:top w:val="nil"/>
              <w:left w:val="nil"/>
              <w:bottom w:val="single" w:sz="4" w:space="0" w:color="auto"/>
              <w:right w:val="single" w:sz="8" w:space="0" w:color="auto"/>
            </w:tcBorders>
            <w:shd w:val="clear" w:color="auto" w:fill="auto"/>
            <w:hideMark/>
          </w:tcPr>
          <w:p w14:paraId="7D772672" w14:textId="77777777" w:rsidR="001C1946" w:rsidRPr="005D6582" w:rsidRDefault="001C1946" w:rsidP="00075B25">
            <w:pPr>
              <w:spacing w:after="0"/>
              <w:rPr>
                <w:rFonts w:cs="Calibri"/>
                <w:b/>
                <w:bCs/>
                <w:sz w:val="20"/>
              </w:rPr>
            </w:pPr>
            <w:r w:rsidRPr="005D6582">
              <w:rPr>
                <w:rFonts w:cs="Calibri"/>
                <w:b/>
                <w:bCs/>
                <w:sz w:val="20"/>
              </w:rPr>
              <w:t xml:space="preserve">Vodní doprava (pouze v případě podpory de </w:t>
            </w:r>
            <w:proofErr w:type="spellStart"/>
            <w:r w:rsidRPr="005D6582">
              <w:rPr>
                <w:rFonts w:cs="Calibri"/>
                <w:b/>
                <w:bCs/>
                <w:sz w:val="20"/>
              </w:rPr>
              <w:t>minimis</w:t>
            </w:r>
            <w:proofErr w:type="spellEnd"/>
            <w:r w:rsidRPr="005D6582">
              <w:rPr>
                <w:rFonts w:cs="Calibri"/>
                <w:b/>
                <w:bCs/>
                <w:sz w:val="20"/>
              </w:rPr>
              <w:t>)</w:t>
            </w:r>
          </w:p>
        </w:tc>
      </w:tr>
      <w:tr w:rsidR="001C1946" w:rsidRPr="005D6582" w14:paraId="2A0FB82B"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EF07FF9" w14:textId="77777777" w:rsidR="001C1946" w:rsidRPr="005D6582" w:rsidRDefault="001C1946" w:rsidP="00075B25">
            <w:pPr>
              <w:spacing w:after="0"/>
              <w:rPr>
                <w:rFonts w:cs="Calibri"/>
                <w:b/>
                <w:bCs/>
                <w:sz w:val="20"/>
              </w:rPr>
            </w:pPr>
            <w:r w:rsidRPr="005D6582">
              <w:rPr>
                <w:rFonts w:cs="Calibri"/>
                <w:b/>
                <w:bCs/>
                <w:sz w:val="20"/>
              </w:rPr>
              <w:t>51</w:t>
            </w:r>
          </w:p>
        </w:tc>
        <w:tc>
          <w:tcPr>
            <w:tcW w:w="8795" w:type="dxa"/>
            <w:tcBorders>
              <w:top w:val="nil"/>
              <w:left w:val="nil"/>
              <w:bottom w:val="single" w:sz="4" w:space="0" w:color="auto"/>
              <w:right w:val="single" w:sz="8" w:space="0" w:color="auto"/>
            </w:tcBorders>
            <w:shd w:val="clear" w:color="auto" w:fill="auto"/>
            <w:hideMark/>
          </w:tcPr>
          <w:p w14:paraId="2B6A5A1C" w14:textId="77777777" w:rsidR="001C1946" w:rsidRPr="005D6582" w:rsidRDefault="001C1946" w:rsidP="00075B25">
            <w:pPr>
              <w:spacing w:after="0"/>
              <w:rPr>
                <w:rFonts w:cs="Calibri"/>
                <w:b/>
                <w:bCs/>
                <w:sz w:val="20"/>
              </w:rPr>
            </w:pPr>
            <w:r w:rsidRPr="005D6582">
              <w:rPr>
                <w:rFonts w:cs="Calibri"/>
                <w:b/>
                <w:bCs/>
                <w:sz w:val="20"/>
              </w:rPr>
              <w:t xml:space="preserve">Letecká doprava (pouze v případě podpory de </w:t>
            </w:r>
            <w:proofErr w:type="spellStart"/>
            <w:r w:rsidRPr="005D6582">
              <w:rPr>
                <w:rFonts w:cs="Calibri"/>
                <w:b/>
                <w:bCs/>
                <w:sz w:val="20"/>
              </w:rPr>
              <w:t>minimis</w:t>
            </w:r>
            <w:proofErr w:type="spellEnd"/>
            <w:r w:rsidRPr="005D6582">
              <w:rPr>
                <w:rFonts w:cs="Calibri"/>
                <w:b/>
                <w:bCs/>
                <w:sz w:val="20"/>
              </w:rPr>
              <w:t>)</w:t>
            </w:r>
          </w:p>
        </w:tc>
      </w:tr>
      <w:tr w:rsidR="001C1946" w:rsidRPr="005D6582" w14:paraId="3426D9D8"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81914DA" w14:textId="77777777" w:rsidR="001C1946" w:rsidRPr="005D6582" w:rsidRDefault="001C1946" w:rsidP="00075B25">
            <w:pPr>
              <w:spacing w:after="0"/>
              <w:rPr>
                <w:rFonts w:cs="Calibri"/>
                <w:b/>
                <w:bCs/>
                <w:sz w:val="20"/>
              </w:rPr>
            </w:pPr>
            <w:r w:rsidRPr="005D6582">
              <w:rPr>
                <w:rFonts w:cs="Calibri"/>
                <w:b/>
                <w:bCs/>
                <w:sz w:val="20"/>
              </w:rPr>
              <w:t>52</w:t>
            </w:r>
          </w:p>
        </w:tc>
        <w:tc>
          <w:tcPr>
            <w:tcW w:w="8795" w:type="dxa"/>
            <w:tcBorders>
              <w:top w:val="nil"/>
              <w:left w:val="nil"/>
              <w:bottom w:val="single" w:sz="4" w:space="0" w:color="auto"/>
              <w:right w:val="single" w:sz="8" w:space="0" w:color="auto"/>
            </w:tcBorders>
            <w:shd w:val="clear" w:color="auto" w:fill="auto"/>
            <w:hideMark/>
          </w:tcPr>
          <w:p w14:paraId="3541B0C2" w14:textId="77777777" w:rsidR="001C1946" w:rsidRPr="005D6582" w:rsidRDefault="001C1946" w:rsidP="00075B25">
            <w:pPr>
              <w:spacing w:after="0"/>
              <w:rPr>
                <w:rFonts w:cs="Calibri"/>
                <w:b/>
                <w:bCs/>
                <w:sz w:val="20"/>
              </w:rPr>
            </w:pPr>
            <w:r w:rsidRPr="005D6582">
              <w:rPr>
                <w:rFonts w:cs="Calibri"/>
                <w:b/>
                <w:bCs/>
                <w:sz w:val="20"/>
              </w:rPr>
              <w:t>Skladování a vedlejší činnosti v</w:t>
            </w:r>
            <w:r w:rsidR="009D6FE6" w:rsidRPr="005D6582">
              <w:rPr>
                <w:rFonts w:cs="Calibri"/>
                <w:b/>
                <w:bCs/>
                <w:sz w:val="20"/>
              </w:rPr>
              <w:t> </w:t>
            </w:r>
            <w:r w:rsidRPr="005D6582">
              <w:rPr>
                <w:rFonts w:cs="Calibri"/>
                <w:b/>
                <w:bCs/>
                <w:sz w:val="20"/>
              </w:rPr>
              <w:t>dopravě</w:t>
            </w:r>
          </w:p>
        </w:tc>
      </w:tr>
      <w:tr w:rsidR="001C1946" w:rsidRPr="005D6582" w14:paraId="2CFB7A7E"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tcPr>
          <w:p w14:paraId="5180055D" w14:textId="77777777" w:rsidR="001C1946" w:rsidRPr="005D6582" w:rsidRDefault="001C1946" w:rsidP="00075B25">
            <w:pPr>
              <w:spacing w:after="0"/>
              <w:rPr>
                <w:rFonts w:cs="Calibri"/>
                <w:b/>
                <w:bCs/>
                <w:sz w:val="20"/>
              </w:rPr>
            </w:pPr>
            <w:r w:rsidRPr="005D6582">
              <w:rPr>
                <w:rFonts w:cs="Calibri"/>
                <w:b/>
                <w:bCs/>
                <w:sz w:val="20"/>
              </w:rPr>
              <w:t>53</w:t>
            </w:r>
          </w:p>
        </w:tc>
        <w:tc>
          <w:tcPr>
            <w:tcW w:w="8795" w:type="dxa"/>
            <w:tcBorders>
              <w:top w:val="nil"/>
              <w:left w:val="nil"/>
              <w:bottom w:val="single" w:sz="4" w:space="0" w:color="auto"/>
              <w:right w:val="single" w:sz="8" w:space="0" w:color="auto"/>
            </w:tcBorders>
            <w:shd w:val="clear" w:color="auto" w:fill="auto"/>
          </w:tcPr>
          <w:p w14:paraId="375AAF15" w14:textId="77777777" w:rsidR="001C1946" w:rsidRPr="005D6582" w:rsidRDefault="001C1946" w:rsidP="00075B25">
            <w:pPr>
              <w:spacing w:after="0"/>
              <w:rPr>
                <w:rFonts w:cs="Calibri"/>
                <w:b/>
                <w:bCs/>
                <w:sz w:val="20"/>
              </w:rPr>
            </w:pPr>
            <w:r w:rsidRPr="005D6582">
              <w:rPr>
                <w:rFonts w:cs="Calibri"/>
                <w:b/>
                <w:bCs/>
                <w:sz w:val="20"/>
              </w:rPr>
              <w:t>Poštovní a kurýrní činnosti</w:t>
            </w:r>
          </w:p>
        </w:tc>
      </w:tr>
      <w:tr w:rsidR="001C1946" w:rsidRPr="005D6582" w14:paraId="7B08970E" w14:textId="77777777" w:rsidTr="001C1946">
        <w:trPr>
          <w:trHeight w:val="270"/>
        </w:trPr>
        <w:tc>
          <w:tcPr>
            <w:tcW w:w="12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69700A6" w14:textId="77777777" w:rsidR="001C1946" w:rsidRPr="005D6582" w:rsidRDefault="001C1946" w:rsidP="00075B25">
            <w:pPr>
              <w:spacing w:after="0"/>
              <w:rPr>
                <w:rFonts w:cs="Calibri"/>
                <w:b/>
                <w:sz w:val="20"/>
              </w:rPr>
            </w:pPr>
            <w:r w:rsidRPr="005D6582">
              <w:rPr>
                <w:rFonts w:cs="Calibri"/>
                <w:b/>
                <w:sz w:val="20"/>
              </w:rPr>
              <w:t> </w:t>
            </w:r>
          </w:p>
        </w:tc>
        <w:tc>
          <w:tcPr>
            <w:tcW w:w="8795" w:type="dxa"/>
            <w:tcBorders>
              <w:top w:val="nil"/>
              <w:left w:val="nil"/>
              <w:bottom w:val="single" w:sz="4" w:space="0" w:color="auto"/>
              <w:right w:val="single" w:sz="8" w:space="0" w:color="auto"/>
            </w:tcBorders>
            <w:shd w:val="clear" w:color="auto" w:fill="auto"/>
            <w:hideMark/>
          </w:tcPr>
          <w:p w14:paraId="2A00C815" w14:textId="77777777" w:rsidR="001C1946" w:rsidRPr="005D6582" w:rsidRDefault="001C1946" w:rsidP="00075B25">
            <w:pPr>
              <w:spacing w:after="0"/>
              <w:rPr>
                <w:rFonts w:cs="Calibri"/>
                <w:b/>
                <w:bCs/>
                <w:sz w:val="20"/>
              </w:rPr>
            </w:pPr>
            <w:r w:rsidRPr="005D6582">
              <w:rPr>
                <w:rFonts w:cs="Calibri"/>
                <w:b/>
                <w:bCs/>
                <w:sz w:val="20"/>
              </w:rPr>
              <w:t> </w:t>
            </w:r>
          </w:p>
        </w:tc>
      </w:tr>
      <w:tr w:rsidR="001C1946" w:rsidRPr="005D6582" w14:paraId="478F0C1D" w14:textId="77777777" w:rsidTr="001C1946">
        <w:trPr>
          <w:trHeight w:val="270"/>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F497" w14:textId="77777777" w:rsidR="001C1946" w:rsidRPr="005D6582" w:rsidRDefault="001C1946" w:rsidP="00075B25">
            <w:pPr>
              <w:spacing w:after="0"/>
              <w:rPr>
                <w:rFonts w:cs="Calibri"/>
                <w:b/>
                <w:bCs/>
                <w:color w:val="4472C4"/>
                <w:sz w:val="20"/>
              </w:rPr>
            </w:pPr>
            <w:r w:rsidRPr="005D6582">
              <w:rPr>
                <w:rFonts w:cs="Calibri"/>
                <w:b/>
                <w:bCs/>
                <w:color w:val="4472C4"/>
                <w:sz w:val="20"/>
              </w:rPr>
              <w:t xml:space="preserve">SEKCE I - UBYTOVÁNÍ, STRAVOVÁNÍ A POHOSTINSTVÍ  </w:t>
            </w:r>
          </w:p>
        </w:tc>
      </w:tr>
      <w:tr w:rsidR="001C1946" w:rsidRPr="005D6582" w14:paraId="7EBC32CA" w14:textId="77777777" w:rsidTr="001C1946">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8468" w14:textId="77777777" w:rsidR="001C1946" w:rsidRPr="005D6582" w:rsidRDefault="001C1946" w:rsidP="00075B25">
            <w:pPr>
              <w:spacing w:after="0"/>
              <w:rPr>
                <w:rFonts w:cs="Calibri"/>
                <w:b/>
                <w:sz w:val="20"/>
              </w:rPr>
            </w:pPr>
            <w:r w:rsidRPr="005D6582">
              <w:rPr>
                <w:rFonts w:cs="Calibri"/>
                <w:b/>
                <w:sz w:val="20"/>
              </w:rPr>
              <w:t>55</w:t>
            </w:r>
          </w:p>
        </w:tc>
        <w:tc>
          <w:tcPr>
            <w:tcW w:w="8795" w:type="dxa"/>
            <w:tcBorders>
              <w:top w:val="single" w:sz="4" w:space="0" w:color="auto"/>
              <w:left w:val="single" w:sz="4" w:space="0" w:color="auto"/>
              <w:bottom w:val="single" w:sz="4" w:space="0" w:color="auto"/>
              <w:right w:val="single" w:sz="4" w:space="0" w:color="auto"/>
            </w:tcBorders>
            <w:shd w:val="clear" w:color="auto" w:fill="auto"/>
            <w:hideMark/>
          </w:tcPr>
          <w:p w14:paraId="3B747BBF" w14:textId="77777777" w:rsidR="001C1946" w:rsidRPr="005D6582" w:rsidRDefault="001C1946" w:rsidP="00075B25">
            <w:pPr>
              <w:spacing w:after="0"/>
              <w:rPr>
                <w:rFonts w:cs="Calibri"/>
                <w:b/>
                <w:bCs/>
                <w:sz w:val="20"/>
              </w:rPr>
            </w:pPr>
            <w:r w:rsidRPr="005D6582">
              <w:rPr>
                <w:rFonts w:cs="Calibri"/>
                <w:b/>
                <w:sz w:val="20"/>
              </w:rPr>
              <w:t>Ubytování</w:t>
            </w:r>
          </w:p>
        </w:tc>
      </w:tr>
      <w:tr w:rsidR="001C1946" w:rsidRPr="005D6582" w14:paraId="00206133" w14:textId="77777777" w:rsidTr="001C1946">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5883" w14:textId="77777777" w:rsidR="001C1946" w:rsidRPr="005D6582" w:rsidRDefault="001C1946" w:rsidP="00075B25">
            <w:pPr>
              <w:spacing w:after="0"/>
              <w:rPr>
                <w:rFonts w:cs="Calibri"/>
                <w:b/>
                <w:sz w:val="20"/>
              </w:rPr>
            </w:pPr>
            <w:r w:rsidRPr="005D6582">
              <w:rPr>
                <w:rFonts w:cs="Calibri"/>
                <w:b/>
                <w:sz w:val="20"/>
              </w:rPr>
              <w:t>56</w:t>
            </w:r>
          </w:p>
        </w:tc>
        <w:tc>
          <w:tcPr>
            <w:tcW w:w="8795" w:type="dxa"/>
            <w:tcBorders>
              <w:top w:val="single" w:sz="4" w:space="0" w:color="auto"/>
              <w:left w:val="single" w:sz="4" w:space="0" w:color="auto"/>
              <w:bottom w:val="single" w:sz="4" w:space="0" w:color="auto"/>
              <w:right w:val="single" w:sz="4" w:space="0" w:color="auto"/>
            </w:tcBorders>
            <w:shd w:val="clear" w:color="auto" w:fill="auto"/>
            <w:hideMark/>
          </w:tcPr>
          <w:p w14:paraId="23514713" w14:textId="77777777" w:rsidR="001C1946" w:rsidRPr="005D6582" w:rsidRDefault="001C1946" w:rsidP="00075B25">
            <w:pPr>
              <w:spacing w:after="0"/>
              <w:rPr>
                <w:rFonts w:cs="Calibri"/>
                <w:b/>
                <w:bCs/>
                <w:sz w:val="20"/>
              </w:rPr>
            </w:pPr>
            <w:r w:rsidRPr="005D6582">
              <w:rPr>
                <w:rFonts w:cs="Calibri"/>
                <w:b/>
                <w:sz w:val="20"/>
              </w:rPr>
              <w:t>Stravování a pohostinství</w:t>
            </w:r>
          </w:p>
        </w:tc>
      </w:tr>
      <w:tr w:rsidR="00D1370B" w:rsidRPr="005D6582" w14:paraId="5C12D171" w14:textId="77777777" w:rsidTr="001C1946">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3D84F7" w14:textId="77777777" w:rsidR="00D1370B" w:rsidRPr="005D6582" w:rsidRDefault="00D1370B" w:rsidP="00075B25">
            <w:pPr>
              <w:spacing w:after="0"/>
              <w:rPr>
                <w:rFonts w:cs="Calibri"/>
                <w:b/>
                <w:sz w:val="20"/>
              </w:rPr>
            </w:pPr>
          </w:p>
        </w:tc>
        <w:tc>
          <w:tcPr>
            <w:tcW w:w="8795" w:type="dxa"/>
            <w:tcBorders>
              <w:top w:val="single" w:sz="4" w:space="0" w:color="auto"/>
              <w:left w:val="single" w:sz="4" w:space="0" w:color="auto"/>
              <w:bottom w:val="single" w:sz="4" w:space="0" w:color="auto"/>
              <w:right w:val="single" w:sz="4" w:space="0" w:color="auto"/>
            </w:tcBorders>
            <w:shd w:val="clear" w:color="auto" w:fill="auto"/>
          </w:tcPr>
          <w:p w14:paraId="5422F4B6" w14:textId="77777777" w:rsidR="00D1370B" w:rsidRPr="005D6582" w:rsidRDefault="00D1370B" w:rsidP="00075B25">
            <w:pPr>
              <w:spacing w:after="0"/>
              <w:rPr>
                <w:rFonts w:cs="Calibri"/>
                <w:b/>
                <w:sz w:val="20"/>
              </w:rPr>
            </w:pPr>
          </w:p>
        </w:tc>
      </w:tr>
      <w:tr w:rsidR="001C1946" w:rsidRPr="005D6582" w14:paraId="0189BD90" w14:textId="77777777" w:rsidTr="001C1946">
        <w:trPr>
          <w:trHeight w:val="270"/>
        </w:trPr>
        <w:tc>
          <w:tcPr>
            <w:tcW w:w="10053" w:type="dxa"/>
            <w:gridSpan w:val="3"/>
            <w:tcBorders>
              <w:top w:val="single" w:sz="4" w:space="0" w:color="auto"/>
              <w:left w:val="single" w:sz="8" w:space="0" w:color="auto"/>
              <w:bottom w:val="single" w:sz="8" w:space="0" w:color="auto"/>
              <w:right w:val="single" w:sz="8" w:space="0" w:color="000000"/>
            </w:tcBorders>
            <w:shd w:val="clear" w:color="auto" w:fill="auto"/>
            <w:hideMark/>
          </w:tcPr>
          <w:p w14:paraId="58F9C865" w14:textId="77777777" w:rsidR="001C1946" w:rsidRPr="005D6582" w:rsidRDefault="00D1370B" w:rsidP="00075B25">
            <w:pPr>
              <w:spacing w:after="0"/>
              <w:rPr>
                <w:rFonts w:cs="Calibri"/>
                <w:b/>
                <w:bCs/>
                <w:color w:val="4472C4"/>
                <w:sz w:val="20"/>
              </w:rPr>
            </w:pPr>
            <w:r w:rsidRPr="005D6582">
              <w:rPr>
                <w:rFonts w:cs="Calibri"/>
                <w:b/>
                <w:bCs/>
                <w:color w:val="4472C4"/>
                <w:sz w:val="20"/>
              </w:rPr>
              <w:t>SEKCE J – INFORMAČNÍ A KOMUNIKAČNÍ ČINNOSTI</w:t>
            </w:r>
          </w:p>
        </w:tc>
      </w:tr>
      <w:tr w:rsidR="001C1946" w:rsidRPr="005D6582" w14:paraId="3010617C"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C39DBE3" w14:textId="77777777" w:rsidR="001C1946" w:rsidRPr="005D6582" w:rsidRDefault="001C1946" w:rsidP="001A27C6">
            <w:pPr>
              <w:spacing w:after="0"/>
              <w:rPr>
                <w:b/>
                <w:sz w:val="20"/>
              </w:rPr>
            </w:pPr>
            <w:r w:rsidRPr="005D6582">
              <w:rPr>
                <w:b/>
                <w:sz w:val="20"/>
              </w:rPr>
              <w:t>58</w:t>
            </w:r>
          </w:p>
        </w:tc>
        <w:tc>
          <w:tcPr>
            <w:tcW w:w="8795" w:type="dxa"/>
            <w:tcBorders>
              <w:top w:val="nil"/>
              <w:left w:val="nil"/>
              <w:bottom w:val="single" w:sz="4" w:space="0" w:color="auto"/>
              <w:right w:val="single" w:sz="8" w:space="0" w:color="auto"/>
            </w:tcBorders>
            <w:shd w:val="clear" w:color="auto" w:fill="auto"/>
            <w:hideMark/>
          </w:tcPr>
          <w:p w14:paraId="72B54B23" w14:textId="77777777" w:rsidR="001C1946" w:rsidRPr="005D6582" w:rsidRDefault="001C1946" w:rsidP="001A27C6">
            <w:pPr>
              <w:spacing w:after="0"/>
              <w:rPr>
                <w:b/>
                <w:sz w:val="20"/>
              </w:rPr>
            </w:pPr>
            <w:r w:rsidRPr="005D6582">
              <w:rPr>
                <w:b/>
                <w:sz w:val="20"/>
              </w:rPr>
              <w:t>Vydavatelské činnosti</w:t>
            </w:r>
          </w:p>
        </w:tc>
      </w:tr>
      <w:tr w:rsidR="001C1946" w:rsidRPr="005D6582" w14:paraId="09129930" w14:textId="77777777" w:rsidTr="001C1946">
        <w:trPr>
          <w:trHeight w:val="510"/>
        </w:trPr>
        <w:tc>
          <w:tcPr>
            <w:tcW w:w="1258" w:type="dxa"/>
            <w:gridSpan w:val="2"/>
            <w:tcBorders>
              <w:top w:val="nil"/>
              <w:left w:val="single" w:sz="8" w:space="0" w:color="auto"/>
              <w:bottom w:val="single" w:sz="4" w:space="0" w:color="auto"/>
              <w:right w:val="single" w:sz="4" w:space="0" w:color="auto"/>
            </w:tcBorders>
            <w:shd w:val="clear" w:color="auto" w:fill="auto"/>
            <w:hideMark/>
          </w:tcPr>
          <w:p w14:paraId="7F789328" w14:textId="77777777" w:rsidR="001C1946" w:rsidRPr="005D6582" w:rsidRDefault="001C1946" w:rsidP="001A27C6">
            <w:pPr>
              <w:spacing w:after="0"/>
              <w:rPr>
                <w:b/>
                <w:sz w:val="20"/>
              </w:rPr>
            </w:pPr>
            <w:r w:rsidRPr="005D6582">
              <w:rPr>
                <w:b/>
                <w:sz w:val="20"/>
              </w:rPr>
              <w:t>59</w:t>
            </w:r>
          </w:p>
        </w:tc>
        <w:tc>
          <w:tcPr>
            <w:tcW w:w="8795" w:type="dxa"/>
            <w:tcBorders>
              <w:top w:val="nil"/>
              <w:left w:val="nil"/>
              <w:bottom w:val="single" w:sz="4" w:space="0" w:color="auto"/>
              <w:right w:val="single" w:sz="8" w:space="0" w:color="auto"/>
            </w:tcBorders>
            <w:shd w:val="clear" w:color="auto" w:fill="auto"/>
            <w:hideMark/>
          </w:tcPr>
          <w:p w14:paraId="4FB25FD0" w14:textId="77777777" w:rsidR="001C1946" w:rsidRPr="005D6582" w:rsidRDefault="001C1946" w:rsidP="001A27C6">
            <w:pPr>
              <w:spacing w:after="0"/>
              <w:rPr>
                <w:b/>
                <w:sz w:val="20"/>
              </w:rPr>
            </w:pPr>
            <w:r w:rsidRPr="005D6582">
              <w:rPr>
                <w:b/>
                <w:sz w:val="20"/>
              </w:rPr>
              <w:t>Činnosti v</w:t>
            </w:r>
            <w:r w:rsidRPr="005D6582">
              <w:rPr>
                <w:rFonts w:cs="Calibri"/>
                <w:b/>
                <w:bCs/>
                <w:sz w:val="20"/>
              </w:rPr>
              <w:t> </w:t>
            </w:r>
            <w:r w:rsidRPr="005D6582">
              <w:rPr>
                <w:b/>
                <w:sz w:val="20"/>
              </w:rPr>
              <w:t>oblasti filmů, videozáznamů a televizních programů, pořizování zvukových nahrávek a hudební vydavatelské činnosti</w:t>
            </w:r>
          </w:p>
        </w:tc>
      </w:tr>
      <w:tr w:rsidR="001C1946" w:rsidRPr="005D6582" w14:paraId="21C58B0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98B8C1F" w14:textId="77777777" w:rsidR="001C1946" w:rsidRPr="005D6582" w:rsidRDefault="001C1946" w:rsidP="00075B25">
            <w:pPr>
              <w:spacing w:after="0"/>
              <w:rPr>
                <w:rFonts w:cs="Calibri"/>
                <w:b/>
                <w:bCs/>
                <w:sz w:val="20"/>
              </w:rPr>
            </w:pPr>
            <w:r w:rsidRPr="005D6582">
              <w:rPr>
                <w:rFonts w:cs="Calibri"/>
                <w:b/>
                <w:bCs/>
                <w:sz w:val="20"/>
              </w:rPr>
              <w:t>60</w:t>
            </w:r>
          </w:p>
        </w:tc>
        <w:tc>
          <w:tcPr>
            <w:tcW w:w="8795" w:type="dxa"/>
            <w:tcBorders>
              <w:top w:val="nil"/>
              <w:left w:val="nil"/>
              <w:bottom w:val="single" w:sz="4" w:space="0" w:color="auto"/>
              <w:right w:val="single" w:sz="8" w:space="0" w:color="auto"/>
            </w:tcBorders>
            <w:shd w:val="clear" w:color="auto" w:fill="auto"/>
            <w:hideMark/>
          </w:tcPr>
          <w:p w14:paraId="698B5840" w14:textId="77777777" w:rsidR="001C1946" w:rsidRPr="005D6582" w:rsidRDefault="001C1946" w:rsidP="00075B25">
            <w:pPr>
              <w:spacing w:after="0"/>
              <w:rPr>
                <w:rFonts w:cs="Calibri"/>
                <w:b/>
                <w:bCs/>
                <w:sz w:val="20"/>
              </w:rPr>
            </w:pPr>
            <w:r w:rsidRPr="005D6582">
              <w:rPr>
                <w:rFonts w:cs="Calibri"/>
                <w:b/>
                <w:bCs/>
                <w:sz w:val="20"/>
              </w:rPr>
              <w:t>Tvorba programů a vysílání</w:t>
            </w:r>
          </w:p>
        </w:tc>
      </w:tr>
      <w:tr w:rsidR="001C1946" w:rsidRPr="005D6582" w14:paraId="41212CE7"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2738E72" w14:textId="77777777" w:rsidR="001C1946" w:rsidRPr="005D6582" w:rsidRDefault="001C1946" w:rsidP="001A27C6">
            <w:pPr>
              <w:spacing w:after="0"/>
              <w:rPr>
                <w:b/>
                <w:sz w:val="20"/>
              </w:rPr>
            </w:pPr>
            <w:r w:rsidRPr="005D6582">
              <w:rPr>
                <w:b/>
                <w:sz w:val="20"/>
              </w:rPr>
              <w:t>61</w:t>
            </w:r>
          </w:p>
        </w:tc>
        <w:tc>
          <w:tcPr>
            <w:tcW w:w="8795" w:type="dxa"/>
            <w:tcBorders>
              <w:top w:val="nil"/>
              <w:left w:val="nil"/>
              <w:bottom w:val="single" w:sz="4" w:space="0" w:color="auto"/>
              <w:right w:val="single" w:sz="8" w:space="0" w:color="auto"/>
            </w:tcBorders>
            <w:shd w:val="clear" w:color="auto" w:fill="auto"/>
            <w:hideMark/>
          </w:tcPr>
          <w:p w14:paraId="162C6B68" w14:textId="77777777" w:rsidR="001C1946" w:rsidRPr="005D6582" w:rsidRDefault="001C1946" w:rsidP="001A27C6">
            <w:pPr>
              <w:spacing w:after="0"/>
              <w:rPr>
                <w:b/>
                <w:sz w:val="20"/>
              </w:rPr>
            </w:pPr>
            <w:r w:rsidRPr="005D6582">
              <w:rPr>
                <w:b/>
                <w:sz w:val="20"/>
              </w:rPr>
              <w:t xml:space="preserve">Telekomunikační </w:t>
            </w:r>
            <w:r w:rsidRPr="005D6582">
              <w:rPr>
                <w:rFonts w:cs="Calibri"/>
                <w:b/>
                <w:bCs/>
                <w:sz w:val="20"/>
              </w:rPr>
              <w:t>činnosti</w:t>
            </w:r>
          </w:p>
        </w:tc>
      </w:tr>
      <w:tr w:rsidR="001C1946" w:rsidRPr="005D6582" w14:paraId="16280177"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0C475A2" w14:textId="77777777" w:rsidR="001C1946" w:rsidRPr="005D6582" w:rsidRDefault="001C1946" w:rsidP="001A27C6">
            <w:pPr>
              <w:spacing w:after="0"/>
              <w:rPr>
                <w:b/>
                <w:sz w:val="20"/>
              </w:rPr>
            </w:pPr>
            <w:r w:rsidRPr="005D6582">
              <w:rPr>
                <w:b/>
                <w:sz w:val="20"/>
              </w:rPr>
              <w:t>62</w:t>
            </w:r>
          </w:p>
        </w:tc>
        <w:tc>
          <w:tcPr>
            <w:tcW w:w="8795" w:type="dxa"/>
            <w:tcBorders>
              <w:top w:val="nil"/>
              <w:left w:val="nil"/>
              <w:bottom w:val="single" w:sz="4" w:space="0" w:color="auto"/>
              <w:right w:val="single" w:sz="8" w:space="0" w:color="auto"/>
            </w:tcBorders>
            <w:shd w:val="clear" w:color="auto" w:fill="auto"/>
            <w:hideMark/>
          </w:tcPr>
          <w:p w14:paraId="7BE187E9" w14:textId="77777777" w:rsidR="001C1946" w:rsidRPr="005D6582" w:rsidRDefault="001C1946" w:rsidP="001A27C6">
            <w:pPr>
              <w:spacing w:after="0"/>
              <w:rPr>
                <w:b/>
                <w:sz w:val="20"/>
              </w:rPr>
            </w:pPr>
            <w:r w:rsidRPr="005D6582">
              <w:rPr>
                <w:b/>
                <w:sz w:val="20"/>
              </w:rPr>
              <w:t>Činnosti v oblasti informačních technologií</w:t>
            </w:r>
          </w:p>
        </w:tc>
      </w:tr>
      <w:tr w:rsidR="001C1946" w:rsidRPr="005D6582" w14:paraId="26A2F40D" w14:textId="77777777" w:rsidTr="00052838">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7CCE39C" w14:textId="77777777" w:rsidR="001C1946" w:rsidRPr="005D6582" w:rsidRDefault="001C1946" w:rsidP="001A27C6">
            <w:pPr>
              <w:spacing w:after="0"/>
              <w:rPr>
                <w:b/>
                <w:sz w:val="20"/>
              </w:rPr>
            </w:pPr>
            <w:r w:rsidRPr="005D6582">
              <w:rPr>
                <w:b/>
                <w:sz w:val="20"/>
              </w:rPr>
              <w:t>63</w:t>
            </w:r>
          </w:p>
        </w:tc>
        <w:tc>
          <w:tcPr>
            <w:tcW w:w="8795" w:type="dxa"/>
            <w:tcBorders>
              <w:top w:val="nil"/>
              <w:left w:val="nil"/>
              <w:bottom w:val="single" w:sz="4" w:space="0" w:color="auto"/>
              <w:right w:val="single" w:sz="8" w:space="0" w:color="auto"/>
            </w:tcBorders>
            <w:shd w:val="clear" w:color="auto" w:fill="auto"/>
            <w:hideMark/>
          </w:tcPr>
          <w:p w14:paraId="2A44A60C" w14:textId="77777777" w:rsidR="001C1946" w:rsidRPr="005D6582" w:rsidRDefault="001C1946" w:rsidP="001A27C6">
            <w:pPr>
              <w:spacing w:after="0"/>
              <w:rPr>
                <w:b/>
                <w:sz w:val="20"/>
              </w:rPr>
            </w:pPr>
            <w:r w:rsidRPr="005D6582">
              <w:rPr>
                <w:b/>
                <w:sz w:val="20"/>
              </w:rPr>
              <w:t>Informační činnosti</w:t>
            </w:r>
          </w:p>
        </w:tc>
      </w:tr>
      <w:tr w:rsidR="00D1370B" w:rsidRPr="005D6582" w14:paraId="09943832" w14:textId="77777777" w:rsidTr="00052838">
        <w:trPr>
          <w:trHeight w:val="270"/>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795A75" w14:textId="77777777" w:rsidR="00D1370B" w:rsidRPr="005D6582" w:rsidRDefault="00D1370B" w:rsidP="00075B25">
            <w:pPr>
              <w:spacing w:after="0"/>
              <w:rPr>
                <w:rFonts w:cs="Calibri"/>
                <w:sz w:val="20"/>
              </w:rPr>
            </w:pPr>
          </w:p>
        </w:tc>
        <w:tc>
          <w:tcPr>
            <w:tcW w:w="8795" w:type="dxa"/>
            <w:tcBorders>
              <w:top w:val="single" w:sz="4" w:space="0" w:color="auto"/>
              <w:left w:val="single" w:sz="4" w:space="0" w:color="auto"/>
              <w:bottom w:val="single" w:sz="4" w:space="0" w:color="auto"/>
              <w:right w:val="single" w:sz="4" w:space="0" w:color="auto"/>
            </w:tcBorders>
            <w:shd w:val="clear" w:color="auto" w:fill="auto"/>
          </w:tcPr>
          <w:p w14:paraId="4E901C23" w14:textId="77777777" w:rsidR="00D1370B" w:rsidRPr="005D6582" w:rsidRDefault="00D1370B" w:rsidP="00075B25">
            <w:pPr>
              <w:spacing w:after="0"/>
              <w:rPr>
                <w:rFonts w:cs="Calibri"/>
                <w:b/>
                <w:bCs/>
                <w:sz w:val="20"/>
              </w:rPr>
            </w:pPr>
          </w:p>
        </w:tc>
      </w:tr>
      <w:tr w:rsidR="00D1370B" w:rsidRPr="005D6582" w14:paraId="2A6AF669" w14:textId="77777777" w:rsidTr="0036005B">
        <w:trPr>
          <w:trHeight w:val="270"/>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C8299" w14:textId="77777777" w:rsidR="00D1370B" w:rsidRPr="005D6582" w:rsidRDefault="00D1370B" w:rsidP="00075B25">
            <w:pPr>
              <w:spacing w:after="0"/>
              <w:rPr>
                <w:rFonts w:cs="Calibri"/>
                <w:b/>
                <w:bCs/>
                <w:color w:val="4472C4"/>
                <w:sz w:val="20"/>
              </w:rPr>
            </w:pPr>
            <w:r w:rsidRPr="005D6582">
              <w:rPr>
                <w:rFonts w:cs="Calibri"/>
                <w:b/>
                <w:bCs/>
                <w:color w:val="4472C4"/>
                <w:sz w:val="20"/>
              </w:rPr>
              <w:t>SEKCE M – PROFESNÍ, VĚDECKÉ A TECHNICKÉ ČINNOSTI</w:t>
            </w:r>
          </w:p>
        </w:tc>
      </w:tr>
      <w:tr w:rsidR="001C1946" w:rsidRPr="005D6582" w14:paraId="1A9294E8" w14:textId="77777777" w:rsidTr="00052838">
        <w:trPr>
          <w:trHeight w:val="80"/>
        </w:trPr>
        <w:tc>
          <w:tcPr>
            <w:tcW w:w="1258" w:type="dxa"/>
            <w:gridSpan w:val="2"/>
            <w:tcBorders>
              <w:top w:val="single" w:sz="4" w:space="0" w:color="auto"/>
              <w:left w:val="single" w:sz="8" w:space="0" w:color="auto"/>
              <w:bottom w:val="single" w:sz="4" w:space="0" w:color="auto"/>
              <w:right w:val="single" w:sz="4" w:space="0" w:color="auto"/>
            </w:tcBorders>
            <w:shd w:val="clear" w:color="auto" w:fill="auto"/>
            <w:hideMark/>
          </w:tcPr>
          <w:p w14:paraId="647BD0EA" w14:textId="77777777" w:rsidR="001C1946" w:rsidRPr="005D6582" w:rsidRDefault="001C1946" w:rsidP="001A27C6">
            <w:pPr>
              <w:spacing w:after="0"/>
              <w:rPr>
                <w:b/>
                <w:sz w:val="20"/>
              </w:rPr>
            </w:pPr>
            <w:r w:rsidRPr="005D6582">
              <w:rPr>
                <w:b/>
                <w:sz w:val="20"/>
              </w:rPr>
              <w:t>69</w:t>
            </w:r>
          </w:p>
        </w:tc>
        <w:tc>
          <w:tcPr>
            <w:tcW w:w="8795" w:type="dxa"/>
            <w:tcBorders>
              <w:top w:val="single" w:sz="4" w:space="0" w:color="auto"/>
              <w:left w:val="nil"/>
              <w:bottom w:val="single" w:sz="4" w:space="0" w:color="auto"/>
              <w:right w:val="single" w:sz="8" w:space="0" w:color="auto"/>
            </w:tcBorders>
            <w:shd w:val="clear" w:color="auto" w:fill="auto"/>
            <w:hideMark/>
          </w:tcPr>
          <w:p w14:paraId="7D0A98BD" w14:textId="77777777" w:rsidR="001C1946" w:rsidRPr="005D6582" w:rsidRDefault="001C1946" w:rsidP="001A27C6">
            <w:pPr>
              <w:spacing w:after="0"/>
              <w:rPr>
                <w:b/>
                <w:sz w:val="20"/>
              </w:rPr>
            </w:pPr>
            <w:r w:rsidRPr="005D6582">
              <w:rPr>
                <w:b/>
                <w:sz w:val="20"/>
              </w:rPr>
              <w:t>Právní a účetnické činnosti</w:t>
            </w:r>
          </w:p>
        </w:tc>
      </w:tr>
      <w:tr w:rsidR="001C1946" w:rsidRPr="005D6582" w14:paraId="4FE5FEFA"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046740B5" w14:textId="77777777" w:rsidR="001C1946" w:rsidRPr="005D6582" w:rsidRDefault="001C1946" w:rsidP="001A27C6">
            <w:pPr>
              <w:spacing w:after="0"/>
              <w:rPr>
                <w:b/>
                <w:sz w:val="20"/>
              </w:rPr>
            </w:pPr>
            <w:r w:rsidRPr="005D6582">
              <w:rPr>
                <w:b/>
                <w:sz w:val="20"/>
              </w:rPr>
              <w:t>70</w:t>
            </w:r>
          </w:p>
        </w:tc>
        <w:tc>
          <w:tcPr>
            <w:tcW w:w="8795" w:type="dxa"/>
            <w:tcBorders>
              <w:top w:val="nil"/>
              <w:left w:val="nil"/>
              <w:bottom w:val="single" w:sz="4" w:space="0" w:color="auto"/>
              <w:right w:val="single" w:sz="8" w:space="0" w:color="auto"/>
            </w:tcBorders>
            <w:shd w:val="clear" w:color="auto" w:fill="auto"/>
            <w:hideMark/>
          </w:tcPr>
          <w:p w14:paraId="082A0A9E" w14:textId="77777777" w:rsidR="001C1946" w:rsidRPr="005D6582" w:rsidRDefault="001C1946" w:rsidP="001A27C6">
            <w:pPr>
              <w:spacing w:after="0"/>
              <w:rPr>
                <w:b/>
                <w:sz w:val="20"/>
              </w:rPr>
            </w:pPr>
            <w:r w:rsidRPr="005D6582">
              <w:rPr>
                <w:b/>
                <w:sz w:val="20"/>
              </w:rPr>
              <w:t>Činnosti vedení podniků; poradenství v</w:t>
            </w:r>
            <w:r w:rsidRPr="005D6582">
              <w:rPr>
                <w:rFonts w:cs="Calibri"/>
                <w:b/>
                <w:bCs/>
                <w:sz w:val="20"/>
              </w:rPr>
              <w:t> </w:t>
            </w:r>
            <w:r w:rsidRPr="005D6582">
              <w:rPr>
                <w:b/>
                <w:sz w:val="20"/>
              </w:rPr>
              <w:t>oblasti řízení</w:t>
            </w:r>
          </w:p>
        </w:tc>
      </w:tr>
      <w:tr w:rsidR="001C1946" w:rsidRPr="005D6582" w14:paraId="4B09FF6E"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573A3C6" w14:textId="77777777" w:rsidR="001C1946" w:rsidRPr="005D6582" w:rsidRDefault="001C1946" w:rsidP="001A27C6">
            <w:pPr>
              <w:spacing w:after="0"/>
              <w:rPr>
                <w:b/>
                <w:sz w:val="20"/>
              </w:rPr>
            </w:pPr>
            <w:r w:rsidRPr="005D6582">
              <w:rPr>
                <w:b/>
                <w:sz w:val="20"/>
              </w:rPr>
              <w:t>71</w:t>
            </w:r>
          </w:p>
        </w:tc>
        <w:tc>
          <w:tcPr>
            <w:tcW w:w="8795" w:type="dxa"/>
            <w:tcBorders>
              <w:top w:val="nil"/>
              <w:left w:val="nil"/>
              <w:bottom w:val="single" w:sz="4" w:space="0" w:color="auto"/>
              <w:right w:val="single" w:sz="8" w:space="0" w:color="auto"/>
            </w:tcBorders>
            <w:shd w:val="clear" w:color="auto" w:fill="auto"/>
            <w:hideMark/>
          </w:tcPr>
          <w:p w14:paraId="005EAC70" w14:textId="77777777" w:rsidR="001C1946" w:rsidRPr="005D6582" w:rsidRDefault="001C1946" w:rsidP="001A27C6">
            <w:pPr>
              <w:spacing w:after="0"/>
              <w:rPr>
                <w:b/>
                <w:sz w:val="20"/>
              </w:rPr>
            </w:pPr>
            <w:r w:rsidRPr="005D6582">
              <w:rPr>
                <w:b/>
                <w:sz w:val="20"/>
              </w:rPr>
              <w:t>Architektonické a inženýrské činnosti; technické zkoušky</w:t>
            </w:r>
            <w:r w:rsidRPr="005D6582">
              <w:rPr>
                <w:rFonts w:cs="Calibri"/>
                <w:b/>
                <w:bCs/>
                <w:sz w:val="20"/>
              </w:rPr>
              <w:t xml:space="preserve"> a</w:t>
            </w:r>
            <w:r w:rsidRPr="005D6582">
              <w:rPr>
                <w:b/>
                <w:sz w:val="20"/>
              </w:rPr>
              <w:t xml:space="preserve"> analýzy</w:t>
            </w:r>
          </w:p>
        </w:tc>
      </w:tr>
      <w:tr w:rsidR="001C1946" w:rsidRPr="005D6582" w14:paraId="5BF02F42"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9990863" w14:textId="77777777" w:rsidR="001C1946" w:rsidRPr="005D6582" w:rsidRDefault="001C1946" w:rsidP="001A27C6">
            <w:pPr>
              <w:spacing w:after="0"/>
              <w:rPr>
                <w:b/>
                <w:sz w:val="20"/>
              </w:rPr>
            </w:pPr>
            <w:r w:rsidRPr="005D6582">
              <w:rPr>
                <w:b/>
                <w:sz w:val="20"/>
              </w:rPr>
              <w:t>72</w:t>
            </w:r>
          </w:p>
        </w:tc>
        <w:tc>
          <w:tcPr>
            <w:tcW w:w="8795" w:type="dxa"/>
            <w:tcBorders>
              <w:top w:val="nil"/>
              <w:left w:val="nil"/>
              <w:bottom w:val="single" w:sz="4" w:space="0" w:color="auto"/>
              <w:right w:val="single" w:sz="8" w:space="0" w:color="auto"/>
            </w:tcBorders>
            <w:shd w:val="clear" w:color="auto" w:fill="auto"/>
            <w:hideMark/>
          </w:tcPr>
          <w:p w14:paraId="5EE395A1" w14:textId="77777777" w:rsidR="001C1946" w:rsidRPr="005D6582" w:rsidRDefault="001C1946" w:rsidP="001A27C6">
            <w:pPr>
              <w:spacing w:after="0"/>
              <w:rPr>
                <w:b/>
                <w:sz w:val="20"/>
              </w:rPr>
            </w:pPr>
            <w:r w:rsidRPr="005D6582">
              <w:rPr>
                <w:b/>
                <w:sz w:val="20"/>
              </w:rPr>
              <w:t>Výzkum a vývoj</w:t>
            </w:r>
          </w:p>
        </w:tc>
      </w:tr>
      <w:tr w:rsidR="001C1946" w:rsidRPr="005D6582" w14:paraId="1ABEBA2E"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851D4CA" w14:textId="77777777" w:rsidR="001C1946" w:rsidRPr="005D6582" w:rsidRDefault="001C1946" w:rsidP="001A27C6">
            <w:pPr>
              <w:spacing w:after="0"/>
              <w:rPr>
                <w:b/>
                <w:sz w:val="20"/>
              </w:rPr>
            </w:pPr>
            <w:r w:rsidRPr="005D6582">
              <w:rPr>
                <w:b/>
                <w:sz w:val="20"/>
              </w:rPr>
              <w:t>73</w:t>
            </w:r>
          </w:p>
        </w:tc>
        <w:tc>
          <w:tcPr>
            <w:tcW w:w="8795" w:type="dxa"/>
            <w:tcBorders>
              <w:top w:val="nil"/>
              <w:left w:val="nil"/>
              <w:bottom w:val="single" w:sz="4" w:space="0" w:color="auto"/>
              <w:right w:val="single" w:sz="8" w:space="0" w:color="auto"/>
            </w:tcBorders>
            <w:shd w:val="clear" w:color="auto" w:fill="auto"/>
            <w:hideMark/>
          </w:tcPr>
          <w:p w14:paraId="665D0CBE" w14:textId="77777777" w:rsidR="001C1946" w:rsidRPr="005D6582" w:rsidRDefault="001C1946" w:rsidP="001A27C6">
            <w:pPr>
              <w:spacing w:after="0"/>
              <w:rPr>
                <w:b/>
                <w:sz w:val="20"/>
              </w:rPr>
            </w:pPr>
            <w:r w:rsidRPr="005D6582">
              <w:rPr>
                <w:b/>
                <w:sz w:val="20"/>
              </w:rPr>
              <w:t>Reklama a průzkum trhu</w:t>
            </w:r>
          </w:p>
        </w:tc>
      </w:tr>
      <w:tr w:rsidR="001C1946" w:rsidRPr="005D6582" w14:paraId="42AD9C8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1F9326E" w14:textId="77777777" w:rsidR="001C1946" w:rsidRPr="005D6582" w:rsidRDefault="001C1946" w:rsidP="001A27C6">
            <w:pPr>
              <w:spacing w:after="0"/>
              <w:rPr>
                <w:b/>
                <w:sz w:val="20"/>
              </w:rPr>
            </w:pPr>
            <w:r w:rsidRPr="005D6582">
              <w:rPr>
                <w:b/>
                <w:sz w:val="20"/>
              </w:rPr>
              <w:t>74</w:t>
            </w:r>
          </w:p>
        </w:tc>
        <w:tc>
          <w:tcPr>
            <w:tcW w:w="8795" w:type="dxa"/>
            <w:tcBorders>
              <w:top w:val="nil"/>
              <w:left w:val="nil"/>
              <w:bottom w:val="single" w:sz="4" w:space="0" w:color="auto"/>
              <w:right w:val="single" w:sz="8" w:space="0" w:color="auto"/>
            </w:tcBorders>
            <w:shd w:val="clear" w:color="auto" w:fill="auto"/>
            <w:hideMark/>
          </w:tcPr>
          <w:p w14:paraId="701076E2" w14:textId="77777777" w:rsidR="001C1946" w:rsidRPr="005D6582" w:rsidRDefault="001C1946" w:rsidP="001A27C6">
            <w:pPr>
              <w:spacing w:after="0"/>
              <w:rPr>
                <w:b/>
                <w:sz w:val="20"/>
              </w:rPr>
            </w:pPr>
            <w:r w:rsidRPr="005D6582">
              <w:rPr>
                <w:b/>
                <w:sz w:val="20"/>
              </w:rPr>
              <w:t>Ostatní profesní, vědecké a technické činnosti</w:t>
            </w:r>
          </w:p>
        </w:tc>
      </w:tr>
      <w:tr w:rsidR="001C1946" w:rsidRPr="005D6582" w14:paraId="32DA6D0B"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95B04EB" w14:textId="77777777" w:rsidR="001C1946" w:rsidRPr="005D6582" w:rsidRDefault="001C1946" w:rsidP="001A27C6">
            <w:pPr>
              <w:spacing w:after="0"/>
              <w:rPr>
                <w:b/>
                <w:sz w:val="20"/>
              </w:rPr>
            </w:pPr>
            <w:r w:rsidRPr="005D6582">
              <w:rPr>
                <w:rFonts w:cs="Calibri"/>
                <w:b/>
                <w:bCs/>
                <w:sz w:val="20"/>
              </w:rPr>
              <w:t>75</w:t>
            </w:r>
          </w:p>
        </w:tc>
        <w:tc>
          <w:tcPr>
            <w:tcW w:w="8795" w:type="dxa"/>
            <w:tcBorders>
              <w:top w:val="nil"/>
              <w:left w:val="nil"/>
              <w:bottom w:val="single" w:sz="4" w:space="0" w:color="auto"/>
              <w:right w:val="single" w:sz="8" w:space="0" w:color="auto"/>
            </w:tcBorders>
            <w:shd w:val="clear" w:color="auto" w:fill="auto"/>
            <w:hideMark/>
          </w:tcPr>
          <w:p w14:paraId="53D87A58" w14:textId="77777777" w:rsidR="001C1946" w:rsidRPr="005D6582" w:rsidRDefault="001C1946" w:rsidP="001A27C6">
            <w:pPr>
              <w:spacing w:after="0"/>
              <w:rPr>
                <w:b/>
                <w:sz w:val="20"/>
              </w:rPr>
            </w:pPr>
            <w:r w:rsidRPr="005D6582">
              <w:rPr>
                <w:rFonts w:cs="Calibri"/>
                <w:b/>
                <w:bCs/>
                <w:sz w:val="20"/>
              </w:rPr>
              <w:t>Veterinární</w:t>
            </w:r>
            <w:r w:rsidRPr="005D6582">
              <w:rPr>
                <w:b/>
                <w:sz w:val="20"/>
              </w:rPr>
              <w:t xml:space="preserve"> činnosti</w:t>
            </w:r>
          </w:p>
        </w:tc>
      </w:tr>
      <w:tr w:rsidR="001C1946" w:rsidRPr="005D6582" w14:paraId="16C29842"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0960821" w14:textId="77777777" w:rsidR="001C1946" w:rsidRPr="005D6582" w:rsidRDefault="001C1946" w:rsidP="00075B25">
            <w:pPr>
              <w:spacing w:after="0"/>
              <w:rPr>
                <w:rFonts w:cs="Calibri"/>
              </w:rPr>
            </w:pPr>
          </w:p>
        </w:tc>
      </w:tr>
      <w:tr w:rsidR="001C1946" w:rsidRPr="005D6582" w14:paraId="3D6B1611"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4257CD48" w14:textId="77777777" w:rsidR="001C1946" w:rsidRPr="005D6582" w:rsidRDefault="001C1946" w:rsidP="00075B25">
            <w:pPr>
              <w:spacing w:after="0"/>
              <w:rPr>
                <w:rFonts w:cs="Calibri"/>
                <w:b/>
                <w:bCs/>
                <w:color w:val="4472C4"/>
                <w:sz w:val="20"/>
              </w:rPr>
            </w:pPr>
            <w:r w:rsidRPr="005D6582">
              <w:rPr>
                <w:rFonts w:cs="Calibri"/>
              </w:rPr>
              <w:br w:type="page"/>
            </w:r>
            <w:r w:rsidRPr="005D6582">
              <w:rPr>
                <w:rFonts w:cs="Calibri"/>
                <w:b/>
                <w:bCs/>
                <w:color w:val="4472C4"/>
                <w:sz w:val="20"/>
              </w:rPr>
              <w:t>SEKCE N - ADMINISTRATIVNÍ A PODPŮRNÉ ČINNOSTI</w:t>
            </w:r>
          </w:p>
        </w:tc>
      </w:tr>
      <w:tr w:rsidR="001C1946" w:rsidRPr="005D6582" w14:paraId="58293EC5"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03A504F" w14:textId="77777777" w:rsidR="001C1946" w:rsidRPr="005D6582" w:rsidRDefault="001C1946" w:rsidP="00075B25">
            <w:pPr>
              <w:spacing w:after="0"/>
              <w:rPr>
                <w:rFonts w:cs="Calibri"/>
                <w:b/>
                <w:bCs/>
                <w:sz w:val="20"/>
              </w:rPr>
            </w:pPr>
            <w:r w:rsidRPr="005D6582">
              <w:rPr>
                <w:rFonts w:cs="Calibri"/>
                <w:b/>
                <w:bCs/>
                <w:sz w:val="20"/>
              </w:rPr>
              <w:t>77</w:t>
            </w:r>
          </w:p>
        </w:tc>
        <w:tc>
          <w:tcPr>
            <w:tcW w:w="8795" w:type="dxa"/>
            <w:tcBorders>
              <w:top w:val="nil"/>
              <w:left w:val="nil"/>
              <w:bottom w:val="single" w:sz="4" w:space="0" w:color="auto"/>
              <w:right w:val="single" w:sz="8" w:space="0" w:color="auto"/>
            </w:tcBorders>
            <w:shd w:val="clear" w:color="auto" w:fill="auto"/>
            <w:hideMark/>
          </w:tcPr>
          <w:p w14:paraId="6827C123" w14:textId="77777777" w:rsidR="001C1946" w:rsidRPr="005D6582" w:rsidRDefault="001C1946" w:rsidP="00075B25">
            <w:pPr>
              <w:spacing w:after="0"/>
              <w:rPr>
                <w:rFonts w:cs="Calibri"/>
                <w:b/>
                <w:bCs/>
                <w:sz w:val="20"/>
              </w:rPr>
            </w:pPr>
            <w:r w:rsidRPr="005D6582">
              <w:rPr>
                <w:rFonts w:cs="Calibri"/>
                <w:b/>
                <w:bCs/>
                <w:sz w:val="20"/>
              </w:rPr>
              <w:t>Činnosti v oblasti pronájmu a operativního leasingu</w:t>
            </w:r>
          </w:p>
        </w:tc>
      </w:tr>
      <w:tr w:rsidR="001C1946" w:rsidRPr="005D6582" w14:paraId="2286C051"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159EA5A" w14:textId="77777777" w:rsidR="001C1946" w:rsidRPr="005D6582" w:rsidRDefault="001C1946" w:rsidP="001A27C6">
            <w:pPr>
              <w:spacing w:after="0"/>
              <w:rPr>
                <w:b/>
                <w:sz w:val="20"/>
              </w:rPr>
            </w:pPr>
            <w:r w:rsidRPr="005D6582">
              <w:rPr>
                <w:b/>
                <w:sz w:val="20"/>
              </w:rPr>
              <w:t>78</w:t>
            </w:r>
          </w:p>
        </w:tc>
        <w:tc>
          <w:tcPr>
            <w:tcW w:w="8795" w:type="dxa"/>
            <w:tcBorders>
              <w:top w:val="nil"/>
              <w:left w:val="nil"/>
              <w:bottom w:val="single" w:sz="4" w:space="0" w:color="auto"/>
              <w:right w:val="single" w:sz="8" w:space="0" w:color="auto"/>
            </w:tcBorders>
            <w:shd w:val="clear" w:color="auto" w:fill="auto"/>
            <w:hideMark/>
          </w:tcPr>
          <w:p w14:paraId="31804FEB" w14:textId="77777777" w:rsidR="001C1946" w:rsidRPr="005D6582" w:rsidRDefault="001C1946" w:rsidP="001A27C6">
            <w:pPr>
              <w:spacing w:after="0"/>
              <w:rPr>
                <w:b/>
                <w:sz w:val="20"/>
              </w:rPr>
            </w:pPr>
            <w:r w:rsidRPr="005D6582">
              <w:rPr>
                <w:b/>
                <w:sz w:val="20"/>
              </w:rPr>
              <w:t>Činnosti související se zaměstnáním</w:t>
            </w:r>
          </w:p>
        </w:tc>
      </w:tr>
      <w:tr w:rsidR="001C1946" w:rsidRPr="005D6582" w14:paraId="611AF61C"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68CA404" w14:textId="77777777" w:rsidR="001C1946" w:rsidRPr="005D6582" w:rsidRDefault="001C1946" w:rsidP="001A27C6">
            <w:pPr>
              <w:spacing w:after="0"/>
              <w:rPr>
                <w:b/>
                <w:sz w:val="20"/>
              </w:rPr>
            </w:pPr>
            <w:r w:rsidRPr="005D6582">
              <w:rPr>
                <w:rFonts w:cs="Calibri"/>
                <w:b/>
                <w:bCs/>
                <w:sz w:val="20"/>
              </w:rPr>
              <w:t>79</w:t>
            </w:r>
          </w:p>
        </w:tc>
        <w:tc>
          <w:tcPr>
            <w:tcW w:w="8795" w:type="dxa"/>
            <w:tcBorders>
              <w:top w:val="nil"/>
              <w:left w:val="nil"/>
              <w:bottom w:val="single" w:sz="4" w:space="0" w:color="auto"/>
              <w:right w:val="single" w:sz="8" w:space="0" w:color="auto"/>
            </w:tcBorders>
            <w:shd w:val="clear" w:color="auto" w:fill="auto"/>
            <w:hideMark/>
          </w:tcPr>
          <w:p w14:paraId="7C7CF6F4" w14:textId="77777777" w:rsidR="001C1946" w:rsidRPr="005D6582" w:rsidRDefault="001C1946" w:rsidP="001A27C6">
            <w:pPr>
              <w:spacing w:after="0"/>
              <w:rPr>
                <w:b/>
                <w:sz w:val="20"/>
              </w:rPr>
            </w:pPr>
            <w:r w:rsidRPr="005D6582">
              <w:rPr>
                <w:rFonts w:cs="Calibri"/>
                <w:b/>
                <w:bCs/>
                <w:sz w:val="20"/>
              </w:rPr>
              <w:t>Činnosti cestovních agentur, kanceláří a jiné rezervační a související činnosti</w:t>
            </w:r>
          </w:p>
        </w:tc>
      </w:tr>
      <w:tr w:rsidR="001C1946" w:rsidRPr="005D6582" w14:paraId="023F097E"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62607998" w14:textId="77777777" w:rsidR="001C1946" w:rsidRPr="005D6582" w:rsidRDefault="001C1946" w:rsidP="00075B25">
            <w:pPr>
              <w:spacing w:after="0"/>
              <w:rPr>
                <w:rFonts w:cs="Calibri"/>
                <w:b/>
                <w:bCs/>
                <w:sz w:val="20"/>
              </w:rPr>
            </w:pPr>
            <w:r w:rsidRPr="005D6582">
              <w:rPr>
                <w:rFonts w:cs="Calibri"/>
                <w:b/>
                <w:bCs/>
                <w:sz w:val="20"/>
              </w:rPr>
              <w:t>80</w:t>
            </w:r>
          </w:p>
        </w:tc>
        <w:tc>
          <w:tcPr>
            <w:tcW w:w="8795" w:type="dxa"/>
            <w:tcBorders>
              <w:top w:val="nil"/>
              <w:left w:val="nil"/>
              <w:bottom w:val="single" w:sz="4" w:space="0" w:color="auto"/>
              <w:right w:val="single" w:sz="8" w:space="0" w:color="auto"/>
            </w:tcBorders>
            <w:shd w:val="clear" w:color="auto" w:fill="auto"/>
            <w:hideMark/>
          </w:tcPr>
          <w:p w14:paraId="2A25ABDD" w14:textId="77777777" w:rsidR="001C1946" w:rsidRPr="005D6582" w:rsidRDefault="001C1946" w:rsidP="00075B25">
            <w:pPr>
              <w:spacing w:after="0"/>
              <w:rPr>
                <w:rFonts w:cs="Calibri"/>
                <w:b/>
                <w:bCs/>
                <w:sz w:val="20"/>
              </w:rPr>
            </w:pPr>
            <w:r w:rsidRPr="005D6582">
              <w:rPr>
                <w:rFonts w:cs="Calibri"/>
                <w:b/>
                <w:bCs/>
                <w:sz w:val="20"/>
              </w:rPr>
              <w:t>Bezpečnostní a pátrací činnosti</w:t>
            </w:r>
          </w:p>
        </w:tc>
      </w:tr>
      <w:tr w:rsidR="001C1946" w:rsidRPr="005D6582" w14:paraId="6298C153"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475BCFD6" w14:textId="77777777" w:rsidR="001C1946" w:rsidRPr="005D6582" w:rsidRDefault="001C1946" w:rsidP="00075B25">
            <w:pPr>
              <w:spacing w:after="0"/>
              <w:rPr>
                <w:rFonts w:cs="Calibri"/>
                <w:b/>
                <w:bCs/>
                <w:sz w:val="20"/>
              </w:rPr>
            </w:pPr>
            <w:r w:rsidRPr="005D6582">
              <w:rPr>
                <w:rFonts w:cs="Calibri"/>
                <w:b/>
                <w:bCs/>
                <w:sz w:val="20"/>
              </w:rPr>
              <w:t>81</w:t>
            </w:r>
          </w:p>
        </w:tc>
        <w:tc>
          <w:tcPr>
            <w:tcW w:w="8795" w:type="dxa"/>
            <w:tcBorders>
              <w:top w:val="nil"/>
              <w:left w:val="nil"/>
              <w:bottom w:val="single" w:sz="4" w:space="0" w:color="auto"/>
              <w:right w:val="single" w:sz="8" w:space="0" w:color="auto"/>
            </w:tcBorders>
            <w:shd w:val="clear" w:color="auto" w:fill="auto"/>
            <w:hideMark/>
          </w:tcPr>
          <w:p w14:paraId="28410CE7" w14:textId="77777777" w:rsidR="001C1946" w:rsidRPr="005D6582" w:rsidRDefault="001C1946" w:rsidP="00075B25">
            <w:pPr>
              <w:spacing w:after="0"/>
              <w:rPr>
                <w:rFonts w:cs="Calibri"/>
                <w:b/>
                <w:bCs/>
                <w:sz w:val="20"/>
              </w:rPr>
            </w:pPr>
            <w:r w:rsidRPr="005D6582">
              <w:rPr>
                <w:rFonts w:cs="Calibri"/>
                <w:b/>
                <w:bCs/>
                <w:sz w:val="20"/>
              </w:rPr>
              <w:t xml:space="preserve">Činnosti související se stavbami a úpravou krajiny </w:t>
            </w:r>
          </w:p>
        </w:tc>
      </w:tr>
      <w:tr w:rsidR="001C1946" w:rsidRPr="005D6582" w14:paraId="1E29DC83"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193D6AF7" w14:textId="77777777" w:rsidR="001C1946" w:rsidRPr="005D6582" w:rsidRDefault="001C1946" w:rsidP="00075B25">
            <w:pPr>
              <w:spacing w:after="0"/>
              <w:rPr>
                <w:rFonts w:cs="Calibri"/>
                <w:b/>
                <w:bCs/>
                <w:sz w:val="20"/>
              </w:rPr>
            </w:pPr>
            <w:r w:rsidRPr="005D6582">
              <w:rPr>
                <w:rFonts w:cs="Calibri"/>
                <w:b/>
                <w:bCs/>
                <w:sz w:val="20"/>
              </w:rPr>
              <w:t>82</w:t>
            </w:r>
          </w:p>
        </w:tc>
        <w:tc>
          <w:tcPr>
            <w:tcW w:w="8795" w:type="dxa"/>
            <w:tcBorders>
              <w:top w:val="nil"/>
              <w:left w:val="nil"/>
              <w:bottom w:val="single" w:sz="4" w:space="0" w:color="auto"/>
              <w:right w:val="single" w:sz="8" w:space="0" w:color="auto"/>
            </w:tcBorders>
            <w:shd w:val="clear" w:color="auto" w:fill="auto"/>
            <w:hideMark/>
          </w:tcPr>
          <w:p w14:paraId="643D4917" w14:textId="77777777" w:rsidR="001C1946" w:rsidRPr="005D6582" w:rsidRDefault="001C1946" w:rsidP="00075B25">
            <w:pPr>
              <w:spacing w:after="0"/>
              <w:rPr>
                <w:rFonts w:cs="Calibri"/>
                <w:b/>
                <w:bCs/>
                <w:sz w:val="20"/>
              </w:rPr>
            </w:pPr>
            <w:r w:rsidRPr="005D6582">
              <w:rPr>
                <w:rFonts w:cs="Calibri"/>
                <w:b/>
                <w:bCs/>
                <w:sz w:val="20"/>
              </w:rPr>
              <w:t>Administrativní, kancelářské a jiné podpůrné činnosti pro podnikání</w:t>
            </w:r>
          </w:p>
        </w:tc>
      </w:tr>
      <w:tr w:rsidR="001C1946" w:rsidRPr="005D6582" w14:paraId="4EA6B032" w14:textId="77777777" w:rsidTr="001C1946">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14:paraId="46FD494F" w14:textId="77777777" w:rsidR="001C1946" w:rsidRPr="005D6582" w:rsidRDefault="001C1946" w:rsidP="00075B25">
            <w:pPr>
              <w:spacing w:after="0"/>
              <w:rPr>
                <w:rFonts w:cs="Calibri"/>
                <w:sz w:val="20"/>
              </w:rPr>
            </w:pPr>
            <w:r w:rsidRPr="005D6582">
              <w:rPr>
                <w:rFonts w:cs="Calibri"/>
                <w:sz w:val="20"/>
              </w:rPr>
              <w:t> </w:t>
            </w:r>
          </w:p>
        </w:tc>
        <w:tc>
          <w:tcPr>
            <w:tcW w:w="8795" w:type="dxa"/>
            <w:tcBorders>
              <w:top w:val="nil"/>
              <w:left w:val="nil"/>
              <w:bottom w:val="nil"/>
              <w:right w:val="single" w:sz="8" w:space="0" w:color="auto"/>
            </w:tcBorders>
            <w:shd w:val="clear" w:color="auto" w:fill="auto"/>
            <w:hideMark/>
          </w:tcPr>
          <w:p w14:paraId="7DF22C9E" w14:textId="77777777" w:rsidR="001C1946" w:rsidRPr="005D6582" w:rsidRDefault="001C1946" w:rsidP="00075B25">
            <w:pPr>
              <w:spacing w:after="0"/>
              <w:rPr>
                <w:rFonts w:cs="Calibri"/>
                <w:b/>
                <w:bCs/>
                <w:sz w:val="20"/>
              </w:rPr>
            </w:pPr>
            <w:r w:rsidRPr="005D6582">
              <w:rPr>
                <w:rFonts w:cs="Calibri"/>
                <w:b/>
                <w:bCs/>
                <w:sz w:val="20"/>
              </w:rPr>
              <w:t> </w:t>
            </w:r>
          </w:p>
        </w:tc>
      </w:tr>
      <w:tr w:rsidR="001C1946" w:rsidRPr="005D6582" w14:paraId="1603AF0A"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BC23F4F" w14:textId="77777777" w:rsidR="001C1946" w:rsidRPr="005D6582" w:rsidRDefault="001C1946" w:rsidP="00075B25">
            <w:pPr>
              <w:spacing w:after="0"/>
              <w:rPr>
                <w:rFonts w:cs="Calibri"/>
                <w:b/>
                <w:bCs/>
                <w:color w:val="4472C4"/>
                <w:sz w:val="20"/>
                <w:vertAlign w:val="superscript"/>
              </w:rPr>
            </w:pPr>
            <w:r w:rsidRPr="005D6582">
              <w:rPr>
                <w:rFonts w:cs="Calibri"/>
                <w:b/>
                <w:bCs/>
                <w:color w:val="4472C4"/>
                <w:sz w:val="20"/>
              </w:rPr>
              <w:t>SEKCE P – VZDĚLÁVÁNÍ</w:t>
            </w:r>
          </w:p>
        </w:tc>
      </w:tr>
      <w:tr w:rsidR="001C1946" w:rsidRPr="005D6582" w14:paraId="3934BB7E"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265ED77E" w14:textId="77777777" w:rsidR="001C1946" w:rsidRPr="005D6582" w:rsidRDefault="001C1946" w:rsidP="00075B25">
            <w:pPr>
              <w:spacing w:after="0"/>
              <w:rPr>
                <w:rFonts w:cs="Calibri"/>
                <w:b/>
                <w:bCs/>
                <w:sz w:val="20"/>
              </w:rPr>
            </w:pPr>
            <w:r w:rsidRPr="005D6582">
              <w:rPr>
                <w:rFonts w:cs="Calibri"/>
                <w:b/>
                <w:bCs/>
                <w:sz w:val="20"/>
              </w:rPr>
              <w:t>85</w:t>
            </w:r>
          </w:p>
        </w:tc>
        <w:tc>
          <w:tcPr>
            <w:tcW w:w="8795" w:type="dxa"/>
            <w:tcBorders>
              <w:top w:val="nil"/>
              <w:left w:val="nil"/>
              <w:bottom w:val="single" w:sz="4" w:space="0" w:color="auto"/>
              <w:right w:val="single" w:sz="8" w:space="0" w:color="auto"/>
            </w:tcBorders>
            <w:shd w:val="clear" w:color="auto" w:fill="auto"/>
            <w:hideMark/>
          </w:tcPr>
          <w:p w14:paraId="1F7DD3D8" w14:textId="77777777" w:rsidR="001C1946" w:rsidRPr="005D6582" w:rsidRDefault="001C1946" w:rsidP="00075B25">
            <w:pPr>
              <w:spacing w:after="0"/>
              <w:rPr>
                <w:rFonts w:cs="Calibri"/>
                <w:b/>
                <w:bCs/>
                <w:sz w:val="20"/>
              </w:rPr>
            </w:pPr>
            <w:r w:rsidRPr="005D6582">
              <w:rPr>
                <w:rFonts w:cs="Calibri"/>
                <w:b/>
                <w:bCs/>
                <w:sz w:val="20"/>
              </w:rPr>
              <w:t>Vzdělávání</w:t>
            </w:r>
          </w:p>
        </w:tc>
      </w:tr>
      <w:tr w:rsidR="001C1946" w:rsidRPr="005D6582" w14:paraId="5C4A8F38" w14:textId="77777777" w:rsidTr="001C1946">
        <w:trPr>
          <w:trHeight w:val="270"/>
        </w:trPr>
        <w:tc>
          <w:tcPr>
            <w:tcW w:w="1258" w:type="dxa"/>
            <w:gridSpan w:val="2"/>
            <w:tcBorders>
              <w:top w:val="nil"/>
              <w:left w:val="single" w:sz="8" w:space="0" w:color="auto"/>
              <w:bottom w:val="nil"/>
              <w:right w:val="single" w:sz="4" w:space="0" w:color="auto"/>
            </w:tcBorders>
            <w:shd w:val="clear" w:color="auto" w:fill="auto"/>
            <w:noWrap/>
            <w:vAlign w:val="bottom"/>
            <w:hideMark/>
          </w:tcPr>
          <w:p w14:paraId="3709A931" w14:textId="77777777" w:rsidR="001C1946" w:rsidRPr="005D6582" w:rsidRDefault="001C1946" w:rsidP="00075B25">
            <w:pPr>
              <w:spacing w:after="0"/>
              <w:rPr>
                <w:rFonts w:cs="Calibri"/>
                <w:sz w:val="20"/>
              </w:rPr>
            </w:pPr>
            <w:r w:rsidRPr="005D6582">
              <w:rPr>
                <w:rFonts w:cs="Calibri"/>
                <w:sz w:val="20"/>
              </w:rPr>
              <w:t> </w:t>
            </w:r>
          </w:p>
        </w:tc>
        <w:tc>
          <w:tcPr>
            <w:tcW w:w="8795" w:type="dxa"/>
            <w:tcBorders>
              <w:top w:val="nil"/>
              <w:left w:val="nil"/>
              <w:bottom w:val="nil"/>
              <w:right w:val="single" w:sz="8" w:space="0" w:color="auto"/>
            </w:tcBorders>
            <w:shd w:val="clear" w:color="auto" w:fill="auto"/>
            <w:hideMark/>
          </w:tcPr>
          <w:p w14:paraId="08AC7D2B" w14:textId="77777777" w:rsidR="001C1946" w:rsidRPr="005D6582" w:rsidRDefault="001C1946" w:rsidP="00075B25">
            <w:pPr>
              <w:spacing w:after="0"/>
              <w:rPr>
                <w:rFonts w:cs="Calibri"/>
                <w:b/>
                <w:bCs/>
                <w:sz w:val="20"/>
              </w:rPr>
            </w:pPr>
            <w:r w:rsidRPr="005D6582">
              <w:rPr>
                <w:rFonts w:cs="Calibri"/>
                <w:b/>
                <w:bCs/>
                <w:sz w:val="20"/>
              </w:rPr>
              <w:t> </w:t>
            </w:r>
          </w:p>
        </w:tc>
      </w:tr>
      <w:tr w:rsidR="001C1946" w:rsidRPr="005D6582" w14:paraId="4F0DC7DD" w14:textId="77777777" w:rsidTr="001C1946">
        <w:trPr>
          <w:trHeight w:val="270"/>
        </w:trPr>
        <w:tc>
          <w:tcPr>
            <w:tcW w:w="10053"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336544D1" w14:textId="77777777" w:rsidR="001C1946" w:rsidRPr="005D6582" w:rsidRDefault="001C1946" w:rsidP="00075B25">
            <w:pPr>
              <w:spacing w:after="0"/>
              <w:rPr>
                <w:rFonts w:cs="Calibri"/>
                <w:b/>
                <w:bCs/>
                <w:color w:val="4472C4"/>
                <w:sz w:val="20"/>
              </w:rPr>
            </w:pPr>
            <w:r w:rsidRPr="005D6582">
              <w:rPr>
                <w:rFonts w:cs="Calibri"/>
                <w:b/>
                <w:bCs/>
                <w:color w:val="4472C4"/>
                <w:sz w:val="20"/>
              </w:rPr>
              <w:lastRenderedPageBreak/>
              <w:t>SEKCE Q - ZDRAVOTNÍ A SOCIÁLNÍ PÉČE</w:t>
            </w:r>
          </w:p>
        </w:tc>
      </w:tr>
      <w:tr w:rsidR="001C1946" w:rsidRPr="005D6582" w14:paraId="3AB7C9BF"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EB93D21" w14:textId="77777777" w:rsidR="001C1946" w:rsidRPr="005D6582" w:rsidRDefault="001C1946" w:rsidP="00075B25">
            <w:pPr>
              <w:spacing w:after="0"/>
              <w:rPr>
                <w:rFonts w:cs="Calibri"/>
                <w:b/>
                <w:bCs/>
                <w:sz w:val="20"/>
              </w:rPr>
            </w:pPr>
            <w:r w:rsidRPr="005D6582">
              <w:rPr>
                <w:rFonts w:cs="Calibri"/>
                <w:b/>
                <w:bCs/>
                <w:sz w:val="20"/>
              </w:rPr>
              <w:t>86</w:t>
            </w:r>
          </w:p>
        </w:tc>
        <w:tc>
          <w:tcPr>
            <w:tcW w:w="8795" w:type="dxa"/>
            <w:tcBorders>
              <w:top w:val="nil"/>
              <w:left w:val="nil"/>
              <w:bottom w:val="single" w:sz="4" w:space="0" w:color="auto"/>
              <w:right w:val="single" w:sz="8" w:space="0" w:color="auto"/>
            </w:tcBorders>
            <w:shd w:val="clear" w:color="auto" w:fill="auto"/>
            <w:hideMark/>
          </w:tcPr>
          <w:p w14:paraId="036AFEA6" w14:textId="77777777" w:rsidR="001C1946" w:rsidRPr="005D6582" w:rsidRDefault="001C1946" w:rsidP="00075B25">
            <w:pPr>
              <w:spacing w:after="0"/>
              <w:rPr>
                <w:rFonts w:cs="Calibri"/>
                <w:b/>
                <w:bCs/>
                <w:sz w:val="20"/>
              </w:rPr>
            </w:pPr>
            <w:r w:rsidRPr="005D6582">
              <w:rPr>
                <w:rFonts w:cs="Calibri"/>
                <w:b/>
                <w:bCs/>
                <w:sz w:val="20"/>
              </w:rPr>
              <w:t>Zdravotní péče</w:t>
            </w:r>
          </w:p>
        </w:tc>
      </w:tr>
      <w:tr w:rsidR="001C1946" w:rsidRPr="005D6582" w14:paraId="3BF5B11D"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37C37B01" w14:textId="77777777" w:rsidR="001C1946" w:rsidRPr="005D6582" w:rsidRDefault="001C1946" w:rsidP="00075B25">
            <w:pPr>
              <w:spacing w:after="0"/>
              <w:rPr>
                <w:rFonts w:cs="Calibri"/>
                <w:b/>
                <w:bCs/>
                <w:sz w:val="20"/>
              </w:rPr>
            </w:pPr>
            <w:r w:rsidRPr="005D6582">
              <w:rPr>
                <w:rFonts w:cs="Calibri"/>
                <w:b/>
                <w:bCs/>
                <w:sz w:val="20"/>
              </w:rPr>
              <w:t>87</w:t>
            </w:r>
          </w:p>
        </w:tc>
        <w:tc>
          <w:tcPr>
            <w:tcW w:w="8795" w:type="dxa"/>
            <w:tcBorders>
              <w:top w:val="nil"/>
              <w:left w:val="nil"/>
              <w:bottom w:val="single" w:sz="4" w:space="0" w:color="auto"/>
              <w:right w:val="single" w:sz="8" w:space="0" w:color="auto"/>
            </w:tcBorders>
            <w:shd w:val="clear" w:color="auto" w:fill="auto"/>
            <w:hideMark/>
          </w:tcPr>
          <w:p w14:paraId="6152AE4D" w14:textId="77777777" w:rsidR="001C1946" w:rsidRPr="005D6582" w:rsidRDefault="001C1946" w:rsidP="00075B25">
            <w:pPr>
              <w:spacing w:after="0"/>
              <w:rPr>
                <w:rFonts w:cs="Calibri"/>
                <w:b/>
                <w:bCs/>
                <w:sz w:val="20"/>
              </w:rPr>
            </w:pPr>
            <w:r w:rsidRPr="005D6582">
              <w:rPr>
                <w:rFonts w:cs="Calibri"/>
                <w:b/>
                <w:bCs/>
                <w:sz w:val="20"/>
              </w:rPr>
              <w:t>Pobytové služby sociální péče</w:t>
            </w:r>
          </w:p>
        </w:tc>
      </w:tr>
      <w:tr w:rsidR="001C1946" w:rsidRPr="005D6582" w14:paraId="6A492BB9"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5B988A03" w14:textId="77777777" w:rsidR="001C1946" w:rsidRPr="005D6582" w:rsidRDefault="001C1946" w:rsidP="00075B25">
            <w:pPr>
              <w:spacing w:after="0"/>
              <w:rPr>
                <w:rFonts w:cs="Calibri"/>
                <w:b/>
                <w:bCs/>
                <w:sz w:val="20"/>
              </w:rPr>
            </w:pPr>
            <w:r w:rsidRPr="005D6582">
              <w:rPr>
                <w:rFonts w:cs="Calibri"/>
                <w:b/>
                <w:bCs/>
                <w:sz w:val="20"/>
              </w:rPr>
              <w:t>88</w:t>
            </w:r>
          </w:p>
        </w:tc>
        <w:tc>
          <w:tcPr>
            <w:tcW w:w="8795" w:type="dxa"/>
            <w:tcBorders>
              <w:top w:val="nil"/>
              <w:left w:val="nil"/>
              <w:bottom w:val="single" w:sz="4" w:space="0" w:color="auto"/>
              <w:right w:val="single" w:sz="8" w:space="0" w:color="auto"/>
            </w:tcBorders>
            <w:shd w:val="clear" w:color="auto" w:fill="auto"/>
            <w:hideMark/>
          </w:tcPr>
          <w:p w14:paraId="05F38530" w14:textId="77777777" w:rsidR="001C1946" w:rsidRPr="005D6582" w:rsidRDefault="001C1946" w:rsidP="00075B25">
            <w:pPr>
              <w:spacing w:after="0"/>
              <w:rPr>
                <w:rFonts w:cs="Calibri"/>
                <w:b/>
                <w:bCs/>
                <w:sz w:val="20"/>
              </w:rPr>
            </w:pPr>
            <w:r w:rsidRPr="005D6582">
              <w:rPr>
                <w:rFonts w:cs="Calibri"/>
                <w:b/>
                <w:bCs/>
                <w:sz w:val="20"/>
              </w:rPr>
              <w:t>Ambulantní nebo terénní sociální služby</w:t>
            </w:r>
          </w:p>
        </w:tc>
      </w:tr>
      <w:tr w:rsidR="001C1946" w:rsidRPr="005D6582" w14:paraId="430D7D98"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141F3545" w14:textId="77777777" w:rsidR="001C1946" w:rsidRPr="005D6582" w:rsidRDefault="001C1946" w:rsidP="00075B25">
            <w:pPr>
              <w:spacing w:after="0"/>
              <w:rPr>
                <w:rFonts w:cs="Calibri"/>
                <w:sz w:val="20"/>
              </w:rPr>
            </w:pPr>
            <w:r w:rsidRPr="005D6582">
              <w:rPr>
                <w:rFonts w:cs="Calibri"/>
                <w:sz w:val="20"/>
              </w:rPr>
              <w:t> </w:t>
            </w:r>
          </w:p>
        </w:tc>
        <w:tc>
          <w:tcPr>
            <w:tcW w:w="8795" w:type="dxa"/>
            <w:tcBorders>
              <w:top w:val="nil"/>
              <w:left w:val="nil"/>
              <w:bottom w:val="single" w:sz="4" w:space="0" w:color="auto"/>
              <w:right w:val="single" w:sz="8" w:space="0" w:color="auto"/>
            </w:tcBorders>
            <w:shd w:val="clear" w:color="auto" w:fill="auto"/>
            <w:hideMark/>
          </w:tcPr>
          <w:p w14:paraId="0C4B6279" w14:textId="77777777" w:rsidR="001C1946" w:rsidRPr="005D6582" w:rsidRDefault="001C1946" w:rsidP="00075B25">
            <w:pPr>
              <w:spacing w:after="0"/>
              <w:rPr>
                <w:rFonts w:cs="Calibri"/>
                <w:b/>
                <w:bCs/>
                <w:sz w:val="20"/>
              </w:rPr>
            </w:pPr>
            <w:r w:rsidRPr="005D6582">
              <w:rPr>
                <w:rFonts w:cs="Calibri"/>
                <w:b/>
                <w:bCs/>
                <w:sz w:val="20"/>
              </w:rPr>
              <w:t> </w:t>
            </w:r>
          </w:p>
        </w:tc>
      </w:tr>
      <w:tr w:rsidR="001C1946" w:rsidRPr="005D6582" w14:paraId="1F732B5D" w14:textId="77777777" w:rsidTr="001C1946">
        <w:trPr>
          <w:trHeight w:val="255"/>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0E8D" w14:textId="77777777" w:rsidR="001C1946" w:rsidRPr="005D6582" w:rsidRDefault="001C1946" w:rsidP="00C9235D">
            <w:pPr>
              <w:spacing w:after="0"/>
              <w:rPr>
                <w:rFonts w:cs="Calibri"/>
                <w:b/>
                <w:bCs/>
                <w:color w:val="4472C4"/>
                <w:sz w:val="20"/>
              </w:rPr>
            </w:pPr>
            <w:r w:rsidRPr="005D6582">
              <w:rPr>
                <w:rFonts w:cs="Calibri"/>
                <w:b/>
                <w:bCs/>
                <w:color w:val="4472C4"/>
                <w:sz w:val="20"/>
              </w:rPr>
              <w:t>SEKCE R - KULTURNÍ, ZÁBAVNÍ A REKREAČNÍ ČINNOSTI</w:t>
            </w:r>
          </w:p>
        </w:tc>
      </w:tr>
      <w:tr w:rsidR="001C1946" w:rsidRPr="005D6582" w14:paraId="0B1FDBDE" w14:textId="77777777" w:rsidTr="001C1946">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3573E" w14:textId="77777777" w:rsidR="001C1946" w:rsidRPr="005D6582" w:rsidRDefault="001C1946" w:rsidP="00075B25">
            <w:pPr>
              <w:spacing w:after="0"/>
              <w:rPr>
                <w:rFonts w:cs="Calibri"/>
                <w:b/>
                <w:bCs/>
                <w:sz w:val="20"/>
              </w:rPr>
            </w:pPr>
            <w:r w:rsidRPr="005D6582">
              <w:rPr>
                <w:rFonts w:cs="Calibri"/>
                <w:b/>
                <w:bCs/>
                <w:sz w:val="20"/>
              </w:rPr>
              <w:t>90</w:t>
            </w:r>
          </w:p>
        </w:tc>
        <w:tc>
          <w:tcPr>
            <w:tcW w:w="8795" w:type="dxa"/>
            <w:tcBorders>
              <w:top w:val="single" w:sz="4" w:space="0" w:color="auto"/>
              <w:left w:val="single" w:sz="4" w:space="0" w:color="auto"/>
              <w:bottom w:val="single" w:sz="4" w:space="0" w:color="auto"/>
              <w:right w:val="single" w:sz="4" w:space="0" w:color="auto"/>
            </w:tcBorders>
            <w:shd w:val="clear" w:color="auto" w:fill="auto"/>
            <w:hideMark/>
          </w:tcPr>
          <w:p w14:paraId="3846B1CD" w14:textId="77777777" w:rsidR="001C1946" w:rsidRPr="005D6582" w:rsidRDefault="001C1946" w:rsidP="00C9235D">
            <w:pPr>
              <w:spacing w:after="0"/>
              <w:rPr>
                <w:rFonts w:cs="Calibri"/>
                <w:b/>
                <w:bCs/>
                <w:sz w:val="20"/>
              </w:rPr>
            </w:pPr>
            <w:r w:rsidRPr="005D6582">
              <w:rPr>
                <w:rFonts w:cs="Calibri"/>
                <w:b/>
                <w:bCs/>
                <w:sz w:val="20"/>
              </w:rPr>
              <w:t>Tvůrčí, umělecké a zábavní činnosti</w:t>
            </w:r>
          </w:p>
        </w:tc>
      </w:tr>
      <w:tr w:rsidR="001C1946" w:rsidRPr="005D6582" w14:paraId="2B7CAED6" w14:textId="77777777" w:rsidTr="001C1946">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97AF" w14:textId="77777777" w:rsidR="001C1946" w:rsidRPr="005D6582" w:rsidRDefault="001C1946" w:rsidP="00075B25">
            <w:pPr>
              <w:spacing w:after="0"/>
              <w:rPr>
                <w:rFonts w:cs="Calibri"/>
                <w:b/>
                <w:bCs/>
                <w:sz w:val="20"/>
              </w:rPr>
            </w:pPr>
            <w:r w:rsidRPr="005D6582">
              <w:rPr>
                <w:rFonts w:cs="Calibri"/>
                <w:b/>
                <w:bCs/>
                <w:sz w:val="20"/>
              </w:rPr>
              <w:t>91</w:t>
            </w:r>
          </w:p>
        </w:tc>
        <w:tc>
          <w:tcPr>
            <w:tcW w:w="8795" w:type="dxa"/>
            <w:tcBorders>
              <w:top w:val="single" w:sz="4" w:space="0" w:color="auto"/>
              <w:left w:val="single" w:sz="4" w:space="0" w:color="auto"/>
              <w:bottom w:val="single" w:sz="4" w:space="0" w:color="auto"/>
              <w:right w:val="single" w:sz="4" w:space="0" w:color="auto"/>
            </w:tcBorders>
            <w:shd w:val="clear" w:color="auto" w:fill="auto"/>
          </w:tcPr>
          <w:p w14:paraId="75C1EBB6" w14:textId="77777777" w:rsidR="001C1946" w:rsidRPr="005D6582" w:rsidRDefault="001C1946" w:rsidP="00C9235D">
            <w:pPr>
              <w:spacing w:after="0"/>
              <w:rPr>
                <w:rFonts w:cs="Calibri"/>
                <w:b/>
                <w:bCs/>
                <w:sz w:val="20"/>
              </w:rPr>
            </w:pPr>
            <w:r w:rsidRPr="005D6582">
              <w:rPr>
                <w:rFonts w:cs="Calibri"/>
                <w:b/>
                <w:bCs/>
                <w:sz w:val="20"/>
              </w:rPr>
              <w:t>Činnosti knihoven, archivů, muzeí a jiných kulturních zařízení</w:t>
            </w:r>
          </w:p>
        </w:tc>
      </w:tr>
      <w:tr w:rsidR="001C1946" w:rsidRPr="005D6582" w14:paraId="2AC323BC" w14:textId="77777777" w:rsidTr="001C1946">
        <w:trPr>
          <w:trHeight w:val="255"/>
        </w:trPr>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1C2F" w14:textId="77777777" w:rsidR="001C1946" w:rsidRPr="005D6582" w:rsidRDefault="001C1946" w:rsidP="00C9235D">
            <w:pPr>
              <w:spacing w:after="0"/>
              <w:rPr>
                <w:rFonts w:cs="Calibri"/>
                <w:b/>
                <w:bCs/>
                <w:sz w:val="20"/>
              </w:rPr>
            </w:pPr>
            <w:r w:rsidRPr="005D6582">
              <w:rPr>
                <w:rFonts w:cs="Calibri"/>
                <w:b/>
                <w:bCs/>
                <w:sz w:val="20"/>
              </w:rPr>
              <w:t>93</w:t>
            </w:r>
          </w:p>
        </w:tc>
        <w:tc>
          <w:tcPr>
            <w:tcW w:w="8795" w:type="dxa"/>
            <w:tcBorders>
              <w:top w:val="single" w:sz="4" w:space="0" w:color="auto"/>
              <w:left w:val="single" w:sz="4" w:space="0" w:color="auto"/>
              <w:bottom w:val="single" w:sz="4" w:space="0" w:color="auto"/>
              <w:right w:val="single" w:sz="4" w:space="0" w:color="auto"/>
            </w:tcBorders>
            <w:shd w:val="clear" w:color="auto" w:fill="auto"/>
            <w:hideMark/>
          </w:tcPr>
          <w:p w14:paraId="27E22C1D" w14:textId="77777777" w:rsidR="001C1946" w:rsidRPr="005D6582" w:rsidRDefault="001C1946" w:rsidP="00C9235D">
            <w:pPr>
              <w:spacing w:after="0"/>
              <w:rPr>
                <w:rFonts w:cs="Calibri"/>
                <w:b/>
                <w:bCs/>
                <w:sz w:val="20"/>
              </w:rPr>
            </w:pPr>
            <w:r w:rsidRPr="005D6582">
              <w:rPr>
                <w:rFonts w:cs="Calibri"/>
                <w:b/>
                <w:bCs/>
                <w:sz w:val="20"/>
              </w:rPr>
              <w:t>Sportovní, zábavní a rekreační činnosti</w:t>
            </w:r>
          </w:p>
        </w:tc>
      </w:tr>
      <w:tr w:rsidR="001C1946" w:rsidRPr="005D6582" w14:paraId="50E219C6" w14:textId="77777777" w:rsidTr="001C1946">
        <w:trPr>
          <w:trHeight w:val="270"/>
        </w:trPr>
        <w:tc>
          <w:tcPr>
            <w:tcW w:w="10053" w:type="dxa"/>
            <w:gridSpan w:val="3"/>
            <w:tcBorders>
              <w:top w:val="single" w:sz="4" w:space="0" w:color="auto"/>
              <w:left w:val="single" w:sz="8" w:space="0" w:color="auto"/>
              <w:bottom w:val="single" w:sz="8" w:space="0" w:color="auto"/>
              <w:right w:val="single" w:sz="8" w:space="0" w:color="000000"/>
            </w:tcBorders>
            <w:shd w:val="clear" w:color="auto" w:fill="auto"/>
          </w:tcPr>
          <w:p w14:paraId="1B3EBCEA" w14:textId="77777777" w:rsidR="001C1946" w:rsidRPr="005D6582" w:rsidRDefault="001C1946" w:rsidP="00C9235D">
            <w:pPr>
              <w:spacing w:after="0"/>
              <w:rPr>
                <w:rFonts w:cs="Calibri"/>
                <w:b/>
                <w:bCs/>
                <w:color w:val="4472C4"/>
                <w:sz w:val="20"/>
              </w:rPr>
            </w:pPr>
          </w:p>
        </w:tc>
      </w:tr>
      <w:tr w:rsidR="001C1946" w:rsidRPr="005D6582" w14:paraId="601E54AC" w14:textId="77777777" w:rsidTr="001C1946">
        <w:trPr>
          <w:trHeight w:val="270"/>
        </w:trPr>
        <w:tc>
          <w:tcPr>
            <w:tcW w:w="10053" w:type="dxa"/>
            <w:gridSpan w:val="3"/>
            <w:tcBorders>
              <w:top w:val="single" w:sz="4" w:space="0" w:color="auto"/>
              <w:left w:val="single" w:sz="8" w:space="0" w:color="auto"/>
              <w:bottom w:val="single" w:sz="8" w:space="0" w:color="auto"/>
              <w:right w:val="single" w:sz="8" w:space="0" w:color="000000"/>
            </w:tcBorders>
            <w:shd w:val="clear" w:color="auto" w:fill="auto"/>
            <w:hideMark/>
          </w:tcPr>
          <w:p w14:paraId="0D03A6B0" w14:textId="77777777" w:rsidR="001C1946" w:rsidRPr="005D6582" w:rsidRDefault="001C1946" w:rsidP="00C9235D">
            <w:pPr>
              <w:spacing w:after="0"/>
              <w:rPr>
                <w:rFonts w:cs="Calibri"/>
                <w:b/>
                <w:bCs/>
                <w:color w:val="4472C4"/>
                <w:sz w:val="20"/>
              </w:rPr>
            </w:pPr>
            <w:r w:rsidRPr="005D6582">
              <w:rPr>
                <w:rFonts w:cs="Calibri"/>
                <w:b/>
                <w:bCs/>
                <w:color w:val="4472C4"/>
                <w:sz w:val="20"/>
              </w:rPr>
              <w:t>SEKCE S - OSTATNÍ ČINNOSTI</w:t>
            </w:r>
          </w:p>
        </w:tc>
      </w:tr>
      <w:tr w:rsidR="001C1946" w:rsidRPr="005D6582" w14:paraId="0490B034" w14:textId="77777777" w:rsidTr="001C1946">
        <w:trPr>
          <w:trHeight w:val="255"/>
        </w:trPr>
        <w:tc>
          <w:tcPr>
            <w:tcW w:w="1258" w:type="dxa"/>
            <w:gridSpan w:val="2"/>
            <w:tcBorders>
              <w:top w:val="nil"/>
              <w:left w:val="single" w:sz="8" w:space="0" w:color="auto"/>
              <w:bottom w:val="single" w:sz="4" w:space="0" w:color="auto"/>
              <w:right w:val="single" w:sz="4" w:space="0" w:color="auto"/>
            </w:tcBorders>
            <w:shd w:val="clear" w:color="auto" w:fill="auto"/>
            <w:hideMark/>
          </w:tcPr>
          <w:p w14:paraId="06A3472B" w14:textId="77777777" w:rsidR="001C1946" w:rsidRPr="005D6582" w:rsidRDefault="001C1946" w:rsidP="001A27C6">
            <w:pPr>
              <w:spacing w:after="0"/>
              <w:rPr>
                <w:b/>
                <w:sz w:val="20"/>
              </w:rPr>
            </w:pPr>
            <w:r w:rsidRPr="005D6582">
              <w:rPr>
                <w:b/>
                <w:sz w:val="20"/>
              </w:rPr>
              <w:t>95</w:t>
            </w:r>
          </w:p>
        </w:tc>
        <w:tc>
          <w:tcPr>
            <w:tcW w:w="8795" w:type="dxa"/>
            <w:tcBorders>
              <w:top w:val="nil"/>
              <w:left w:val="nil"/>
              <w:bottom w:val="single" w:sz="4" w:space="0" w:color="auto"/>
              <w:right w:val="single" w:sz="8" w:space="0" w:color="auto"/>
            </w:tcBorders>
            <w:shd w:val="clear" w:color="auto" w:fill="auto"/>
            <w:hideMark/>
          </w:tcPr>
          <w:p w14:paraId="40EDF9B0" w14:textId="77777777" w:rsidR="001C1946" w:rsidRPr="005D6582" w:rsidRDefault="001C1946" w:rsidP="001A27C6">
            <w:pPr>
              <w:spacing w:after="0"/>
              <w:rPr>
                <w:b/>
                <w:sz w:val="20"/>
              </w:rPr>
            </w:pPr>
            <w:r w:rsidRPr="005D6582">
              <w:rPr>
                <w:b/>
                <w:sz w:val="20"/>
              </w:rPr>
              <w:t>Opravy počítačů a výrobků pro osobní potřebu a</w:t>
            </w:r>
            <w:r w:rsidRPr="005D6582">
              <w:rPr>
                <w:rFonts w:cs="Calibri"/>
                <w:b/>
                <w:bCs/>
                <w:sz w:val="20"/>
              </w:rPr>
              <w:t> </w:t>
            </w:r>
            <w:r w:rsidRPr="005D6582">
              <w:rPr>
                <w:b/>
                <w:sz w:val="20"/>
              </w:rPr>
              <w:t>převážně pro</w:t>
            </w:r>
            <w:r w:rsidRPr="005D6582">
              <w:rPr>
                <w:rFonts w:cs="Calibri"/>
                <w:b/>
                <w:bCs/>
                <w:sz w:val="20"/>
              </w:rPr>
              <w:t> </w:t>
            </w:r>
            <w:r w:rsidRPr="005D6582">
              <w:rPr>
                <w:b/>
                <w:sz w:val="20"/>
              </w:rPr>
              <w:t>domácnost</w:t>
            </w:r>
          </w:p>
        </w:tc>
      </w:tr>
      <w:tr w:rsidR="001C1946" w:rsidRPr="005D6582" w14:paraId="163B1158" w14:textId="77777777" w:rsidTr="001C1946">
        <w:trPr>
          <w:trHeight w:val="270"/>
        </w:trPr>
        <w:tc>
          <w:tcPr>
            <w:tcW w:w="1258" w:type="dxa"/>
            <w:gridSpan w:val="2"/>
            <w:tcBorders>
              <w:top w:val="nil"/>
              <w:left w:val="single" w:sz="8" w:space="0" w:color="auto"/>
              <w:bottom w:val="single" w:sz="8" w:space="0" w:color="auto"/>
              <w:right w:val="single" w:sz="4" w:space="0" w:color="auto"/>
            </w:tcBorders>
            <w:shd w:val="clear" w:color="auto" w:fill="auto"/>
            <w:hideMark/>
          </w:tcPr>
          <w:p w14:paraId="3DC47782" w14:textId="77777777" w:rsidR="001C1946" w:rsidRPr="005D6582" w:rsidRDefault="001C1946" w:rsidP="00C9235D">
            <w:pPr>
              <w:spacing w:after="0"/>
              <w:rPr>
                <w:rFonts w:cs="Calibri"/>
                <w:b/>
                <w:bCs/>
                <w:sz w:val="20"/>
              </w:rPr>
            </w:pPr>
            <w:r w:rsidRPr="005D6582">
              <w:rPr>
                <w:rFonts w:cs="Calibri"/>
                <w:b/>
                <w:bCs/>
                <w:sz w:val="20"/>
              </w:rPr>
              <w:t>96</w:t>
            </w:r>
          </w:p>
        </w:tc>
        <w:tc>
          <w:tcPr>
            <w:tcW w:w="8795" w:type="dxa"/>
            <w:tcBorders>
              <w:top w:val="nil"/>
              <w:left w:val="nil"/>
              <w:bottom w:val="single" w:sz="8" w:space="0" w:color="auto"/>
              <w:right w:val="single" w:sz="8" w:space="0" w:color="auto"/>
            </w:tcBorders>
            <w:shd w:val="clear" w:color="auto" w:fill="auto"/>
            <w:hideMark/>
          </w:tcPr>
          <w:p w14:paraId="35298E0B" w14:textId="77777777" w:rsidR="001C1946" w:rsidRPr="005D6582" w:rsidRDefault="001C1946" w:rsidP="00C9235D">
            <w:pPr>
              <w:spacing w:after="0"/>
              <w:rPr>
                <w:rFonts w:cs="Calibri"/>
                <w:b/>
                <w:bCs/>
                <w:sz w:val="20"/>
              </w:rPr>
            </w:pPr>
            <w:r w:rsidRPr="005D6582">
              <w:rPr>
                <w:rFonts w:cs="Calibri"/>
                <w:b/>
                <w:bCs/>
                <w:sz w:val="20"/>
              </w:rPr>
              <w:t>Poskytování ostatních osobních služeb</w:t>
            </w:r>
          </w:p>
        </w:tc>
      </w:tr>
    </w:tbl>
    <w:p w14:paraId="73150C2C" w14:textId="77777777" w:rsidR="00A857B7" w:rsidRPr="005D6582" w:rsidRDefault="00A857B7" w:rsidP="001A27C6">
      <w:pPr>
        <w:pStyle w:val="Default"/>
        <w:spacing w:after="120"/>
        <w:ind w:left="284" w:hanging="284"/>
        <w:jc w:val="both"/>
        <w:rPr>
          <w:rFonts w:ascii="Calibri" w:hAnsi="Calibri"/>
          <w:sz w:val="20"/>
          <w:szCs w:val="20"/>
        </w:rPr>
      </w:pPr>
    </w:p>
    <w:p w14:paraId="0980DE76" w14:textId="77777777" w:rsidR="00A857B7" w:rsidRPr="005D6582" w:rsidRDefault="00A857B7" w:rsidP="00A857B7">
      <w:pPr>
        <w:pStyle w:val="Default"/>
        <w:spacing w:after="120"/>
        <w:ind w:left="284" w:hanging="284"/>
        <w:jc w:val="both"/>
        <w:rPr>
          <w:rFonts w:ascii="Calibri" w:hAnsi="Calibri"/>
          <w:sz w:val="20"/>
          <w:szCs w:val="20"/>
        </w:rPr>
      </w:pPr>
      <w:r w:rsidRPr="005D6582">
        <w:rPr>
          <w:rFonts w:ascii="Calibri" w:hAnsi="Calibri"/>
          <w:sz w:val="20"/>
          <w:szCs w:val="20"/>
        </w:rPr>
        <w:t>1) s výjimkou výrobků, jejichž výroba, zpracování a uvádění na trh spadá do oblasti Společné zemědělské politiky – Příloha I Smlouvy o ES, viz příloha č. 1, Část B této Výzvy</w:t>
      </w:r>
    </w:p>
    <w:p w14:paraId="2FE30CB1" w14:textId="77777777" w:rsidR="00147A02" w:rsidRPr="005D6582" w:rsidRDefault="00147A02" w:rsidP="00A857B7">
      <w:pPr>
        <w:pStyle w:val="Default"/>
        <w:spacing w:after="120"/>
        <w:ind w:left="284" w:hanging="284"/>
        <w:jc w:val="both"/>
        <w:rPr>
          <w:rFonts w:ascii="Calibri" w:hAnsi="Calibri"/>
          <w:sz w:val="20"/>
          <w:szCs w:val="20"/>
        </w:rPr>
      </w:pPr>
      <w:r w:rsidRPr="005D6582">
        <w:rPr>
          <w:rFonts w:ascii="Calibri" w:hAnsi="Calibri"/>
          <w:sz w:val="20"/>
          <w:szCs w:val="20"/>
        </w:rPr>
        <w:t>2) výjimkou nabývání vozidel pro silniční nákladní dopravu</w:t>
      </w:r>
    </w:p>
    <w:p w14:paraId="346AA224" w14:textId="77777777" w:rsidR="00237D12" w:rsidRPr="005D6582" w:rsidRDefault="00553FDD" w:rsidP="00237D12">
      <w:pPr>
        <w:pStyle w:val="Nadplev"/>
        <w:rPr>
          <w:sz w:val="28"/>
          <w:szCs w:val="28"/>
        </w:rPr>
      </w:pPr>
      <w:r w:rsidRPr="005D6582">
        <w:br w:type="page"/>
      </w:r>
      <w:r w:rsidR="009772C7" w:rsidRPr="005D6582">
        <w:rPr>
          <w:sz w:val="28"/>
          <w:szCs w:val="28"/>
        </w:rPr>
        <w:lastRenderedPageBreak/>
        <w:t>Část B</w:t>
      </w:r>
    </w:p>
    <w:p w14:paraId="79DB0F9F" w14:textId="77777777" w:rsidR="00237D12" w:rsidRPr="005D6582" w:rsidRDefault="00553FDD" w:rsidP="00237D12">
      <w:r w:rsidRPr="005D6582">
        <w:rPr>
          <w:b/>
        </w:rPr>
        <w:t>Seznam výrobků, jejichž výroba, zpracování a uvádění na trh spadá do oblasti Společné zemědělské politiky: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5323"/>
        <w:gridCol w:w="2694"/>
      </w:tblGrid>
      <w:tr w:rsidR="00237D12" w:rsidRPr="005D6582" w14:paraId="04BEB595" w14:textId="77777777" w:rsidTr="00657329">
        <w:trPr>
          <w:trHeight w:val="607"/>
        </w:trPr>
        <w:tc>
          <w:tcPr>
            <w:tcW w:w="1623" w:type="dxa"/>
            <w:vAlign w:val="center"/>
          </w:tcPr>
          <w:p w14:paraId="63F35114"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Číslo Bruselské nomenklatury</w:t>
            </w:r>
          </w:p>
        </w:tc>
        <w:tc>
          <w:tcPr>
            <w:tcW w:w="5323" w:type="dxa"/>
            <w:vAlign w:val="center"/>
          </w:tcPr>
          <w:p w14:paraId="087A5219"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Název zboží</w:t>
            </w:r>
          </w:p>
        </w:tc>
        <w:tc>
          <w:tcPr>
            <w:tcW w:w="2694" w:type="dxa"/>
            <w:vAlign w:val="center"/>
          </w:tcPr>
          <w:p w14:paraId="57AC36CA"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Kombinovaná nomenklatura (první čtyři čísla osmimístného kódu uvedeného v celním sazebníku) – uvedeno jen v případě, že se liší od Bruselské </w:t>
            </w:r>
            <w:proofErr w:type="spellStart"/>
            <w:r w:rsidRPr="005D6582">
              <w:rPr>
                <w:rFonts w:ascii="Calibri" w:hAnsi="Calibri"/>
                <w:b/>
                <w:sz w:val="22"/>
                <w:szCs w:val="22"/>
              </w:rPr>
              <w:t>nom</w:t>
            </w:r>
            <w:proofErr w:type="spellEnd"/>
            <w:r w:rsidRPr="005D6582">
              <w:rPr>
                <w:rFonts w:ascii="Calibri" w:hAnsi="Calibri"/>
                <w:b/>
                <w:sz w:val="22"/>
                <w:szCs w:val="22"/>
              </w:rPr>
              <w:t>.</w:t>
            </w:r>
          </w:p>
        </w:tc>
      </w:tr>
      <w:tr w:rsidR="00237D12" w:rsidRPr="005D6582" w14:paraId="35B8E999" w14:textId="77777777" w:rsidTr="00657329">
        <w:trPr>
          <w:cantSplit/>
          <w:trHeight w:val="284"/>
        </w:trPr>
        <w:tc>
          <w:tcPr>
            <w:tcW w:w="1623" w:type="dxa"/>
            <w:vAlign w:val="center"/>
          </w:tcPr>
          <w:p w14:paraId="2348D292"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1 </w:t>
            </w:r>
          </w:p>
        </w:tc>
        <w:tc>
          <w:tcPr>
            <w:tcW w:w="5323" w:type="dxa"/>
            <w:vAlign w:val="center"/>
          </w:tcPr>
          <w:p w14:paraId="3BC302C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Živá zvířata </w:t>
            </w:r>
          </w:p>
        </w:tc>
        <w:tc>
          <w:tcPr>
            <w:tcW w:w="2694" w:type="dxa"/>
            <w:vAlign w:val="center"/>
          </w:tcPr>
          <w:p w14:paraId="434E8108"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54754DE4" w14:textId="77777777" w:rsidTr="00657329">
        <w:trPr>
          <w:cantSplit/>
          <w:trHeight w:val="284"/>
        </w:trPr>
        <w:tc>
          <w:tcPr>
            <w:tcW w:w="1623" w:type="dxa"/>
            <w:vAlign w:val="center"/>
          </w:tcPr>
          <w:p w14:paraId="11E65652"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2 </w:t>
            </w:r>
          </w:p>
        </w:tc>
        <w:tc>
          <w:tcPr>
            <w:tcW w:w="5323" w:type="dxa"/>
            <w:vAlign w:val="center"/>
          </w:tcPr>
          <w:p w14:paraId="4C8A430F"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Maso a poživatelné droby</w:t>
            </w:r>
          </w:p>
        </w:tc>
        <w:tc>
          <w:tcPr>
            <w:tcW w:w="2694" w:type="dxa"/>
            <w:vAlign w:val="center"/>
          </w:tcPr>
          <w:p w14:paraId="6F3B63EC"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73887226" w14:textId="77777777" w:rsidTr="00657329">
        <w:trPr>
          <w:cantSplit/>
          <w:trHeight w:val="284"/>
        </w:trPr>
        <w:tc>
          <w:tcPr>
            <w:tcW w:w="1623" w:type="dxa"/>
            <w:vAlign w:val="center"/>
          </w:tcPr>
          <w:p w14:paraId="333A191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3 </w:t>
            </w:r>
          </w:p>
        </w:tc>
        <w:tc>
          <w:tcPr>
            <w:tcW w:w="5323" w:type="dxa"/>
            <w:vAlign w:val="center"/>
          </w:tcPr>
          <w:p w14:paraId="56E16B75"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Ryby, korýši a měkkýši</w:t>
            </w:r>
          </w:p>
        </w:tc>
        <w:tc>
          <w:tcPr>
            <w:tcW w:w="2694" w:type="dxa"/>
            <w:vAlign w:val="center"/>
          </w:tcPr>
          <w:p w14:paraId="20E45B1F"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A29652D" w14:textId="77777777" w:rsidTr="00657329">
        <w:trPr>
          <w:cantSplit/>
          <w:trHeight w:val="397"/>
        </w:trPr>
        <w:tc>
          <w:tcPr>
            <w:tcW w:w="1623" w:type="dxa"/>
            <w:vAlign w:val="center"/>
          </w:tcPr>
          <w:p w14:paraId="54901D5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4 </w:t>
            </w:r>
          </w:p>
        </w:tc>
        <w:tc>
          <w:tcPr>
            <w:tcW w:w="5323" w:type="dxa"/>
            <w:vAlign w:val="center"/>
          </w:tcPr>
          <w:p w14:paraId="37C30825"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Mléko a mlékárenské výrobky; ptačí vejce; přírodní med </w:t>
            </w:r>
          </w:p>
        </w:tc>
        <w:tc>
          <w:tcPr>
            <w:tcW w:w="2694" w:type="dxa"/>
            <w:vAlign w:val="center"/>
          </w:tcPr>
          <w:p w14:paraId="501C5659"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198D2A21" w14:textId="77777777" w:rsidTr="00657329">
        <w:trPr>
          <w:cantSplit/>
          <w:trHeight w:val="278"/>
        </w:trPr>
        <w:tc>
          <w:tcPr>
            <w:tcW w:w="6946" w:type="dxa"/>
            <w:gridSpan w:val="2"/>
            <w:vAlign w:val="center"/>
          </w:tcPr>
          <w:p w14:paraId="511B6F2D"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Kapitola 5</w:t>
            </w:r>
          </w:p>
        </w:tc>
        <w:tc>
          <w:tcPr>
            <w:tcW w:w="2694" w:type="dxa"/>
            <w:vAlign w:val="center"/>
          </w:tcPr>
          <w:p w14:paraId="2484E68B"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4AFCBC3E" w14:textId="77777777" w:rsidTr="00657329">
        <w:trPr>
          <w:cantSplit/>
          <w:trHeight w:val="397"/>
        </w:trPr>
        <w:tc>
          <w:tcPr>
            <w:tcW w:w="1623" w:type="dxa"/>
            <w:vAlign w:val="center"/>
          </w:tcPr>
          <w:p w14:paraId="57960057"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05.04 </w:t>
            </w:r>
          </w:p>
        </w:tc>
        <w:tc>
          <w:tcPr>
            <w:tcW w:w="5323" w:type="dxa"/>
            <w:vAlign w:val="center"/>
          </w:tcPr>
          <w:p w14:paraId="3097E6F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Střeva, měchýře a žaludky ze zvířat (jiných než ryb), celé a jejich části </w:t>
            </w:r>
          </w:p>
        </w:tc>
        <w:tc>
          <w:tcPr>
            <w:tcW w:w="2694" w:type="dxa"/>
            <w:vAlign w:val="center"/>
          </w:tcPr>
          <w:p w14:paraId="4E847802"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E7E25B6" w14:textId="77777777" w:rsidTr="00657329">
        <w:trPr>
          <w:cantSplit/>
          <w:trHeight w:val="567"/>
        </w:trPr>
        <w:tc>
          <w:tcPr>
            <w:tcW w:w="1623" w:type="dxa"/>
            <w:vAlign w:val="center"/>
          </w:tcPr>
          <w:p w14:paraId="5CCE765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05.15 </w:t>
            </w:r>
          </w:p>
        </w:tc>
        <w:tc>
          <w:tcPr>
            <w:tcW w:w="5323" w:type="dxa"/>
            <w:vAlign w:val="center"/>
          </w:tcPr>
          <w:p w14:paraId="779F671C"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Výrobky živočišného původu jinde neuvedené ani nezahrnuté; mrtvá zvířata kapitol 1 nebo 3, nezpůsobilá k lidskému požívání</w:t>
            </w:r>
          </w:p>
        </w:tc>
        <w:tc>
          <w:tcPr>
            <w:tcW w:w="2694" w:type="dxa"/>
            <w:vAlign w:val="center"/>
          </w:tcPr>
          <w:p w14:paraId="39438626"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0511</w:t>
            </w:r>
          </w:p>
        </w:tc>
      </w:tr>
      <w:tr w:rsidR="00237D12" w:rsidRPr="005D6582" w14:paraId="3A95D933" w14:textId="77777777" w:rsidTr="00657329">
        <w:trPr>
          <w:cantSplit/>
          <w:trHeight w:val="284"/>
        </w:trPr>
        <w:tc>
          <w:tcPr>
            <w:tcW w:w="1623" w:type="dxa"/>
            <w:vAlign w:val="center"/>
          </w:tcPr>
          <w:p w14:paraId="7879A303"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6 </w:t>
            </w:r>
          </w:p>
        </w:tc>
        <w:tc>
          <w:tcPr>
            <w:tcW w:w="5323" w:type="dxa"/>
            <w:vAlign w:val="center"/>
          </w:tcPr>
          <w:p w14:paraId="6D6F9981"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Živé rostliny a květinářské produkty</w:t>
            </w:r>
          </w:p>
        </w:tc>
        <w:tc>
          <w:tcPr>
            <w:tcW w:w="2694" w:type="dxa"/>
            <w:vAlign w:val="center"/>
          </w:tcPr>
          <w:p w14:paraId="6D60EDF6"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7339E173" w14:textId="77777777" w:rsidTr="00657329">
        <w:trPr>
          <w:cantSplit/>
          <w:trHeight w:val="284"/>
        </w:trPr>
        <w:tc>
          <w:tcPr>
            <w:tcW w:w="1623" w:type="dxa"/>
            <w:vAlign w:val="center"/>
          </w:tcPr>
          <w:p w14:paraId="21BA437C"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7 </w:t>
            </w:r>
          </w:p>
        </w:tc>
        <w:tc>
          <w:tcPr>
            <w:tcW w:w="5323" w:type="dxa"/>
            <w:vAlign w:val="center"/>
          </w:tcPr>
          <w:p w14:paraId="01BBAA3E"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Zelenina, poživatelné rostliny, kořeny a hlízy</w:t>
            </w:r>
          </w:p>
        </w:tc>
        <w:tc>
          <w:tcPr>
            <w:tcW w:w="2694" w:type="dxa"/>
            <w:vAlign w:val="center"/>
          </w:tcPr>
          <w:p w14:paraId="177EB6DC"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0308D475" w14:textId="77777777" w:rsidTr="00657329">
        <w:trPr>
          <w:cantSplit/>
          <w:trHeight w:val="284"/>
        </w:trPr>
        <w:tc>
          <w:tcPr>
            <w:tcW w:w="1623" w:type="dxa"/>
            <w:vAlign w:val="center"/>
          </w:tcPr>
          <w:p w14:paraId="0E8AED3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8 </w:t>
            </w:r>
          </w:p>
        </w:tc>
        <w:tc>
          <w:tcPr>
            <w:tcW w:w="5323" w:type="dxa"/>
            <w:vAlign w:val="center"/>
          </w:tcPr>
          <w:p w14:paraId="02BB3B50"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Jedlé ovoce; slupky citrusových plodů a melounů </w:t>
            </w:r>
          </w:p>
        </w:tc>
        <w:tc>
          <w:tcPr>
            <w:tcW w:w="2694" w:type="dxa"/>
            <w:vAlign w:val="center"/>
          </w:tcPr>
          <w:p w14:paraId="63DF27DA"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042ECCF2" w14:textId="77777777" w:rsidTr="00657329">
        <w:trPr>
          <w:cantSplit/>
          <w:trHeight w:val="284"/>
        </w:trPr>
        <w:tc>
          <w:tcPr>
            <w:tcW w:w="1623" w:type="dxa"/>
            <w:vAlign w:val="center"/>
          </w:tcPr>
          <w:p w14:paraId="04CB3319"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9 </w:t>
            </w:r>
          </w:p>
        </w:tc>
        <w:tc>
          <w:tcPr>
            <w:tcW w:w="5323" w:type="dxa"/>
            <w:vAlign w:val="center"/>
          </w:tcPr>
          <w:p w14:paraId="0273E81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Káva, čaj, koření, jiné než maté (čísla 09.03) </w:t>
            </w:r>
          </w:p>
        </w:tc>
        <w:tc>
          <w:tcPr>
            <w:tcW w:w="2694" w:type="dxa"/>
            <w:vAlign w:val="center"/>
          </w:tcPr>
          <w:p w14:paraId="339C09C0"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27D5DF6A" w14:textId="77777777" w:rsidTr="00657329">
        <w:trPr>
          <w:cantSplit/>
          <w:trHeight w:val="284"/>
        </w:trPr>
        <w:tc>
          <w:tcPr>
            <w:tcW w:w="1623" w:type="dxa"/>
            <w:vAlign w:val="center"/>
          </w:tcPr>
          <w:p w14:paraId="12791A5C"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10 </w:t>
            </w:r>
          </w:p>
        </w:tc>
        <w:tc>
          <w:tcPr>
            <w:tcW w:w="5323" w:type="dxa"/>
            <w:vAlign w:val="center"/>
          </w:tcPr>
          <w:p w14:paraId="4AF508F9"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Obiloviny </w:t>
            </w:r>
          </w:p>
        </w:tc>
        <w:tc>
          <w:tcPr>
            <w:tcW w:w="2694" w:type="dxa"/>
            <w:vAlign w:val="center"/>
          </w:tcPr>
          <w:p w14:paraId="35661239"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358C7275" w14:textId="77777777" w:rsidTr="00657329">
        <w:trPr>
          <w:cantSplit/>
          <w:trHeight w:val="284"/>
        </w:trPr>
        <w:tc>
          <w:tcPr>
            <w:tcW w:w="1623" w:type="dxa"/>
            <w:vAlign w:val="center"/>
          </w:tcPr>
          <w:p w14:paraId="52E89CA7"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11 </w:t>
            </w:r>
          </w:p>
        </w:tc>
        <w:tc>
          <w:tcPr>
            <w:tcW w:w="5323" w:type="dxa"/>
            <w:vAlign w:val="center"/>
          </w:tcPr>
          <w:p w14:paraId="40CEA6E2"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Mlýnské výrobky; slad, škroby, lepek, inulin </w:t>
            </w:r>
          </w:p>
        </w:tc>
        <w:tc>
          <w:tcPr>
            <w:tcW w:w="2694" w:type="dxa"/>
            <w:vAlign w:val="center"/>
          </w:tcPr>
          <w:p w14:paraId="52E4FB60"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263A9750" w14:textId="77777777" w:rsidTr="00657329">
        <w:trPr>
          <w:cantSplit/>
          <w:trHeight w:val="397"/>
        </w:trPr>
        <w:tc>
          <w:tcPr>
            <w:tcW w:w="1623" w:type="dxa"/>
            <w:vAlign w:val="center"/>
          </w:tcPr>
          <w:p w14:paraId="680FD183"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12 </w:t>
            </w:r>
          </w:p>
        </w:tc>
        <w:tc>
          <w:tcPr>
            <w:tcW w:w="5323" w:type="dxa"/>
            <w:vAlign w:val="center"/>
          </w:tcPr>
          <w:p w14:paraId="41E574B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Olejnatá semena a olejnaté plody; různá semena a plody, průmyslové a léčivé rostliny; sláma a pícniny </w:t>
            </w:r>
          </w:p>
        </w:tc>
        <w:tc>
          <w:tcPr>
            <w:tcW w:w="2694" w:type="dxa"/>
            <w:vAlign w:val="center"/>
          </w:tcPr>
          <w:p w14:paraId="1ABB806D"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21B54780" w14:textId="77777777" w:rsidTr="00657329">
        <w:trPr>
          <w:cantSplit/>
          <w:trHeight w:val="284"/>
        </w:trPr>
        <w:tc>
          <w:tcPr>
            <w:tcW w:w="6946" w:type="dxa"/>
            <w:gridSpan w:val="2"/>
            <w:vAlign w:val="center"/>
          </w:tcPr>
          <w:p w14:paraId="30CB9701"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13 </w:t>
            </w:r>
          </w:p>
        </w:tc>
        <w:tc>
          <w:tcPr>
            <w:tcW w:w="2694" w:type="dxa"/>
            <w:vAlign w:val="center"/>
          </w:tcPr>
          <w:p w14:paraId="0D6CCB05"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572CA06E" w14:textId="77777777" w:rsidTr="00657329">
        <w:trPr>
          <w:cantSplit/>
          <w:trHeight w:val="284"/>
        </w:trPr>
        <w:tc>
          <w:tcPr>
            <w:tcW w:w="1623" w:type="dxa"/>
            <w:vAlign w:val="center"/>
          </w:tcPr>
          <w:p w14:paraId="4284B452"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ex 13.02 </w:t>
            </w:r>
          </w:p>
        </w:tc>
        <w:tc>
          <w:tcPr>
            <w:tcW w:w="5323" w:type="dxa"/>
            <w:vAlign w:val="center"/>
          </w:tcPr>
          <w:p w14:paraId="780677D1"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Pektin</w:t>
            </w:r>
          </w:p>
        </w:tc>
        <w:tc>
          <w:tcPr>
            <w:tcW w:w="2694" w:type="dxa"/>
            <w:vAlign w:val="center"/>
          </w:tcPr>
          <w:p w14:paraId="2B2F7873"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1302</w:t>
            </w:r>
          </w:p>
        </w:tc>
      </w:tr>
      <w:tr w:rsidR="00237D12" w:rsidRPr="005D6582" w14:paraId="2E72EC00" w14:textId="77777777" w:rsidTr="00657329">
        <w:trPr>
          <w:cantSplit/>
          <w:trHeight w:val="284"/>
        </w:trPr>
        <w:tc>
          <w:tcPr>
            <w:tcW w:w="6946" w:type="dxa"/>
            <w:gridSpan w:val="2"/>
            <w:vAlign w:val="center"/>
          </w:tcPr>
          <w:p w14:paraId="66136ED4"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15 </w:t>
            </w:r>
          </w:p>
        </w:tc>
        <w:tc>
          <w:tcPr>
            <w:tcW w:w="2694" w:type="dxa"/>
            <w:vAlign w:val="center"/>
          </w:tcPr>
          <w:p w14:paraId="128FB72D"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4C674AE6" w14:textId="77777777" w:rsidTr="00657329">
        <w:trPr>
          <w:cantSplit/>
          <w:trHeight w:val="397"/>
        </w:trPr>
        <w:tc>
          <w:tcPr>
            <w:tcW w:w="1623" w:type="dxa"/>
            <w:vAlign w:val="center"/>
          </w:tcPr>
          <w:p w14:paraId="09D48DC0"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lastRenderedPageBreak/>
              <w:t xml:space="preserve">15.01 </w:t>
            </w:r>
          </w:p>
        </w:tc>
        <w:tc>
          <w:tcPr>
            <w:tcW w:w="5323" w:type="dxa"/>
            <w:vAlign w:val="center"/>
          </w:tcPr>
          <w:p w14:paraId="3A4EB8BF"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Vepřové sádlo a jiný lisovaný nebo tavený vepřový tuk; lisovaný nebo tavený drůbeží tuk </w:t>
            </w:r>
          </w:p>
        </w:tc>
        <w:tc>
          <w:tcPr>
            <w:tcW w:w="2694" w:type="dxa"/>
            <w:vAlign w:val="center"/>
          </w:tcPr>
          <w:p w14:paraId="7912417D"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7280DD6B" w14:textId="77777777" w:rsidTr="00657329">
        <w:trPr>
          <w:cantSplit/>
          <w:trHeight w:val="397"/>
        </w:trPr>
        <w:tc>
          <w:tcPr>
            <w:tcW w:w="1623" w:type="dxa"/>
            <w:vAlign w:val="center"/>
          </w:tcPr>
          <w:p w14:paraId="31B14860"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15.02 </w:t>
            </w:r>
          </w:p>
        </w:tc>
        <w:tc>
          <w:tcPr>
            <w:tcW w:w="5323" w:type="dxa"/>
            <w:vAlign w:val="center"/>
          </w:tcPr>
          <w:p w14:paraId="79325726"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Lůj hovězí, ovčí nebo kozí, surový nebo tavený, též „</w:t>
            </w:r>
            <w:proofErr w:type="spellStart"/>
            <w:r w:rsidRPr="005D6582">
              <w:rPr>
                <w:rFonts w:ascii="Calibri" w:hAnsi="Calibri"/>
                <w:sz w:val="22"/>
                <w:szCs w:val="22"/>
              </w:rPr>
              <w:t>premierjus</w:t>
            </w:r>
            <w:proofErr w:type="spellEnd"/>
            <w:r w:rsidRPr="005D6582">
              <w:rPr>
                <w:rFonts w:ascii="Calibri" w:hAnsi="Calibri"/>
                <w:sz w:val="22"/>
                <w:szCs w:val="22"/>
              </w:rPr>
              <w:t xml:space="preserve">“ </w:t>
            </w:r>
          </w:p>
        </w:tc>
        <w:tc>
          <w:tcPr>
            <w:tcW w:w="2694" w:type="dxa"/>
            <w:vAlign w:val="center"/>
          </w:tcPr>
          <w:p w14:paraId="1B464990"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1B9B8988" w14:textId="77777777" w:rsidTr="00657329">
        <w:trPr>
          <w:cantSplit/>
          <w:trHeight w:val="567"/>
        </w:trPr>
        <w:tc>
          <w:tcPr>
            <w:tcW w:w="1623" w:type="dxa"/>
            <w:vAlign w:val="center"/>
          </w:tcPr>
          <w:p w14:paraId="54BB565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15.03 </w:t>
            </w:r>
          </w:p>
        </w:tc>
        <w:tc>
          <w:tcPr>
            <w:tcW w:w="5323" w:type="dxa"/>
            <w:vAlign w:val="center"/>
          </w:tcPr>
          <w:p w14:paraId="31EC4D34"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Stearin z vepřového sádla, </w:t>
            </w:r>
            <w:proofErr w:type="spellStart"/>
            <w:r w:rsidRPr="005D6582">
              <w:rPr>
                <w:rFonts w:ascii="Calibri" w:hAnsi="Calibri"/>
                <w:sz w:val="22"/>
                <w:szCs w:val="22"/>
              </w:rPr>
              <w:t>oleostearin</w:t>
            </w:r>
            <w:proofErr w:type="spellEnd"/>
            <w:r w:rsidRPr="005D6582">
              <w:rPr>
                <w:rFonts w:ascii="Calibri" w:hAnsi="Calibri"/>
                <w:sz w:val="22"/>
                <w:szCs w:val="22"/>
              </w:rPr>
              <w:t xml:space="preserve">, olein z vepřového sádla a neemulgovaný </w:t>
            </w:r>
            <w:proofErr w:type="spellStart"/>
            <w:r w:rsidRPr="005D6582">
              <w:rPr>
                <w:rFonts w:ascii="Calibri" w:hAnsi="Calibri"/>
                <w:sz w:val="22"/>
                <w:szCs w:val="22"/>
              </w:rPr>
              <w:t>oleomargarin</w:t>
            </w:r>
            <w:proofErr w:type="spellEnd"/>
            <w:r w:rsidRPr="005D6582">
              <w:rPr>
                <w:rFonts w:ascii="Calibri" w:hAnsi="Calibri"/>
                <w:sz w:val="22"/>
                <w:szCs w:val="22"/>
              </w:rPr>
              <w:t xml:space="preserve">, nesmíchané ani jinak neupravené </w:t>
            </w:r>
          </w:p>
        </w:tc>
        <w:tc>
          <w:tcPr>
            <w:tcW w:w="2694" w:type="dxa"/>
            <w:vAlign w:val="center"/>
          </w:tcPr>
          <w:p w14:paraId="515A988F"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69F4694" w14:textId="77777777" w:rsidTr="00657329">
        <w:trPr>
          <w:cantSplit/>
          <w:trHeight w:val="267"/>
        </w:trPr>
        <w:tc>
          <w:tcPr>
            <w:tcW w:w="1623" w:type="dxa"/>
            <w:vAlign w:val="center"/>
          </w:tcPr>
          <w:p w14:paraId="38F7E93E"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15.04 </w:t>
            </w:r>
          </w:p>
        </w:tc>
        <w:tc>
          <w:tcPr>
            <w:tcW w:w="5323" w:type="dxa"/>
            <w:vAlign w:val="center"/>
          </w:tcPr>
          <w:p w14:paraId="19BBCA44"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Tuky a oleje z ryb a z mořských savců, též rafinované </w:t>
            </w:r>
          </w:p>
        </w:tc>
        <w:tc>
          <w:tcPr>
            <w:tcW w:w="2694" w:type="dxa"/>
            <w:vAlign w:val="center"/>
          </w:tcPr>
          <w:p w14:paraId="544B44E7"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410F442E" w14:textId="77777777" w:rsidTr="00657329">
        <w:trPr>
          <w:cantSplit/>
          <w:trHeight w:val="397"/>
        </w:trPr>
        <w:tc>
          <w:tcPr>
            <w:tcW w:w="1623" w:type="dxa"/>
            <w:vAlign w:val="center"/>
          </w:tcPr>
          <w:p w14:paraId="076394D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15.07 </w:t>
            </w:r>
          </w:p>
        </w:tc>
        <w:tc>
          <w:tcPr>
            <w:tcW w:w="5323" w:type="dxa"/>
            <w:vAlign w:val="center"/>
          </w:tcPr>
          <w:p w14:paraId="1252370E"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Ztužené rostlinné oleje, tekuté nebo pevné, surové, čištěné nebo rafinované </w:t>
            </w:r>
          </w:p>
        </w:tc>
        <w:tc>
          <w:tcPr>
            <w:tcW w:w="2694" w:type="dxa"/>
            <w:vAlign w:val="center"/>
          </w:tcPr>
          <w:p w14:paraId="7716CEFA"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1507 </w:t>
            </w:r>
            <w:r w:rsidR="00570A30" w:rsidRPr="005D6582">
              <w:rPr>
                <w:rFonts w:ascii="Calibri" w:hAnsi="Calibri"/>
                <w:sz w:val="22"/>
                <w:szCs w:val="22"/>
              </w:rPr>
              <w:t>–</w:t>
            </w:r>
            <w:r w:rsidRPr="005D6582">
              <w:rPr>
                <w:rFonts w:ascii="Calibri" w:hAnsi="Calibri"/>
                <w:sz w:val="22"/>
                <w:szCs w:val="22"/>
              </w:rPr>
              <w:t xml:space="preserve"> 1515</w:t>
            </w:r>
          </w:p>
        </w:tc>
      </w:tr>
      <w:tr w:rsidR="00237D12" w:rsidRPr="005D6582" w14:paraId="0EB8BC44" w14:textId="77777777" w:rsidTr="00657329">
        <w:trPr>
          <w:cantSplit/>
          <w:trHeight w:val="397"/>
        </w:trPr>
        <w:tc>
          <w:tcPr>
            <w:tcW w:w="1623" w:type="dxa"/>
            <w:vAlign w:val="center"/>
          </w:tcPr>
          <w:p w14:paraId="01B78031"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15.12 </w:t>
            </w:r>
          </w:p>
        </w:tc>
        <w:tc>
          <w:tcPr>
            <w:tcW w:w="5323" w:type="dxa"/>
            <w:vAlign w:val="center"/>
          </w:tcPr>
          <w:p w14:paraId="77BD855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Tuky a oleje živočišné nebo rostlinné, hydrogenované, též rafinované, ale jinak neupravené </w:t>
            </w:r>
          </w:p>
        </w:tc>
        <w:tc>
          <w:tcPr>
            <w:tcW w:w="2694" w:type="dxa"/>
            <w:vAlign w:val="center"/>
          </w:tcPr>
          <w:p w14:paraId="3CB1DEAF"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1516</w:t>
            </w:r>
          </w:p>
        </w:tc>
      </w:tr>
      <w:tr w:rsidR="00237D12" w:rsidRPr="005D6582" w14:paraId="45DD4C42" w14:textId="77777777" w:rsidTr="00657329">
        <w:trPr>
          <w:cantSplit/>
          <w:trHeight w:val="397"/>
        </w:trPr>
        <w:tc>
          <w:tcPr>
            <w:tcW w:w="1623" w:type="dxa"/>
            <w:vAlign w:val="center"/>
          </w:tcPr>
          <w:p w14:paraId="601B2443"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15.13 </w:t>
            </w:r>
          </w:p>
        </w:tc>
        <w:tc>
          <w:tcPr>
            <w:tcW w:w="5323" w:type="dxa"/>
            <w:vAlign w:val="center"/>
          </w:tcPr>
          <w:p w14:paraId="0C4B1AF3"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Margarin, umělé vepřové sádlo a jiné upravené potravinové tuky </w:t>
            </w:r>
          </w:p>
        </w:tc>
        <w:tc>
          <w:tcPr>
            <w:tcW w:w="2694" w:type="dxa"/>
            <w:vAlign w:val="center"/>
          </w:tcPr>
          <w:p w14:paraId="38559260"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1517</w:t>
            </w:r>
          </w:p>
        </w:tc>
      </w:tr>
      <w:tr w:rsidR="00237D12" w:rsidRPr="005D6582" w14:paraId="764CEC67" w14:textId="77777777" w:rsidTr="00657329">
        <w:trPr>
          <w:cantSplit/>
          <w:trHeight w:val="397"/>
        </w:trPr>
        <w:tc>
          <w:tcPr>
            <w:tcW w:w="1623" w:type="dxa"/>
            <w:vAlign w:val="center"/>
          </w:tcPr>
          <w:p w14:paraId="55C36295"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15.17 </w:t>
            </w:r>
          </w:p>
        </w:tc>
        <w:tc>
          <w:tcPr>
            <w:tcW w:w="5323" w:type="dxa"/>
            <w:vAlign w:val="center"/>
          </w:tcPr>
          <w:p w14:paraId="43A9C977"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Zbytky po zpracování živočišných tuků nebo živočišných nebo rostlinných vosků </w:t>
            </w:r>
          </w:p>
        </w:tc>
        <w:tc>
          <w:tcPr>
            <w:tcW w:w="2694" w:type="dxa"/>
            <w:vAlign w:val="center"/>
          </w:tcPr>
          <w:p w14:paraId="63A2C42D"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1522</w:t>
            </w:r>
          </w:p>
        </w:tc>
      </w:tr>
      <w:tr w:rsidR="00237D12" w:rsidRPr="005D6582" w14:paraId="5B582057" w14:textId="77777777" w:rsidTr="00657329">
        <w:trPr>
          <w:cantSplit/>
          <w:trHeight w:val="284"/>
        </w:trPr>
        <w:tc>
          <w:tcPr>
            <w:tcW w:w="1623" w:type="dxa"/>
            <w:vAlign w:val="center"/>
          </w:tcPr>
          <w:p w14:paraId="00162781"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16 </w:t>
            </w:r>
          </w:p>
        </w:tc>
        <w:tc>
          <w:tcPr>
            <w:tcW w:w="5323" w:type="dxa"/>
            <w:vAlign w:val="center"/>
          </w:tcPr>
          <w:p w14:paraId="6CF62B8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Přípravky z masa, ryb, korýšů nebo měkkýšů </w:t>
            </w:r>
          </w:p>
        </w:tc>
        <w:tc>
          <w:tcPr>
            <w:tcW w:w="2694" w:type="dxa"/>
            <w:vAlign w:val="center"/>
          </w:tcPr>
          <w:p w14:paraId="3AF16FBB"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7C6DD795" w14:textId="77777777" w:rsidTr="00657329">
        <w:trPr>
          <w:cantSplit/>
          <w:trHeight w:val="284"/>
        </w:trPr>
        <w:tc>
          <w:tcPr>
            <w:tcW w:w="6946" w:type="dxa"/>
            <w:gridSpan w:val="2"/>
            <w:vAlign w:val="center"/>
          </w:tcPr>
          <w:p w14:paraId="5EDD876A"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17 </w:t>
            </w:r>
          </w:p>
        </w:tc>
        <w:tc>
          <w:tcPr>
            <w:tcW w:w="2694" w:type="dxa"/>
            <w:vAlign w:val="center"/>
          </w:tcPr>
          <w:p w14:paraId="73A0D73B"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7CA650DB" w14:textId="77777777" w:rsidTr="00657329">
        <w:trPr>
          <w:cantSplit/>
          <w:trHeight w:val="284"/>
        </w:trPr>
        <w:tc>
          <w:tcPr>
            <w:tcW w:w="1623" w:type="dxa"/>
            <w:vAlign w:val="center"/>
          </w:tcPr>
          <w:p w14:paraId="1CF477BA"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17.01 </w:t>
            </w:r>
          </w:p>
        </w:tc>
        <w:tc>
          <w:tcPr>
            <w:tcW w:w="5323" w:type="dxa"/>
            <w:vAlign w:val="center"/>
          </w:tcPr>
          <w:p w14:paraId="69A1D324"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Řepný a třtinový cukr, v pevném stavu </w:t>
            </w:r>
          </w:p>
        </w:tc>
        <w:tc>
          <w:tcPr>
            <w:tcW w:w="2694" w:type="dxa"/>
            <w:vAlign w:val="center"/>
          </w:tcPr>
          <w:p w14:paraId="002DEB3E"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76985CED" w14:textId="77777777" w:rsidTr="00657329">
        <w:trPr>
          <w:cantSplit/>
          <w:trHeight w:val="397"/>
        </w:trPr>
        <w:tc>
          <w:tcPr>
            <w:tcW w:w="1623" w:type="dxa"/>
            <w:vAlign w:val="center"/>
          </w:tcPr>
          <w:p w14:paraId="1378EFA1"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17.02 </w:t>
            </w:r>
          </w:p>
        </w:tc>
        <w:tc>
          <w:tcPr>
            <w:tcW w:w="5323" w:type="dxa"/>
            <w:vAlign w:val="center"/>
          </w:tcPr>
          <w:p w14:paraId="218D9DFA"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Ostatní cukry; cukerné sirupy; umělý med (též smíšený s přírodním medem); karamel </w:t>
            </w:r>
          </w:p>
        </w:tc>
        <w:tc>
          <w:tcPr>
            <w:tcW w:w="2694" w:type="dxa"/>
            <w:vAlign w:val="center"/>
          </w:tcPr>
          <w:p w14:paraId="50F232EC"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AE9F3D4" w14:textId="77777777" w:rsidTr="00657329">
        <w:trPr>
          <w:cantSplit/>
          <w:trHeight w:val="267"/>
        </w:trPr>
        <w:tc>
          <w:tcPr>
            <w:tcW w:w="1623" w:type="dxa"/>
            <w:vAlign w:val="center"/>
          </w:tcPr>
          <w:p w14:paraId="4E31DE1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17.03 </w:t>
            </w:r>
          </w:p>
        </w:tc>
        <w:tc>
          <w:tcPr>
            <w:tcW w:w="5323" w:type="dxa"/>
            <w:vAlign w:val="center"/>
          </w:tcPr>
          <w:p w14:paraId="6A220B12"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Melasa, též odbarvená </w:t>
            </w:r>
          </w:p>
        </w:tc>
        <w:tc>
          <w:tcPr>
            <w:tcW w:w="2694" w:type="dxa"/>
            <w:vAlign w:val="center"/>
          </w:tcPr>
          <w:p w14:paraId="370F8EE7"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8CF8268" w14:textId="77777777" w:rsidTr="00657329">
        <w:trPr>
          <w:cantSplit/>
          <w:trHeight w:val="567"/>
        </w:trPr>
        <w:tc>
          <w:tcPr>
            <w:tcW w:w="1623" w:type="dxa"/>
            <w:vAlign w:val="center"/>
          </w:tcPr>
          <w:p w14:paraId="2C3C09E6"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17.05 </w:t>
            </w:r>
          </w:p>
        </w:tc>
        <w:tc>
          <w:tcPr>
            <w:tcW w:w="5323" w:type="dxa"/>
            <w:vAlign w:val="center"/>
          </w:tcPr>
          <w:p w14:paraId="16547607"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Aromatizované nebo barvené cukry, sirupy a melasy (včetně vanilkového cukru nebo vanilínu), vyjma ovocných šťáv s přísadou cukru v jakémkoli poměru </w:t>
            </w:r>
          </w:p>
        </w:tc>
        <w:tc>
          <w:tcPr>
            <w:tcW w:w="2694" w:type="dxa"/>
            <w:vAlign w:val="center"/>
          </w:tcPr>
          <w:p w14:paraId="4140AA3B"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2106 barevný nebo aromatizovaný sirup, cukry 1701</w:t>
            </w:r>
          </w:p>
        </w:tc>
      </w:tr>
      <w:tr w:rsidR="00237D12" w:rsidRPr="005D6582" w14:paraId="59327500" w14:textId="77777777" w:rsidTr="00657329">
        <w:trPr>
          <w:cantSplit/>
          <w:trHeight w:val="284"/>
        </w:trPr>
        <w:tc>
          <w:tcPr>
            <w:tcW w:w="6946" w:type="dxa"/>
            <w:gridSpan w:val="2"/>
            <w:vAlign w:val="center"/>
          </w:tcPr>
          <w:p w14:paraId="7BCABBF9"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18 </w:t>
            </w:r>
          </w:p>
        </w:tc>
        <w:tc>
          <w:tcPr>
            <w:tcW w:w="2694" w:type="dxa"/>
            <w:vAlign w:val="center"/>
          </w:tcPr>
          <w:p w14:paraId="2B9A4AC0"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118965EF" w14:textId="77777777" w:rsidTr="00657329">
        <w:trPr>
          <w:cantSplit/>
          <w:trHeight w:val="284"/>
        </w:trPr>
        <w:tc>
          <w:tcPr>
            <w:tcW w:w="1623" w:type="dxa"/>
            <w:vAlign w:val="center"/>
          </w:tcPr>
          <w:p w14:paraId="7FBF6540"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18.01 </w:t>
            </w:r>
          </w:p>
        </w:tc>
        <w:tc>
          <w:tcPr>
            <w:tcW w:w="5323" w:type="dxa"/>
            <w:vAlign w:val="center"/>
          </w:tcPr>
          <w:p w14:paraId="6C9C49CC"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Kakaové boby, též ve zlomcích, surové nebo pražené </w:t>
            </w:r>
          </w:p>
        </w:tc>
        <w:tc>
          <w:tcPr>
            <w:tcW w:w="2694" w:type="dxa"/>
            <w:vAlign w:val="center"/>
          </w:tcPr>
          <w:p w14:paraId="42C8198F"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4CB4F8A1" w14:textId="77777777" w:rsidTr="00657329">
        <w:trPr>
          <w:cantSplit/>
          <w:trHeight w:val="284"/>
        </w:trPr>
        <w:tc>
          <w:tcPr>
            <w:tcW w:w="1623" w:type="dxa"/>
            <w:vAlign w:val="center"/>
          </w:tcPr>
          <w:p w14:paraId="5F183346"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18.02 </w:t>
            </w:r>
          </w:p>
        </w:tc>
        <w:tc>
          <w:tcPr>
            <w:tcW w:w="5323" w:type="dxa"/>
            <w:vAlign w:val="center"/>
          </w:tcPr>
          <w:p w14:paraId="3E740023"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Kakaové skořápky, slupky a ostatní kakaové odpady </w:t>
            </w:r>
          </w:p>
        </w:tc>
        <w:tc>
          <w:tcPr>
            <w:tcW w:w="2694" w:type="dxa"/>
            <w:vAlign w:val="center"/>
          </w:tcPr>
          <w:p w14:paraId="03361449"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EA90F3B" w14:textId="77777777" w:rsidTr="00657329">
        <w:trPr>
          <w:cantSplit/>
          <w:trHeight w:val="397"/>
        </w:trPr>
        <w:tc>
          <w:tcPr>
            <w:tcW w:w="1623" w:type="dxa"/>
            <w:vAlign w:val="center"/>
          </w:tcPr>
          <w:p w14:paraId="55B31699"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20 </w:t>
            </w:r>
          </w:p>
        </w:tc>
        <w:tc>
          <w:tcPr>
            <w:tcW w:w="5323" w:type="dxa"/>
            <w:vAlign w:val="center"/>
          </w:tcPr>
          <w:p w14:paraId="5276E1D1"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Přípravky ze zeleniny, poživatelných rostlin, ovoce nebo z jiných částí rostlin </w:t>
            </w:r>
          </w:p>
        </w:tc>
        <w:tc>
          <w:tcPr>
            <w:tcW w:w="2694" w:type="dxa"/>
            <w:vAlign w:val="center"/>
          </w:tcPr>
          <w:p w14:paraId="35C200E5"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391BF767" w14:textId="77777777" w:rsidTr="00657329">
        <w:trPr>
          <w:cantSplit/>
          <w:trHeight w:val="278"/>
        </w:trPr>
        <w:tc>
          <w:tcPr>
            <w:tcW w:w="6946" w:type="dxa"/>
            <w:gridSpan w:val="2"/>
            <w:vAlign w:val="center"/>
          </w:tcPr>
          <w:p w14:paraId="66BA338E" w14:textId="77777777" w:rsidR="00237D12" w:rsidRPr="005D6582" w:rsidRDefault="00553FDD"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22 </w:t>
            </w:r>
          </w:p>
        </w:tc>
        <w:tc>
          <w:tcPr>
            <w:tcW w:w="2694" w:type="dxa"/>
            <w:vAlign w:val="center"/>
          </w:tcPr>
          <w:p w14:paraId="1058C8CC"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6EC6E0F5" w14:textId="77777777" w:rsidTr="00657329">
        <w:trPr>
          <w:cantSplit/>
          <w:trHeight w:val="397"/>
        </w:trPr>
        <w:tc>
          <w:tcPr>
            <w:tcW w:w="1623" w:type="dxa"/>
            <w:vAlign w:val="center"/>
          </w:tcPr>
          <w:p w14:paraId="00EEF43A"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22.04 </w:t>
            </w:r>
          </w:p>
        </w:tc>
        <w:tc>
          <w:tcPr>
            <w:tcW w:w="5323" w:type="dxa"/>
            <w:vAlign w:val="center"/>
          </w:tcPr>
          <w:p w14:paraId="6A1C0552"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Vinný mošt částečně kvašený, též jinak než přidáním alkoholu </w:t>
            </w:r>
          </w:p>
        </w:tc>
        <w:tc>
          <w:tcPr>
            <w:tcW w:w="2694" w:type="dxa"/>
            <w:vAlign w:val="center"/>
          </w:tcPr>
          <w:p w14:paraId="50051A18" w14:textId="77777777" w:rsidR="00237D12" w:rsidRPr="005D6582" w:rsidRDefault="00553FDD"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2204</w:t>
            </w:r>
          </w:p>
        </w:tc>
      </w:tr>
      <w:tr w:rsidR="00237D12" w:rsidRPr="005D6582" w14:paraId="766EE283" w14:textId="77777777" w:rsidTr="00657329">
        <w:trPr>
          <w:cantSplit/>
          <w:trHeight w:val="567"/>
        </w:trPr>
        <w:tc>
          <w:tcPr>
            <w:tcW w:w="1623" w:type="dxa"/>
            <w:vAlign w:val="center"/>
          </w:tcPr>
          <w:p w14:paraId="5EB119D4"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lastRenderedPageBreak/>
              <w:t xml:space="preserve">22.05 </w:t>
            </w:r>
          </w:p>
        </w:tc>
        <w:tc>
          <w:tcPr>
            <w:tcW w:w="5323" w:type="dxa"/>
            <w:vAlign w:val="center"/>
          </w:tcPr>
          <w:p w14:paraId="4B38B98D"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Víno z čerstvých hroznů; vinný mošt z čerstvých hroznů, jehož kvašení bylo zastaveno přidáním alkoholu </w:t>
            </w:r>
          </w:p>
        </w:tc>
        <w:tc>
          <w:tcPr>
            <w:tcW w:w="2694" w:type="dxa"/>
            <w:vAlign w:val="center"/>
          </w:tcPr>
          <w:p w14:paraId="5A332067"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2204</w:t>
            </w:r>
          </w:p>
        </w:tc>
      </w:tr>
      <w:tr w:rsidR="00237D12" w:rsidRPr="005D6582" w14:paraId="156E9460" w14:textId="77777777" w:rsidTr="00657329">
        <w:trPr>
          <w:cantSplit/>
          <w:trHeight w:val="267"/>
        </w:trPr>
        <w:tc>
          <w:tcPr>
            <w:tcW w:w="1623" w:type="dxa"/>
            <w:vAlign w:val="center"/>
          </w:tcPr>
          <w:p w14:paraId="16F4A64A"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22.07 </w:t>
            </w:r>
          </w:p>
        </w:tc>
        <w:tc>
          <w:tcPr>
            <w:tcW w:w="5323" w:type="dxa"/>
            <w:vAlign w:val="center"/>
          </w:tcPr>
          <w:p w14:paraId="429C3189"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Ostatní kvašené nápoje (jablečné, hruškové, medovina) </w:t>
            </w:r>
          </w:p>
        </w:tc>
        <w:tc>
          <w:tcPr>
            <w:tcW w:w="2694" w:type="dxa"/>
            <w:vAlign w:val="center"/>
          </w:tcPr>
          <w:p w14:paraId="7D2527A3"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2206</w:t>
            </w:r>
          </w:p>
        </w:tc>
      </w:tr>
      <w:tr w:rsidR="00237D12" w:rsidRPr="005D6582" w14:paraId="65139542" w14:textId="77777777" w:rsidTr="00657329">
        <w:trPr>
          <w:cantSplit/>
          <w:trHeight w:val="1134"/>
        </w:trPr>
        <w:tc>
          <w:tcPr>
            <w:tcW w:w="1623" w:type="dxa"/>
            <w:vAlign w:val="center"/>
          </w:tcPr>
          <w:p w14:paraId="4E3ED99A"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ex 22.08 </w:t>
            </w:r>
          </w:p>
          <w:p w14:paraId="5C2EC1A9"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ex 22.09 </w:t>
            </w:r>
          </w:p>
        </w:tc>
        <w:tc>
          <w:tcPr>
            <w:tcW w:w="5323" w:type="dxa"/>
            <w:vAlign w:val="center"/>
          </w:tcPr>
          <w:p w14:paraId="08C84CA3"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Etylalkohol denaturovaný či nedenaturovaný, jakéhokoli obsahu alkoholu, získávaný ze zemědělských produktů uvedených v příloze I Smlouvy, vyjma destilátů, likérů a jiných lihových nápojů a složených lihových přípravků (tzv. koncentrované extrakty) pro výboru alkoholických nápojů </w:t>
            </w:r>
          </w:p>
        </w:tc>
        <w:tc>
          <w:tcPr>
            <w:tcW w:w="2694" w:type="dxa"/>
            <w:vAlign w:val="center"/>
          </w:tcPr>
          <w:p w14:paraId="0730AD56"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ex2207</w:t>
            </w:r>
          </w:p>
          <w:p w14:paraId="71765E7B"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ex2208</w:t>
            </w:r>
          </w:p>
        </w:tc>
      </w:tr>
      <w:tr w:rsidR="00237D12" w:rsidRPr="005D6582" w14:paraId="7D3C65DD" w14:textId="77777777" w:rsidTr="00657329">
        <w:trPr>
          <w:cantSplit/>
          <w:trHeight w:val="292"/>
        </w:trPr>
        <w:tc>
          <w:tcPr>
            <w:tcW w:w="1623" w:type="dxa"/>
            <w:vAlign w:val="center"/>
          </w:tcPr>
          <w:p w14:paraId="3B51F97E"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22.10 </w:t>
            </w:r>
          </w:p>
        </w:tc>
        <w:tc>
          <w:tcPr>
            <w:tcW w:w="5323" w:type="dxa"/>
            <w:vAlign w:val="center"/>
          </w:tcPr>
          <w:p w14:paraId="52DD1B8F"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Stolní ocet a jeho náhražky </w:t>
            </w:r>
          </w:p>
        </w:tc>
        <w:tc>
          <w:tcPr>
            <w:tcW w:w="2694" w:type="dxa"/>
            <w:vAlign w:val="center"/>
          </w:tcPr>
          <w:p w14:paraId="07770D0D"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2209</w:t>
            </w:r>
          </w:p>
        </w:tc>
      </w:tr>
      <w:tr w:rsidR="00237D12" w:rsidRPr="005D6582" w14:paraId="2CFCD611" w14:textId="77777777" w:rsidTr="00657329">
        <w:trPr>
          <w:cantSplit/>
          <w:trHeight w:val="397"/>
        </w:trPr>
        <w:tc>
          <w:tcPr>
            <w:tcW w:w="1623" w:type="dxa"/>
            <w:vAlign w:val="center"/>
          </w:tcPr>
          <w:p w14:paraId="111CCDB1"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b/>
                <w:sz w:val="22"/>
                <w:szCs w:val="22"/>
              </w:rPr>
              <w:t xml:space="preserve">Kapitola 23 </w:t>
            </w:r>
          </w:p>
        </w:tc>
        <w:tc>
          <w:tcPr>
            <w:tcW w:w="5323" w:type="dxa"/>
            <w:vAlign w:val="center"/>
          </w:tcPr>
          <w:p w14:paraId="190BC343"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Zbytky a odpady v potravinářském průmyslu; připravené krmivo </w:t>
            </w:r>
          </w:p>
        </w:tc>
        <w:tc>
          <w:tcPr>
            <w:tcW w:w="2694" w:type="dxa"/>
            <w:vAlign w:val="center"/>
          </w:tcPr>
          <w:p w14:paraId="734EB183"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54E4848B" w14:textId="77777777" w:rsidTr="00657329">
        <w:trPr>
          <w:cantSplit/>
          <w:trHeight w:val="278"/>
        </w:trPr>
        <w:tc>
          <w:tcPr>
            <w:tcW w:w="6946" w:type="dxa"/>
            <w:gridSpan w:val="2"/>
            <w:vAlign w:val="center"/>
          </w:tcPr>
          <w:p w14:paraId="7AAD1E2B" w14:textId="77777777" w:rsidR="00237D12" w:rsidRPr="005D6582" w:rsidRDefault="009772C7"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24 </w:t>
            </w:r>
          </w:p>
        </w:tc>
        <w:tc>
          <w:tcPr>
            <w:tcW w:w="2694" w:type="dxa"/>
            <w:vAlign w:val="center"/>
          </w:tcPr>
          <w:p w14:paraId="5E6B4936"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39C04097" w14:textId="77777777" w:rsidTr="00657329">
        <w:trPr>
          <w:cantSplit/>
          <w:trHeight w:val="284"/>
        </w:trPr>
        <w:tc>
          <w:tcPr>
            <w:tcW w:w="1623" w:type="dxa"/>
            <w:vAlign w:val="center"/>
          </w:tcPr>
          <w:p w14:paraId="5DBD9FDC"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24.01 </w:t>
            </w:r>
          </w:p>
        </w:tc>
        <w:tc>
          <w:tcPr>
            <w:tcW w:w="5323" w:type="dxa"/>
            <w:vAlign w:val="center"/>
          </w:tcPr>
          <w:p w14:paraId="4EAAB32E"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Nezpracovaný tabák, tabákový odpad </w:t>
            </w:r>
          </w:p>
        </w:tc>
        <w:tc>
          <w:tcPr>
            <w:tcW w:w="2694" w:type="dxa"/>
            <w:vAlign w:val="center"/>
          </w:tcPr>
          <w:p w14:paraId="05A8DA02"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683EFD8B" w14:textId="77777777" w:rsidTr="00657329">
        <w:trPr>
          <w:cantSplit/>
          <w:trHeight w:val="284"/>
        </w:trPr>
        <w:tc>
          <w:tcPr>
            <w:tcW w:w="6946" w:type="dxa"/>
            <w:gridSpan w:val="2"/>
            <w:vAlign w:val="center"/>
          </w:tcPr>
          <w:p w14:paraId="1F7AADBC" w14:textId="77777777" w:rsidR="00237D12" w:rsidRPr="005D6582" w:rsidRDefault="009772C7" w:rsidP="00657329">
            <w:pPr>
              <w:pStyle w:val="Default"/>
              <w:keepNex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45 </w:t>
            </w:r>
          </w:p>
        </w:tc>
        <w:tc>
          <w:tcPr>
            <w:tcW w:w="2694" w:type="dxa"/>
            <w:vAlign w:val="center"/>
          </w:tcPr>
          <w:p w14:paraId="4067C6B6"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1FF408E9" w14:textId="77777777" w:rsidTr="00657329">
        <w:trPr>
          <w:cantSplit/>
          <w:trHeight w:val="397"/>
        </w:trPr>
        <w:tc>
          <w:tcPr>
            <w:tcW w:w="1623" w:type="dxa"/>
            <w:vAlign w:val="center"/>
          </w:tcPr>
          <w:p w14:paraId="5391BDFF"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45.01 </w:t>
            </w:r>
          </w:p>
        </w:tc>
        <w:tc>
          <w:tcPr>
            <w:tcW w:w="5323" w:type="dxa"/>
            <w:vAlign w:val="center"/>
          </w:tcPr>
          <w:p w14:paraId="1932CD2F"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Surový přírodní korek, korkový odpad; granulovaný nebo na prach umletý </w:t>
            </w:r>
          </w:p>
        </w:tc>
        <w:tc>
          <w:tcPr>
            <w:tcW w:w="2694" w:type="dxa"/>
            <w:vAlign w:val="center"/>
          </w:tcPr>
          <w:p w14:paraId="4CF64CFB"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5D81FF7E" w14:textId="77777777" w:rsidTr="00657329">
        <w:trPr>
          <w:cantSplit/>
          <w:trHeight w:val="278"/>
        </w:trPr>
        <w:tc>
          <w:tcPr>
            <w:tcW w:w="6946" w:type="dxa"/>
            <w:gridSpan w:val="2"/>
            <w:vAlign w:val="center"/>
          </w:tcPr>
          <w:p w14:paraId="7006904F" w14:textId="77777777" w:rsidR="00237D12" w:rsidRPr="005D6582" w:rsidRDefault="009772C7"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54 </w:t>
            </w:r>
          </w:p>
        </w:tc>
        <w:tc>
          <w:tcPr>
            <w:tcW w:w="2694" w:type="dxa"/>
            <w:vAlign w:val="center"/>
          </w:tcPr>
          <w:p w14:paraId="46DB1358"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3BD21505" w14:textId="77777777" w:rsidTr="00657329">
        <w:trPr>
          <w:cantSplit/>
          <w:trHeight w:val="567"/>
        </w:trPr>
        <w:tc>
          <w:tcPr>
            <w:tcW w:w="1623" w:type="dxa"/>
            <w:vAlign w:val="center"/>
          </w:tcPr>
          <w:p w14:paraId="5F336D86"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54.01 </w:t>
            </w:r>
          </w:p>
        </w:tc>
        <w:tc>
          <w:tcPr>
            <w:tcW w:w="5323" w:type="dxa"/>
            <w:vAlign w:val="center"/>
          </w:tcPr>
          <w:p w14:paraId="52FD84F8"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Len surový, máčený, třený, vochlovaný nebo jinak zpracovaný avšak nespředený, koudel a odpad (včetně trhaného materiálu) </w:t>
            </w:r>
          </w:p>
        </w:tc>
        <w:tc>
          <w:tcPr>
            <w:tcW w:w="2694" w:type="dxa"/>
            <w:vAlign w:val="center"/>
          </w:tcPr>
          <w:p w14:paraId="62E30F62"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r w:rsidR="00237D12" w:rsidRPr="005D6582" w14:paraId="25693451" w14:textId="77777777" w:rsidTr="00657329">
        <w:trPr>
          <w:cantSplit/>
          <w:trHeight w:val="278"/>
        </w:trPr>
        <w:tc>
          <w:tcPr>
            <w:tcW w:w="6946" w:type="dxa"/>
            <w:gridSpan w:val="2"/>
            <w:vAlign w:val="center"/>
          </w:tcPr>
          <w:p w14:paraId="057D224F" w14:textId="77777777" w:rsidR="00237D12" w:rsidRPr="005D6582" w:rsidRDefault="009772C7" w:rsidP="00657329">
            <w:pPr>
              <w:pStyle w:val="Default"/>
              <w:overflowPunct w:val="0"/>
              <w:spacing w:after="240"/>
              <w:jc w:val="both"/>
              <w:textAlignment w:val="baseline"/>
              <w:rPr>
                <w:rFonts w:ascii="Calibri" w:hAnsi="Calibri"/>
                <w:b/>
                <w:sz w:val="22"/>
                <w:szCs w:val="22"/>
              </w:rPr>
            </w:pPr>
            <w:r w:rsidRPr="005D6582">
              <w:rPr>
                <w:rFonts w:ascii="Calibri" w:hAnsi="Calibri"/>
                <w:b/>
                <w:sz w:val="22"/>
                <w:szCs w:val="22"/>
              </w:rPr>
              <w:t xml:space="preserve">Kapitola 57 </w:t>
            </w:r>
          </w:p>
        </w:tc>
        <w:tc>
          <w:tcPr>
            <w:tcW w:w="2694" w:type="dxa"/>
            <w:vAlign w:val="center"/>
          </w:tcPr>
          <w:p w14:paraId="2C99DABC" w14:textId="77777777" w:rsidR="00237D12" w:rsidRPr="005D6582" w:rsidRDefault="00237D12" w:rsidP="00657329">
            <w:pPr>
              <w:pStyle w:val="Default"/>
              <w:overflowPunct w:val="0"/>
              <w:spacing w:after="240"/>
              <w:jc w:val="both"/>
              <w:textAlignment w:val="baseline"/>
              <w:rPr>
                <w:rFonts w:ascii="Calibri" w:hAnsi="Calibri"/>
                <w:b/>
                <w:sz w:val="22"/>
                <w:szCs w:val="22"/>
              </w:rPr>
            </w:pPr>
          </w:p>
        </w:tc>
      </w:tr>
      <w:tr w:rsidR="00237D12" w:rsidRPr="005D6582" w14:paraId="0CA65088" w14:textId="77777777" w:rsidTr="00657329">
        <w:trPr>
          <w:cantSplit/>
          <w:trHeight w:val="567"/>
        </w:trPr>
        <w:tc>
          <w:tcPr>
            <w:tcW w:w="1623" w:type="dxa"/>
            <w:vAlign w:val="center"/>
          </w:tcPr>
          <w:p w14:paraId="5008CEFB"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 xml:space="preserve">57.01 </w:t>
            </w:r>
          </w:p>
        </w:tc>
        <w:tc>
          <w:tcPr>
            <w:tcW w:w="5323" w:type="dxa"/>
            <w:vAlign w:val="center"/>
          </w:tcPr>
          <w:p w14:paraId="7CF95EED" w14:textId="77777777" w:rsidR="00237D12" w:rsidRPr="005D6582" w:rsidRDefault="009772C7" w:rsidP="00657329">
            <w:pPr>
              <w:pStyle w:val="Default"/>
              <w:overflowPunct w:val="0"/>
              <w:spacing w:after="240"/>
              <w:jc w:val="both"/>
              <w:textAlignment w:val="baseline"/>
              <w:rPr>
                <w:rFonts w:ascii="Calibri" w:hAnsi="Calibri"/>
                <w:sz w:val="22"/>
                <w:szCs w:val="22"/>
              </w:rPr>
            </w:pPr>
            <w:r w:rsidRPr="005D6582">
              <w:rPr>
                <w:rFonts w:ascii="Calibri" w:hAnsi="Calibri"/>
                <w:sz w:val="22"/>
                <w:szCs w:val="22"/>
              </w:rPr>
              <w:t>Pravé konopí (</w:t>
            </w:r>
            <w:proofErr w:type="spellStart"/>
            <w:r w:rsidRPr="005D6582">
              <w:rPr>
                <w:rFonts w:ascii="Calibri" w:hAnsi="Calibri"/>
                <w:sz w:val="22"/>
                <w:szCs w:val="22"/>
              </w:rPr>
              <w:t>Cannabis</w:t>
            </w:r>
            <w:proofErr w:type="spellEnd"/>
            <w:r w:rsidRPr="005D6582">
              <w:rPr>
                <w:rFonts w:ascii="Calibri" w:hAnsi="Calibri"/>
                <w:sz w:val="22"/>
                <w:szCs w:val="22"/>
              </w:rPr>
              <w:t xml:space="preserve"> </w:t>
            </w:r>
            <w:proofErr w:type="spellStart"/>
            <w:r w:rsidRPr="005D6582">
              <w:rPr>
                <w:rFonts w:ascii="Calibri" w:hAnsi="Calibri"/>
                <w:sz w:val="22"/>
                <w:szCs w:val="22"/>
              </w:rPr>
              <w:t>sativa</w:t>
            </w:r>
            <w:proofErr w:type="spellEnd"/>
            <w:r w:rsidRPr="005D6582">
              <w:rPr>
                <w:rFonts w:ascii="Calibri" w:hAnsi="Calibri"/>
                <w:sz w:val="22"/>
                <w:szCs w:val="22"/>
              </w:rPr>
              <w:t xml:space="preserve">) surové, máčené, třené, vochlované nebo jinak zpracované, avšak nespředené, koudel a odpad (včetně trhaného materiálu) </w:t>
            </w:r>
          </w:p>
        </w:tc>
        <w:tc>
          <w:tcPr>
            <w:tcW w:w="2694" w:type="dxa"/>
            <w:vAlign w:val="center"/>
          </w:tcPr>
          <w:p w14:paraId="05BBB1F2" w14:textId="77777777" w:rsidR="00237D12" w:rsidRPr="005D6582" w:rsidRDefault="00237D12" w:rsidP="00657329">
            <w:pPr>
              <w:pStyle w:val="Default"/>
              <w:overflowPunct w:val="0"/>
              <w:spacing w:after="240"/>
              <w:jc w:val="both"/>
              <w:textAlignment w:val="baseline"/>
              <w:rPr>
                <w:rFonts w:ascii="Calibri" w:hAnsi="Calibri"/>
                <w:sz w:val="22"/>
                <w:szCs w:val="22"/>
              </w:rPr>
            </w:pPr>
          </w:p>
        </w:tc>
      </w:tr>
    </w:tbl>
    <w:p w14:paraId="636C2D0C" w14:textId="77777777" w:rsidR="00A3001B" w:rsidRPr="005D6582" w:rsidRDefault="009772C7" w:rsidP="004F1E3F">
      <w:pPr>
        <w:jc w:val="right"/>
      </w:pPr>
      <w:r w:rsidRPr="005D6582">
        <w:rPr>
          <w:rFonts w:ascii="Arial" w:hAnsi="Arial"/>
          <w:sz w:val="24"/>
        </w:rPr>
        <w:br w:type="page"/>
      </w:r>
      <w:bookmarkEnd w:id="65"/>
      <w:bookmarkEnd w:id="66"/>
      <w:bookmarkEnd w:id="67"/>
    </w:p>
    <w:p w14:paraId="480915AD" w14:textId="77777777" w:rsidR="001942C3" w:rsidRPr="005D6582" w:rsidRDefault="009772C7" w:rsidP="0060446D">
      <w:pPr>
        <w:jc w:val="right"/>
        <w:rPr>
          <w:b/>
        </w:rPr>
      </w:pPr>
      <w:r w:rsidRPr="005D6582">
        <w:rPr>
          <w:b/>
        </w:rPr>
        <w:lastRenderedPageBreak/>
        <w:t xml:space="preserve">Příloha č. </w:t>
      </w:r>
      <w:r w:rsidR="00FD22E5" w:rsidRPr="005D6582">
        <w:rPr>
          <w:b/>
        </w:rPr>
        <w:t>2</w:t>
      </w:r>
      <w:r w:rsidRPr="005D6582">
        <w:rPr>
          <w:b/>
        </w:rPr>
        <w:t xml:space="preserve"> </w:t>
      </w:r>
      <w:r w:rsidR="00553FDD" w:rsidRPr="005D6582">
        <w:rPr>
          <w:b/>
        </w:rPr>
        <w:t>Výzvy I - úvěry v programu  EXPANZE</w:t>
      </w:r>
    </w:p>
    <w:p w14:paraId="1F917267" w14:textId="77777777" w:rsidR="00853F4F" w:rsidRPr="005D6582" w:rsidRDefault="00553FDD" w:rsidP="00853F4F">
      <w:pPr>
        <w:pStyle w:val="Nadpissted"/>
      </w:pPr>
      <w:r w:rsidRPr="005D6582">
        <w:t>Hodnotící kritéria</w:t>
      </w:r>
    </w:p>
    <w:p w14:paraId="29DEAA1E" w14:textId="77777777" w:rsidR="00294AC9" w:rsidRPr="005D6582" w:rsidRDefault="00553FDD" w:rsidP="00657329">
      <w:pPr>
        <w:pStyle w:val="Zkladntext2"/>
        <w:spacing w:after="0" w:line="240" w:lineRule="auto"/>
        <w:rPr>
          <w:rFonts w:cs="Arial"/>
          <w:b/>
          <w:sz w:val="24"/>
          <w:szCs w:val="24"/>
        </w:rPr>
      </w:pPr>
      <w:r w:rsidRPr="005D6582">
        <w:rPr>
          <w:rFonts w:cs="Arial"/>
          <w:b/>
          <w:sz w:val="24"/>
          <w:szCs w:val="24"/>
        </w:rPr>
        <w:t>Metodika hodnocení</w:t>
      </w:r>
    </w:p>
    <w:p w14:paraId="5E310C6D" w14:textId="77777777" w:rsidR="00657329" w:rsidRPr="005D6582" w:rsidRDefault="00553FDD" w:rsidP="001D6319">
      <w:pPr>
        <w:pStyle w:val="Zkladntext2"/>
        <w:spacing w:line="240" w:lineRule="auto"/>
        <w:rPr>
          <w:rFonts w:cs="Arial"/>
          <w:szCs w:val="22"/>
        </w:rPr>
      </w:pPr>
      <w:r w:rsidRPr="005D6582">
        <w:rPr>
          <w:rFonts w:cs="Arial"/>
          <w:szCs w:val="22"/>
        </w:rPr>
        <w:t>Kritéria pro hodnocení jsou rozdělena na čtyři základní části:</w:t>
      </w:r>
    </w:p>
    <w:p w14:paraId="1AB68F09" w14:textId="77777777" w:rsidR="00657329" w:rsidRPr="005D6582" w:rsidRDefault="00553FDD" w:rsidP="001D6319">
      <w:pPr>
        <w:pStyle w:val="Zkladntext2"/>
        <w:tabs>
          <w:tab w:val="left" w:pos="426"/>
        </w:tabs>
        <w:spacing w:after="0" w:line="240" w:lineRule="auto"/>
        <w:rPr>
          <w:rFonts w:cs="Arial"/>
          <w:szCs w:val="22"/>
        </w:rPr>
      </w:pPr>
      <w:r w:rsidRPr="005D6582">
        <w:rPr>
          <w:rFonts w:cs="Arial"/>
          <w:szCs w:val="22"/>
        </w:rPr>
        <w:t>A</w:t>
      </w:r>
      <w:r w:rsidRPr="005D6582">
        <w:rPr>
          <w:rFonts w:cs="Arial"/>
          <w:szCs w:val="22"/>
        </w:rPr>
        <w:tab/>
        <w:t>Základní kritéria</w:t>
      </w:r>
    </w:p>
    <w:p w14:paraId="689A1326" w14:textId="77777777" w:rsidR="00657329" w:rsidRPr="005D6582" w:rsidRDefault="00553FDD" w:rsidP="001D6319">
      <w:pPr>
        <w:pStyle w:val="Zkladntext2"/>
        <w:tabs>
          <w:tab w:val="left" w:pos="426"/>
        </w:tabs>
        <w:spacing w:after="0" w:line="240" w:lineRule="auto"/>
        <w:rPr>
          <w:rFonts w:cs="Arial"/>
          <w:szCs w:val="22"/>
        </w:rPr>
      </w:pPr>
      <w:r w:rsidRPr="005D6582">
        <w:rPr>
          <w:rFonts w:cs="Arial"/>
          <w:szCs w:val="22"/>
        </w:rPr>
        <w:t>B</w:t>
      </w:r>
      <w:r w:rsidRPr="005D6582">
        <w:rPr>
          <w:rFonts w:cs="Arial"/>
          <w:szCs w:val="22"/>
        </w:rPr>
        <w:tab/>
        <w:t>Připravenost žadatele k realizaci projektu</w:t>
      </w:r>
    </w:p>
    <w:p w14:paraId="79DD928F" w14:textId="77777777" w:rsidR="00657329" w:rsidRPr="005D6582" w:rsidRDefault="00553FDD" w:rsidP="001D6319">
      <w:pPr>
        <w:pStyle w:val="Zkladntext2"/>
        <w:tabs>
          <w:tab w:val="left" w:pos="426"/>
        </w:tabs>
        <w:spacing w:after="0" w:line="240" w:lineRule="auto"/>
        <w:rPr>
          <w:rFonts w:cs="Arial"/>
          <w:szCs w:val="22"/>
        </w:rPr>
      </w:pPr>
      <w:r w:rsidRPr="005D6582">
        <w:rPr>
          <w:rFonts w:cs="Arial"/>
          <w:szCs w:val="22"/>
        </w:rPr>
        <w:t>C</w:t>
      </w:r>
      <w:r w:rsidRPr="005D6582">
        <w:rPr>
          <w:rFonts w:cs="Arial"/>
          <w:szCs w:val="22"/>
        </w:rPr>
        <w:tab/>
        <w:t>Potřebnost a relevance projektu</w:t>
      </w:r>
    </w:p>
    <w:p w14:paraId="444C7E85" w14:textId="77777777" w:rsidR="00657329" w:rsidRPr="005D6582" w:rsidRDefault="00553FDD" w:rsidP="001D6319">
      <w:pPr>
        <w:pStyle w:val="Zkladntext2"/>
        <w:tabs>
          <w:tab w:val="left" w:pos="426"/>
        </w:tabs>
        <w:spacing w:after="0" w:line="240" w:lineRule="auto"/>
        <w:rPr>
          <w:rFonts w:cs="Arial"/>
          <w:szCs w:val="22"/>
        </w:rPr>
      </w:pPr>
      <w:r w:rsidRPr="005D6582">
        <w:rPr>
          <w:rFonts w:cs="Arial"/>
          <w:szCs w:val="22"/>
        </w:rPr>
        <w:t>D</w:t>
      </w:r>
      <w:r w:rsidRPr="005D6582">
        <w:rPr>
          <w:rFonts w:cs="Arial"/>
          <w:szCs w:val="22"/>
        </w:rPr>
        <w:tab/>
        <w:t>Vyhodnocení ekonomických faktorů</w:t>
      </w:r>
    </w:p>
    <w:p w14:paraId="459E96D9" w14:textId="77777777" w:rsidR="00853F4F" w:rsidRPr="005D6582" w:rsidRDefault="00853F4F" w:rsidP="00657329">
      <w:pPr>
        <w:pStyle w:val="Zkladntext2"/>
        <w:spacing w:after="0" w:line="240" w:lineRule="auto"/>
        <w:rPr>
          <w:rFonts w:cs="Arial"/>
          <w:szCs w:val="22"/>
        </w:rPr>
      </w:pPr>
    </w:p>
    <w:p w14:paraId="700DD733" w14:textId="77777777" w:rsidR="00853F4F" w:rsidRPr="005D6582" w:rsidRDefault="00553FDD" w:rsidP="00657329">
      <w:pPr>
        <w:pStyle w:val="Zkladntext2"/>
        <w:spacing w:after="0" w:line="240" w:lineRule="auto"/>
        <w:rPr>
          <w:rFonts w:cs="Arial"/>
          <w:b/>
          <w:szCs w:val="22"/>
        </w:rPr>
      </w:pPr>
      <w:r w:rsidRPr="005D6582">
        <w:rPr>
          <w:rFonts w:cs="Arial"/>
          <w:b/>
          <w:szCs w:val="22"/>
        </w:rPr>
        <w:t>Pokud projekt předložený žadatelem získá v části A alespoň jedno záporné hodnocení, bude projekt z dalšího hodnocení vyřazen jako nepřijatelný.</w:t>
      </w:r>
    </w:p>
    <w:p w14:paraId="5E05AD98" w14:textId="77777777" w:rsidR="00853F4F" w:rsidRPr="005D6582" w:rsidRDefault="00853F4F" w:rsidP="00657329">
      <w:pPr>
        <w:pStyle w:val="Zkladntext2"/>
        <w:spacing w:after="0" w:line="240" w:lineRule="auto"/>
        <w:rPr>
          <w:rFonts w:cs="Arial"/>
          <w:b/>
          <w:szCs w:val="22"/>
        </w:rPr>
      </w:pPr>
    </w:p>
    <w:p w14:paraId="1AE199FB" w14:textId="77777777" w:rsidR="00853F4F" w:rsidRPr="005D6582" w:rsidRDefault="00553FDD" w:rsidP="00657329">
      <w:pPr>
        <w:pStyle w:val="Zkladntext2"/>
        <w:spacing w:after="0" w:line="240" w:lineRule="auto"/>
        <w:rPr>
          <w:rFonts w:cs="Arial"/>
          <w:szCs w:val="22"/>
        </w:rPr>
      </w:pPr>
      <w:r w:rsidRPr="005D6582">
        <w:rPr>
          <w:rFonts w:cs="Arial"/>
          <w:szCs w:val="22"/>
        </w:rPr>
        <w:t>Části B až D v souhrnu představují kritérium úvěrovatelnosti projektu. Pokud projekt předložený žadatelem získá v části B, C nebo D záporné hodnocení, bude projekt z dalšího hodnocení vyřazen jako nepřijatelný.</w:t>
      </w:r>
    </w:p>
    <w:p w14:paraId="5BDCEC07" w14:textId="77777777" w:rsidR="00853F4F" w:rsidRPr="005D6582" w:rsidRDefault="00853F4F" w:rsidP="00657329">
      <w:pPr>
        <w:pStyle w:val="Zkladntext2"/>
        <w:spacing w:after="0" w:line="240" w:lineRule="auto"/>
        <w:rPr>
          <w:rFonts w:cs="Arial"/>
          <w:szCs w:val="22"/>
        </w:rPr>
      </w:pPr>
    </w:p>
    <w:p w14:paraId="4557AB13" w14:textId="77777777" w:rsidR="00853F4F" w:rsidRPr="005D6582" w:rsidRDefault="00553FDD" w:rsidP="00657329">
      <w:pPr>
        <w:pStyle w:val="Zkladntext2"/>
        <w:spacing w:after="0" w:line="240" w:lineRule="auto"/>
        <w:rPr>
          <w:rFonts w:cs="Arial"/>
          <w:szCs w:val="22"/>
        </w:rPr>
      </w:pPr>
      <w:r w:rsidRPr="005D6582">
        <w:rPr>
          <w:rFonts w:cs="Arial"/>
          <w:szCs w:val="22"/>
        </w:rPr>
        <w:t xml:space="preserve">Za </w:t>
      </w:r>
      <w:proofErr w:type="spellStart"/>
      <w:r w:rsidRPr="005D6582">
        <w:rPr>
          <w:rFonts w:cs="Arial"/>
          <w:szCs w:val="22"/>
        </w:rPr>
        <w:t>úvěrovatelné</w:t>
      </w:r>
      <w:proofErr w:type="spellEnd"/>
      <w:r w:rsidRPr="005D6582">
        <w:rPr>
          <w:rFonts w:cs="Arial"/>
          <w:szCs w:val="22"/>
        </w:rPr>
        <w:t xml:space="preserve"> ve smyslu přiměřenosti úvěrového rizika zvýhodněného úvěru budou považovány projekty, u nichž na základě posouzení bonity žadatele a analýzy mimoekonomických a ekonomických faktorů v rozsahu informací posuzovaných podle bodů B až D a zároveň bude žadatel klasifikován v některé z akceptovatelných rizikových kategorií </w:t>
      </w:r>
      <w:r w:rsidR="00CF7FF9" w:rsidRPr="005D6582">
        <w:rPr>
          <w:rFonts w:cs="Arial"/>
          <w:szCs w:val="22"/>
        </w:rPr>
        <w:t xml:space="preserve">úvěrového rizika </w:t>
      </w:r>
      <w:r w:rsidRPr="005D6582">
        <w:rPr>
          <w:rFonts w:cs="Arial"/>
          <w:szCs w:val="22"/>
        </w:rPr>
        <w:t>v systému ČMZRB, a.s.</w:t>
      </w:r>
    </w:p>
    <w:p w14:paraId="4F4ACC45" w14:textId="77777777" w:rsidR="00853F4F" w:rsidRPr="005D6582" w:rsidRDefault="00853F4F" w:rsidP="00657329">
      <w:pPr>
        <w:pStyle w:val="Zkladntext2"/>
        <w:spacing w:after="0" w:line="240" w:lineRule="auto"/>
        <w:rPr>
          <w:rFonts w:cs="Arial"/>
          <w:szCs w:val="22"/>
        </w:rPr>
      </w:pPr>
    </w:p>
    <w:p w14:paraId="038B6124" w14:textId="77777777" w:rsidR="00853F4F" w:rsidRPr="005D6582" w:rsidRDefault="00553FDD" w:rsidP="00657329">
      <w:pPr>
        <w:pStyle w:val="Zkladntext2"/>
        <w:spacing w:after="0" w:line="240" w:lineRule="auto"/>
        <w:rPr>
          <w:rFonts w:cs="Arial"/>
          <w:szCs w:val="22"/>
        </w:rPr>
      </w:pPr>
      <w:r w:rsidRPr="005D6582">
        <w:rPr>
          <w:rFonts w:cs="Arial"/>
          <w:szCs w:val="22"/>
        </w:rPr>
        <w:t xml:space="preserve">Výsledkem je rozhodnutí banky, zda projekt žadatele je či není </w:t>
      </w:r>
      <w:proofErr w:type="spellStart"/>
      <w:r w:rsidRPr="005D6582">
        <w:rPr>
          <w:rFonts w:cs="Arial"/>
          <w:szCs w:val="22"/>
        </w:rPr>
        <w:t>úvěrovatelný</w:t>
      </w:r>
      <w:proofErr w:type="spellEnd"/>
      <w:r w:rsidRPr="005D6582">
        <w:rPr>
          <w:rFonts w:cs="Arial"/>
          <w:szCs w:val="22"/>
        </w:rPr>
        <w:t>, tj. zda zvýhodněný úvěr může či nemůže být poskytnut.</w:t>
      </w:r>
    </w:p>
    <w:p w14:paraId="151A4F0A" w14:textId="77777777" w:rsidR="00853F4F" w:rsidRPr="005D6582" w:rsidRDefault="00853F4F" w:rsidP="00657329">
      <w:pPr>
        <w:pStyle w:val="Zkladntext2"/>
        <w:spacing w:after="0" w:line="240" w:lineRule="auto"/>
      </w:pPr>
    </w:p>
    <w:p w14:paraId="2D56E583" w14:textId="77777777" w:rsidR="00853F4F" w:rsidRPr="005D6582" w:rsidRDefault="00553FDD" w:rsidP="00657329">
      <w:pPr>
        <w:pStyle w:val="Zkladntext2"/>
        <w:spacing w:after="0" w:line="240" w:lineRule="auto"/>
        <w:rPr>
          <w:rFonts w:cs="Arial"/>
          <w:szCs w:val="22"/>
        </w:rPr>
      </w:pPr>
      <w:r w:rsidRPr="005D6582">
        <w:rPr>
          <w:rFonts w:cs="Arial"/>
          <w:szCs w:val="22"/>
        </w:rPr>
        <w:t xml:space="preserve">Uvedená kritéria se posuzují podle podmínek </w:t>
      </w:r>
      <w:r w:rsidR="00BB2616" w:rsidRPr="005D6582">
        <w:rPr>
          <w:rFonts w:cs="Arial"/>
          <w:szCs w:val="22"/>
        </w:rPr>
        <w:t>v</w:t>
      </w:r>
      <w:r w:rsidRPr="005D6582">
        <w:rPr>
          <w:rFonts w:cs="Arial"/>
          <w:szCs w:val="22"/>
        </w:rPr>
        <w:t>ýzvy platných ke dni podání žádosti o </w:t>
      </w:r>
      <w:r w:rsidR="00CF7FF9" w:rsidRPr="005D6582">
        <w:rPr>
          <w:rFonts w:cs="Arial"/>
          <w:szCs w:val="22"/>
        </w:rPr>
        <w:t>podporu</w:t>
      </w:r>
      <w:r w:rsidRPr="005D6582">
        <w:rPr>
          <w:rFonts w:cs="Arial"/>
          <w:szCs w:val="22"/>
        </w:rPr>
        <w:t>.</w:t>
      </w:r>
    </w:p>
    <w:p w14:paraId="79AF92E0" w14:textId="77777777" w:rsidR="00853F4F" w:rsidRPr="005D6582" w:rsidRDefault="00853F4F" w:rsidP="00853F4F">
      <w:pPr>
        <w:pStyle w:val="Zkladntext2"/>
        <w:spacing w:after="0" w:line="240" w:lineRule="auto"/>
        <w:ind w:left="-142"/>
        <w:rPr>
          <w:rFonts w:ascii="Arial" w:hAnsi="Arial" w:cs="Arial"/>
          <w:szCs w:val="22"/>
        </w:rPr>
      </w:pPr>
    </w:p>
    <w:tbl>
      <w:tblPr>
        <w:tblW w:w="965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63"/>
        <w:gridCol w:w="54"/>
        <w:gridCol w:w="37"/>
        <w:gridCol w:w="8001"/>
        <w:gridCol w:w="995"/>
      </w:tblGrid>
      <w:tr w:rsidR="00853F4F" w:rsidRPr="005D6582" w14:paraId="55E7DF91" w14:textId="77777777" w:rsidTr="004F5BDE">
        <w:trPr>
          <w:trHeight w:val="368"/>
        </w:trPr>
        <w:tc>
          <w:tcPr>
            <w:tcW w:w="8655" w:type="dxa"/>
            <w:gridSpan w:val="4"/>
            <w:tcBorders>
              <w:top w:val="single" w:sz="18" w:space="0" w:color="auto"/>
              <w:left w:val="single" w:sz="18" w:space="0" w:color="auto"/>
              <w:bottom w:val="single" w:sz="18" w:space="0" w:color="auto"/>
              <w:right w:val="single" w:sz="2" w:space="0" w:color="auto"/>
            </w:tcBorders>
            <w:shd w:val="clear" w:color="auto" w:fill="E6E6E6"/>
            <w:vAlign w:val="center"/>
          </w:tcPr>
          <w:p w14:paraId="5FA295BB" w14:textId="77777777" w:rsidR="00853F4F" w:rsidRPr="005D6582" w:rsidRDefault="009772C7" w:rsidP="00294AC9">
            <w:pPr>
              <w:spacing w:before="120" w:after="0"/>
              <w:rPr>
                <w:b/>
                <w:sz w:val="24"/>
                <w:szCs w:val="24"/>
              </w:rPr>
            </w:pPr>
            <w:r w:rsidRPr="005D6582">
              <w:br w:type="page"/>
            </w:r>
            <w:bookmarkStart w:id="68" w:name="_Toc429483554"/>
            <w:r w:rsidRPr="005D6582">
              <w:rPr>
                <w:b/>
                <w:sz w:val="24"/>
                <w:szCs w:val="24"/>
              </w:rPr>
              <w:t>A Základní kritéria</w:t>
            </w:r>
            <w:bookmarkEnd w:id="68"/>
          </w:p>
          <w:p w14:paraId="7B571899" w14:textId="77777777" w:rsidR="00853F4F" w:rsidRPr="005D6582" w:rsidRDefault="00853F4F" w:rsidP="003F292F">
            <w:pPr>
              <w:spacing w:before="120" w:after="0"/>
            </w:pPr>
          </w:p>
        </w:tc>
        <w:tc>
          <w:tcPr>
            <w:tcW w:w="995" w:type="dxa"/>
            <w:tcBorders>
              <w:top w:val="single" w:sz="18" w:space="0" w:color="auto"/>
              <w:left w:val="single" w:sz="2" w:space="0" w:color="auto"/>
              <w:bottom w:val="single" w:sz="18" w:space="0" w:color="auto"/>
              <w:right w:val="single" w:sz="18" w:space="0" w:color="auto"/>
            </w:tcBorders>
            <w:shd w:val="clear" w:color="auto" w:fill="E6E6E6"/>
            <w:vAlign w:val="center"/>
          </w:tcPr>
          <w:p w14:paraId="5757947A" w14:textId="77777777" w:rsidR="00853F4F" w:rsidRPr="005D6582" w:rsidRDefault="009772C7" w:rsidP="00896E2B">
            <w:pPr>
              <w:spacing w:after="0"/>
              <w:jc w:val="center"/>
              <w:rPr>
                <w:rFonts w:cs="Arial"/>
                <w:b/>
                <w:szCs w:val="24"/>
              </w:rPr>
            </w:pPr>
            <w:r w:rsidRPr="005D6582">
              <w:rPr>
                <w:rFonts w:cs="Arial"/>
                <w:b/>
                <w:szCs w:val="24"/>
              </w:rPr>
              <w:t>ANO/NE</w:t>
            </w:r>
          </w:p>
        </w:tc>
      </w:tr>
      <w:tr w:rsidR="00AF05AF" w:rsidRPr="005D6582" w14:paraId="7A97ACB2" w14:textId="77777777" w:rsidTr="004F5BDE">
        <w:trPr>
          <w:trHeight w:val="407"/>
        </w:trPr>
        <w:tc>
          <w:tcPr>
            <w:tcW w:w="563" w:type="dxa"/>
            <w:vAlign w:val="center"/>
          </w:tcPr>
          <w:p w14:paraId="3B788FF3"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1B3721B0" w14:textId="77777777" w:rsidR="00AF05AF" w:rsidRPr="005D6582" w:rsidRDefault="009772C7" w:rsidP="00EC145D">
            <w:pPr>
              <w:spacing w:before="60" w:after="0"/>
              <w:rPr>
                <w:szCs w:val="22"/>
              </w:rPr>
            </w:pPr>
            <w:r w:rsidRPr="005D6582">
              <w:rPr>
                <w:szCs w:val="22"/>
              </w:rPr>
              <w:t>Projekt se týká ekonomické činnosti uvedené v seznamu CZ-NACE v příloze č. 1 Výzvy I.</w:t>
            </w:r>
          </w:p>
        </w:tc>
        <w:tc>
          <w:tcPr>
            <w:tcW w:w="995" w:type="dxa"/>
          </w:tcPr>
          <w:p w14:paraId="2D14308F" w14:textId="77777777" w:rsidR="00AF05AF" w:rsidRPr="005D6582" w:rsidRDefault="00AF05AF" w:rsidP="00896E2B">
            <w:pPr>
              <w:tabs>
                <w:tab w:val="left" w:pos="459"/>
              </w:tabs>
              <w:spacing w:before="120" w:after="0"/>
              <w:jc w:val="right"/>
              <w:rPr>
                <w:rFonts w:cs="Arial"/>
                <w:szCs w:val="22"/>
              </w:rPr>
            </w:pPr>
          </w:p>
        </w:tc>
      </w:tr>
      <w:tr w:rsidR="00A06115" w:rsidRPr="005D6582" w14:paraId="16F3F1C9" w14:textId="77777777" w:rsidTr="004F5BDE">
        <w:trPr>
          <w:trHeight w:val="461"/>
        </w:trPr>
        <w:tc>
          <w:tcPr>
            <w:tcW w:w="563" w:type="dxa"/>
            <w:vAlign w:val="center"/>
          </w:tcPr>
          <w:p w14:paraId="27C92532"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6AA4C4CE" w14:textId="77777777" w:rsidR="00273D9B" w:rsidRPr="005D6582" w:rsidRDefault="00553FDD" w:rsidP="00EC145D">
            <w:pPr>
              <w:spacing w:before="60" w:after="0"/>
              <w:rPr>
                <w:szCs w:val="22"/>
              </w:rPr>
            </w:pPr>
            <w:r w:rsidRPr="005D6582">
              <w:rPr>
                <w:szCs w:val="22"/>
              </w:rPr>
              <w:t xml:space="preserve">Žadatel splňuje podmínky přijatelnosti stanovené v bodě 3 písm. </w:t>
            </w:r>
            <w:r w:rsidR="00D00160" w:rsidRPr="005D6582">
              <w:rPr>
                <w:szCs w:val="22"/>
              </w:rPr>
              <w:t>a</w:t>
            </w:r>
            <w:r w:rsidRPr="005D6582">
              <w:rPr>
                <w:szCs w:val="22"/>
              </w:rPr>
              <w:t xml:space="preserve">) až </w:t>
            </w:r>
            <w:r w:rsidR="00BB2616" w:rsidRPr="005D6582">
              <w:rPr>
                <w:szCs w:val="22"/>
              </w:rPr>
              <w:t>o</w:t>
            </w:r>
            <w:r w:rsidRPr="005D6582">
              <w:rPr>
                <w:szCs w:val="22"/>
              </w:rPr>
              <w:t>) Výzvy I.</w:t>
            </w:r>
          </w:p>
        </w:tc>
        <w:tc>
          <w:tcPr>
            <w:tcW w:w="995" w:type="dxa"/>
          </w:tcPr>
          <w:p w14:paraId="4E1F0447" w14:textId="77777777" w:rsidR="00A06115" w:rsidRPr="005D6582" w:rsidRDefault="00A06115" w:rsidP="00896E2B">
            <w:pPr>
              <w:tabs>
                <w:tab w:val="left" w:pos="459"/>
              </w:tabs>
              <w:spacing w:before="120" w:after="0"/>
              <w:jc w:val="right"/>
              <w:rPr>
                <w:rFonts w:cs="Arial"/>
                <w:szCs w:val="22"/>
              </w:rPr>
            </w:pPr>
          </w:p>
        </w:tc>
      </w:tr>
      <w:tr w:rsidR="00075B25" w:rsidRPr="005D6582" w14:paraId="463670B2" w14:textId="77777777" w:rsidTr="004F5BDE">
        <w:trPr>
          <w:trHeight w:val="319"/>
        </w:trPr>
        <w:tc>
          <w:tcPr>
            <w:tcW w:w="563" w:type="dxa"/>
            <w:vAlign w:val="center"/>
          </w:tcPr>
          <w:p w14:paraId="278F6544" w14:textId="77777777" w:rsidR="00075B25" w:rsidRPr="005D6582" w:rsidRDefault="00075B25">
            <w:pPr>
              <w:numPr>
                <w:ilvl w:val="0"/>
                <w:numId w:val="94"/>
              </w:numPr>
              <w:spacing w:after="0"/>
              <w:ind w:left="318" w:right="459" w:hanging="284"/>
              <w:jc w:val="left"/>
              <w:rPr>
                <w:rFonts w:cs="Arial"/>
                <w:b/>
                <w:szCs w:val="22"/>
              </w:rPr>
            </w:pPr>
          </w:p>
        </w:tc>
        <w:tc>
          <w:tcPr>
            <w:tcW w:w="8092" w:type="dxa"/>
            <w:gridSpan w:val="3"/>
          </w:tcPr>
          <w:p w14:paraId="432CB2DA" w14:textId="77777777" w:rsidR="00075B25" w:rsidRPr="005D6582" w:rsidRDefault="00075B25" w:rsidP="00EC145D">
            <w:pPr>
              <w:spacing w:before="60" w:after="0"/>
              <w:rPr>
                <w:szCs w:val="22"/>
              </w:rPr>
            </w:pPr>
            <w:r w:rsidRPr="005D6582">
              <w:rPr>
                <w:szCs w:val="22"/>
              </w:rPr>
              <w:t>Projekt splňuje podmínky přijatelnosti</w:t>
            </w:r>
            <w:r w:rsidR="00D00160" w:rsidRPr="005D6582">
              <w:rPr>
                <w:szCs w:val="22"/>
              </w:rPr>
              <w:t xml:space="preserve"> projektu</w:t>
            </w:r>
            <w:r w:rsidRPr="005D6582">
              <w:rPr>
                <w:szCs w:val="22"/>
              </w:rPr>
              <w:t xml:space="preserve"> uvedené v bodě 4.1.1 výzvy.</w:t>
            </w:r>
          </w:p>
        </w:tc>
        <w:tc>
          <w:tcPr>
            <w:tcW w:w="995" w:type="dxa"/>
          </w:tcPr>
          <w:p w14:paraId="24D6242C" w14:textId="77777777" w:rsidR="00075B25" w:rsidRPr="005D6582" w:rsidRDefault="00075B25" w:rsidP="00896E2B">
            <w:pPr>
              <w:tabs>
                <w:tab w:val="left" w:pos="459"/>
              </w:tabs>
              <w:spacing w:before="120" w:after="0"/>
              <w:jc w:val="right"/>
              <w:rPr>
                <w:rFonts w:cs="Arial"/>
                <w:szCs w:val="22"/>
              </w:rPr>
            </w:pPr>
          </w:p>
        </w:tc>
      </w:tr>
      <w:tr w:rsidR="00A06115" w:rsidRPr="005D6582" w14:paraId="016236E8" w14:textId="77777777" w:rsidTr="004F5BDE">
        <w:trPr>
          <w:trHeight w:val="319"/>
        </w:trPr>
        <w:tc>
          <w:tcPr>
            <w:tcW w:w="563" w:type="dxa"/>
            <w:vAlign w:val="center"/>
          </w:tcPr>
          <w:p w14:paraId="318E25CC"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354CC160" w14:textId="77777777" w:rsidR="00A06115" w:rsidRPr="005D6582" w:rsidRDefault="00553FDD" w:rsidP="00EC145D">
            <w:pPr>
              <w:spacing w:before="60" w:after="0"/>
              <w:rPr>
                <w:szCs w:val="22"/>
              </w:rPr>
            </w:pPr>
            <w:r w:rsidRPr="005D6582">
              <w:rPr>
                <w:szCs w:val="22"/>
              </w:rPr>
              <w:t xml:space="preserve">Výše, doba odkladu splátek jistiny a splatnost požadovaného úvěru nepřesahují hodnoty uvedené ve </w:t>
            </w:r>
            <w:r w:rsidR="003F292F" w:rsidRPr="005D6582">
              <w:rPr>
                <w:szCs w:val="22"/>
              </w:rPr>
              <w:t>výzvě</w:t>
            </w:r>
          </w:p>
        </w:tc>
        <w:tc>
          <w:tcPr>
            <w:tcW w:w="995" w:type="dxa"/>
          </w:tcPr>
          <w:p w14:paraId="5CA3578A" w14:textId="77777777" w:rsidR="00A06115" w:rsidRPr="005D6582" w:rsidRDefault="00A06115" w:rsidP="00896E2B">
            <w:pPr>
              <w:tabs>
                <w:tab w:val="left" w:pos="459"/>
              </w:tabs>
              <w:spacing w:before="120" w:after="0"/>
              <w:jc w:val="right"/>
              <w:rPr>
                <w:rFonts w:cs="Arial"/>
                <w:szCs w:val="22"/>
              </w:rPr>
            </w:pPr>
          </w:p>
        </w:tc>
      </w:tr>
      <w:tr w:rsidR="00A06115" w:rsidRPr="005D6582" w14:paraId="55FE0F3F" w14:textId="77777777" w:rsidTr="004F5BDE">
        <w:trPr>
          <w:trHeight w:val="319"/>
        </w:trPr>
        <w:tc>
          <w:tcPr>
            <w:tcW w:w="563" w:type="dxa"/>
            <w:vAlign w:val="center"/>
          </w:tcPr>
          <w:p w14:paraId="2FE119BB"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69A4DE4B" w14:textId="77777777" w:rsidR="00A06115" w:rsidRPr="005D6582" w:rsidRDefault="00712C3C" w:rsidP="00EC145D">
            <w:pPr>
              <w:spacing w:before="60" w:after="0"/>
              <w:rPr>
                <w:szCs w:val="22"/>
              </w:rPr>
            </w:pPr>
            <w:r w:rsidRPr="005D6582">
              <w:rPr>
                <w:szCs w:val="22"/>
              </w:rPr>
              <w:t xml:space="preserve">V žádosti je předpokládáno čerpání zvýhodněného úvěru pouze na způsobilé výdaje </w:t>
            </w:r>
            <w:r w:rsidR="003F292F" w:rsidRPr="005D6582">
              <w:rPr>
                <w:szCs w:val="22"/>
              </w:rPr>
              <w:t xml:space="preserve">projektu </w:t>
            </w:r>
            <w:r w:rsidRPr="005D6582">
              <w:rPr>
                <w:szCs w:val="22"/>
              </w:rPr>
              <w:t xml:space="preserve">uvedené v bodě 4.3.2 </w:t>
            </w:r>
            <w:r w:rsidR="003F292F" w:rsidRPr="005D6582">
              <w:rPr>
                <w:szCs w:val="22"/>
              </w:rPr>
              <w:t>výzvy</w:t>
            </w:r>
            <w:r w:rsidRPr="005D6582">
              <w:rPr>
                <w:szCs w:val="22"/>
              </w:rPr>
              <w:t>.</w:t>
            </w:r>
          </w:p>
        </w:tc>
        <w:tc>
          <w:tcPr>
            <w:tcW w:w="995" w:type="dxa"/>
          </w:tcPr>
          <w:p w14:paraId="74F0D3E6" w14:textId="77777777" w:rsidR="00A06115" w:rsidRPr="005D6582" w:rsidRDefault="00A06115" w:rsidP="00896E2B">
            <w:pPr>
              <w:tabs>
                <w:tab w:val="left" w:pos="459"/>
              </w:tabs>
              <w:spacing w:before="120" w:after="0"/>
              <w:jc w:val="right"/>
              <w:rPr>
                <w:rFonts w:cs="Arial"/>
                <w:szCs w:val="22"/>
              </w:rPr>
            </w:pPr>
          </w:p>
        </w:tc>
      </w:tr>
      <w:tr w:rsidR="00F53B45" w:rsidRPr="005D6582" w14:paraId="535C8B6A" w14:textId="77777777" w:rsidTr="004F5BDE">
        <w:trPr>
          <w:trHeight w:val="545"/>
        </w:trPr>
        <w:tc>
          <w:tcPr>
            <w:tcW w:w="8655" w:type="dxa"/>
            <w:gridSpan w:val="4"/>
            <w:tcBorders>
              <w:top w:val="single" w:sz="18" w:space="0" w:color="auto"/>
              <w:left w:val="single" w:sz="18" w:space="0" w:color="auto"/>
              <w:bottom w:val="single" w:sz="18" w:space="0" w:color="auto"/>
              <w:right w:val="single" w:sz="2" w:space="0" w:color="auto"/>
            </w:tcBorders>
            <w:shd w:val="clear" w:color="auto" w:fill="E6E6E6"/>
            <w:vAlign w:val="center"/>
          </w:tcPr>
          <w:p w14:paraId="0E9BC4EC" w14:textId="77777777" w:rsidR="00F53B45" w:rsidRPr="005D6582" w:rsidRDefault="009772C7" w:rsidP="003C0976">
            <w:pPr>
              <w:spacing w:after="0"/>
              <w:jc w:val="left"/>
            </w:pPr>
            <w:r w:rsidRPr="005D6582">
              <w:br w:type="page"/>
            </w:r>
            <w:bookmarkStart w:id="69" w:name="_Toc429483556"/>
            <w:r w:rsidRPr="005D6582">
              <w:rPr>
                <w:b/>
                <w:sz w:val="24"/>
                <w:szCs w:val="24"/>
              </w:rPr>
              <w:t>II. Doplňující binární kritéria k podpoře dle čl. 14 Nařízení Komise (EU) č. 651/2014</w:t>
            </w:r>
            <w:bookmarkEnd w:id="69"/>
          </w:p>
        </w:tc>
        <w:tc>
          <w:tcPr>
            <w:tcW w:w="995" w:type="dxa"/>
            <w:tcBorders>
              <w:top w:val="single" w:sz="18" w:space="0" w:color="auto"/>
              <w:left w:val="single" w:sz="2" w:space="0" w:color="auto"/>
              <w:bottom w:val="single" w:sz="18" w:space="0" w:color="auto"/>
              <w:right w:val="single" w:sz="18" w:space="0" w:color="auto"/>
            </w:tcBorders>
            <w:shd w:val="clear" w:color="auto" w:fill="E6E6E6"/>
            <w:vAlign w:val="center"/>
          </w:tcPr>
          <w:p w14:paraId="08DE4DD5" w14:textId="77777777" w:rsidR="00F53B45" w:rsidRPr="005D6582" w:rsidRDefault="009772C7" w:rsidP="00896E2B">
            <w:pPr>
              <w:spacing w:after="0"/>
              <w:jc w:val="center"/>
              <w:rPr>
                <w:rFonts w:cs="Arial"/>
                <w:b/>
                <w:szCs w:val="24"/>
              </w:rPr>
            </w:pPr>
            <w:r w:rsidRPr="005D6582">
              <w:rPr>
                <w:rFonts w:cs="Arial"/>
                <w:b/>
                <w:szCs w:val="24"/>
              </w:rPr>
              <w:t>ANO/NE</w:t>
            </w:r>
          </w:p>
        </w:tc>
      </w:tr>
      <w:tr w:rsidR="00F53B45" w:rsidRPr="005D6582" w14:paraId="1499BE3E" w14:textId="77777777" w:rsidTr="004F5BDE">
        <w:trPr>
          <w:trHeight w:val="894"/>
        </w:trPr>
        <w:tc>
          <w:tcPr>
            <w:tcW w:w="563" w:type="dxa"/>
            <w:vAlign w:val="center"/>
          </w:tcPr>
          <w:p w14:paraId="205D53B3"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3760CCF9" w14:textId="77777777" w:rsidR="00625D28" w:rsidRPr="005D6582" w:rsidRDefault="009772C7" w:rsidP="003C0976">
            <w:pPr>
              <w:spacing w:after="0"/>
              <w:rPr>
                <w:szCs w:val="22"/>
              </w:rPr>
            </w:pPr>
            <w:r w:rsidRPr="005D6582">
              <w:rPr>
                <w:szCs w:val="22"/>
              </w:rPr>
              <w:t>Žadatel neukončil (včetně s ním přímo či nepřímo spojených podnikatelů) v posledních dvou letech před podáním žádosti o podporu stejnou nebo podobnou činnost v Evropském hospodářském prostoru.</w:t>
            </w:r>
          </w:p>
        </w:tc>
        <w:tc>
          <w:tcPr>
            <w:tcW w:w="995" w:type="dxa"/>
          </w:tcPr>
          <w:p w14:paraId="17A44939" w14:textId="77777777" w:rsidR="00F53B45" w:rsidRPr="005D6582" w:rsidRDefault="00F53B45" w:rsidP="00896E2B">
            <w:pPr>
              <w:tabs>
                <w:tab w:val="left" w:pos="459"/>
              </w:tabs>
              <w:spacing w:after="0"/>
              <w:jc w:val="right"/>
              <w:rPr>
                <w:rFonts w:cs="Arial"/>
                <w:szCs w:val="22"/>
              </w:rPr>
            </w:pPr>
          </w:p>
        </w:tc>
      </w:tr>
      <w:tr w:rsidR="00F53B45" w:rsidRPr="005D6582" w14:paraId="7F4D0AB6" w14:textId="77777777" w:rsidTr="004F5BDE">
        <w:trPr>
          <w:trHeight w:val="894"/>
        </w:trPr>
        <w:tc>
          <w:tcPr>
            <w:tcW w:w="563" w:type="dxa"/>
            <w:vAlign w:val="center"/>
          </w:tcPr>
          <w:p w14:paraId="6923FC48"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249232FF" w14:textId="77777777" w:rsidR="00625D28" w:rsidRPr="005D6582" w:rsidRDefault="009772C7" w:rsidP="003C0976">
            <w:pPr>
              <w:spacing w:after="0"/>
              <w:rPr>
                <w:szCs w:val="22"/>
              </w:rPr>
            </w:pPr>
            <w:r w:rsidRPr="005D6582">
              <w:rPr>
                <w:szCs w:val="22"/>
              </w:rPr>
              <w:t>Projekt je počáteční investicí. V případě investice za účelem rozšíření výrobního sortimentu stávající provozovny je počáteční investicí splňující podmínk</w:t>
            </w:r>
            <w:r w:rsidR="00F325C8" w:rsidRPr="005D6582">
              <w:rPr>
                <w:szCs w:val="22"/>
              </w:rPr>
              <w:t>u</w:t>
            </w:r>
            <w:r w:rsidRPr="005D6582">
              <w:rPr>
                <w:szCs w:val="22"/>
              </w:rPr>
              <w:t xml:space="preserve"> uveden</w:t>
            </w:r>
            <w:r w:rsidR="00F325C8" w:rsidRPr="005D6582">
              <w:rPr>
                <w:szCs w:val="22"/>
              </w:rPr>
              <w:t>ou</w:t>
            </w:r>
            <w:r w:rsidRPr="005D6582">
              <w:rPr>
                <w:szCs w:val="22"/>
              </w:rPr>
              <w:t xml:space="preserve"> v bodě 4.1.2 písm. a) Výzvy I.</w:t>
            </w:r>
          </w:p>
        </w:tc>
        <w:tc>
          <w:tcPr>
            <w:tcW w:w="995" w:type="dxa"/>
          </w:tcPr>
          <w:p w14:paraId="17BB1623" w14:textId="77777777" w:rsidR="00F53B45" w:rsidRPr="005D6582" w:rsidRDefault="00F53B45" w:rsidP="00896E2B">
            <w:pPr>
              <w:tabs>
                <w:tab w:val="left" w:pos="459"/>
              </w:tabs>
              <w:spacing w:after="0"/>
              <w:jc w:val="right"/>
              <w:rPr>
                <w:rFonts w:cs="Arial"/>
                <w:szCs w:val="22"/>
              </w:rPr>
            </w:pPr>
          </w:p>
        </w:tc>
      </w:tr>
      <w:tr w:rsidR="00147A02" w:rsidRPr="005D6582" w14:paraId="63D1EE53" w14:textId="77777777" w:rsidTr="00052838">
        <w:trPr>
          <w:trHeight w:val="263"/>
        </w:trPr>
        <w:tc>
          <w:tcPr>
            <w:tcW w:w="563" w:type="dxa"/>
            <w:vAlign w:val="center"/>
          </w:tcPr>
          <w:p w14:paraId="49A0EBB1" w14:textId="77777777" w:rsidR="00147A02" w:rsidRPr="005D6582" w:rsidRDefault="00147A02">
            <w:pPr>
              <w:numPr>
                <w:ilvl w:val="0"/>
                <w:numId w:val="94"/>
              </w:numPr>
              <w:spacing w:after="0"/>
              <w:ind w:left="318" w:right="459" w:hanging="284"/>
              <w:jc w:val="left"/>
              <w:rPr>
                <w:rFonts w:cs="Arial"/>
                <w:b/>
                <w:szCs w:val="22"/>
              </w:rPr>
            </w:pPr>
          </w:p>
        </w:tc>
        <w:tc>
          <w:tcPr>
            <w:tcW w:w="8092" w:type="dxa"/>
            <w:gridSpan w:val="3"/>
          </w:tcPr>
          <w:p w14:paraId="3D7EBDA4" w14:textId="556D397F" w:rsidR="00147A02" w:rsidRPr="005D6582" w:rsidRDefault="00147A02" w:rsidP="003F292F">
            <w:pPr>
              <w:spacing w:after="0"/>
              <w:rPr>
                <w:szCs w:val="22"/>
              </w:rPr>
            </w:pPr>
            <w:r w:rsidRPr="005D6582">
              <w:rPr>
                <w:szCs w:val="22"/>
              </w:rPr>
              <w:t>Žadatel splňuje podmínky přijatelnosti stanovené v bodě 3 písm. h) Výzvy,</w:t>
            </w:r>
          </w:p>
        </w:tc>
        <w:tc>
          <w:tcPr>
            <w:tcW w:w="995" w:type="dxa"/>
          </w:tcPr>
          <w:p w14:paraId="423E1C56" w14:textId="77777777" w:rsidR="00147A02" w:rsidRPr="005D6582" w:rsidRDefault="00147A02" w:rsidP="00896E2B">
            <w:pPr>
              <w:tabs>
                <w:tab w:val="left" w:pos="459"/>
              </w:tabs>
              <w:spacing w:after="0"/>
              <w:jc w:val="right"/>
              <w:rPr>
                <w:rFonts w:cs="Arial"/>
                <w:szCs w:val="22"/>
              </w:rPr>
            </w:pPr>
          </w:p>
        </w:tc>
      </w:tr>
      <w:tr w:rsidR="00F53B45" w:rsidRPr="005D6582" w14:paraId="0895EFAD" w14:textId="77777777" w:rsidTr="004F5BDE">
        <w:trPr>
          <w:trHeight w:val="894"/>
        </w:trPr>
        <w:tc>
          <w:tcPr>
            <w:tcW w:w="563" w:type="dxa"/>
            <w:vAlign w:val="center"/>
          </w:tcPr>
          <w:p w14:paraId="07B0D340"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25A503B6" w14:textId="77777777" w:rsidR="00F53B45" w:rsidRPr="005D6582" w:rsidRDefault="009772C7" w:rsidP="003F292F">
            <w:pPr>
              <w:spacing w:after="0"/>
              <w:rPr>
                <w:szCs w:val="22"/>
              </w:rPr>
            </w:pPr>
            <w:r w:rsidRPr="005D6582">
              <w:rPr>
                <w:szCs w:val="22"/>
              </w:rPr>
              <w:t>Stavební práce na realizaci projektu nebyly zahájeny a smlouvy s dodavateli strojů a zařízení (vč. smlouvy o smlouvě budoucí či závazné objednávky a leasingových smluv) nebyly uzavřeny před datem podání žádosti o </w:t>
            </w:r>
            <w:r w:rsidR="003F292F" w:rsidRPr="005D6582">
              <w:rPr>
                <w:szCs w:val="22"/>
              </w:rPr>
              <w:t>podporu</w:t>
            </w:r>
            <w:r w:rsidRPr="005D6582">
              <w:rPr>
                <w:szCs w:val="22"/>
              </w:rPr>
              <w:t>.</w:t>
            </w:r>
          </w:p>
        </w:tc>
        <w:tc>
          <w:tcPr>
            <w:tcW w:w="995" w:type="dxa"/>
          </w:tcPr>
          <w:p w14:paraId="468C1F34" w14:textId="77777777" w:rsidR="00F53B45" w:rsidRPr="005D6582" w:rsidRDefault="00F53B45" w:rsidP="00896E2B">
            <w:pPr>
              <w:tabs>
                <w:tab w:val="left" w:pos="459"/>
              </w:tabs>
              <w:spacing w:after="0"/>
              <w:jc w:val="right"/>
              <w:rPr>
                <w:rFonts w:cs="Arial"/>
                <w:szCs w:val="22"/>
              </w:rPr>
            </w:pPr>
          </w:p>
        </w:tc>
      </w:tr>
      <w:tr w:rsidR="00F53B45" w:rsidRPr="005D6582" w14:paraId="0E6EC86E" w14:textId="77777777" w:rsidTr="004F5BDE">
        <w:trPr>
          <w:trHeight w:val="356"/>
        </w:trPr>
        <w:tc>
          <w:tcPr>
            <w:tcW w:w="563" w:type="dxa"/>
            <w:vAlign w:val="center"/>
          </w:tcPr>
          <w:p w14:paraId="7B1874E5"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Pr>
          <w:p w14:paraId="7449661B" w14:textId="77777777" w:rsidR="00625D28" w:rsidRPr="005D6582" w:rsidRDefault="009772C7" w:rsidP="003C0976">
            <w:pPr>
              <w:spacing w:after="0"/>
              <w:rPr>
                <w:szCs w:val="22"/>
              </w:rPr>
            </w:pPr>
            <w:r w:rsidRPr="005D6582">
              <w:rPr>
                <w:szCs w:val="22"/>
              </w:rPr>
              <w:t>Projekt není velkým investičním projektem.</w:t>
            </w:r>
          </w:p>
        </w:tc>
        <w:tc>
          <w:tcPr>
            <w:tcW w:w="995" w:type="dxa"/>
          </w:tcPr>
          <w:p w14:paraId="3EDF0FD2" w14:textId="77777777" w:rsidR="00F53B45" w:rsidRPr="005D6582" w:rsidRDefault="00F53B45" w:rsidP="00896E2B">
            <w:pPr>
              <w:tabs>
                <w:tab w:val="left" w:pos="459"/>
              </w:tabs>
              <w:spacing w:after="0"/>
              <w:rPr>
                <w:rFonts w:cs="Arial"/>
                <w:szCs w:val="22"/>
              </w:rPr>
            </w:pPr>
          </w:p>
        </w:tc>
      </w:tr>
      <w:tr w:rsidR="00F53B45" w:rsidRPr="005D6582" w14:paraId="6A5889DF" w14:textId="77777777" w:rsidTr="004F5BDE">
        <w:trPr>
          <w:trHeight w:val="372"/>
        </w:trPr>
        <w:tc>
          <w:tcPr>
            <w:tcW w:w="563" w:type="dxa"/>
            <w:tcBorders>
              <w:bottom w:val="single" w:sz="6" w:space="0" w:color="auto"/>
            </w:tcBorders>
            <w:vAlign w:val="center"/>
          </w:tcPr>
          <w:p w14:paraId="4B0BCEF8" w14:textId="77777777" w:rsidR="008E5E9B" w:rsidRPr="005D6582" w:rsidRDefault="008E5E9B">
            <w:pPr>
              <w:numPr>
                <w:ilvl w:val="0"/>
                <w:numId w:val="94"/>
              </w:numPr>
              <w:spacing w:after="0"/>
              <w:ind w:left="318" w:right="459" w:hanging="284"/>
              <w:jc w:val="left"/>
              <w:rPr>
                <w:rFonts w:cs="Arial"/>
                <w:b/>
                <w:szCs w:val="22"/>
              </w:rPr>
            </w:pPr>
          </w:p>
        </w:tc>
        <w:tc>
          <w:tcPr>
            <w:tcW w:w="8092" w:type="dxa"/>
            <w:gridSpan w:val="3"/>
            <w:tcBorders>
              <w:bottom w:val="single" w:sz="6" w:space="0" w:color="auto"/>
            </w:tcBorders>
          </w:tcPr>
          <w:p w14:paraId="1F0FE3FA" w14:textId="77777777" w:rsidR="00F53B45" w:rsidRPr="005D6582" w:rsidRDefault="009772C7" w:rsidP="00896E2B">
            <w:pPr>
              <w:spacing w:after="0"/>
              <w:rPr>
                <w:szCs w:val="22"/>
              </w:rPr>
            </w:pPr>
            <w:r w:rsidRPr="005D6582">
              <w:rPr>
                <w:szCs w:val="22"/>
              </w:rPr>
              <w:t xml:space="preserve">Intenzita veřejné podpory dle </w:t>
            </w:r>
            <w:r w:rsidR="00CF7FF9" w:rsidRPr="005D6582">
              <w:rPr>
                <w:szCs w:val="22"/>
              </w:rPr>
              <w:t xml:space="preserve">článku 14 </w:t>
            </w:r>
            <w:r w:rsidRPr="005D6582">
              <w:rPr>
                <w:szCs w:val="22"/>
              </w:rPr>
              <w:t>Nařízení Komise č. 651/2014 je dodržena.</w:t>
            </w:r>
          </w:p>
        </w:tc>
        <w:tc>
          <w:tcPr>
            <w:tcW w:w="995" w:type="dxa"/>
            <w:tcBorders>
              <w:bottom w:val="single" w:sz="6" w:space="0" w:color="auto"/>
            </w:tcBorders>
          </w:tcPr>
          <w:p w14:paraId="3FA9A62B" w14:textId="77777777" w:rsidR="00F53B45" w:rsidRPr="005D6582" w:rsidRDefault="00F53B45" w:rsidP="00896E2B">
            <w:pPr>
              <w:tabs>
                <w:tab w:val="left" w:pos="459"/>
              </w:tabs>
              <w:spacing w:after="0"/>
              <w:jc w:val="right"/>
              <w:rPr>
                <w:rFonts w:cs="Arial"/>
                <w:szCs w:val="22"/>
              </w:rPr>
            </w:pPr>
          </w:p>
        </w:tc>
      </w:tr>
      <w:tr w:rsidR="006F3A11" w:rsidRPr="005D6582" w14:paraId="2F791549" w14:textId="77777777" w:rsidTr="004F5BDE">
        <w:trPr>
          <w:trHeight w:val="536"/>
        </w:trPr>
        <w:tc>
          <w:tcPr>
            <w:tcW w:w="563" w:type="dxa"/>
            <w:tcBorders>
              <w:top w:val="single" w:sz="6" w:space="0" w:color="auto"/>
              <w:bottom w:val="single" w:sz="6" w:space="0" w:color="auto"/>
            </w:tcBorders>
            <w:vAlign w:val="center"/>
          </w:tcPr>
          <w:p w14:paraId="61AE3070" w14:textId="77777777" w:rsidR="006F3A11" w:rsidRPr="005D6582" w:rsidRDefault="006F3A11" w:rsidP="00577730">
            <w:pPr>
              <w:numPr>
                <w:ilvl w:val="0"/>
                <w:numId w:val="94"/>
              </w:numPr>
              <w:spacing w:after="0"/>
              <w:ind w:left="318" w:right="459" w:hanging="284"/>
              <w:jc w:val="left"/>
              <w:rPr>
                <w:rFonts w:cs="Arial"/>
                <w:b/>
                <w:szCs w:val="22"/>
              </w:rPr>
            </w:pPr>
          </w:p>
        </w:tc>
        <w:tc>
          <w:tcPr>
            <w:tcW w:w="8092" w:type="dxa"/>
            <w:gridSpan w:val="3"/>
            <w:tcBorders>
              <w:top w:val="single" w:sz="6" w:space="0" w:color="auto"/>
              <w:bottom w:val="single" w:sz="6" w:space="0" w:color="auto"/>
            </w:tcBorders>
          </w:tcPr>
          <w:p w14:paraId="72851F43" w14:textId="77777777" w:rsidR="00D35308" w:rsidRPr="005D6582" w:rsidRDefault="009772C7" w:rsidP="003F292F">
            <w:pPr>
              <w:spacing w:after="0"/>
            </w:pPr>
            <w:r w:rsidRPr="005D6582">
              <w:t xml:space="preserve">Smlouva o bankovním úvěru nebyla uzavřena před datem podání žádosti o </w:t>
            </w:r>
            <w:r w:rsidR="003F292F" w:rsidRPr="005D6582">
              <w:t>podporu</w:t>
            </w:r>
            <w:r w:rsidRPr="005D6582">
              <w:t>.</w:t>
            </w:r>
          </w:p>
        </w:tc>
        <w:tc>
          <w:tcPr>
            <w:tcW w:w="995" w:type="dxa"/>
            <w:tcBorders>
              <w:top w:val="single" w:sz="6" w:space="0" w:color="auto"/>
              <w:bottom w:val="single" w:sz="6" w:space="0" w:color="auto"/>
            </w:tcBorders>
          </w:tcPr>
          <w:p w14:paraId="780D40BA" w14:textId="77777777" w:rsidR="006F3A11" w:rsidRPr="005D6582" w:rsidRDefault="006F3A11" w:rsidP="00896E2B">
            <w:pPr>
              <w:tabs>
                <w:tab w:val="left" w:pos="459"/>
              </w:tabs>
              <w:spacing w:after="0"/>
              <w:jc w:val="right"/>
              <w:rPr>
                <w:rFonts w:cs="Arial"/>
                <w:szCs w:val="22"/>
              </w:rPr>
            </w:pPr>
          </w:p>
        </w:tc>
      </w:tr>
      <w:tr w:rsidR="00087725" w:rsidRPr="005D6582" w14:paraId="6D1671E3" w14:textId="77777777" w:rsidTr="000B1EE7">
        <w:trPr>
          <w:trHeight w:val="536"/>
        </w:trPr>
        <w:tc>
          <w:tcPr>
            <w:tcW w:w="563" w:type="dxa"/>
            <w:tcBorders>
              <w:top w:val="single" w:sz="6" w:space="0" w:color="auto"/>
              <w:bottom w:val="single" w:sz="8" w:space="0" w:color="auto"/>
            </w:tcBorders>
            <w:vAlign w:val="center"/>
          </w:tcPr>
          <w:p w14:paraId="533252C8" w14:textId="77777777" w:rsidR="00087725" w:rsidRPr="005D6582" w:rsidRDefault="00087725" w:rsidP="00577730">
            <w:pPr>
              <w:numPr>
                <w:ilvl w:val="0"/>
                <w:numId w:val="94"/>
              </w:numPr>
              <w:spacing w:after="0"/>
              <w:ind w:left="318" w:right="459" w:hanging="284"/>
              <w:jc w:val="left"/>
              <w:rPr>
                <w:rFonts w:cs="Arial"/>
                <w:b/>
                <w:szCs w:val="22"/>
              </w:rPr>
            </w:pPr>
          </w:p>
        </w:tc>
        <w:tc>
          <w:tcPr>
            <w:tcW w:w="8092" w:type="dxa"/>
            <w:gridSpan w:val="3"/>
            <w:tcBorders>
              <w:top w:val="single" w:sz="6" w:space="0" w:color="auto"/>
              <w:bottom w:val="single" w:sz="8" w:space="0" w:color="auto"/>
            </w:tcBorders>
          </w:tcPr>
          <w:p w14:paraId="4C9EA483" w14:textId="77777777" w:rsidR="008E5E9B" w:rsidRPr="005D6582" w:rsidRDefault="009772C7" w:rsidP="00D666D8">
            <w:pPr>
              <w:spacing w:after="0"/>
              <w:rPr>
                <w:szCs w:val="22"/>
              </w:rPr>
            </w:pPr>
            <w:r w:rsidRPr="005D6582">
              <w:t xml:space="preserve">Alespoň 25 % způsobilých výdajů projektu je financováno formou neobsahující žádnou veřejnou podporu, ani podporu de </w:t>
            </w:r>
            <w:proofErr w:type="spellStart"/>
            <w:r w:rsidRPr="005D6582">
              <w:t>minimis</w:t>
            </w:r>
            <w:proofErr w:type="spellEnd"/>
            <w:r w:rsidRPr="005D6582">
              <w:t>, či podporu z přímo řízeného nástroje EU, ať už z vlastních prostředků příjemce podpory či formou externího financování.</w:t>
            </w:r>
          </w:p>
        </w:tc>
        <w:tc>
          <w:tcPr>
            <w:tcW w:w="995" w:type="dxa"/>
            <w:tcBorders>
              <w:top w:val="single" w:sz="6" w:space="0" w:color="auto"/>
              <w:bottom w:val="single" w:sz="8" w:space="0" w:color="auto"/>
            </w:tcBorders>
          </w:tcPr>
          <w:p w14:paraId="7D1A17F8" w14:textId="77777777" w:rsidR="00087725" w:rsidRPr="005D6582" w:rsidRDefault="00087725" w:rsidP="00896E2B">
            <w:pPr>
              <w:tabs>
                <w:tab w:val="left" w:pos="459"/>
              </w:tabs>
              <w:spacing w:after="0"/>
              <w:jc w:val="right"/>
              <w:rPr>
                <w:rFonts w:cs="Arial"/>
                <w:szCs w:val="22"/>
              </w:rPr>
            </w:pPr>
          </w:p>
        </w:tc>
      </w:tr>
      <w:tr w:rsidR="00EC145D" w:rsidRPr="005D6582" w14:paraId="68653B37" w14:textId="77777777" w:rsidTr="000B1EE7">
        <w:trPr>
          <w:trHeight w:val="536"/>
        </w:trPr>
        <w:tc>
          <w:tcPr>
            <w:tcW w:w="563" w:type="dxa"/>
            <w:tcBorders>
              <w:top w:val="single" w:sz="8" w:space="0" w:color="auto"/>
              <w:bottom w:val="single" w:sz="18" w:space="0" w:color="auto"/>
              <w:right w:val="single" w:sz="8" w:space="0" w:color="auto"/>
            </w:tcBorders>
            <w:vAlign w:val="center"/>
          </w:tcPr>
          <w:p w14:paraId="111C07C8" w14:textId="77777777" w:rsidR="00EC145D" w:rsidRPr="005D6582" w:rsidRDefault="00EC145D" w:rsidP="00577730">
            <w:pPr>
              <w:numPr>
                <w:ilvl w:val="0"/>
                <w:numId w:val="94"/>
              </w:numPr>
              <w:spacing w:after="0"/>
              <w:ind w:left="318" w:right="459" w:hanging="284"/>
              <w:jc w:val="left"/>
              <w:rPr>
                <w:rFonts w:cs="Arial"/>
                <w:b/>
                <w:szCs w:val="22"/>
              </w:rPr>
            </w:pPr>
          </w:p>
        </w:tc>
        <w:tc>
          <w:tcPr>
            <w:tcW w:w="8092" w:type="dxa"/>
            <w:gridSpan w:val="3"/>
            <w:tcBorders>
              <w:top w:val="single" w:sz="8" w:space="0" w:color="auto"/>
              <w:left w:val="single" w:sz="8" w:space="0" w:color="auto"/>
              <w:bottom w:val="single" w:sz="18" w:space="0" w:color="auto"/>
              <w:right w:val="single" w:sz="8" w:space="0" w:color="auto"/>
            </w:tcBorders>
          </w:tcPr>
          <w:p w14:paraId="7B632FF0" w14:textId="77777777" w:rsidR="00EC145D" w:rsidRPr="005D6582" w:rsidRDefault="00EC145D" w:rsidP="009C1854">
            <w:pPr>
              <w:spacing w:after="0"/>
            </w:pPr>
            <w:bookmarkStart w:id="70" w:name="_Hlk498381645"/>
            <w:r w:rsidRPr="005D6582">
              <w:t>Příjemce podpory neprovedl přemístění do provozovny, do které se má počáteční investice, na niž se podpora požaduje, uskutečnit, během dvou let předcházejících datu podání žádosti o podporu</w:t>
            </w:r>
            <w:r w:rsidR="00333D5B" w:rsidRPr="005D6582">
              <w:t xml:space="preserve"> </w:t>
            </w:r>
            <w:r w:rsidR="003223D3" w:rsidRPr="005D6582">
              <w:t>a zaváže se, že tak neučiní až do doby dvou let po dokončení počáteční investice, na niž se podpora požaduje.</w:t>
            </w:r>
            <w:bookmarkEnd w:id="70"/>
          </w:p>
        </w:tc>
        <w:tc>
          <w:tcPr>
            <w:tcW w:w="995" w:type="dxa"/>
            <w:tcBorders>
              <w:top w:val="single" w:sz="8" w:space="0" w:color="auto"/>
              <w:left w:val="single" w:sz="8" w:space="0" w:color="auto"/>
              <w:bottom w:val="single" w:sz="18" w:space="0" w:color="auto"/>
            </w:tcBorders>
          </w:tcPr>
          <w:p w14:paraId="2732F171" w14:textId="77777777" w:rsidR="00EC145D" w:rsidRPr="005D6582" w:rsidRDefault="00EC145D" w:rsidP="00896E2B">
            <w:pPr>
              <w:tabs>
                <w:tab w:val="left" w:pos="459"/>
              </w:tabs>
              <w:spacing w:after="0"/>
              <w:jc w:val="right"/>
              <w:rPr>
                <w:rFonts w:cs="Arial"/>
                <w:szCs w:val="22"/>
              </w:rPr>
            </w:pPr>
          </w:p>
        </w:tc>
      </w:tr>
      <w:tr w:rsidR="00087725" w:rsidRPr="005D6582" w14:paraId="700E80DE" w14:textId="77777777" w:rsidTr="004F5BDE">
        <w:trPr>
          <w:trHeight w:val="672"/>
        </w:trPr>
        <w:tc>
          <w:tcPr>
            <w:tcW w:w="8655" w:type="dxa"/>
            <w:gridSpan w:val="4"/>
            <w:tcBorders>
              <w:top w:val="single" w:sz="18" w:space="0" w:color="auto"/>
              <w:bottom w:val="single" w:sz="4" w:space="0" w:color="auto"/>
            </w:tcBorders>
            <w:shd w:val="clear" w:color="auto" w:fill="D9D9D9"/>
          </w:tcPr>
          <w:p w14:paraId="0E9D8B8B" w14:textId="77777777" w:rsidR="00087725" w:rsidRPr="005D6582" w:rsidRDefault="009772C7" w:rsidP="003C0976">
            <w:pPr>
              <w:spacing w:before="120" w:after="0"/>
              <w:rPr>
                <w:rFonts w:cs="Arial"/>
                <w:b/>
                <w:szCs w:val="22"/>
              </w:rPr>
            </w:pPr>
            <w:r w:rsidRPr="005D6582">
              <w:rPr>
                <w:b/>
                <w:sz w:val="24"/>
                <w:szCs w:val="24"/>
              </w:rPr>
              <w:t>II. Doplňující binární kritéria k podpoře dle čl. 17 Nařízení Komise (EU) č. 651/2014</w:t>
            </w:r>
          </w:p>
        </w:tc>
        <w:tc>
          <w:tcPr>
            <w:tcW w:w="995" w:type="dxa"/>
            <w:tcBorders>
              <w:top w:val="single" w:sz="18" w:space="0" w:color="auto"/>
              <w:bottom w:val="single" w:sz="4" w:space="0" w:color="auto"/>
            </w:tcBorders>
            <w:shd w:val="clear" w:color="auto" w:fill="D9D9D9"/>
            <w:vAlign w:val="center"/>
          </w:tcPr>
          <w:p w14:paraId="4CFF0FD0" w14:textId="77777777" w:rsidR="00087725" w:rsidRPr="005D6582" w:rsidRDefault="00087725" w:rsidP="00896E2B">
            <w:pPr>
              <w:spacing w:after="0"/>
              <w:jc w:val="center"/>
              <w:rPr>
                <w:rFonts w:cs="Arial"/>
                <w:b/>
                <w:bCs/>
                <w:szCs w:val="22"/>
              </w:rPr>
            </w:pPr>
          </w:p>
        </w:tc>
      </w:tr>
      <w:tr w:rsidR="00087725" w:rsidRPr="005D6582" w14:paraId="323E663F" w14:textId="77777777" w:rsidTr="004F5BDE">
        <w:trPr>
          <w:trHeight w:val="372"/>
        </w:trPr>
        <w:tc>
          <w:tcPr>
            <w:tcW w:w="617" w:type="dxa"/>
            <w:gridSpan w:val="2"/>
            <w:vAlign w:val="center"/>
          </w:tcPr>
          <w:p w14:paraId="7772AA79" w14:textId="77777777" w:rsidR="008E5E9B" w:rsidRPr="005D6582" w:rsidRDefault="008E5E9B">
            <w:pPr>
              <w:numPr>
                <w:ilvl w:val="0"/>
                <w:numId w:val="94"/>
              </w:numPr>
              <w:spacing w:after="0"/>
              <w:ind w:left="318" w:right="459" w:hanging="284"/>
              <w:jc w:val="left"/>
              <w:rPr>
                <w:rFonts w:cs="Arial"/>
                <w:b/>
                <w:szCs w:val="22"/>
              </w:rPr>
            </w:pPr>
          </w:p>
        </w:tc>
        <w:tc>
          <w:tcPr>
            <w:tcW w:w="8038" w:type="dxa"/>
            <w:gridSpan w:val="2"/>
          </w:tcPr>
          <w:p w14:paraId="0502DE78" w14:textId="77777777" w:rsidR="00087725" w:rsidRPr="005D6582" w:rsidRDefault="009772C7" w:rsidP="0023493C">
            <w:pPr>
              <w:spacing w:after="0"/>
              <w:rPr>
                <w:szCs w:val="22"/>
              </w:rPr>
            </w:pPr>
            <w:r w:rsidRPr="005D6582">
              <w:rPr>
                <w:szCs w:val="22"/>
              </w:rPr>
              <w:t xml:space="preserve">Projekt je investicí </w:t>
            </w:r>
            <w:r w:rsidRPr="005D6582">
              <w:rPr>
                <w:bCs/>
                <w:szCs w:val="22"/>
              </w:rPr>
              <w:t>na založení nové provozovny, rozšíření stávající provozovny, rozšíření výrobního sortimentu provozovny o nové, dodatečné výrobky nebo za účelem zásadní změny celkového výrobního postupu.</w:t>
            </w:r>
          </w:p>
        </w:tc>
        <w:tc>
          <w:tcPr>
            <w:tcW w:w="995" w:type="dxa"/>
          </w:tcPr>
          <w:p w14:paraId="5A1D5478" w14:textId="77777777" w:rsidR="00087725" w:rsidRPr="005D6582" w:rsidRDefault="00087725" w:rsidP="00F1156B">
            <w:pPr>
              <w:tabs>
                <w:tab w:val="left" w:pos="459"/>
              </w:tabs>
              <w:spacing w:after="0"/>
              <w:jc w:val="right"/>
              <w:rPr>
                <w:rFonts w:cs="Arial"/>
                <w:szCs w:val="22"/>
              </w:rPr>
            </w:pPr>
          </w:p>
        </w:tc>
      </w:tr>
      <w:tr w:rsidR="00087725" w:rsidRPr="005D6582" w14:paraId="7606D76A" w14:textId="77777777" w:rsidTr="004F5BDE">
        <w:trPr>
          <w:trHeight w:val="372"/>
        </w:trPr>
        <w:tc>
          <w:tcPr>
            <w:tcW w:w="617" w:type="dxa"/>
            <w:gridSpan w:val="2"/>
            <w:vAlign w:val="center"/>
          </w:tcPr>
          <w:p w14:paraId="1EE552E2" w14:textId="77777777" w:rsidR="008E5E9B" w:rsidRPr="005D6582" w:rsidRDefault="008E5E9B">
            <w:pPr>
              <w:numPr>
                <w:ilvl w:val="0"/>
                <w:numId w:val="94"/>
              </w:numPr>
              <w:spacing w:after="0"/>
              <w:ind w:left="318" w:right="459" w:hanging="284"/>
              <w:jc w:val="left"/>
              <w:rPr>
                <w:rFonts w:cs="Arial"/>
                <w:b/>
                <w:szCs w:val="22"/>
              </w:rPr>
            </w:pPr>
          </w:p>
        </w:tc>
        <w:tc>
          <w:tcPr>
            <w:tcW w:w="8038" w:type="dxa"/>
            <w:gridSpan w:val="2"/>
          </w:tcPr>
          <w:p w14:paraId="5EA97354" w14:textId="77777777" w:rsidR="00087725" w:rsidRPr="005D6582" w:rsidRDefault="009772C7" w:rsidP="003F292F">
            <w:pPr>
              <w:spacing w:after="0"/>
              <w:rPr>
                <w:szCs w:val="22"/>
              </w:rPr>
            </w:pPr>
            <w:r w:rsidRPr="005D6582">
              <w:rPr>
                <w:szCs w:val="22"/>
              </w:rPr>
              <w:t>Stavební práce na realizaci projektu nebyly zahájeny a smlouvy s dodavateli strojů a zařízení (vč. smlouvy o smlouvě budoucí či závazné objednávky a leasingových smluv) nebyly uzavřeny před datem podání žádosti o </w:t>
            </w:r>
            <w:r w:rsidR="003F292F" w:rsidRPr="005D6582">
              <w:rPr>
                <w:szCs w:val="22"/>
              </w:rPr>
              <w:t>podporu</w:t>
            </w:r>
            <w:r w:rsidRPr="005D6582">
              <w:rPr>
                <w:szCs w:val="22"/>
              </w:rPr>
              <w:t>.</w:t>
            </w:r>
          </w:p>
        </w:tc>
        <w:tc>
          <w:tcPr>
            <w:tcW w:w="995" w:type="dxa"/>
          </w:tcPr>
          <w:p w14:paraId="25BA4571" w14:textId="77777777" w:rsidR="00087725" w:rsidRPr="005D6582" w:rsidRDefault="00087725" w:rsidP="00F1156B">
            <w:pPr>
              <w:tabs>
                <w:tab w:val="left" w:pos="459"/>
              </w:tabs>
              <w:spacing w:after="0"/>
              <w:jc w:val="right"/>
              <w:rPr>
                <w:rFonts w:cs="Arial"/>
                <w:szCs w:val="22"/>
              </w:rPr>
            </w:pPr>
          </w:p>
        </w:tc>
      </w:tr>
      <w:tr w:rsidR="00087725" w:rsidRPr="005D6582" w14:paraId="5FA4746C" w14:textId="77777777" w:rsidTr="004F5BDE">
        <w:trPr>
          <w:trHeight w:val="372"/>
        </w:trPr>
        <w:tc>
          <w:tcPr>
            <w:tcW w:w="617" w:type="dxa"/>
            <w:gridSpan w:val="2"/>
            <w:vAlign w:val="center"/>
          </w:tcPr>
          <w:p w14:paraId="7F82F5C4" w14:textId="77777777" w:rsidR="008E5E9B" w:rsidRPr="005D6582" w:rsidRDefault="008E5E9B">
            <w:pPr>
              <w:numPr>
                <w:ilvl w:val="0"/>
                <w:numId w:val="94"/>
              </w:numPr>
              <w:spacing w:after="0"/>
              <w:ind w:left="318" w:right="459" w:hanging="284"/>
              <w:jc w:val="left"/>
              <w:rPr>
                <w:rFonts w:cs="Arial"/>
                <w:b/>
                <w:szCs w:val="22"/>
              </w:rPr>
            </w:pPr>
          </w:p>
        </w:tc>
        <w:tc>
          <w:tcPr>
            <w:tcW w:w="8038" w:type="dxa"/>
            <w:gridSpan w:val="2"/>
          </w:tcPr>
          <w:p w14:paraId="5E1B4E92" w14:textId="77777777" w:rsidR="00087725" w:rsidRPr="005D6582" w:rsidRDefault="009772C7" w:rsidP="00F1156B">
            <w:pPr>
              <w:spacing w:after="0"/>
              <w:rPr>
                <w:szCs w:val="22"/>
              </w:rPr>
            </w:pPr>
            <w:r w:rsidRPr="005D6582">
              <w:rPr>
                <w:szCs w:val="22"/>
              </w:rPr>
              <w:t xml:space="preserve">Intenzita veřejné podpory dle </w:t>
            </w:r>
            <w:r w:rsidR="00CF7FF9" w:rsidRPr="005D6582">
              <w:rPr>
                <w:szCs w:val="22"/>
              </w:rPr>
              <w:t xml:space="preserve">článku 17 </w:t>
            </w:r>
            <w:r w:rsidRPr="005D6582">
              <w:rPr>
                <w:szCs w:val="22"/>
              </w:rPr>
              <w:t>Nařízení Komise č. 651/2014 je dodržena.</w:t>
            </w:r>
          </w:p>
        </w:tc>
        <w:tc>
          <w:tcPr>
            <w:tcW w:w="995" w:type="dxa"/>
          </w:tcPr>
          <w:p w14:paraId="58A2264E" w14:textId="77777777" w:rsidR="00087725" w:rsidRPr="005D6582" w:rsidRDefault="00087725" w:rsidP="00F1156B">
            <w:pPr>
              <w:tabs>
                <w:tab w:val="left" w:pos="459"/>
              </w:tabs>
              <w:spacing w:after="0"/>
              <w:jc w:val="right"/>
              <w:rPr>
                <w:rFonts w:cs="Arial"/>
                <w:szCs w:val="22"/>
              </w:rPr>
            </w:pPr>
          </w:p>
        </w:tc>
      </w:tr>
      <w:tr w:rsidR="006F3A11" w:rsidRPr="005D6582" w14:paraId="6BF7908C" w14:textId="77777777" w:rsidTr="004F5BDE">
        <w:trPr>
          <w:trHeight w:val="372"/>
        </w:trPr>
        <w:tc>
          <w:tcPr>
            <w:tcW w:w="617" w:type="dxa"/>
            <w:gridSpan w:val="2"/>
            <w:vAlign w:val="center"/>
          </w:tcPr>
          <w:p w14:paraId="43133744" w14:textId="77777777" w:rsidR="006F3A11" w:rsidRPr="005D6582" w:rsidRDefault="006F3A11">
            <w:pPr>
              <w:numPr>
                <w:ilvl w:val="0"/>
                <w:numId w:val="94"/>
              </w:numPr>
              <w:spacing w:after="0"/>
              <w:ind w:left="318" w:right="459" w:hanging="284"/>
              <w:jc w:val="left"/>
              <w:rPr>
                <w:rFonts w:cs="Arial"/>
                <w:b/>
                <w:szCs w:val="22"/>
              </w:rPr>
            </w:pPr>
          </w:p>
        </w:tc>
        <w:tc>
          <w:tcPr>
            <w:tcW w:w="8038" w:type="dxa"/>
            <w:gridSpan w:val="2"/>
          </w:tcPr>
          <w:p w14:paraId="533BF1FC" w14:textId="77777777" w:rsidR="006F3A11" w:rsidRPr="005D6582" w:rsidRDefault="009772C7" w:rsidP="003F292F">
            <w:pPr>
              <w:spacing w:after="0"/>
              <w:rPr>
                <w:szCs w:val="22"/>
              </w:rPr>
            </w:pPr>
            <w:r w:rsidRPr="005D6582">
              <w:t xml:space="preserve">Smlouva o bankovním úvěru nebyla uzavřena před datem podání žádosti o </w:t>
            </w:r>
            <w:r w:rsidR="003F292F" w:rsidRPr="005D6582">
              <w:t>podporu</w:t>
            </w:r>
            <w:r w:rsidRPr="005D6582">
              <w:t>.</w:t>
            </w:r>
          </w:p>
        </w:tc>
        <w:tc>
          <w:tcPr>
            <w:tcW w:w="995" w:type="dxa"/>
          </w:tcPr>
          <w:p w14:paraId="3DBF38EC" w14:textId="77777777" w:rsidR="006F3A11" w:rsidRPr="005D6582" w:rsidRDefault="006F3A11" w:rsidP="00F1156B">
            <w:pPr>
              <w:tabs>
                <w:tab w:val="left" w:pos="459"/>
              </w:tabs>
              <w:spacing w:after="0"/>
              <w:jc w:val="right"/>
              <w:rPr>
                <w:rFonts w:cs="Arial"/>
                <w:szCs w:val="22"/>
              </w:rPr>
            </w:pPr>
          </w:p>
        </w:tc>
      </w:tr>
      <w:tr w:rsidR="00087725" w:rsidRPr="005D6582" w14:paraId="3F39D3FA" w14:textId="77777777" w:rsidTr="004F5BDE">
        <w:trPr>
          <w:trHeight w:val="672"/>
        </w:trPr>
        <w:tc>
          <w:tcPr>
            <w:tcW w:w="8655" w:type="dxa"/>
            <w:gridSpan w:val="4"/>
            <w:tcBorders>
              <w:top w:val="single" w:sz="18" w:space="0" w:color="auto"/>
              <w:bottom w:val="single" w:sz="4" w:space="0" w:color="auto"/>
            </w:tcBorders>
            <w:shd w:val="clear" w:color="auto" w:fill="D9D9D9"/>
            <w:vAlign w:val="center"/>
          </w:tcPr>
          <w:p w14:paraId="13712A65" w14:textId="77777777" w:rsidR="00087725" w:rsidRPr="005D6582" w:rsidRDefault="009772C7" w:rsidP="00061814">
            <w:pPr>
              <w:spacing w:after="0"/>
              <w:jc w:val="left"/>
            </w:pPr>
            <w:r w:rsidRPr="005D6582">
              <w:br w:type="page"/>
            </w:r>
            <w:bookmarkStart w:id="71" w:name="_Toc429483557"/>
            <w:r w:rsidRPr="005D6582">
              <w:rPr>
                <w:b/>
                <w:sz w:val="24"/>
                <w:szCs w:val="24"/>
              </w:rPr>
              <w:t>III. Doplňující binární kritéria k podpoře podle Nařízení Komise (EU) č. 1407/2013</w:t>
            </w:r>
            <w:bookmarkEnd w:id="71"/>
          </w:p>
        </w:tc>
        <w:tc>
          <w:tcPr>
            <w:tcW w:w="995" w:type="dxa"/>
            <w:tcBorders>
              <w:top w:val="single" w:sz="18" w:space="0" w:color="auto"/>
              <w:bottom w:val="single" w:sz="4" w:space="0" w:color="auto"/>
            </w:tcBorders>
            <w:shd w:val="clear" w:color="auto" w:fill="D9D9D9"/>
            <w:vAlign w:val="center"/>
          </w:tcPr>
          <w:p w14:paraId="77742EF1" w14:textId="77777777" w:rsidR="00087725" w:rsidRPr="005D6582" w:rsidRDefault="009772C7" w:rsidP="00896E2B">
            <w:pPr>
              <w:spacing w:after="0"/>
              <w:jc w:val="center"/>
              <w:rPr>
                <w:rFonts w:cs="Arial"/>
                <w:b/>
                <w:bCs/>
                <w:szCs w:val="22"/>
              </w:rPr>
            </w:pPr>
            <w:r w:rsidRPr="005D6582">
              <w:rPr>
                <w:rFonts w:cs="Arial"/>
                <w:b/>
                <w:bCs/>
                <w:szCs w:val="22"/>
              </w:rPr>
              <w:t>ANO/NE</w:t>
            </w:r>
          </w:p>
        </w:tc>
      </w:tr>
      <w:tr w:rsidR="00087725" w:rsidRPr="005D6582" w14:paraId="0DD7FCC8" w14:textId="77777777" w:rsidTr="004F5BDE">
        <w:trPr>
          <w:trHeight w:val="894"/>
        </w:trPr>
        <w:tc>
          <w:tcPr>
            <w:tcW w:w="654" w:type="dxa"/>
            <w:gridSpan w:val="3"/>
            <w:tcBorders>
              <w:top w:val="single" w:sz="4" w:space="0" w:color="auto"/>
            </w:tcBorders>
          </w:tcPr>
          <w:p w14:paraId="2886048C" w14:textId="77777777" w:rsidR="008E5E9B" w:rsidRPr="005D6582" w:rsidRDefault="008E5E9B">
            <w:pPr>
              <w:numPr>
                <w:ilvl w:val="0"/>
                <w:numId w:val="94"/>
              </w:numPr>
              <w:spacing w:after="0"/>
              <w:ind w:left="318" w:right="459" w:hanging="284"/>
              <w:jc w:val="left"/>
              <w:rPr>
                <w:rFonts w:cs="Arial"/>
                <w:b/>
                <w:szCs w:val="22"/>
              </w:rPr>
            </w:pPr>
          </w:p>
        </w:tc>
        <w:tc>
          <w:tcPr>
            <w:tcW w:w="8001" w:type="dxa"/>
            <w:tcBorders>
              <w:top w:val="single" w:sz="4" w:space="0" w:color="auto"/>
            </w:tcBorders>
          </w:tcPr>
          <w:p w14:paraId="386949D3" w14:textId="77777777" w:rsidR="00087725" w:rsidRPr="005D6582" w:rsidRDefault="009772C7">
            <w:pPr>
              <w:spacing w:before="60" w:after="0"/>
              <w:rPr>
                <w:szCs w:val="22"/>
              </w:rPr>
            </w:pPr>
            <w:r w:rsidRPr="005D6582">
              <w:rPr>
                <w:szCs w:val="22"/>
              </w:rPr>
              <w:t>Projekt nebyl dokončen před datem podání žádosti o podporu, tj. zejména nedošlo k uvedení majetku pořízeného z podpořeného úvěru do užívání, nebyl vydán kolaudační souhlas.</w:t>
            </w:r>
          </w:p>
        </w:tc>
        <w:tc>
          <w:tcPr>
            <w:tcW w:w="995" w:type="dxa"/>
            <w:tcBorders>
              <w:top w:val="single" w:sz="4" w:space="0" w:color="auto"/>
            </w:tcBorders>
          </w:tcPr>
          <w:p w14:paraId="3A41EAC3" w14:textId="77777777" w:rsidR="00087725" w:rsidRPr="005D6582" w:rsidRDefault="00087725" w:rsidP="00896E2B">
            <w:pPr>
              <w:tabs>
                <w:tab w:val="left" w:pos="459"/>
              </w:tabs>
              <w:spacing w:before="120" w:after="0"/>
              <w:jc w:val="right"/>
              <w:rPr>
                <w:rFonts w:cs="Arial"/>
                <w:szCs w:val="22"/>
              </w:rPr>
            </w:pPr>
          </w:p>
        </w:tc>
      </w:tr>
      <w:tr w:rsidR="00087725" w:rsidRPr="005D6582" w14:paraId="5862D40B" w14:textId="77777777" w:rsidTr="004F5BDE">
        <w:trPr>
          <w:trHeight w:val="419"/>
        </w:trPr>
        <w:tc>
          <w:tcPr>
            <w:tcW w:w="654" w:type="dxa"/>
            <w:gridSpan w:val="3"/>
            <w:tcBorders>
              <w:top w:val="single" w:sz="4" w:space="0" w:color="auto"/>
            </w:tcBorders>
          </w:tcPr>
          <w:p w14:paraId="32093224" w14:textId="77777777" w:rsidR="008E5E9B" w:rsidRPr="005D6582" w:rsidRDefault="008E5E9B">
            <w:pPr>
              <w:numPr>
                <w:ilvl w:val="0"/>
                <w:numId w:val="94"/>
              </w:numPr>
              <w:spacing w:after="0"/>
              <w:ind w:left="318" w:right="459" w:hanging="284"/>
              <w:jc w:val="left"/>
              <w:rPr>
                <w:rFonts w:cs="Arial"/>
                <w:b/>
                <w:szCs w:val="22"/>
              </w:rPr>
            </w:pPr>
          </w:p>
        </w:tc>
        <w:tc>
          <w:tcPr>
            <w:tcW w:w="8001" w:type="dxa"/>
            <w:tcBorders>
              <w:top w:val="single" w:sz="4" w:space="0" w:color="auto"/>
            </w:tcBorders>
          </w:tcPr>
          <w:p w14:paraId="25D54C5F" w14:textId="77777777" w:rsidR="00087725" w:rsidRPr="005D6582" w:rsidRDefault="009772C7">
            <w:pPr>
              <w:spacing w:before="60" w:after="0"/>
              <w:rPr>
                <w:szCs w:val="22"/>
              </w:rPr>
            </w:pPr>
            <w:r w:rsidRPr="005D6582">
              <w:rPr>
                <w:szCs w:val="22"/>
              </w:rPr>
              <w:t>Projekt je modernizační aneb</w:t>
            </w:r>
            <w:r w:rsidR="00CF7FF9" w:rsidRPr="005D6582">
              <w:rPr>
                <w:szCs w:val="22"/>
              </w:rPr>
              <w:t>o rozvojový ve smyslu bodu 4.1.4</w:t>
            </w:r>
            <w:r w:rsidRPr="005D6582">
              <w:rPr>
                <w:szCs w:val="22"/>
              </w:rPr>
              <w:t xml:space="preserve"> písm. b)</w:t>
            </w:r>
            <w:r w:rsidR="003F292F" w:rsidRPr="005D6582">
              <w:rPr>
                <w:szCs w:val="22"/>
              </w:rPr>
              <w:t xml:space="preserve"> výzvy</w:t>
            </w:r>
            <w:r w:rsidRPr="005D6582">
              <w:rPr>
                <w:szCs w:val="22"/>
              </w:rPr>
              <w:t>.</w:t>
            </w:r>
          </w:p>
        </w:tc>
        <w:tc>
          <w:tcPr>
            <w:tcW w:w="995" w:type="dxa"/>
            <w:tcBorders>
              <w:top w:val="single" w:sz="4" w:space="0" w:color="auto"/>
            </w:tcBorders>
          </w:tcPr>
          <w:p w14:paraId="02DFA252" w14:textId="77777777" w:rsidR="00087725" w:rsidRPr="005D6582" w:rsidRDefault="00087725" w:rsidP="00896E2B">
            <w:pPr>
              <w:tabs>
                <w:tab w:val="left" w:pos="459"/>
              </w:tabs>
              <w:spacing w:before="120" w:after="0"/>
              <w:jc w:val="right"/>
              <w:rPr>
                <w:rFonts w:cs="Arial"/>
                <w:szCs w:val="22"/>
              </w:rPr>
            </w:pPr>
          </w:p>
        </w:tc>
      </w:tr>
      <w:tr w:rsidR="00087725" w:rsidRPr="005D6582" w14:paraId="198F38C8" w14:textId="77777777" w:rsidTr="004F5BDE">
        <w:trPr>
          <w:trHeight w:val="461"/>
        </w:trPr>
        <w:tc>
          <w:tcPr>
            <w:tcW w:w="654" w:type="dxa"/>
            <w:gridSpan w:val="3"/>
          </w:tcPr>
          <w:p w14:paraId="626D82F0" w14:textId="77777777" w:rsidR="008E5E9B" w:rsidRPr="005D6582" w:rsidRDefault="008E5E9B">
            <w:pPr>
              <w:numPr>
                <w:ilvl w:val="0"/>
                <w:numId w:val="94"/>
              </w:numPr>
              <w:spacing w:after="0"/>
              <w:ind w:left="318" w:right="459" w:hanging="284"/>
              <w:jc w:val="left"/>
              <w:rPr>
                <w:rFonts w:cs="Arial"/>
                <w:b/>
                <w:szCs w:val="22"/>
              </w:rPr>
            </w:pPr>
          </w:p>
        </w:tc>
        <w:tc>
          <w:tcPr>
            <w:tcW w:w="8001" w:type="dxa"/>
          </w:tcPr>
          <w:p w14:paraId="1E4512F9" w14:textId="77777777" w:rsidR="00087725" w:rsidRPr="005D6582" w:rsidRDefault="00CF7FF9" w:rsidP="00896E2B">
            <w:pPr>
              <w:spacing w:before="60" w:after="0"/>
              <w:rPr>
                <w:szCs w:val="22"/>
              </w:rPr>
            </w:pPr>
            <w:r w:rsidRPr="005D6582">
              <w:rPr>
                <w:szCs w:val="22"/>
              </w:rPr>
              <w:t>Omezení výše podpory stanovené</w:t>
            </w:r>
            <w:r w:rsidR="009772C7" w:rsidRPr="005D6582">
              <w:rPr>
                <w:szCs w:val="22"/>
              </w:rPr>
              <w:t xml:space="preserve"> v Nařízení Komise (EU) č. 1407/2013 (de </w:t>
            </w:r>
            <w:proofErr w:type="spellStart"/>
            <w:r w:rsidR="009772C7" w:rsidRPr="005D6582">
              <w:rPr>
                <w:szCs w:val="22"/>
              </w:rPr>
              <w:t>minimis</w:t>
            </w:r>
            <w:proofErr w:type="spellEnd"/>
            <w:r w:rsidR="009772C7" w:rsidRPr="005D6582">
              <w:rPr>
                <w:szCs w:val="22"/>
              </w:rPr>
              <w:t>) je dodrženo.</w:t>
            </w:r>
          </w:p>
        </w:tc>
        <w:tc>
          <w:tcPr>
            <w:tcW w:w="995" w:type="dxa"/>
          </w:tcPr>
          <w:p w14:paraId="5AF58F81" w14:textId="77777777" w:rsidR="00087725" w:rsidRPr="005D6582" w:rsidRDefault="00087725" w:rsidP="00896E2B">
            <w:pPr>
              <w:tabs>
                <w:tab w:val="left" w:pos="459"/>
              </w:tabs>
              <w:spacing w:before="120" w:after="0"/>
              <w:jc w:val="right"/>
              <w:rPr>
                <w:rFonts w:cs="Arial"/>
                <w:szCs w:val="22"/>
              </w:rPr>
            </w:pPr>
          </w:p>
        </w:tc>
      </w:tr>
    </w:tbl>
    <w:p w14:paraId="2682203B" w14:textId="77777777" w:rsidR="001D18E0" w:rsidRPr="005D6582" w:rsidRDefault="001D18E0" w:rsidP="00853F4F">
      <w:pPr>
        <w:spacing w:after="0"/>
      </w:pPr>
    </w:p>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1"/>
        <w:gridCol w:w="8026"/>
        <w:gridCol w:w="992"/>
      </w:tblGrid>
      <w:tr w:rsidR="00D84605" w:rsidRPr="005D6582" w14:paraId="5AFED7D4" w14:textId="77777777" w:rsidTr="00D84605">
        <w:trPr>
          <w:trHeight w:val="368"/>
        </w:trPr>
        <w:tc>
          <w:tcPr>
            <w:tcW w:w="8647" w:type="dxa"/>
            <w:gridSpan w:val="2"/>
            <w:tcBorders>
              <w:top w:val="single" w:sz="18" w:space="0" w:color="auto"/>
              <w:left w:val="single" w:sz="18" w:space="0" w:color="auto"/>
              <w:bottom w:val="single" w:sz="18" w:space="0" w:color="auto"/>
              <w:right w:val="single" w:sz="2" w:space="0" w:color="auto"/>
            </w:tcBorders>
            <w:shd w:val="clear" w:color="auto" w:fill="E6E6E6"/>
            <w:vAlign w:val="center"/>
          </w:tcPr>
          <w:p w14:paraId="691B4D86" w14:textId="77777777" w:rsidR="00D84605" w:rsidRPr="005D6582" w:rsidRDefault="009772C7" w:rsidP="00D84605">
            <w:pPr>
              <w:spacing w:before="120" w:after="0"/>
            </w:pPr>
            <w:r w:rsidRPr="005D6582">
              <w:br w:type="page"/>
            </w:r>
            <w:r w:rsidRPr="005D6582">
              <w:rPr>
                <w:b/>
                <w:sz w:val="24"/>
                <w:szCs w:val="24"/>
              </w:rPr>
              <w:t>IV. Binární kritéria pro vyhodnocení potřebnosti a relevance projektu</w:t>
            </w:r>
          </w:p>
          <w:p w14:paraId="577A0291" w14:textId="77777777" w:rsidR="00D84605" w:rsidRPr="005D6582" w:rsidRDefault="00D84605" w:rsidP="00D84605">
            <w:pPr>
              <w:spacing w:before="120" w:after="0"/>
            </w:pPr>
          </w:p>
        </w:tc>
        <w:tc>
          <w:tcPr>
            <w:tcW w:w="992" w:type="dxa"/>
            <w:tcBorders>
              <w:top w:val="single" w:sz="18" w:space="0" w:color="auto"/>
              <w:left w:val="single" w:sz="2" w:space="0" w:color="auto"/>
              <w:bottom w:val="single" w:sz="18" w:space="0" w:color="auto"/>
              <w:right w:val="single" w:sz="18" w:space="0" w:color="auto"/>
            </w:tcBorders>
            <w:shd w:val="clear" w:color="auto" w:fill="E6E6E6"/>
            <w:vAlign w:val="center"/>
          </w:tcPr>
          <w:p w14:paraId="7EC15C4C" w14:textId="77777777" w:rsidR="00D84605" w:rsidRPr="005D6582" w:rsidRDefault="009772C7" w:rsidP="00D84605">
            <w:pPr>
              <w:spacing w:after="0"/>
              <w:jc w:val="center"/>
              <w:rPr>
                <w:rFonts w:cs="Arial"/>
                <w:b/>
                <w:szCs w:val="24"/>
              </w:rPr>
            </w:pPr>
            <w:r w:rsidRPr="005D6582">
              <w:rPr>
                <w:rFonts w:cs="Arial"/>
                <w:b/>
                <w:szCs w:val="24"/>
              </w:rPr>
              <w:t>ANO/NE</w:t>
            </w:r>
          </w:p>
        </w:tc>
      </w:tr>
      <w:tr w:rsidR="00A06115" w:rsidRPr="005D6582" w14:paraId="1DD10C24" w14:textId="77777777" w:rsidTr="00371F9E">
        <w:trPr>
          <w:trHeight w:val="647"/>
        </w:trPr>
        <w:tc>
          <w:tcPr>
            <w:tcW w:w="621" w:type="dxa"/>
          </w:tcPr>
          <w:p w14:paraId="7DAAC28B" w14:textId="77777777" w:rsidR="008E5E9B" w:rsidRPr="005D6582" w:rsidRDefault="008E5E9B">
            <w:pPr>
              <w:numPr>
                <w:ilvl w:val="0"/>
                <w:numId w:val="94"/>
              </w:numPr>
              <w:spacing w:after="0"/>
              <w:ind w:left="318" w:right="459" w:hanging="284"/>
              <w:jc w:val="left"/>
              <w:rPr>
                <w:rFonts w:cs="Arial"/>
                <w:b/>
                <w:szCs w:val="22"/>
              </w:rPr>
            </w:pPr>
          </w:p>
        </w:tc>
        <w:tc>
          <w:tcPr>
            <w:tcW w:w="8026" w:type="dxa"/>
          </w:tcPr>
          <w:p w14:paraId="1AF6493B" w14:textId="77777777" w:rsidR="00A06115" w:rsidRPr="005D6582" w:rsidRDefault="009772C7">
            <w:pPr>
              <w:rPr>
                <w:rFonts w:cs="Arial"/>
                <w:szCs w:val="22"/>
              </w:rPr>
            </w:pPr>
            <w:r w:rsidRPr="005D6582">
              <w:rPr>
                <w:rFonts w:cs="Arial"/>
                <w:szCs w:val="22"/>
              </w:rPr>
              <w:t>Žadatel předložil realizovatelný záměr projektu, definoval přínosy projektu a zhodnotil situaci na trhu.</w:t>
            </w:r>
          </w:p>
        </w:tc>
        <w:tc>
          <w:tcPr>
            <w:tcW w:w="992" w:type="dxa"/>
          </w:tcPr>
          <w:p w14:paraId="75642449" w14:textId="77777777" w:rsidR="00A06115" w:rsidRPr="005D6582" w:rsidRDefault="00A06115" w:rsidP="00D84605">
            <w:pPr>
              <w:tabs>
                <w:tab w:val="left" w:pos="459"/>
              </w:tabs>
              <w:spacing w:before="120" w:after="0"/>
              <w:jc w:val="right"/>
              <w:rPr>
                <w:rFonts w:cs="Arial"/>
                <w:szCs w:val="22"/>
              </w:rPr>
            </w:pPr>
          </w:p>
        </w:tc>
      </w:tr>
      <w:tr w:rsidR="00A06115" w:rsidRPr="005D6582" w14:paraId="73514268" w14:textId="77777777" w:rsidTr="00D84605">
        <w:trPr>
          <w:trHeight w:val="461"/>
        </w:trPr>
        <w:tc>
          <w:tcPr>
            <w:tcW w:w="621" w:type="dxa"/>
          </w:tcPr>
          <w:p w14:paraId="77CB9239" w14:textId="77777777" w:rsidR="008E5E9B" w:rsidRPr="005D6582" w:rsidRDefault="008E5E9B">
            <w:pPr>
              <w:numPr>
                <w:ilvl w:val="0"/>
                <w:numId w:val="94"/>
              </w:numPr>
              <w:spacing w:after="0"/>
              <w:ind w:left="318" w:right="459" w:hanging="284"/>
              <w:jc w:val="left"/>
              <w:rPr>
                <w:rFonts w:cs="Arial"/>
                <w:b/>
                <w:szCs w:val="22"/>
              </w:rPr>
            </w:pPr>
          </w:p>
        </w:tc>
        <w:tc>
          <w:tcPr>
            <w:tcW w:w="8026" w:type="dxa"/>
          </w:tcPr>
          <w:p w14:paraId="57B58A0B" w14:textId="77777777" w:rsidR="00A06115" w:rsidRPr="005D6582" w:rsidRDefault="009772C7">
            <w:pPr>
              <w:spacing w:before="60" w:after="0"/>
              <w:rPr>
                <w:szCs w:val="22"/>
              </w:rPr>
            </w:pPr>
            <w:r w:rsidRPr="005D6582">
              <w:t>Projekt předpokládá zvýšení tržeb/příjmů ze sa</w:t>
            </w:r>
            <w:r w:rsidR="006E0F38" w:rsidRPr="005D6582">
              <w:t>mostatné činnosti minimálně o 5</w:t>
            </w:r>
            <w:r w:rsidRPr="005D6582">
              <w:t xml:space="preserve"> % v porovnání s účetním/zdaňovacím obdobím</w:t>
            </w:r>
            <w:r w:rsidR="00CF7FF9" w:rsidRPr="005D6582">
              <w:t xml:space="preserve"> bezprostředně</w:t>
            </w:r>
            <w:r w:rsidRPr="005D6582">
              <w:t xml:space="preserve"> předcházejícím účetnímu/ zdaňovacímu období, ve kterém byla</w:t>
            </w:r>
            <w:r w:rsidR="001E2746" w:rsidRPr="005D6582">
              <w:t xml:space="preserve"> podána žádost o podporu</w:t>
            </w:r>
            <w:r w:rsidRPr="005D6582">
              <w:t xml:space="preserve">. </w:t>
            </w:r>
          </w:p>
        </w:tc>
        <w:tc>
          <w:tcPr>
            <w:tcW w:w="992" w:type="dxa"/>
          </w:tcPr>
          <w:p w14:paraId="6A7DB337" w14:textId="77777777" w:rsidR="00A06115" w:rsidRPr="005D6582" w:rsidRDefault="00A06115" w:rsidP="00745BD5">
            <w:pPr>
              <w:tabs>
                <w:tab w:val="left" w:pos="459"/>
              </w:tabs>
              <w:spacing w:before="120" w:after="0"/>
              <w:jc w:val="right"/>
              <w:rPr>
                <w:rFonts w:cs="Arial"/>
                <w:szCs w:val="22"/>
              </w:rPr>
            </w:pPr>
          </w:p>
        </w:tc>
      </w:tr>
      <w:tr w:rsidR="00A06115" w:rsidRPr="005D6582" w14:paraId="3A85789E" w14:textId="77777777" w:rsidTr="00D84605">
        <w:trPr>
          <w:trHeight w:val="461"/>
        </w:trPr>
        <w:tc>
          <w:tcPr>
            <w:tcW w:w="621" w:type="dxa"/>
          </w:tcPr>
          <w:p w14:paraId="4FDE2A2E" w14:textId="77777777" w:rsidR="008E5E9B" w:rsidRPr="005D6582" w:rsidRDefault="008E5E9B">
            <w:pPr>
              <w:numPr>
                <w:ilvl w:val="0"/>
                <w:numId w:val="94"/>
              </w:numPr>
              <w:spacing w:after="0"/>
              <w:ind w:left="318" w:right="459" w:hanging="284"/>
              <w:jc w:val="left"/>
              <w:rPr>
                <w:rFonts w:cs="Arial"/>
                <w:b/>
                <w:szCs w:val="22"/>
              </w:rPr>
            </w:pPr>
          </w:p>
        </w:tc>
        <w:tc>
          <w:tcPr>
            <w:tcW w:w="8026" w:type="dxa"/>
          </w:tcPr>
          <w:p w14:paraId="19050B7E" w14:textId="77777777" w:rsidR="00A06115" w:rsidRPr="005D6582" w:rsidRDefault="009772C7" w:rsidP="00371F9E">
            <w:pPr>
              <w:spacing w:before="60" w:after="0"/>
              <w:rPr>
                <w:rFonts w:asciiTheme="minorHAnsi" w:hAnsiTheme="minorHAnsi"/>
                <w:szCs w:val="22"/>
              </w:rPr>
            </w:pPr>
            <w:r w:rsidRPr="005D6582">
              <w:rPr>
                <w:rFonts w:asciiTheme="minorHAnsi" w:hAnsiTheme="minorHAnsi" w:cs="Arial"/>
              </w:rPr>
              <w:t xml:space="preserve">Je stanovena reálná strategie dalšího rozvoje žadatele. </w:t>
            </w:r>
          </w:p>
        </w:tc>
        <w:tc>
          <w:tcPr>
            <w:tcW w:w="992" w:type="dxa"/>
          </w:tcPr>
          <w:p w14:paraId="7196A003" w14:textId="77777777" w:rsidR="00A06115" w:rsidRPr="005D6582" w:rsidRDefault="00A06115" w:rsidP="00D84605">
            <w:pPr>
              <w:tabs>
                <w:tab w:val="left" w:pos="459"/>
              </w:tabs>
              <w:spacing w:before="120" w:after="0"/>
              <w:jc w:val="right"/>
            </w:pPr>
          </w:p>
        </w:tc>
      </w:tr>
      <w:tr w:rsidR="00A06115" w:rsidRPr="005D6582" w14:paraId="08258CC6" w14:textId="77777777" w:rsidTr="00D84605">
        <w:trPr>
          <w:trHeight w:val="319"/>
        </w:trPr>
        <w:tc>
          <w:tcPr>
            <w:tcW w:w="621" w:type="dxa"/>
          </w:tcPr>
          <w:p w14:paraId="2D712409" w14:textId="77777777" w:rsidR="008E5E9B" w:rsidRPr="005D6582" w:rsidRDefault="008E5E9B">
            <w:pPr>
              <w:numPr>
                <w:ilvl w:val="0"/>
                <w:numId w:val="94"/>
              </w:numPr>
              <w:spacing w:after="0"/>
              <w:ind w:left="318" w:right="459" w:hanging="284"/>
              <w:jc w:val="left"/>
              <w:rPr>
                <w:rFonts w:cs="Arial"/>
                <w:b/>
                <w:szCs w:val="22"/>
              </w:rPr>
            </w:pPr>
          </w:p>
        </w:tc>
        <w:tc>
          <w:tcPr>
            <w:tcW w:w="8026" w:type="dxa"/>
          </w:tcPr>
          <w:p w14:paraId="6880308E" w14:textId="77777777" w:rsidR="00A06115" w:rsidRPr="005D6582" w:rsidRDefault="009772C7" w:rsidP="00371F9E">
            <w:pPr>
              <w:spacing w:before="60" w:after="0"/>
              <w:rPr>
                <w:rFonts w:asciiTheme="minorHAnsi" w:hAnsiTheme="minorHAnsi"/>
                <w:szCs w:val="22"/>
              </w:rPr>
            </w:pPr>
            <w:r w:rsidRPr="005D6582">
              <w:rPr>
                <w:rFonts w:asciiTheme="minorHAnsi" w:hAnsiTheme="minorHAnsi" w:cs="Arial"/>
              </w:rPr>
              <w:t xml:space="preserve">Projekt je zaměřen na trh s perspektivou dalšího růstu. </w:t>
            </w:r>
          </w:p>
        </w:tc>
        <w:tc>
          <w:tcPr>
            <w:tcW w:w="992" w:type="dxa"/>
          </w:tcPr>
          <w:p w14:paraId="18D395C6" w14:textId="77777777" w:rsidR="00A06115" w:rsidRPr="005D6582" w:rsidRDefault="00A06115" w:rsidP="00D84605">
            <w:pPr>
              <w:tabs>
                <w:tab w:val="left" w:pos="459"/>
              </w:tabs>
              <w:spacing w:before="120" w:after="0"/>
              <w:jc w:val="right"/>
              <w:rPr>
                <w:rFonts w:cs="Arial"/>
                <w:szCs w:val="22"/>
              </w:rPr>
            </w:pPr>
          </w:p>
        </w:tc>
      </w:tr>
    </w:tbl>
    <w:p w14:paraId="2396321E" w14:textId="77777777" w:rsidR="00FF75BC" w:rsidRPr="005D6582" w:rsidRDefault="00FF75BC" w:rsidP="00853F4F">
      <w:pPr>
        <w:spacing w:after="0"/>
      </w:pPr>
    </w:p>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67"/>
        <w:gridCol w:w="9072"/>
      </w:tblGrid>
      <w:tr w:rsidR="00853F4F" w:rsidRPr="005D6582" w14:paraId="2121AF17" w14:textId="77777777" w:rsidTr="00657329">
        <w:trPr>
          <w:trHeight w:val="868"/>
        </w:trPr>
        <w:tc>
          <w:tcPr>
            <w:tcW w:w="963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540D667D" w14:textId="77777777" w:rsidR="00853F4F" w:rsidRPr="005D6582" w:rsidRDefault="009772C7" w:rsidP="00061814">
            <w:pPr>
              <w:spacing w:after="0"/>
              <w:jc w:val="left"/>
              <w:rPr>
                <w:szCs w:val="22"/>
              </w:rPr>
            </w:pPr>
            <w:bookmarkStart w:id="72" w:name="_Toc429483558"/>
            <w:r w:rsidRPr="005D6582">
              <w:rPr>
                <w:b/>
                <w:sz w:val="24"/>
                <w:szCs w:val="24"/>
              </w:rPr>
              <w:t>B. Připravenost žadatele k realizaci projektu - posuzuje se na základě těchto informací:</w:t>
            </w:r>
            <w:bookmarkEnd w:id="72"/>
          </w:p>
        </w:tc>
      </w:tr>
      <w:tr w:rsidR="00853F4F" w:rsidRPr="005D6582" w14:paraId="5A38EBE3" w14:textId="77777777" w:rsidTr="00AF05AF">
        <w:trPr>
          <w:trHeight w:val="477"/>
        </w:trPr>
        <w:tc>
          <w:tcPr>
            <w:tcW w:w="567" w:type="dxa"/>
          </w:tcPr>
          <w:p w14:paraId="2446CB7E" w14:textId="77777777" w:rsidR="00853F4F" w:rsidRPr="005D6582" w:rsidRDefault="009772C7" w:rsidP="00896E2B">
            <w:pPr>
              <w:rPr>
                <w:rFonts w:cs="Arial"/>
                <w:b/>
                <w:szCs w:val="22"/>
              </w:rPr>
            </w:pPr>
            <w:r w:rsidRPr="005D6582">
              <w:rPr>
                <w:rFonts w:cs="Arial"/>
                <w:b/>
                <w:szCs w:val="22"/>
              </w:rPr>
              <w:t>1.</w:t>
            </w:r>
          </w:p>
        </w:tc>
        <w:tc>
          <w:tcPr>
            <w:tcW w:w="9072" w:type="dxa"/>
          </w:tcPr>
          <w:p w14:paraId="4AF954D9" w14:textId="77777777" w:rsidR="00853F4F" w:rsidRPr="005D6582" w:rsidRDefault="009772C7" w:rsidP="00896E2B">
            <w:pPr>
              <w:spacing w:after="0"/>
              <w:rPr>
                <w:szCs w:val="22"/>
              </w:rPr>
            </w:pPr>
            <w:r w:rsidRPr="005D6582">
              <w:rPr>
                <w:szCs w:val="22"/>
              </w:rPr>
              <w:t>Historie a současnost společnosti, její další aktivity, variabilita změn hlavní činnosti žadatele v krátkodobém až střednědobém výhledu.</w:t>
            </w:r>
          </w:p>
        </w:tc>
      </w:tr>
      <w:tr w:rsidR="00853F4F" w:rsidRPr="005D6582" w14:paraId="03CE91E7" w14:textId="77777777" w:rsidTr="00AF05AF">
        <w:trPr>
          <w:trHeight w:val="894"/>
        </w:trPr>
        <w:tc>
          <w:tcPr>
            <w:tcW w:w="567" w:type="dxa"/>
          </w:tcPr>
          <w:p w14:paraId="54BE4240" w14:textId="77777777" w:rsidR="00853F4F" w:rsidRPr="005D6582" w:rsidRDefault="009772C7" w:rsidP="00896E2B">
            <w:pPr>
              <w:rPr>
                <w:rFonts w:cs="Arial"/>
                <w:b/>
                <w:szCs w:val="22"/>
              </w:rPr>
            </w:pPr>
            <w:r w:rsidRPr="005D6582">
              <w:rPr>
                <w:rFonts w:cs="Arial"/>
                <w:b/>
                <w:szCs w:val="22"/>
              </w:rPr>
              <w:t>2.</w:t>
            </w:r>
          </w:p>
        </w:tc>
        <w:tc>
          <w:tcPr>
            <w:tcW w:w="9072" w:type="dxa"/>
            <w:tcBorders>
              <w:bottom w:val="single" w:sz="6" w:space="0" w:color="auto"/>
            </w:tcBorders>
          </w:tcPr>
          <w:p w14:paraId="22006279" w14:textId="77777777" w:rsidR="00853F4F" w:rsidRPr="005D6582" w:rsidRDefault="009772C7" w:rsidP="00896E2B">
            <w:pPr>
              <w:spacing w:after="0"/>
              <w:rPr>
                <w:szCs w:val="22"/>
              </w:rPr>
            </w:pPr>
            <w:r w:rsidRPr="005D6582">
              <w:rPr>
                <w:szCs w:val="22"/>
              </w:rPr>
              <w:t>Profesní a osobní údaje o vlastnících a manažerech společnosti (vzdělání a praxe v oboru, zastupitelnost ve vedení společnosti, vztah mezi vlastníky a vedením společnosti, stabilita vedení společnosti).</w:t>
            </w:r>
          </w:p>
        </w:tc>
      </w:tr>
      <w:tr w:rsidR="00853F4F" w:rsidRPr="005D6582" w14:paraId="29E13E0B" w14:textId="77777777" w:rsidTr="00AF05AF">
        <w:trPr>
          <w:trHeight w:val="605"/>
        </w:trPr>
        <w:tc>
          <w:tcPr>
            <w:tcW w:w="567" w:type="dxa"/>
          </w:tcPr>
          <w:p w14:paraId="26C00B82" w14:textId="77777777" w:rsidR="00853F4F" w:rsidRPr="005D6582" w:rsidRDefault="009772C7" w:rsidP="00896E2B">
            <w:pPr>
              <w:rPr>
                <w:rFonts w:cs="Arial"/>
                <w:b/>
                <w:szCs w:val="22"/>
              </w:rPr>
            </w:pPr>
            <w:r w:rsidRPr="005D6582">
              <w:rPr>
                <w:rFonts w:cs="Arial"/>
                <w:b/>
                <w:szCs w:val="22"/>
              </w:rPr>
              <w:t>3.</w:t>
            </w:r>
          </w:p>
        </w:tc>
        <w:tc>
          <w:tcPr>
            <w:tcW w:w="9072" w:type="dxa"/>
            <w:tcBorders>
              <w:top w:val="single" w:sz="6" w:space="0" w:color="auto"/>
              <w:bottom w:val="single" w:sz="6" w:space="0" w:color="auto"/>
            </w:tcBorders>
          </w:tcPr>
          <w:p w14:paraId="308643BC" w14:textId="77777777" w:rsidR="00853F4F" w:rsidRPr="005D6582" w:rsidRDefault="009772C7" w:rsidP="00896E2B">
            <w:pPr>
              <w:spacing w:after="0"/>
              <w:rPr>
                <w:szCs w:val="22"/>
              </w:rPr>
            </w:pPr>
            <w:r w:rsidRPr="005D6582">
              <w:rPr>
                <w:szCs w:val="22"/>
              </w:rPr>
              <w:t>Údaje o ekonomických vazbách žadatele (účast žadatele nebo společníků žadatele na řízení nebo základním kapitálu jiné právnické osoby).</w:t>
            </w:r>
          </w:p>
        </w:tc>
      </w:tr>
      <w:tr w:rsidR="00134492" w:rsidRPr="005D6582" w14:paraId="477A6123" w14:textId="77777777" w:rsidTr="004905C4">
        <w:trPr>
          <w:trHeight w:val="348"/>
        </w:trPr>
        <w:tc>
          <w:tcPr>
            <w:tcW w:w="567" w:type="dxa"/>
          </w:tcPr>
          <w:p w14:paraId="4115EF0F" w14:textId="77777777" w:rsidR="00134492" w:rsidRPr="005D6582" w:rsidRDefault="009772C7" w:rsidP="00896E2B">
            <w:pPr>
              <w:rPr>
                <w:rFonts w:cs="Arial"/>
                <w:b/>
                <w:szCs w:val="22"/>
              </w:rPr>
            </w:pPr>
            <w:r w:rsidRPr="005D6582">
              <w:rPr>
                <w:rFonts w:cs="Arial"/>
                <w:b/>
                <w:szCs w:val="22"/>
              </w:rPr>
              <w:t xml:space="preserve">4. </w:t>
            </w:r>
          </w:p>
        </w:tc>
        <w:tc>
          <w:tcPr>
            <w:tcW w:w="9072" w:type="dxa"/>
            <w:tcBorders>
              <w:top w:val="single" w:sz="6" w:space="0" w:color="auto"/>
            </w:tcBorders>
          </w:tcPr>
          <w:p w14:paraId="0180DBBC" w14:textId="77777777" w:rsidR="00134492" w:rsidRPr="005D6582" w:rsidRDefault="009772C7" w:rsidP="00FE301C">
            <w:pPr>
              <w:spacing w:after="0"/>
              <w:rPr>
                <w:szCs w:val="22"/>
              </w:rPr>
            </w:pPr>
            <w:r w:rsidRPr="005D6582">
              <w:rPr>
                <w:szCs w:val="22"/>
              </w:rPr>
              <w:t>Údaje o vlastnictví příslušných certifikátů QMS/ISO apod.</w:t>
            </w:r>
          </w:p>
        </w:tc>
      </w:tr>
    </w:tbl>
    <w:p w14:paraId="3CED4B24" w14:textId="77777777" w:rsidR="00853F4F" w:rsidRPr="005D6582" w:rsidRDefault="00853F4F" w:rsidP="00853F4F"/>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4"/>
        <w:gridCol w:w="9105"/>
      </w:tblGrid>
      <w:tr w:rsidR="00853F4F" w:rsidRPr="005D6582" w14:paraId="20C4DCC7" w14:textId="77777777" w:rsidTr="00657329">
        <w:trPr>
          <w:trHeight w:val="677"/>
        </w:trPr>
        <w:tc>
          <w:tcPr>
            <w:tcW w:w="9639" w:type="dxa"/>
            <w:gridSpan w:val="2"/>
            <w:tcBorders>
              <w:top w:val="single" w:sz="18" w:space="0" w:color="auto"/>
              <w:left w:val="single" w:sz="18" w:space="0" w:color="auto"/>
              <w:bottom w:val="single" w:sz="18" w:space="0" w:color="auto"/>
            </w:tcBorders>
            <w:shd w:val="clear" w:color="auto" w:fill="E6E6E6"/>
            <w:vAlign w:val="center"/>
          </w:tcPr>
          <w:p w14:paraId="766877B2" w14:textId="77777777" w:rsidR="00853F4F" w:rsidRPr="005D6582" w:rsidRDefault="009772C7" w:rsidP="00061814">
            <w:pPr>
              <w:spacing w:after="0"/>
              <w:jc w:val="left"/>
              <w:rPr>
                <w:bCs/>
                <w:sz w:val="24"/>
              </w:rPr>
            </w:pPr>
            <w:r w:rsidRPr="005D6582">
              <w:rPr>
                <w:b/>
                <w:bCs/>
              </w:rPr>
              <w:br w:type="page"/>
            </w:r>
            <w:bookmarkStart w:id="73" w:name="_Toc429483559"/>
            <w:r w:rsidRPr="005D6582">
              <w:rPr>
                <w:b/>
                <w:sz w:val="24"/>
                <w:szCs w:val="24"/>
              </w:rPr>
              <w:t>C. Potřebnost a relevance projektu – posuzuje se na základě těchto informací:</w:t>
            </w:r>
            <w:bookmarkEnd w:id="73"/>
          </w:p>
        </w:tc>
      </w:tr>
      <w:tr w:rsidR="00853F4F" w:rsidRPr="005D6582" w14:paraId="594D3ED1" w14:textId="77777777" w:rsidTr="00657329">
        <w:tc>
          <w:tcPr>
            <w:tcW w:w="534" w:type="dxa"/>
          </w:tcPr>
          <w:p w14:paraId="3B569489" w14:textId="77777777" w:rsidR="00853F4F" w:rsidRPr="005D6582" w:rsidRDefault="009772C7" w:rsidP="00896E2B">
            <w:pPr>
              <w:spacing w:after="0"/>
              <w:rPr>
                <w:rFonts w:cs="Arial"/>
                <w:b/>
                <w:szCs w:val="22"/>
              </w:rPr>
            </w:pPr>
            <w:r w:rsidRPr="005D6582">
              <w:rPr>
                <w:rFonts w:cs="Arial"/>
                <w:b/>
                <w:szCs w:val="22"/>
              </w:rPr>
              <w:t>1.</w:t>
            </w:r>
          </w:p>
        </w:tc>
        <w:tc>
          <w:tcPr>
            <w:tcW w:w="9105" w:type="dxa"/>
          </w:tcPr>
          <w:p w14:paraId="038D283C" w14:textId="77777777" w:rsidR="00853F4F" w:rsidRPr="005D6582" w:rsidRDefault="009772C7" w:rsidP="00896E2B">
            <w:pPr>
              <w:spacing w:after="0" w:line="276" w:lineRule="auto"/>
              <w:rPr>
                <w:szCs w:val="22"/>
              </w:rPr>
            </w:pPr>
            <w:r w:rsidRPr="005D6582">
              <w:rPr>
                <w:szCs w:val="22"/>
              </w:rPr>
              <w:t>Postavení společnosti na trhu nyní a po realizaci projektu, stav konkurence, marketingové aktivity.</w:t>
            </w:r>
          </w:p>
        </w:tc>
      </w:tr>
      <w:tr w:rsidR="00853F4F" w:rsidRPr="005D6582" w14:paraId="5A2F38F9" w14:textId="77777777" w:rsidTr="00657329">
        <w:trPr>
          <w:trHeight w:val="390"/>
        </w:trPr>
        <w:tc>
          <w:tcPr>
            <w:tcW w:w="534" w:type="dxa"/>
          </w:tcPr>
          <w:p w14:paraId="036FBA89" w14:textId="77777777" w:rsidR="00853F4F" w:rsidRPr="005D6582" w:rsidRDefault="009772C7" w:rsidP="00896E2B">
            <w:pPr>
              <w:spacing w:after="0"/>
              <w:rPr>
                <w:rFonts w:cs="Arial"/>
                <w:b/>
                <w:szCs w:val="22"/>
              </w:rPr>
            </w:pPr>
            <w:r w:rsidRPr="005D6582">
              <w:rPr>
                <w:rFonts w:cs="Arial"/>
                <w:b/>
                <w:szCs w:val="22"/>
              </w:rPr>
              <w:t>2.</w:t>
            </w:r>
          </w:p>
        </w:tc>
        <w:tc>
          <w:tcPr>
            <w:tcW w:w="9105" w:type="dxa"/>
          </w:tcPr>
          <w:p w14:paraId="7053CEBE" w14:textId="77777777" w:rsidR="00853F4F" w:rsidRPr="005D6582" w:rsidRDefault="009772C7" w:rsidP="00896E2B">
            <w:pPr>
              <w:spacing w:after="0" w:line="276" w:lineRule="auto"/>
              <w:rPr>
                <w:szCs w:val="22"/>
              </w:rPr>
            </w:pPr>
            <w:r w:rsidRPr="005D6582">
              <w:rPr>
                <w:szCs w:val="22"/>
              </w:rPr>
              <w:t>Rozbor provozních nákladů po náběhu projektu.</w:t>
            </w:r>
          </w:p>
        </w:tc>
      </w:tr>
      <w:tr w:rsidR="00853F4F" w:rsidRPr="005D6582" w14:paraId="1CD0DF4C" w14:textId="77777777" w:rsidTr="00657329">
        <w:tc>
          <w:tcPr>
            <w:tcW w:w="534" w:type="dxa"/>
          </w:tcPr>
          <w:p w14:paraId="60A97C4D" w14:textId="77777777" w:rsidR="00853F4F" w:rsidRPr="005D6582" w:rsidRDefault="009772C7" w:rsidP="00896E2B">
            <w:pPr>
              <w:spacing w:after="0"/>
              <w:rPr>
                <w:rFonts w:cs="Arial"/>
                <w:b/>
                <w:szCs w:val="22"/>
              </w:rPr>
            </w:pPr>
            <w:r w:rsidRPr="005D6582">
              <w:rPr>
                <w:rFonts w:cs="Arial"/>
                <w:b/>
                <w:szCs w:val="22"/>
              </w:rPr>
              <w:t>3.</w:t>
            </w:r>
          </w:p>
        </w:tc>
        <w:tc>
          <w:tcPr>
            <w:tcW w:w="9105" w:type="dxa"/>
          </w:tcPr>
          <w:p w14:paraId="611279A0" w14:textId="77777777" w:rsidR="00853F4F" w:rsidRPr="005D6582" w:rsidRDefault="009772C7" w:rsidP="00896E2B">
            <w:pPr>
              <w:spacing w:after="0" w:line="276" w:lineRule="auto"/>
              <w:rPr>
                <w:szCs w:val="22"/>
              </w:rPr>
            </w:pPr>
            <w:r w:rsidRPr="005D6582">
              <w:rPr>
                <w:szCs w:val="22"/>
              </w:rPr>
              <w:t>Zabezpečení prodeje, hlavní odběratelé, regionální struktura odbytu, úroveň smluvních vztahů s odběrateli.</w:t>
            </w:r>
          </w:p>
        </w:tc>
      </w:tr>
      <w:tr w:rsidR="00853F4F" w:rsidRPr="005D6582" w14:paraId="11AC7CDA" w14:textId="77777777" w:rsidTr="00657329">
        <w:tc>
          <w:tcPr>
            <w:tcW w:w="534" w:type="dxa"/>
          </w:tcPr>
          <w:p w14:paraId="141316DE" w14:textId="77777777" w:rsidR="00853F4F" w:rsidRPr="005D6582" w:rsidRDefault="009772C7" w:rsidP="00896E2B">
            <w:pPr>
              <w:spacing w:after="0"/>
              <w:rPr>
                <w:rFonts w:cs="Arial"/>
                <w:b/>
                <w:szCs w:val="22"/>
              </w:rPr>
            </w:pPr>
            <w:r w:rsidRPr="005D6582">
              <w:rPr>
                <w:rFonts w:cs="Arial"/>
                <w:b/>
                <w:szCs w:val="22"/>
              </w:rPr>
              <w:t>4.</w:t>
            </w:r>
          </w:p>
        </w:tc>
        <w:tc>
          <w:tcPr>
            <w:tcW w:w="9105" w:type="dxa"/>
          </w:tcPr>
          <w:p w14:paraId="3B60F53A" w14:textId="77777777" w:rsidR="00853F4F" w:rsidRPr="005D6582" w:rsidRDefault="009772C7" w:rsidP="00896E2B">
            <w:pPr>
              <w:spacing w:after="0" w:line="276" w:lineRule="auto"/>
              <w:rPr>
                <w:szCs w:val="22"/>
              </w:rPr>
            </w:pPr>
            <w:r w:rsidRPr="005D6582">
              <w:rPr>
                <w:szCs w:val="22"/>
              </w:rPr>
              <w:t>Rozbor tržeb po náběhu projektu.</w:t>
            </w:r>
          </w:p>
        </w:tc>
      </w:tr>
      <w:tr w:rsidR="00853F4F" w:rsidRPr="005D6582" w14:paraId="21FA0666" w14:textId="77777777" w:rsidTr="00657329">
        <w:tc>
          <w:tcPr>
            <w:tcW w:w="534" w:type="dxa"/>
          </w:tcPr>
          <w:p w14:paraId="213E7550" w14:textId="77777777" w:rsidR="00853F4F" w:rsidRPr="005D6582" w:rsidRDefault="009772C7" w:rsidP="00896E2B">
            <w:pPr>
              <w:spacing w:after="0"/>
              <w:rPr>
                <w:rFonts w:cs="Arial"/>
                <w:b/>
                <w:szCs w:val="22"/>
              </w:rPr>
            </w:pPr>
            <w:r w:rsidRPr="005D6582">
              <w:rPr>
                <w:rFonts w:cs="Arial"/>
                <w:b/>
                <w:szCs w:val="22"/>
              </w:rPr>
              <w:t>5.</w:t>
            </w:r>
          </w:p>
        </w:tc>
        <w:tc>
          <w:tcPr>
            <w:tcW w:w="9105" w:type="dxa"/>
          </w:tcPr>
          <w:p w14:paraId="742747CA" w14:textId="77777777" w:rsidR="00853F4F" w:rsidRPr="005D6582" w:rsidRDefault="009772C7" w:rsidP="00896E2B">
            <w:pPr>
              <w:overflowPunct/>
              <w:autoSpaceDE/>
              <w:autoSpaceDN/>
              <w:adjustRightInd/>
              <w:spacing w:after="0"/>
              <w:ind w:right="-108"/>
              <w:jc w:val="left"/>
              <w:textAlignment w:val="auto"/>
              <w:rPr>
                <w:rFonts w:cs="Arial"/>
                <w:szCs w:val="22"/>
              </w:rPr>
            </w:pPr>
            <w:proofErr w:type="spellStart"/>
            <w:r w:rsidRPr="005D6582">
              <w:rPr>
                <w:szCs w:val="22"/>
              </w:rPr>
              <w:t>Technicko</w:t>
            </w:r>
            <w:proofErr w:type="spellEnd"/>
            <w:r w:rsidRPr="005D6582">
              <w:rPr>
                <w:szCs w:val="22"/>
              </w:rPr>
              <w:t xml:space="preserve"> – technologická charakteristika projektu.</w:t>
            </w:r>
          </w:p>
        </w:tc>
      </w:tr>
      <w:tr w:rsidR="00853F4F" w:rsidRPr="005D6582" w14:paraId="3E628CD8" w14:textId="77777777" w:rsidTr="00657329">
        <w:tc>
          <w:tcPr>
            <w:tcW w:w="534" w:type="dxa"/>
          </w:tcPr>
          <w:p w14:paraId="0FD42DD5" w14:textId="77777777" w:rsidR="00853F4F" w:rsidRPr="005D6582" w:rsidRDefault="009772C7" w:rsidP="00896E2B">
            <w:pPr>
              <w:spacing w:after="0"/>
              <w:rPr>
                <w:rFonts w:cs="Arial"/>
                <w:b/>
                <w:szCs w:val="22"/>
              </w:rPr>
            </w:pPr>
            <w:r w:rsidRPr="005D6582">
              <w:rPr>
                <w:rFonts w:cs="Arial"/>
                <w:b/>
                <w:szCs w:val="22"/>
              </w:rPr>
              <w:t>6.</w:t>
            </w:r>
          </w:p>
        </w:tc>
        <w:tc>
          <w:tcPr>
            <w:tcW w:w="9105" w:type="dxa"/>
          </w:tcPr>
          <w:p w14:paraId="59EEEF63" w14:textId="77777777" w:rsidR="00853F4F" w:rsidRPr="005D6582" w:rsidRDefault="009772C7" w:rsidP="00896E2B">
            <w:pPr>
              <w:overflowPunct/>
              <w:autoSpaceDE/>
              <w:autoSpaceDN/>
              <w:adjustRightInd/>
              <w:spacing w:after="0"/>
              <w:ind w:right="-108"/>
              <w:jc w:val="left"/>
              <w:textAlignment w:val="auto"/>
              <w:rPr>
                <w:szCs w:val="22"/>
              </w:rPr>
            </w:pPr>
            <w:r w:rsidRPr="005D6582">
              <w:rPr>
                <w:szCs w:val="22"/>
              </w:rPr>
              <w:t>Vyjasněnost majetkoprávních vztahů souvisejících s realizací projektu.</w:t>
            </w:r>
          </w:p>
        </w:tc>
      </w:tr>
      <w:tr w:rsidR="00853F4F" w:rsidRPr="005D6582" w14:paraId="3606B4CC" w14:textId="77777777" w:rsidTr="00657329">
        <w:tc>
          <w:tcPr>
            <w:tcW w:w="534" w:type="dxa"/>
          </w:tcPr>
          <w:p w14:paraId="65C2192D" w14:textId="77777777" w:rsidR="00853F4F" w:rsidRPr="005D6582" w:rsidRDefault="009772C7" w:rsidP="00896E2B">
            <w:pPr>
              <w:spacing w:after="0"/>
              <w:rPr>
                <w:rFonts w:cs="Arial"/>
                <w:b/>
                <w:szCs w:val="22"/>
              </w:rPr>
            </w:pPr>
            <w:r w:rsidRPr="005D6582">
              <w:rPr>
                <w:rFonts w:cs="Arial"/>
                <w:b/>
                <w:szCs w:val="22"/>
              </w:rPr>
              <w:t>7.</w:t>
            </w:r>
          </w:p>
        </w:tc>
        <w:tc>
          <w:tcPr>
            <w:tcW w:w="9105" w:type="dxa"/>
            <w:tcBorders>
              <w:bottom w:val="single" w:sz="6" w:space="0" w:color="auto"/>
            </w:tcBorders>
          </w:tcPr>
          <w:p w14:paraId="624CC3F7" w14:textId="77777777" w:rsidR="00853F4F" w:rsidRPr="005D6582" w:rsidRDefault="009772C7" w:rsidP="00896E2B">
            <w:pPr>
              <w:overflowPunct/>
              <w:spacing w:after="0"/>
              <w:textAlignment w:val="auto"/>
              <w:rPr>
                <w:rFonts w:cs="Arial"/>
                <w:b/>
                <w:bCs/>
                <w:szCs w:val="22"/>
              </w:rPr>
            </w:pPr>
            <w:r w:rsidRPr="005D6582">
              <w:rPr>
                <w:szCs w:val="22"/>
              </w:rPr>
              <w:t>Dodavatelské zajištění realizace projektu.</w:t>
            </w:r>
          </w:p>
        </w:tc>
      </w:tr>
      <w:tr w:rsidR="00853F4F" w:rsidRPr="005D6582" w14:paraId="579BC30F" w14:textId="77777777" w:rsidTr="00657329">
        <w:tc>
          <w:tcPr>
            <w:tcW w:w="534" w:type="dxa"/>
          </w:tcPr>
          <w:p w14:paraId="3A52B653" w14:textId="77777777" w:rsidR="00853F4F" w:rsidRPr="005D6582" w:rsidRDefault="009772C7" w:rsidP="00896E2B">
            <w:pPr>
              <w:spacing w:after="0"/>
              <w:rPr>
                <w:rFonts w:cs="Arial"/>
                <w:b/>
                <w:szCs w:val="22"/>
              </w:rPr>
            </w:pPr>
            <w:r w:rsidRPr="005D6582">
              <w:rPr>
                <w:rFonts w:cs="Arial"/>
                <w:b/>
                <w:szCs w:val="22"/>
              </w:rPr>
              <w:t>8.</w:t>
            </w:r>
          </w:p>
        </w:tc>
        <w:tc>
          <w:tcPr>
            <w:tcW w:w="9105" w:type="dxa"/>
            <w:tcBorders>
              <w:top w:val="single" w:sz="6" w:space="0" w:color="auto"/>
              <w:bottom w:val="single" w:sz="18" w:space="0" w:color="auto"/>
            </w:tcBorders>
          </w:tcPr>
          <w:p w14:paraId="12295B2F" w14:textId="77777777" w:rsidR="00853F4F" w:rsidRPr="005D6582" w:rsidRDefault="009772C7" w:rsidP="00896E2B">
            <w:pPr>
              <w:overflowPunct/>
              <w:spacing w:after="0"/>
              <w:textAlignment w:val="auto"/>
              <w:rPr>
                <w:szCs w:val="22"/>
              </w:rPr>
            </w:pPr>
            <w:r w:rsidRPr="005D6582">
              <w:rPr>
                <w:szCs w:val="22"/>
              </w:rPr>
              <w:t>Zajištěnost vstupů projektu (energie, suroviny, atd.).</w:t>
            </w:r>
          </w:p>
        </w:tc>
      </w:tr>
    </w:tbl>
    <w:p w14:paraId="0D96FE01" w14:textId="77777777" w:rsidR="00853F4F" w:rsidRPr="005D6582" w:rsidRDefault="00853F4F" w:rsidP="00853F4F">
      <w:pPr>
        <w:rPr>
          <w:rFonts w:cs="Arial"/>
        </w:rPr>
      </w:pPr>
    </w:p>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7"/>
        <w:gridCol w:w="9082"/>
      </w:tblGrid>
      <w:tr w:rsidR="00853F4F" w:rsidRPr="005D6582" w14:paraId="7E498AF7" w14:textId="77777777" w:rsidTr="00657329">
        <w:trPr>
          <w:trHeight w:val="677"/>
        </w:trPr>
        <w:tc>
          <w:tcPr>
            <w:tcW w:w="9639" w:type="dxa"/>
            <w:gridSpan w:val="2"/>
            <w:tcBorders>
              <w:top w:val="single" w:sz="18" w:space="0" w:color="auto"/>
              <w:left w:val="single" w:sz="18" w:space="0" w:color="auto"/>
              <w:bottom w:val="single" w:sz="18" w:space="0" w:color="auto"/>
            </w:tcBorders>
            <w:shd w:val="clear" w:color="auto" w:fill="E6E6E6"/>
            <w:vAlign w:val="center"/>
          </w:tcPr>
          <w:p w14:paraId="749B20E3" w14:textId="77777777" w:rsidR="00853F4F" w:rsidRPr="005D6582" w:rsidRDefault="009772C7" w:rsidP="00D1370B">
            <w:pPr>
              <w:spacing w:after="0"/>
              <w:jc w:val="left"/>
              <w:rPr>
                <w:i/>
                <w:iCs/>
                <w:sz w:val="24"/>
              </w:rPr>
            </w:pPr>
            <w:bookmarkStart w:id="74" w:name="_Hlk477729494"/>
            <w:r w:rsidRPr="005D6582">
              <w:rPr>
                <w:b/>
              </w:rPr>
              <w:br w:type="page"/>
            </w:r>
            <w:bookmarkStart w:id="75" w:name="_Toc429483560"/>
            <w:r w:rsidRPr="005D6582">
              <w:rPr>
                <w:b/>
                <w:sz w:val="24"/>
                <w:szCs w:val="24"/>
              </w:rPr>
              <w:t>D. Vyhodnocení ekonomických faktorů - posuzuje se na základě těchto informací</w:t>
            </w:r>
            <w:r w:rsidR="00D1370B" w:rsidRPr="005D6582">
              <w:rPr>
                <w:rStyle w:val="Znakapoznpodarou"/>
                <w:b/>
                <w:szCs w:val="24"/>
              </w:rPr>
              <w:footnoteReference w:id="23"/>
            </w:r>
            <w:r w:rsidRPr="005D6582">
              <w:rPr>
                <w:b/>
                <w:sz w:val="24"/>
                <w:szCs w:val="24"/>
              </w:rPr>
              <w:t>:</w:t>
            </w:r>
            <w:bookmarkEnd w:id="75"/>
          </w:p>
        </w:tc>
      </w:tr>
      <w:bookmarkEnd w:id="74"/>
      <w:tr w:rsidR="00853F4F" w:rsidRPr="005D6582" w14:paraId="27F77543" w14:textId="77777777" w:rsidTr="00BD1946">
        <w:trPr>
          <w:cantSplit/>
          <w:trHeight w:val="483"/>
        </w:trPr>
        <w:tc>
          <w:tcPr>
            <w:tcW w:w="0" w:type="auto"/>
            <w:tcBorders>
              <w:top w:val="single" w:sz="6" w:space="0" w:color="auto"/>
              <w:bottom w:val="single" w:sz="4" w:space="0" w:color="auto"/>
            </w:tcBorders>
          </w:tcPr>
          <w:p w14:paraId="66651226" w14:textId="77777777" w:rsidR="00853F4F" w:rsidRPr="005D6582" w:rsidRDefault="009772C7" w:rsidP="00896E2B">
            <w:pPr>
              <w:spacing w:after="0"/>
              <w:rPr>
                <w:rFonts w:cs="Arial"/>
                <w:b/>
                <w:szCs w:val="22"/>
              </w:rPr>
            </w:pPr>
            <w:r w:rsidRPr="005D6582">
              <w:rPr>
                <w:rFonts w:cs="Arial"/>
                <w:b/>
                <w:szCs w:val="22"/>
              </w:rPr>
              <w:t>1.</w:t>
            </w:r>
          </w:p>
        </w:tc>
        <w:tc>
          <w:tcPr>
            <w:tcW w:w="9082" w:type="dxa"/>
            <w:tcBorders>
              <w:top w:val="single" w:sz="6" w:space="0" w:color="auto"/>
              <w:bottom w:val="single" w:sz="4" w:space="0" w:color="auto"/>
            </w:tcBorders>
          </w:tcPr>
          <w:p w14:paraId="4E7635B6" w14:textId="77777777" w:rsidR="00853F4F" w:rsidRPr="005D6582" w:rsidRDefault="009772C7" w:rsidP="00896E2B">
            <w:pPr>
              <w:spacing w:after="0" w:line="276" w:lineRule="auto"/>
              <w:rPr>
                <w:szCs w:val="22"/>
              </w:rPr>
            </w:pPr>
            <w:r w:rsidRPr="005D6582">
              <w:t>Účetní závěrky za předcházející 3 uzavřená účetní období (rozvaha, výkaz zisku a ztráty a příloha k účetní závěrce, vč. zprávy auditora, pokud byly účetní závěrky ověřeny auditorem) a kopie daňových přiznání k dani z příjmu (případně elektronická daňová přiznání k dani z příjmu).</w:t>
            </w:r>
          </w:p>
        </w:tc>
      </w:tr>
      <w:tr w:rsidR="00853F4F" w:rsidRPr="005D6582" w14:paraId="45796F56" w14:textId="77777777" w:rsidTr="00BD1946">
        <w:trPr>
          <w:cantSplit/>
          <w:trHeight w:val="422"/>
        </w:trPr>
        <w:tc>
          <w:tcPr>
            <w:tcW w:w="0" w:type="auto"/>
            <w:tcBorders>
              <w:top w:val="single" w:sz="6" w:space="0" w:color="auto"/>
              <w:bottom w:val="single" w:sz="4" w:space="0" w:color="auto"/>
            </w:tcBorders>
          </w:tcPr>
          <w:p w14:paraId="5B5A65A1" w14:textId="77777777" w:rsidR="00853F4F" w:rsidRPr="005D6582" w:rsidRDefault="009772C7" w:rsidP="00896E2B">
            <w:pPr>
              <w:spacing w:after="0"/>
              <w:rPr>
                <w:rFonts w:cs="Arial"/>
                <w:b/>
                <w:szCs w:val="22"/>
              </w:rPr>
            </w:pPr>
            <w:r w:rsidRPr="005D6582">
              <w:rPr>
                <w:rFonts w:cs="Arial"/>
                <w:b/>
                <w:szCs w:val="22"/>
              </w:rPr>
              <w:t>2.</w:t>
            </w:r>
          </w:p>
        </w:tc>
        <w:tc>
          <w:tcPr>
            <w:tcW w:w="9082" w:type="dxa"/>
            <w:tcBorders>
              <w:top w:val="single" w:sz="6" w:space="0" w:color="auto"/>
              <w:bottom w:val="single" w:sz="4" w:space="0" w:color="auto"/>
            </w:tcBorders>
          </w:tcPr>
          <w:p w14:paraId="35F9A69C" w14:textId="77777777" w:rsidR="00853F4F" w:rsidRPr="005D6582" w:rsidRDefault="009772C7" w:rsidP="00896E2B">
            <w:pPr>
              <w:spacing w:after="0" w:line="276" w:lineRule="auto"/>
              <w:rPr>
                <w:szCs w:val="22"/>
              </w:rPr>
            </w:pPr>
            <w:r w:rsidRPr="005D6582">
              <w:rPr>
                <w:szCs w:val="22"/>
              </w:rPr>
              <w:t>Účetní výkazy (rozvaha, výkaz zisku a ztráty) do konce účetně uzavřeného měsíce běžného roku.</w:t>
            </w:r>
          </w:p>
        </w:tc>
      </w:tr>
      <w:tr w:rsidR="00853F4F" w:rsidRPr="005D6582" w14:paraId="7802FA07" w14:textId="77777777" w:rsidTr="00BD1946">
        <w:trPr>
          <w:cantSplit/>
          <w:trHeight w:val="643"/>
        </w:trPr>
        <w:tc>
          <w:tcPr>
            <w:tcW w:w="0" w:type="auto"/>
            <w:tcBorders>
              <w:top w:val="single" w:sz="6" w:space="0" w:color="auto"/>
              <w:bottom w:val="single" w:sz="4" w:space="0" w:color="auto"/>
            </w:tcBorders>
          </w:tcPr>
          <w:p w14:paraId="5EB106B7" w14:textId="77777777" w:rsidR="00853F4F" w:rsidRPr="005D6582" w:rsidRDefault="009772C7" w:rsidP="00896E2B">
            <w:pPr>
              <w:spacing w:after="0"/>
              <w:rPr>
                <w:rFonts w:cs="Arial"/>
                <w:b/>
                <w:szCs w:val="22"/>
              </w:rPr>
            </w:pPr>
            <w:r w:rsidRPr="005D6582">
              <w:rPr>
                <w:rFonts w:cs="Arial"/>
                <w:b/>
                <w:szCs w:val="22"/>
              </w:rPr>
              <w:t>3.</w:t>
            </w:r>
          </w:p>
        </w:tc>
        <w:tc>
          <w:tcPr>
            <w:tcW w:w="9082" w:type="dxa"/>
            <w:tcBorders>
              <w:top w:val="single" w:sz="6" w:space="0" w:color="auto"/>
              <w:bottom w:val="single" w:sz="4" w:space="0" w:color="auto"/>
            </w:tcBorders>
          </w:tcPr>
          <w:p w14:paraId="485B7777" w14:textId="77777777" w:rsidR="00853F4F" w:rsidRPr="005D6582" w:rsidRDefault="009772C7" w:rsidP="00896E2B">
            <w:pPr>
              <w:spacing w:after="0" w:line="276" w:lineRule="auto"/>
              <w:rPr>
                <w:szCs w:val="22"/>
              </w:rPr>
            </w:pPr>
            <w:r w:rsidRPr="005D6582">
              <w:rPr>
                <w:szCs w:val="22"/>
              </w:rPr>
              <w:t>Tabulky ve struktuře účetních výkazů (rozvaha, výkaz zisku a ztráty) za poslední tři účetně uzavřená období.</w:t>
            </w:r>
          </w:p>
        </w:tc>
      </w:tr>
      <w:tr w:rsidR="00D67122" w:rsidRPr="005D6582" w14:paraId="78717902" w14:textId="77777777" w:rsidTr="00BD1946">
        <w:trPr>
          <w:cantSplit/>
          <w:trHeight w:val="648"/>
        </w:trPr>
        <w:tc>
          <w:tcPr>
            <w:tcW w:w="557" w:type="dxa"/>
            <w:tcBorders>
              <w:top w:val="single" w:sz="6" w:space="0" w:color="auto"/>
              <w:bottom w:val="single" w:sz="4" w:space="0" w:color="auto"/>
            </w:tcBorders>
          </w:tcPr>
          <w:p w14:paraId="253ECAAB" w14:textId="77777777" w:rsidR="00D67122" w:rsidRPr="005D6582" w:rsidRDefault="009772C7" w:rsidP="00896E2B">
            <w:pPr>
              <w:spacing w:after="0"/>
              <w:rPr>
                <w:rFonts w:cs="Arial"/>
                <w:b/>
                <w:szCs w:val="22"/>
              </w:rPr>
            </w:pPr>
            <w:r w:rsidRPr="005D6582">
              <w:rPr>
                <w:rFonts w:cs="Arial"/>
                <w:b/>
                <w:szCs w:val="22"/>
              </w:rPr>
              <w:t>4.</w:t>
            </w:r>
          </w:p>
        </w:tc>
        <w:tc>
          <w:tcPr>
            <w:tcW w:w="9082" w:type="dxa"/>
            <w:tcBorders>
              <w:top w:val="single" w:sz="6" w:space="0" w:color="auto"/>
              <w:bottom w:val="single" w:sz="4" w:space="0" w:color="auto"/>
            </w:tcBorders>
          </w:tcPr>
          <w:p w14:paraId="74F1B9CA" w14:textId="77777777" w:rsidR="00D67122" w:rsidRPr="005D6582" w:rsidRDefault="009772C7" w:rsidP="00896E2B">
            <w:pPr>
              <w:spacing w:after="0" w:line="276" w:lineRule="auto"/>
              <w:rPr>
                <w:szCs w:val="22"/>
              </w:rPr>
            </w:pPr>
            <w:r w:rsidRPr="005D6582">
              <w:t>Tabulky ve struktuře účetních výkazů (rozvaha, výkaz zisku a ztráty) jako výhled na tři účetní období následující po posledním uzavřeném účetním období</w:t>
            </w:r>
          </w:p>
        </w:tc>
      </w:tr>
      <w:tr w:rsidR="00D67122" w:rsidRPr="005D6582" w14:paraId="0118EFEE" w14:textId="77777777" w:rsidTr="00BD1946">
        <w:trPr>
          <w:cantSplit/>
          <w:trHeight w:val="648"/>
        </w:trPr>
        <w:tc>
          <w:tcPr>
            <w:tcW w:w="557" w:type="dxa"/>
            <w:tcBorders>
              <w:top w:val="single" w:sz="6" w:space="0" w:color="auto"/>
              <w:bottom w:val="single" w:sz="4" w:space="0" w:color="auto"/>
            </w:tcBorders>
          </w:tcPr>
          <w:p w14:paraId="343C4108" w14:textId="77777777" w:rsidR="00D67122" w:rsidRPr="005D6582" w:rsidRDefault="009772C7" w:rsidP="00896E2B">
            <w:pPr>
              <w:spacing w:after="0"/>
              <w:rPr>
                <w:rFonts w:cs="Arial"/>
                <w:b/>
                <w:szCs w:val="22"/>
              </w:rPr>
            </w:pPr>
            <w:r w:rsidRPr="005D6582">
              <w:rPr>
                <w:rFonts w:cs="Arial"/>
                <w:b/>
                <w:szCs w:val="22"/>
              </w:rPr>
              <w:lastRenderedPageBreak/>
              <w:t>5.</w:t>
            </w:r>
          </w:p>
        </w:tc>
        <w:tc>
          <w:tcPr>
            <w:tcW w:w="9082" w:type="dxa"/>
            <w:tcBorders>
              <w:top w:val="single" w:sz="6" w:space="0" w:color="auto"/>
              <w:bottom w:val="single" w:sz="4" w:space="0" w:color="auto"/>
            </w:tcBorders>
          </w:tcPr>
          <w:p w14:paraId="06979AC3" w14:textId="77777777" w:rsidR="00D67122" w:rsidRPr="005D6582" w:rsidRDefault="009772C7" w:rsidP="00896E2B">
            <w:pPr>
              <w:spacing w:after="0" w:line="276" w:lineRule="auto"/>
              <w:rPr>
                <w:szCs w:val="22"/>
              </w:rPr>
            </w:pPr>
            <w:r w:rsidRPr="005D6582">
              <w:rPr>
                <w:szCs w:val="22"/>
              </w:rPr>
              <w:t>Tabulky ve struktuře Přehledu o majetku a závazcích a Přehledu o příjmech a výdajích za poslední tři zdaňovací období.</w:t>
            </w:r>
          </w:p>
        </w:tc>
      </w:tr>
      <w:tr w:rsidR="00D67122" w:rsidRPr="005D6582" w14:paraId="59298655" w14:textId="77777777" w:rsidTr="00BD1946">
        <w:trPr>
          <w:cantSplit/>
          <w:trHeight w:val="410"/>
        </w:trPr>
        <w:tc>
          <w:tcPr>
            <w:tcW w:w="0" w:type="auto"/>
            <w:tcBorders>
              <w:top w:val="single" w:sz="6" w:space="0" w:color="auto"/>
              <w:bottom w:val="single" w:sz="4" w:space="0" w:color="auto"/>
            </w:tcBorders>
          </w:tcPr>
          <w:p w14:paraId="34B91CB5" w14:textId="77777777" w:rsidR="00D67122" w:rsidRPr="005D6582" w:rsidRDefault="009772C7" w:rsidP="00896E2B">
            <w:pPr>
              <w:spacing w:after="0"/>
              <w:rPr>
                <w:rFonts w:cs="Arial"/>
                <w:b/>
                <w:szCs w:val="22"/>
              </w:rPr>
            </w:pPr>
            <w:r w:rsidRPr="005D6582">
              <w:rPr>
                <w:rFonts w:cs="Arial"/>
                <w:b/>
                <w:szCs w:val="22"/>
              </w:rPr>
              <w:t>6.</w:t>
            </w:r>
          </w:p>
        </w:tc>
        <w:tc>
          <w:tcPr>
            <w:tcW w:w="9082" w:type="dxa"/>
            <w:tcBorders>
              <w:top w:val="single" w:sz="6" w:space="0" w:color="auto"/>
              <w:bottom w:val="single" w:sz="4" w:space="0" w:color="auto"/>
            </w:tcBorders>
          </w:tcPr>
          <w:p w14:paraId="3C8F1BC7" w14:textId="77777777" w:rsidR="00D67122" w:rsidRPr="005D6582" w:rsidRDefault="009772C7" w:rsidP="00896E2B">
            <w:pPr>
              <w:spacing w:after="0" w:line="276" w:lineRule="auto"/>
              <w:rPr>
                <w:szCs w:val="22"/>
              </w:rPr>
            </w:pPr>
            <w:r w:rsidRPr="005D6582">
              <w:rPr>
                <w:szCs w:val="22"/>
              </w:rPr>
              <w:t>Struktura výdajů a zajištěnost ostatních zdrojů financování projektu.</w:t>
            </w:r>
          </w:p>
        </w:tc>
      </w:tr>
      <w:tr w:rsidR="00D67122" w:rsidRPr="005D6582" w14:paraId="75693E85" w14:textId="77777777" w:rsidTr="00BD1946">
        <w:trPr>
          <w:cantSplit/>
          <w:trHeight w:val="354"/>
        </w:trPr>
        <w:tc>
          <w:tcPr>
            <w:tcW w:w="0" w:type="auto"/>
            <w:tcBorders>
              <w:top w:val="single" w:sz="6" w:space="0" w:color="auto"/>
              <w:bottom w:val="single" w:sz="6" w:space="0" w:color="auto"/>
            </w:tcBorders>
          </w:tcPr>
          <w:p w14:paraId="291355BA" w14:textId="77777777" w:rsidR="00D67122" w:rsidRPr="005D6582" w:rsidRDefault="009772C7" w:rsidP="00896E2B">
            <w:pPr>
              <w:spacing w:after="0"/>
              <w:rPr>
                <w:rFonts w:cs="Arial"/>
                <w:b/>
                <w:szCs w:val="22"/>
              </w:rPr>
            </w:pPr>
            <w:r w:rsidRPr="005D6582">
              <w:rPr>
                <w:rFonts w:cs="Arial"/>
                <w:b/>
                <w:szCs w:val="22"/>
              </w:rPr>
              <w:t>7.</w:t>
            </w:r>
          </w:p>
        </w:tc>
        <w:tc>
          <w:tcPr>
            <w:tcW w:w="9082" w:type="dxa"/>
            <w:tcBorders>
              <w:top w:val="single" w:sz="6" w:space="0" w:color="auto"/>
              <w:bottom w:val="single" w:sz="6" w:space="0" w:color="auto"/>
            </w:tcBorders>
          </w:tcPr>
          <w:p w14:paraId="65CC9B28" w14:textId="77777777" w:rsidR="00D67122" w:rsidRPr="005D6582" w:rsidRDefault="009772C7" w:rsidP="00896E2B">
            <w:pPr>
              <w:spacing w:after="0" w:line="276" w:lineRule="auto"/>
              <w:rPr>
                <w:szCs w:val="22"/>
              </w:rPr>
            </w:pPr>
            <w:r w:rsidRPr="005D6582">
              <w:rPr>
                <w:szCs w:val="22"/>
              </w:rPr>
              <w:t>Údaje o úvěrech a ostatních závazcích žadatele (přehled věřitelů, druh a výše závazků, splatnost).</w:t>
            </w:r>
          </w:p>
        </w:tc>
      </w:tr>
      <w:tr w:rsidR="00D67122" w:rsidRPr="005D6582" w14:paraId="2A69E6FC" w14:textId="77777777" w:rsidTr="00BD1946">
        <w:trPr>
          <w:cantSplit/>
          <w:trHeight w:val="409"/>
        </w:trPr>
        <w:tc>
          <w:tcPr>
            <w:tcW w:w="0" w:type="auto"/>
            <w:tcBorders>
              <w:top w:val="single" w:sz="6" w:space="0" w:color="auto"/>
              <w:bottom w:val="single" w:sz="18" w:space="0" w:color="auto"/>
            </w:tcBorders>
          </w:tcPr>
          <w:p w14:paraId="61907138" w14:textId="77777777" w:rsidR="00D67122" w:rsidRPr="005D6582" w:rsidRDefault="009772C7" w:rsidP="00896E2B">
            <w:pPr>
              <w:spacing w:after="0"/>
              <w:rPr>
                <w:rFonts w:cs="Arial"/>
                <w:b/>
                <w:szCs w:val="22"/>
              </w:rPr>
            </w:pPr>
            <w:r w:rsidRPr="005D6582">
              <w:rPr>
                <w:rFonts w:cs="Arial"/>
                <w:b/>
                <w:szCs w:val="22"/>
              </w:rPr>
              <w:t>8.</w:t>
            </w:r>
          </w:p>
        </w:tc>
        <w:tc>
          <w:tcPr>
            <w:tcW w:w="9082" w:type="dxa"/>
            <w:tcBorders>
              <w:top w:val="single" w:sz="6" w:space="0" w:color="auto"/>
              <w:bottom w:val="single" w:sz="18" w:space="0" w:color="auto"/>
            </w:tcBorders>
          </w:tcPr>
          <w:p w14:paraId="7D5469C0" w14:textId="77777777" w:rsidR="00D67122" w:rsidRPr="005D6582" w:rsidRDefault="009772C7" w:rsidP="00896E2B">
            <w:pPr>
              <w:spacing w:after="0" w:line="276" w:lineRule="auto"/>
              <w:rPr>
                <w:szCs w:val="22"/>
              </w:rPr>
            </w:pPr>
            <w:r w:rsidRPr="005D6582">
              <w:rPr>
                <w:szCs w:val="22"/>
              </w:rPr>
              <w:t>Předchozí úvěrová historie.</w:t>
            </w:r>
          </w:p>
        </w:tc>
      </w:tr>
    </w:tbl>
    <w:p w14:paraId="3BCF0B51" w14:textId="77777777" w:rsidR="00853F4F" w:rsidRPr="005D6582" w:rsidRDefault="009772C7" w:rsidP="001221AF">
      <w:pPr>
        <w:spacing w:before="120" w:after="360"/>
      </w:pPr>
      <w:r w:rsidRPr="005D6582">
        <w:t>Pozn</w:t>
      </w:r>
      <w:r w:rsidR="00F17113" w:rsidRPr="005D6582">
        <w:t>.: podklady uvedené v bodě 1 – 4</w:t>
      </w:r>
      <w:r w:rsidRPr="005D6582">
        <w:t xml:space="preserve"> se vztahují jen k žadatel</w:t>
      </w:r>
      <w:r w:rsidR="00F17113" w:rsidRPr="005D6582">
        <w:t>ům vedoucím účetnictví, v bodě 5</w:t>
      </w:r>
      <w:r w:rsidRPr="005D6582">
        <w:t xml:space="preserve"> k žadatelům vedoucím daňovou evidenci.</w:t>
      </w:r>
    </w:p>
    <w:tbl>
      <w:tblPr>
        <w:tblW w:w="977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859"/>
        <w:gridCol w:w="914"/>
      </w:tblGrid>
      <w:tr w:rsidR="00853F4F" w:rsidRPr="005D6582" w14:paraId="3E2155C0" w14:textId="77777777" w:rsidTr="000B02C1">
        <w:trPr>
          <w:trHeight w:val="395"/>
        </w:trPr>
        <w:tc>
          <w:tcPr>
            <w:tcW w:w="8859" w:type="dxa"/>
            <w:tcBorders>
              <w:top w:val="single" w:sz="18" w:space="0" w:color="auto"/>
              <w:bottom w:val="single" w:sz="18" w:space="0" w:color="auto"/>
            </w:tcBorders>
            <w:vAlign w:val="center"/>
          </w:tcPr>
          <w:p w14:paraId="10F1FDFE" w14:textId="77777777" w:rsidR="00853F4F" w:rsidRPr="005D6582" w:rsidRDefault="00553FDD" w:rsidP="00061814">
            <w:pPr>
              <w:spacing w:after="0"/>
              <w:rPr>
                <w:b/>
              </w:rPr>
            </w:pPr>
            <w:bookmarkStart w:id="76" w:name="_Toc429483561"/>
            <w:r w:rsidRPr="005D6582">
              <w:rPr>
                <w:b/>
              </w:rPr>
              <w:t>Zhodnocení úvěrovatelnosti projektu</w:t>
            </w:r>
            <w:bookmarkEnd w:id="76"/>
          </w:p>
        </w:tc>
        <w:tc>
          <w:tcPr>
            <w:tcW w:w="914" w:type="dxa"/>
            <w:tcBorders>
              <w:top w:val="single" w:sz="18" w:space="0" w:color="auto"/>
              <w:bottom w:val="single" w:sz="18" w:space="0" w:color="auto"/>
            </w:tcBorders>
            <w:vAlign w:val="center"/>
          </w:tcPr>
          <w:p w14:paraId="2EA9AB67" w14:textId="77777777" w:rsidR="00853F4F" w:rsidRPr="005D6582" w:rsidRDefault="00553FDD" w:rsidP="00896E2B">
            <w:pPr>
              <w:spacing w:before="120" w:after="120"/>
              <w:jc w:val="right"/>
              <w:rPr>
                <w:rFonts w:cs="Arial"/>
              </w:rPr>
            </w:pPr>
            <w:r w:rsidRPr="005D6582">
              <w:rPr>
                <w:rFonts w:cs="Arial"/>
                <w:b/>
                <w:szCs w:val="24"/>
              </w:rPr>
              <w:t>ANO/NE</w:t>
            </w:r>
          </w:p>
        </w:tc>
      </w:tr>
      <w:tr w:rsidR="00853F4F" w:rsidRPr="005D6582" w14:paraId="7E0C72CD" w14:textId="77777777" w:rsidTr="000B02C1">
        <w:trPr>
          <w:trHeight w:val="395"/>
        </w:trPr>
        <w:tc>
          <w:tcPr>
            <w:tcW w:w="8859" w:type="dxa"/>
            <w:tcBorders>
              <w:top w:val="single" w:sz="18" w:space="0" w:color="auto"/>
            </w:tcBorders>
            <w:vAlign w:val="center"/>
          </w:tcPr>
          <w:p w14:paraId="1FE37D98" w14:textId="77777777" w:rsidR="00853F4F" w:rsidRPr="005D6582" w:rsidRDefault="00553FDD" w:rsidP="00633048">
            <w:pPr>
              <w:spacing w:after="0"/>
              <w:rPr>
                <w:i/>
              </w:rPr>
            </w:pPr>
            <w:bookmarkStart w:id="77" w:name="_Toc429483562"/>
            <w:r w:rsidRPr="005D6582">
              <w:rPr>
                <w:b/>
              </w:rPr>
              <w:t>B. Připravenost žadatele k realizaci projektu</w:t>
            </w:r>
            <w:bookmarkEnd w:id="77"/>
          </w:p>
        </w:tc>
        <w:tc>
          <w:tcPr>
            <w:tcW w:w="914" w:type="dxa"/>
            <w:tcBorders>
              <w:top w:val="single" w:sz="18" w:space="0" w:color="auto"/>
            </w:tcBorders>
            <w:vAlign w:val="center"/>
          </w:tcPr>
          <w:p w14:paraId="7555F7B3" w14:textId="77777777" w:rsidR="00853F4F" w:rsidRPr="005D6582" w:rsidRDefault="00853F4F" w:rsidP="00896E2B">
            <w:pPr>
              <w:spacing w:before="120" w:after="120"/>
              <w:jc w:val="right"/>
              <w:rPr>
                <w:rFonts w:cs="Arial"/>
                <w:szCs w:val="22"/>
              </w:rPr>
            </w:pPr>
          </w:p>
        </w:tc>
      </w:tr>
      <w:tr w:rsidR="00853F4F" w:rsidRPr="005D6582" w14:paraId="5159BA4D" w14:textId="77777777" w:rsidTr="000B02C1">
        <w:trPr>
          <w:cantSplit/>
          <w:trHeight w:val="403"/>
        </w:trPr>
        <w:tc>
          <w:tcPr>
            <w:tcW w:w="8859" w:type="dxa"/>
            <w:vAlign w:val="center"/>
          </w:tcPr>
          <w:p w14:paraId="3E9D2E84" w14:textId="77777777" w:rsidR="00853F4F" w:rsidRPr="005D6582" w:rsidRDefault="00553FDD" w:rsidP="00896E2B">
            <w:pPr>
              <w:pStyle w:val="Pedmtkomente"/>
              <w:spacing w:before="120" w:after="120"/>
              <w:rPr>
                <w:rFonts w:ascii="Calibri" w:hAnsi="Calibri" w:cs="Arial"/>
                <w:b w:val="0"/>
                <w:sz w:val="22"/>
                <w:szCs w:val="22"/>
              </w:rPr>
            </w:pPr>
            <w:r w:rsidRPr="005D6582">
              <w:rPr>
                <w:rFonts w:ascii="Calibri" w:hAnsi="Calibri" w:cs="Arial"/>
                <w:sz w:val="22"/>
                <w:szCs w:val="22"/>
              </w:rPr>
              <w:t>C. Potřebnost a relevance projektu</w:t>
            </w:r>
          </w:p>
        </w:tc>
        <w:tc>
          <w:tcPr>
            <w:tcW w:w="914" w:type="dxa"/>
            <w:vAlign w:val="center"/>
          </w:tcPr>
          <w:p w14:paraId="2F0E442A" w14:textId="77777777" w:rsidR="00853F4F" w:rsidRPr="005D6582" w:rsidRDefault="00853F4F" w:rsidP="00896E2B">
            <w:pPr>
              <w:spacing w:before="120" w:after="120"/>
              <w:jc w:val="right"/>
              <w:rPr>
                <w:rFonts w:cs="Arial"/>
                <w:szCs w:val="22"/>
              </w:rPr>
            </w:pPr>
          </w:p>
        </w:tc>
      </w:tr>
      <w:tr w:rsidR="00853F4F" w:rsidRPr="005D6582" w14:paraId="6EA03DE6" w14:textId="77777777" w:rsidTr="000B02C1">
        <w:trPr>
          <w:trHeight w:val="421"/>
        </w:trPr>
        <w:tc>
          <w:tcPr>
            <w:tcW w:w="8859" w:type="dxa"/>
            <w:vAlign w:val="center"/>
          </w:tcPr>
          <w:p w14:paraId="7A4CFAE7" w14:textId="77777777" w:rsidR="00853F4F" w:rsidRPr="005D6582" w:rsidRDefault="00553FDD" w:rsidP="00896E2B">
            <w:pPr>
              <w:pStyle w:val="Pedmtkomente"/>
              <w:spacing w:before="120" w:after="120"/>
              <w:rPr>
                <w:rFonts w:ascii="Calibri" w:hAnsi="Calibri" w:cs="Arial"/>
                <w:bCs w:val="0"/>
                <w:sz w:val="22"/>
                <w:szCs w:val="22"/>
              </w:rPr>
            </w:pPr>
            <w:r w:rsidRPr="005D6582">
              <w:rPr>
                <w:rFonts w:ascii="Calibri" w:hAnsi="Calibri" w:cs="Arial"/>
                <w:bCs w:val="0"/>
                <w:sz w:val="22"/>
                <w:szCs w:val="22"/>
              </w:rPr>
              <w:t>D. Vyhodnocení ekonomických faktorů</w:t>
            </w:r>
          </w:p>
        </w:tc>
        <w:tc>
          <w:tcPr>
            <w:tcW w:w="914" w:type="dxa"/>
            <w:vAlign w:val="center"/>
          </w:tcPr>
          <w:p w14:paraId="76427570" w14:textId="77777777" w:rsidR="00853F4F" w:rsidRPr="005D6582" w:rsidRDefault="00853F4F" w:rsidP="00896E2B">
            <w:pPr>
              <w:spacing w:before="120" w:after="120"/>
              <w:jc w:val="right"/>
              <w:rPr>
                <w:rFonts w:cs="Arial"/>
                <w:szCs w:val="22"/>
              </w:rPr>
            </w:pPr>
          </w:p>
        </w:tc>
      </w:tr>
    </w:tbl>
    <w:p w14:paraId="14739645" w14:textId="77777777" w:rsidR="003E6226" w:rsidRPr="005D6582" w:rsidRDefault="00553FDD" w:rsidP="003F292F">
      <w:pPr>
        <w:jc w:val="right"/>
        <w:rPr>
          <w:b/>
        </w:rPr>
      </w:pPr>
      <w:r w:rsidRPr="005D6582">
        <w:br w:type="page"/>
      </w:r>
      <w:r w:rsidRPr="005D6582">
        <w:rPr>
          <w:b/>
        </w:rPr>
        <w:lastRenderedPageBreak/>
        <w:t xml:space="preserve">Příloha č. </w:t>
      </w:r>
      <w:r w:rsidR="00306C73" w:rsidRPr="005D6582">
        <w:rPr>
          <w:b/>
        </w:rPr>
        <w:t>3</w:t>
      </w:r>
      <w:r w:rsidRPr="005D6582">
        <w:rPr>
          <w:b/>
        </w:rPr>
        <w:t xml:space="preserve"> Výzvy I - úvěry v programu  EXPANZE</w:t>
      </w:r>
    </w:p>
    <w:p w14:paraId="31589655" w14:textId="77777777" w:rsidR="00186E7B" w:rsidRPr="005D6582" w:rsidRDefault="00553FDD" w:rsidP="00FD22E5">
      <w:pPr>
        <w:spacing w:before="360"/>
        <w:jc w:val="center"/>
        <w:rPr>
          <w:rFonts w:cs="Arial"/>
          <w:b/>
          <w:bCs/>
          <w:sz w:val="32"/>
          <w:szCs w:val="32"/>
        </w:rPr>
      </w:pPr>
      <w:r w:rsidRPr="005D6582">
        <w:rPr>
          <w:rFonts w:cs="Arial"/>
          <w:b/>
          <w:bCs/>
          <w:sz w:val="32"/>
          <w:szCs w:val="32"/>
        </w:rPr>
        <w:t>Zvýhodněné regiony</w:t>
      </w:r>
    </w:p>
    <w:p w14:paraId="2E8BF660" w14:textId="77777777" w:rsidR="00186E7B" w:rsidRPr="005D6582" w:rsidRDefault="00B456E7" w:rsidP="00FD22E5">
      <w:pPr>
        <w:overflowPunct/>
        <w:autoSpaceDE/>
        <w:autoSpaceDN/>
        <w:adjustRightInd/>
        <w:spacing w:after="0"/>
        <w:jc w:val="left"/>
        <w:textAlignment w:val="auto"/>
        <w:rPr>
          <w:rFonts w:cs="Arial"/>
          <w:b/>
          <w:sz w:val="24"/>
        </w:rPr>
      </w:pPr>
      <w:r w:rsidRPr="005D6582">
        <w:rPr>
          <w:rFonts w:cs="Arial"/>
          <w:b/>
          <w:sz w:val="24"/>
        </w:rPr>
        <w:t xml:space="preserve">Okresy s podílem nezaměstnaných osob vyšším než je průměrný podíl nezaměstnaných osob v ČR za únor 2017 (dle údajů zveřejněných MPSV </w:t>
      </w:r>
      <w:hyperlink r:id="rId16" w:history="1">
        <w:r w:rsidRPr="005D6582">
          <w:rPr>
            <w:rStyle w:val="Hypertextovodkaz"/>
            <w:rFonts w:cs="Arial"/>
            <w:b/>
            <w:sz w:val="24"/>
          </w:rPr>
          <w:t>http://portal.mpsv.cz/sz/stat/nz/mes</w:t>
        </w:r>
      </w:hyperlink>
      <w:r w:rsidRPr="005D6582">
        <w:rPr>
          <w:rFonts w:cs="Arial"/>
          <w:b/>
          <w:sz w:val="24"/>
        </w:rPr>
        <w:t>):</w:t>
      </w:r>
    </w:p>
    <w:p w14:paraId="4A777CE4" w14:textId="77777777" w:rsidR="00186E7B" w:rsidRPr="005D6582" w:rsidRDefault="00186E7B" w:rsidP="00FD22E5">
      <w:pPr>
        <w:overflowPunct/>
        <w:autoSpaceDE/>
        <w:autoSpaceDN/>
        <w:adjustRightInd/>
        <w:spacing w:after="0"/>
        <w:jc w:val="left"/>
        <w:textAlignment w:val="auto"/>
        <w:rPr>
          <w:rFonts w:cs="Arial"/>
          <w:b/>
          <w:sz w:val="24"/>
        </w:rPr>
      </w:pPr>
    </w:p>
    <w:p w14:paraId="64FF239F"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Brno-město</w:t>
      </w:r>
    </w:p>
    <w:p w14:paraId="2B068113"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Bruntál</w:t>
      </w:r>
    </w:p>
    <w:p w14:paraId="33928879"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Břeclav</w:t>
      </w:r>
    </w:p>
    <w:p w14:paraId="178A6A3E"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Český Krumlov</w:t>
      </w:r>
    </w:p>
    <w:p w14:paraId="341A8FA9"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Děčín</w:t>
      </w:r>
    </w:p>
    <w:p w14:paraId="7A0616A4"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Hodonín</w:t>
      </w:r>
    </w:p>
    <w:p w14:paraId="569F8005"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Chomutov</w:t>
      </w:r>
    </w:p>
    <w:p w14:paraId="3FFF3621"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Jeseník</w:t>
      </w:r>
    </w:p>
    <w:p w14:paraId="3CCC628F"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Karlovy Vary</w:t>
      </w:r>
    </w:p>
    <w:p w14:paraId="07EDE83C"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Karviná</w:t>
      </w:r>
    </w:p>
    <w:p w14:paraId="4CF308EF"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Kladno</w:t>
      </w:r>
    </w:p>
    <w:p w14:paraId="22AA8913"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Kolín</w:t>
      </w:r>
    </w:p>
    <w:p w14:paraId="035965FD"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Kroměříž</w:t>
      </w:r>
    </w:p>
    <w:p w14:paraId="17AA4459"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Kutná Hora</w:t>
      </w:r>
    </w:p>
    <w:p w14:paraId="7A0CCEF7"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Liberec</w:t>
      </w:r>
    </w:p>
    <w:p w14:paraId="586CC241"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Litoměřice</w:t>
      </w:r>
    </w:p>
    <w:p w14:paraId="5F652070"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Louny</w:t>
      </w:r>
    </w:p>
    <w:p w14:paraId="459A46F3"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Mělník</w:t>
      </w:r>
    </w:p>
    <w:p w14:paraId="4AA09F16"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Most</w:t>
      </w:r>
    </w:p>
    <w:p w14:paraId="0F03DB6C"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Nymburk</w:t>
      </w:r>
    </w:p>
    <w:p w14:paraId="22057C34"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Olomouc</w:t>
      </w:r>
    </w:p>
    <w:p w14:paraId="477A92AF"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Opava</w:t>
      </w:r>
    </w:p>
    <w:p w14:paraId="445A1B77"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Ostrava-město</w:t>
      </w:r>
    </w:p>
    <w:p w14:paraId="4FDC808B"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Přerov</w:t>
      </w:r>
    </w:p>
    <w:p w14:paraId="593C25F1"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Příbram</w:t>
      </w:r>
    </w:p>
    <w:p w14:paraId="73887965"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Semily</w:t>
      </w:r>
    </w:p>
    <w:p w14:paraId="55A618A4"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Sokolov</w:t>
      </w:r>
    </w:p>
    <w:p w14:paraId="600C3CA5"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Svitavy</w:t>
      </w:r>
    </w:p>
    <w:p w14:paraId="507F6374"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Šumperk</w:t>
      </w:r>
    </w:p>
    <w:p w14:paraId="421726FE"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Tábor</w:t>
      </w:r>
    </w:p>
    <w:p w14:paraId="0D3FAD8D"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Teplice</w:t>
      </w:r>
    </w:p>
    <w:p w14:paraId="5EF1B471"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Třebíč</w:t>
      </w:r>
    </w:p>
    <w:p w14:paraId="79A4320F"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Ústí nad Labem</w:t>
      </w:r>
    </w:p>
    <w:p w14:paraId="2B214F94"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Vsetín</w:t>
      </w:r>
    </w:p>
    <w:p w14:paraId="37F6AA6C" w14:textId="77777777" w:rsidR="00186E7B" w:rsidRPr="005D6582" w:rsidRDefault="00B456E7" w:rsidP="00FD22E5">
      <w:pPr>
        <w:pStyle w:val="Odstavecseseznamem"/>
        <w:numPr>
          <w:ilvl w:val="0"/>
          <w:numId w:val="106"/>
        </w:numPr>
        <w:spacing w:after="0"/>
        <w:contextualSpacing/>
        <w:jc w:val="left"/>
        <w:rPr>
          <w:rFonts w:cs="Arial"/>
        </w:rPr>
      </w:pPr>
      <w:r w:rsidRPr="005D6582">
        <w:rPr>
          <w:rFonts w:cs="Arial"/>
        </w:rPr>
        <w:t>Znojmo</w:t>
      </w:r>
    </w:p>
    <w:p w14:paraId="0CF4B9EB" w14:textId="77777777" w:rsidR="00186E7B" w:rsidRPr="005D6582" w:rsidRDefault="009772C7" w:rsidP="00FD22E5">
      <w:pPr>
        <w:pStyle w:val="Odstavecseseznamem"/>
        <w:numPr>
          <w:ilvl w:val="0"/>
          <w:numId w:val="106"/>
        </w:numPr>
        <w:spacing w:after="0"/>
        <w:contextualSpacing/>
        <w:jc w:val="left"/>
      </w:pPr>
      <w:r w:rsidRPr="005D6582">
        <w:rPr>
          <w:rFonts w:cs="Arial"/>
        </w:rPr>
        <w:t>Žďár nad Sázavou</w:t>
      </w:r>
    </w:p>
    <w:p w14:paraId="238D2731" w14:textId="77777777" w:rsidR="00464D9D" w:rsidRPr="004D7746" w:rsidRDefault="00464D9D" w:rsidP="001D6319">
      <w:pPr>
        <w:pStyle w:val="Odstavecseseznamem"/>
        <w:spacing w:before="240" w:line="276" w:lineRule="auto"/>
        <w:ind w:left="357"/>
        <w:rPr>
          <w:szCs w:val="22"/>
        </w:rPr>
      </w:pPr>
    </w:p>
    <w:sectPr w:rsidR="00464D9D" w:rsidRPr="004D7746" w:rsidSect="002D0F55">
      <w:headerReference w:type="default" r:id="rId17"/>
      <w:footerReference w:type="default" r:id="rId18"/>
      <w:headerReference w:type="first" r:id="rId19"/>
      <w:footerReference w:type="first" r:id="rId20"/>
      <w:type w:val="continuous"/>
      <w:pgSz w:w="11906" w:h="16838" w:code="9"/>
      <w:pgMar w:top="1418" w:right="1133" w:bottom="1418" w:left="1276"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A0CC" w14:textId="77777777" w:rsidR="000D642E" w:rsidRDefault="000D642E">
      <w:r>
        <w:separator/>
      </w:r>
    </w:p>
  </w:endnote>
  <w:endnote w:type="continuationSeparator" w:id="0">
    <w:p w14:paraId="53B5AA9A" w14:textId="77777777" w:rsidR="000D642E" w:rsidRDefault="000D642E">
      <w:r>
        <w:continuationSeparator/>
      </w:r>
    </w:p>
  </w:endnote>
  <w:endnote w:type="continuationNotice" w:id="1">
    <w:p w14:paraId="7AF1FF08" w14:textId="77777777" w:rsidR="000D642E" w:rsidRDefault="000D64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1B6A" w14:textId="446FA82E" w:rsidR="000D642E" w:rsidRDefault="000D642E" w:rsidP="00D45315">
    <w:pPr>
      <w:pStyle w:val="Zpat"/>
      <w:jc w:val="center"/>
    </w:pPr>
    <w:r>
      <w:fldChar w:fldCharType="begin"/>
    </w:r>
    <w:r>
      <w:instrText xml:space="preserve"> PAGE   \* MERGEFORMAT </w:instrText>
    </w:r>
    <w:r>
      <w:fldChar w:fldCharType="separate"/>
    </w:r>
    <w:r w:rsidR="00297822">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506"/>
      <w:docPartObj>
        <w:docPartGallery w:val="Page Numbers (Bottom of Page)"/>
        <w:docPartUnique/>
      </w:docPartObj>
    </w:sdtPr>
    <w:sdtEndPr/>
    <w:sdtContent>
      <w:p w14:paraId="259B8364" w14:textId="27FF2E18" w:rsidR="000D642E" w:rsidRDefault="000D642E">
        <w:pPr>
          <w:pStyle w:val="Zpat"/>
          <w:jc w:val="center"/>
        </w:pPr>
        <w:r>
          <w:fldChar w:fldCharType="begin"/>
        </w:r>
        <w:r>
          <w:instrText xml:space="preserve"> PAGE   \* MERGEFORMAT </w:instrText>
        </w:r>
        <w:r>
          <w:fldChar w:fldCharType="separate"/>
        </w:r>
        <w:r w:rsidR="00297822">
          <w:rPr>
            <w:noProof/>
          </w:rPr>
          <w:t>1</w:t>
        </w:r>
        <w:r>
          <w:rPr>
            <w:noProof/>
          </w:rPr>
          <w:fldChar w:fldCharType="end"/>
        </w:r>
      </w:p>
    </w:sdtContent>
  </w:sdt>
  <w:p w14:paraId="5A0C5890" w14:textId="77777777" w:rsidR="000D642E" w:rsidRDefault="000D642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20AC" w14:textId="77777777" w:rsidR="000D642E" w:rsidRDefault="000D642E">
      <w:r>
        <w:separator/>
      </w:r>
    </w:p>
  </w:footnote>
  <w:footnote w:type="continuationSeparator" w:id="0">
    <w:p w14:paraId="40CD4096" w14:textId="77777777" w:rsidR="000D642E" w:rsidRDefault="000D642E">
      <w:r>
        <w:continuationSeparator/>
      </w:r>
    </w:p>
  </w:footnote>
  <w:footnote w:type="continuationNotice" w:id="1">
    <w:p w14:paraId="60FED955" w14:textId="77777777" w:rsidR="000D642E" w:rsidRDefault="000D642E">
      <w:pPr>
        <w:spacing w:after="0"/>
      </w:pPr>
    </w:p>
  </w:footnote>
  <w:footnote w:id="2">
    <w:p w14:paraId="79254CD4" w14:textId="77777777" w:rsidR="000D642E" w:rsidRPr="001A27C6" w:rsidRDefault="000D642E" w:rsidP="008E680C">
      <w:pPr>
        <w:pStyle w:val="Podarou"/>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Úřední věstník EU, C 14, 19. 1. 2008, str. 6-9.</w:t>
      </w:r>
    </w:p>
  </w:footnote>
  <w:footnote w:id="3">
    <w:p w14:paraId="27014C8A" w14:textId="77777777" w:rsidR="000D642E" w:rsidRPr="001A27C6" w:rsidRDefault="000D642E" w:rsidP="008E680C">
      <w:pPr>
        <w:pStyle w:val="Podarou"/>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Úřední věstník Evropské unie, L 124, 20. 5. 2003, str. 36-41.</w:t>
      </w:r>
    </w:p>
  </w:footnote>
  <w:footnote w:id="4">
    <w:p w14:paraId="77E216C8" w14:textId="77777777" w:rsidR="000D642E" w:rsidRPr="001A27C6" w:rsidRDefault="000D642E" w:rsidP="00226756">
      <w:pPr>
        <w:pStyle w:val="Podarou"/>
        <w:ind w:left="142" w:hanging="142"/>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Výjimkou jsou ekonomické činnosti, u kterých lze získat příslušné oprávnění k podnikání až po realizaci projektu; v těchto případech postačí při podání žádosti o úvěr oprávnění k jakékoliv jiné podnikatelské činnosti na území České republiky.</w:t>
      </w:r>
    </w:p>
  </w:footnote>
  <w:footnote w:id="5">
    <w:p w14:paraId="3790EFE4" w14:textId="77777777" w:rsidR="000D642E" w:rsidRPr="001A27C6" w:rsidRDefault="000D642E" w:rsidP="00226756">
      <w:pPr>
        <w:pStyle w:val="Podarou"/>
        <w:ind w:left="142" w:hanging="142"/>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Finančnímu úřadu, České správě sociálního zabezpečení, zdravotním pojišťovnám, Státnímu pozemkovému úřadu, Ministerstvu financí jako právnímu nástupci Fondu národního majetku, Státnímu fondu životního prostředí, Státnímu fondu rozvoje bydlení, Celnímu úřadu, Státnímu fondu kultury, Státnímu fondu kinematografie, Státnímu zemědělskému intervenčnímu fondu, krajům, obcím a svazkům obcí.</w:t>
      </w:r>
    </w:p>
  </w:footnote>
  <w:footnote w:id="6">
    <w:p w14:paraId="4E4FD3C5" w14:textId="77777777" w:rsidR="000D642E" w:rsidRPr="001A27C6" w:rsidRDefault="000D642E" w:rsidP="001A27C6">
      <w:pPr>
        <w:pStyle w:val="Podarou"/>
        <w:spacing w:after="0"/>
        <w:rPr>
          <w:rFonts w:asciiTheme="minorHAnsi" w:hAnsiTheme="minorHAnsi"/>
        </w:rPr>
      </w:pPr>
      <w:r w:rsidRPr="001A27C6">
        <w:rPr>
          <w:rStyle w:val="Znakapoznpodarou"/>
          <w:rFonts w:asciiTheme="minorHAnsi" w:hAnsiTheme="minorHAnsi"/>
          <w:sz w:val="18"/>
        </w:rPr>
        <w:footnoteRef/>
      </w:r>
      <w:r w:rsidRPr="004F1E3F">
        <w:rPr>
          <w:rFonts w:asciiTheme="minorHAnsi" w:hAnsiTheme="minorHAnsi"/>
          <w:szCs w:val="18"/>
        </w:rPr>
        <w:t xml:space="preserve"> S ohledem na požadavek článku 3 odst. 3 písm. b) nařízení Evropského parlamentu a Rady č. 1301/2013 ze dne 17. prosince 2013 o Evropském fondu pro regionální rozvoj, o zvláštních ustanoveních týkajících se cíle Investice pro růst a zaměstnanost a o zrušení nařízení (ES) č. 1080/2006 (Úřední věstník EU, L 347. 23. 12. 2013, str.  289-302), podle definice viz čl. 2 odst. 18 Nařízení Komise č. 651/2014. Tato podmínka se vz</w:t>
      </w:r>
      <w:r>
        <w:rPr>
          <w:rFonts w:asciiTheme="minorHAnsi" w:hAnsiTheme="minorHAnsi"/>
          <w:szCs w:val="18"/>
        </w:rPr>
        <w:t xml:space="preserve">tahuje i na podporu de </w:t>
      </w:r>
      <w:proofErr w:type="spellStart"/>
      <w:r>
        <w:rPr>
          <w:rFonts w:asciiTheme="minorHAnsi" w:hAnsiTheme="minorHAnsi"/>
          <w:szCs w:val="18"/>
        </w:rPr>
        <w:t>minimis</w:t>
      </w:r>
      <w:proofErr w:type="spellEnd"/>
      <w:r>
        <w:rPr>
          <w:rFonts w:asciiTheme="minorHAnsi" w:hAnsiTheme="minorHAnsi"/>
          <w:szCs w:val="18"/>
        </w:rPr>
        <w:t>.</w:t>
      </w:r>
    </w:p>
  </w:footnote>
  <w:footnote w:id="7">
    <w:p w14:paraId="677C1384" w14:textId="77777777" w:rsidR="000D642E" w:rsidRPr="00512396" w:rsidRDefault="000D642E" w:rsidP="00F1156B">
      <w:pPr>
        <w:pStyle w:val="Textpoznpodarou"/>
        <w:spacing w:before="0" w:after="120"/>
        <w:rPr>
          <w:rFonts w:asciiTheme="minorHAnsi" w:hAnsiTheme="minorHAnsi"/>
          <w:sz w:val="18"/>
          <w:szCs w:val="18"/>
        </w:rPr>
      </w:pPr>
      <w:r w:rsidRPr="005552AD">
        <w:rPr>
          <w:rStyle w:val="Znakapoznpodarou"/>
          <w:rFonts w:asciiTheme="minorHAnsi" w:hAnsiTheme="minorHAnsi"/>
          <w:sz w:val="18"/>
          <w:szCs w:val="18"/>
        </w:rPr>
        <w:footnoteRef/>
      </w:r>
      <w:r w:rsidRPr="005552AD">
        <w:rPr>
          <w:rFonts w:asciiTheme="minorHAnsi" w:hAnsiTheme="minorHAnsi"/>
          <w:sz w:val="18"/>
          <w:szCs w:val="18"/>
        </w:rPr>
        <w:t xml:space="preserve"> Projekt žadatele o podporu předpokládá, že tržby/příjmy ze samostatné činnosti příjemce podpory se alespoň v jednom ze tří účetních/zdaňovacích období bezprostředně následujících po účetním/zdaňovacím období, ve kterém došlo k ukončení realizace </w:t>
      </w:r>
      <w:r w:rsidRPr="005552AD">
        <w:rPr>
          <w:rFonts w:asciiTheme="minorHAnsi" w:hAnsiTheme="minorHAnsi"/>
          <w:sz w:val="18"/>
        </w:rPr>
        <w:t>projektu, zvýší minimálně</w:t>
      </w:r>
      <w:r w:rsidRPr="005552AD">
        <w:rPr>
          <w:rFonts w:asciiTheme="minorHAnsi" w:hAnsiTheme="minorHAnsi"/>
          <w:sz w:val="18"/>
          <w:szCs w:val="18"/>
        </w:rPr>
        <w:t xml:space="preserve"> o 5 % v porovnání s uzavřeným účetním/zdaňovacím obdobím bezprostředně předcházejícím účetnímu/zdaňovacímu období, ve kterém byla podána žádost o podporu.</w:t>
      </w:r>
    </w:p>
  </w:footnote>
  <w:footnote w:id="8">
    <w:p w14:paraId="1E059ED3" w14:textId="77777777" w:rsidR="000D642E" w:rsidRPr="00AD14F2" w:rsidRDefault="000D642E" w:rsidP="00CD6EB4">
      <w:pPr>
        <w:pStyle w:val="Textpoznpodarou"/>
        <w:rPr>
          <w:rFonts w:asciiTheme="minorHAnsi" w:hAnsiTheme="minorHAnsi" w:cstheme="minorHAnsi"/>
          <w:sz w:val="18"/>
          <w:szCs w:val="18"/>
        </w:rPr>
      </w:pPr>
      <w:r w:rsidRPr="00AD14F2">
        <w:rPr>
          <w:rStyle w:val="Znakapoznpodarou"/>
          <w:rFonts w:asciiTheme="minorHAnsi" w:hAnsiTheme="minorHAnsi" w:cstheme="minorHAnsi"/>
          <w:sz w:val="18"/>
          <w:szCs w:val="18"/>
        </w:rPr>
        <w:footnoteRef/>
      </w:r>
      <w:r w:rsidRPr="00AD14F2">
        <w:rPr>
          <w:rFonts w:asciiTheme="minorHAnsi" w:hAnsiTheme="minorHAnsi" w:cstheme="minorHAnsi"/>
          <w:sz w:val="18"/>
          <w:szCs w:val="18"/>
        </w:rPr>
        <w:t xml:space="preserve"> Uzavření smlouvy o dodávce stavebních prací se nepovažuje za zahájení projektu v případě, že uzavřená smlouva umožňuje odběrateli (příjemci podpory) před zahájením plnění jednostranně odstoupit bez uvedení důvodu a bez sankce, nebo podmiňuje zahájení plnění získáním podpory a umožňuje odběrateli od smlouvy bez sankce odstoupit, pokud podporu nezíská.</w:t>
      </w:r>
    </w:p>
  </w:footnote>
  <w:footnote w:id="9">
    <w:p w14:paraId="4996E66C" w14:textId="288790DA" w:rsidR="000D642E" w:rsidRPr="000A00E3" w:rsidRDefault="000D642E">
      <w:pPr>
        <w:pStyle w:val="Textpoznpodarou"/>
        <w:rPr>
          <w:rFonts w:asciiTheme="minorHAnsi" w:hAnsiTheme="minorHAnsi" w:cstheme="minorHAnsi"/>
          <w:sz w:val="18"/>
          <w:szCs w:val="18"/>
        </w:rPr>
      </w:pPr>
      <w:r>
        <w:rPr>
          <w:rStyle w:val="Znakapoznpodarou"/>
        </w:rPr>
        <w:footnoteRef/>
      </w:r>
      <w:r w:rsidRPr="000A00E3">
        <w:rPr>
          <w:rFonts w:asciiTheme="minorHAnsi" w:hAnsiTheme="minorHAnsi" w:cstheme="minorHAnsi"/>
          <w:sz w:val="18"/>
          <w:szCs w:val="18"/>
        </w:rPr>
        <w:t xml:space="preserve"> „P</w:t>
      </w:r>
      <w:r w:rsidRPr="000A00E3">
        <w:rPr>
          <w:rFonts w:asciiTheme="minorHAnsi" w:hAnsiTheme="minorHAnsi" w:cstheme="minorHAnsi" w:hint="eastAsia"/>
          <w:sz w:val="18"/>
          <w:szCs w:val="18"/>
        </w:rPr>
        <w:t>ř</w:t>
      </w:r>
      <w:r w:rsidRPr="000A00E3">
        <w:rPr>
          <w:rFonts w:asciiTheme="minorHAnsi" w:hAnsiTheme="minorHAnsi" w:cstheme="minorHAnsi"/>
          <w:sz w:val="18"/>
          <w:szCs w:val="18"/>
        </w:rPr>
        <w:t>emíst</w:t>
      </w:r>
      <w:r w:rsidRPr="000A00E3">
        <w:rPr>
          <w:rFonts w:asciiTheme="minorHAnsi" w:hAnsiTheme="minorHAnsi" w:cstheme="minorHAnsi" w:hint="eastAsia"/>
          <w:sz w:val="18"/>
          <w:szCs w:val="18"/>
        </w:rPr>
        <w:t>ě</w:t>
      </w:r>
      <w:r w:rsidRPr="000A00E3">
        <w:rPr>
          <w:rFonts w:asciiTheme="minorHAnsi" w:hAnsiTheme="minorHAnsi" w:cstheme="minorHAnsi"/>
          <w:sz w:val="18"/>
          <w:szCs w:val="18"/>
        </w:rPr>
        <w:t>ním“ se rozumí p</w:t>
      </w:r>
      <w:r w:rsidRPr="000A00E3">
        <w:rPr>
          <w:rFonts w:asciiTheme="minorHAnsi" w:hAnsiTheme="minorHAnsi" w:cstheme="minorHAnsi" w:hint="eastAsia"/>
          <w:sz w:val="18"/>
          <w:szCs w:val="18"/>
        </w:rPr>
        <w:t>ř</w:t>
      </w:r>
      <w:r w:rsidRPr="000A00E3">
        <w:rPr>
          <w:rFonts w:asciiTheme="minorHAnsi" w:hAnsiTheme="minorHAnsi" w:cstheme="minorHAnsi"/>
          <w:sz w:val="18"/>
          <w:szCs w:val="18"/>
        </w:rPr>
        <w:t xml:space="preserve">evedení stejné nebo podobné </w:t>
      </w:r>
      <w:r w:rsidRPr="000A00E3">
        <w:rPr>
          <w:rFonts w:asciiTheme="minorHAnsi" w:hAnsiTheme="minorHAnsi" w:cstheme="minorHAnsi" w:hint="eastAsia"/>
          <w:sz w:val="18"/>
          <w:szCs w:val="18"/>
        </w:rPr>
        <w:t>č</w:t>
      </w:r>
      <w:r w:rsidRPr="000A00E3">
        <w:rPr>
          <w:rFonts w:asciiTheme="minorHAnsi" w:hAnsiTheme="minorHAnsi" w:cstheme="minorHAnsi"/>
          <w:sz w:val="18"/>
          <w:szCs w:val="18"/>
        </w:rPr>
        <w:t xml:space="preserve">innosti, nebo její </w:t>
      </w:r>
      <w:r w:rsidRPr="000A00E3">
        <w:rPr>
          <w:rFonts w:asciiTheme="minorHAnsi" w:hAnsiTheme="minorHAnsi" w:cstheme="minorHAnsi" w:hint="eastAsia"/>
          <w:sz w:val="18"/>
          <w:szCs w:val="18"/>
        </w:rPr>
        <w:t>čá</w:t>
      </w:r>
      <w:r w:rsidRPr="000A00E3">
        <w:rPr>
          <w:rFonts w:asciiTheme="minorHAnsi" w:hAnsiTheme="minorHAnsi" w:cstheme="minorHAnsi"/>
          <w:sz w:val="18"/>
          <w:szCs w:val="18"/>
        </w:rPr>
        <w:t>sti z provozovny v jedné smluvní stran</w:t>
      </w:r>
      <w:r w:rsidRPr="000A00E3">
        <w:rPr>
          <w:rFonts w:asciiTheme="minorHAnsi" w:hAnsiTheme="minorHAnsi" w:cstheme="minorHAnsi" w:hint="eastAsia"/>
          <w:sz w:val="18"/>
          <w:szCs w:val="18"/>
        </w:rPr>
        <w:t>ě</w:t>
      </w:r>
      <w:r w:rsidRPr="000A00E3">
        <w:rPr>
          <w:rFonts w:asciiTheme="minorHAnsi" w:hAnsiTheme="minorHAnsi" w:cstheme="minorHAnsi"/>
          <w:sz w:val="18"/>
          <w:szCs w:val="18"/>
        </w:rPr>
        <w:t xml:space="preserve"> Dohody o EHP (p</w:t>
      </w:r>
      <w:r w:rsidRPr="000A00E3">
        <w:rPr>
          <w:rFonts w:asciiTheme="minorHAnsi" w:hAnsiTheme="minorHAnsi" w:cstheme="minorHAnsi" w:hint="eastAsia"/>
          <w:sz w:val="18"/>
          <w:szCs w:val="18"/>
        </w:rPr>
        <w:t>ů</w:t>
      </w:r>
      <w:r w:rsidRPr="000A00E3">
        <w:rPr>
          <w:rFonts w:asciiTheme="minorHAnsi" w:hAnsiTheme="minorHAnsi" w:cstheme="minorHAnsi"/>
          <w:sz w:val="18"/>
          <w:szCs w:val="18"/>
        </w:rPr>
        <w:t>vodní provozovny) do provozovny, ve které se podporovaná investice uskute</w:t>
      </w:r>
      <w:r w:rsidRPr="000A00E3">
        <w:rPr>
          <w:rFonts w:asciiTheme="minorHAnsi" w:hAnsiTheme="minorHAnsi" w:cstheme="minorHAnsi" w:hint="eastAsia"/>
          <w:sz w:val="18"/>
          <w:szCs w:val="18"/>
        </w:rPr>
        <w:t>čň</w:t>
      </w:r>
      <w:r w:rsidRPr="000A00E3">
        <w:rPr>
          <w:rFonts w:asciiTheme="minorHAnsi" w:hAnsiTheme="minorHAnsi" w:cstheme="minorHAnsi"/>
          <w:sz w:val="18"/>
          <w:szCs w:val="18"/>
        </w:rPr>
        <w:t>uje v jiné smluvní stran</w:t>
      </w:r>
      <w:r w:rsidRPr="000A00E3">
        <w:rPr>
          <w:rFonts w:asciiTheme="minorHAnsi" w:hAnsiTheme="minorHAnsi" w:cstheme="minorHAnsi" w:hint="eastAsia"/>
          <w:sz w:val="18"/>
          <w:szCs w:val="18"/>
        </w:rPr>
        <w:t>ě</w:t>
      </w:r>
      <w:r w:rsidRPr="000A00E3">
        <w:rPr>
          <w:rFonts w:asciiTheme="minorHAnsi" w:hAnsiTheme="minorHAnsi" w:cstheme="minorHAnsi"/>
          <w:sz w:val="18"/>
          <w:szCs w:val="18"/>
        </w:rPr>
        <w:t xml:space="preserve"> Dohody o EHP (podporované provozovny). O p</w:t>
      </w:r>
      <w:r w:rsidRPr="000A00E3">
        <w:rPr>
          <w:rFonts w:asciiTheme="minorHAnsi" w:hAnsiTheme="minorHAnsi" w:cstheme="minorHAnsi" w:hint="eastAsia"/>
          <w:sz w:val="18"/>
          <w:szCs w:val="18"/>
        </w:rPr>
        <w:t>ř</w:t>
      </w:r>
      <w:r w:rsidRPr="000A00E3">
        <w:rPr>
          <w:rFonts w:asciiTheme="minorHAnsi" w:hAnsiTheme="minorHAnsi" w:cstheme="minorHAnsi"/>
          <w:sz w:val="18"/>
          <w:szCs w:val="18"/>
        </w:rPr>
        <w:t>evedení se jedná, jestliže výrobek nebo služba v p</w:t>
      </w:r>
      <w:r w:rsidRPr="000A00E3">
        <w:rPr>
          <w:rFonts w:asciiTheme="minorHAnsi" w:hAnsiTheme="minorHAnsi" w:cstheme="minorHAnsi" w:hint="eastAsia"/>
          <w:sz w:val="18"/>
          <w:szCs w:val="18"/>
        </w:rPr>
        <w:t>ů</w:t>
      </w:r>
      <w:r w:rsidRPr="000A00E3">
        <w:rPr>
          <w:rFonts w:asciiTheme="minorHAnsi" w:hAnsiTheme="minorHAnsi" w:cstheme="minorHAnsi"/>
          <w:sz w:val="18"/>
          <w:szCs w:val="18"/>
        </w:rPr>
        <w:t>vodní a v podporované provozovn</w:t>
      </w:r>
      <w:r w:rsidRPr="000A00E3">
        <w:rPr>
          <w:rFonts w:asciiTheme="minorHAnsi" w:hAnsiTheme="minorHAnsi" w:cstheme="minorHAnsi" w:hint="eastAsia"/>
          <w:sz w:val="18"/>
          <w:szCs w:val="18"/>
        </w:rPr>
        <w:t>ě</w:t>
      </w:r>
      <w:r w:rsidRPr="000A00E3">
        <w:rPr>
          <w:rFonts w:asciiTheme="minorHAnsi" w:hAnsiTheme="minorHAnsi" w:cstheme="minorHAnsi"/>
          <w:sz w:val="18"/>
          <w:szCs w:val="18"/>
        </w:rPr>
        <w:t xml:space="preserve"> slouží alespo</w:t>
      </w:r>
      <w:r w:rsidRPr="000A00E3">
        <w:rPr>
          <w:rFonts w:asciiTheme="minorHAnsi" w:hAnsiTheme="minorHAnsi" w:cstheme="minorHAnsi" w:hint="eastAsia"/>
          <w:sz w:val="18"/>
          <w:szCs w:val="18"/>
        </w:rPr>
        <w:t>ň</w:t>
      </w:r>
      <w:r w:rsidRPr="000A00E3">
        <w:rPr>
          <w:rFonts w:asciiTheme="minorHAnsi" w:hAnsiTheme="minorHAnsi" w:cstheme="minorHAnsi"/>
          <w:sz w:val="18"/>
          <w:szCs w:val="18"/>
        </w:rPr>
        <w:t xml:space="preserve"> </w:t>
      </w:r>
      <w:r w:rsidRPr="000A00E3">
        <w:rPr>
          <w:rFonts w:asciiTheme="minorHAnsi" w:hAnsiTheme="minorHAnsi" w:cstheme="minorHAnsi" w:hint="eastAsia"/>
          <w:sz w:val="18"/>
          <w:szCs w:val="18"/>
        </w:rPr>
        <w:t>čá</w:t>
      </w:r>
      <w:r w:rsidRPr="000A00E3">
        <w:rPr>
          <w:rFonts w:asciiTheme="minorHAnsi" w:hAnsiTheme="minorHAnsi" w:cstheme="minorHAnsi"/>
          <w:sz w:val="18"/>
          <w:szCs w:val="18"/>
        </w:rPr>
        <w:t>ste</w:t>
      </w:r>
      <w:r w:rsidRPr="000A00E3">
        <w:rPr>
          <w:rFonts w:asciiTheme="minorHAnsi" w:hAnsiTheme="minorHAnsi" w:cstheme="minorHAnsi" w:hint="eastAsia"/>
          <w:sz w:val="18"/>
          <w:szCs w:val="18"/>
        </w:rPr>
        <w:t>č</w:t>
      </w:r>
      <w:r w:rsidRPr="000A00E3">
        <w:rPr>
          <w:rFonts w:asciiTheme="minorHAnsi" w:hAnsiTheme="minorHAnsi" w:cstheme="minorHAnsi"/>
          <w:sz w:val="18"/>
          <w:szCs w:val="18"/>
        </w:rPr>
        <w:t>n</w:t>
      </w:r>
      <w:r w:rsidRPr="000A00E3">
        <w:rPr>
          <w:rFonts w:asciiTheme="minorHAnsi" w:hAnsiTheme="minorHAnsi" w:cstheme="minorHAnsi" w:hint="eastAsia"/>
          <w:sz w:val="18"/>
          <w:szCs w:val="18"/>
        </w:rPr>
        <w:t>ě</w:t>
      </w:r>
      <w:r w:rsidRPr="000A00E3">
        <w:rPr>
          <w:rFonts w:asciiTheme="minorHAnsi" w:hAnsiTheme="minorHAnsi" w:cstheme="minorHAnsi"/>
          <w:sz w:val="18"/>
          <w:szCs w:val="18"/>
        </w:rPr>
        <w:t xml:space="preserve"> stejným ú</w:t>
      </w:r>
      <w:r w:rsidRPr="000A00E3">
        <w:rPr>
          <w:rFonts w:asciiTheme="minorHAnsi" w:hAnsiTheme="minorHAnsi" w:cstheme="minorHAnsi" w:hint="eastAsia"/>
          <w:sz w:val="18"/>
          <w:szCs w:val="18"/>
        </w:rPr>
        <w:t>č</w:t>
      </w:r>
      <w:r w:rsidRPr="000A00E3">
        <w:rPr>
          <w:rFonts w:asciiTheme="minorHAnsi" w:hAnsiTheme="minorHAnsi" w:cstheme="minorHAnsi"/>
          <w:sz w:val="18"/>
          <w:szCs w:val="18"/>
        </w:rPr>
        <w:t>el</w:t>
      </w:r>
      <w:r w:rsidRPr="000A00E3">
        <w:rPr>
          <w:rFonts w:asciiTheme="minorHAnsi" w:hAnsiTheme="minorHAnsi" w:cstheme="minorHAnsi" w:hint="eastAsia"/>
          <w:sz w:val="18"/>
          <w:szCs w:val="18"/>
        </w:rPr>
        <w:t>ů</w:t>
      </w:r>
      <w:r w:rsidRPr="000A00E3">
        <w:rPr>
          <w:rFonts w:asciiTheme="minorHAnsi" w:hAnsiTheme="minorHAnsi" w:cstheme="minorHAnsi"/>
          <w:sz w:val="18"/>
          <w:szCs w:val="18"/>
        </w:rPr>
        <w:t>m a spl</w:t>
      </w:r>
      <w:r w:rsidRPr="000A00E3">
        <w:rPr>
          <w:rFonts w:asciiTheme="minorHAnsi" w:hAnsiTheme="minorHAnsi" w:cstheme="minorHAnsi" w:hint="eastAsia"/>
          <w:sz w:val="18"/>
          <w:szCs w:val="18"/>
        </w:rPr>
        <w:t>ň</w:t>
      </w:r>
      <w:r w:rsidRPr="000A00E3">
        <w:rPr>
          <w:rFonts w:asciiTheme="minorHAnsi" w:hAnsiTheme="minorHAnsi" w:cstheme="minorHAnsi"/>
          <w:sz w:val="18"/>
          <w:szCs w:val="18"/>
        </w:rPr>
        <w:t>uje požadavky nebo pot</w:t>
      </w:r>
      <w:r w:rsidRPr="000A00E3">
        <w:rPr>
          <w:rFonts w:asciiTheme="minorHAnsi" w:hAnsiTheme="minorHAnsi" w:cstheme="minorHAnsi" w:hint="eastAsia"/>
          <w:sz w:val="18"/>
          <w:szCs w:val="18"/>
        </w:rPr>
        <w:t>ř</w:t>
      </w:r>
      <w:r w:rsidRPr="000A00E3">
        <w:rPr>
          <w:rFonts w:asciiTheme="minorHAnsi" w:hAnsiTheme="minorHAnsi" w:cstheme="minorHAnsi"/>
          <w:sz w:val="18"/>
          <w:szCs w:val="18"/>
        </w:rPr>
        <w:t>eby stejného druhu zákazník</w:t>
      </w:r>
      <w:r w:rsidRPr="000A00E3">
        <w:rPr>
          <w:rFonts w:asciiTheme="minorHAnsi" w:hAnsiTheme="minorHAnsi" w:cstheme="minorHAnsi" w:hint="eastAsia"/>
          <w:sz w:val="18"/>
          <w:szCs w:val="18"/>
        </w:rPr>
        <w:t>ů</w:t>
      </w:r>
      <w:r w:rsidRPr="000A00E3">
        <w:rPr>
          <w:rFonts w:asciiTheme="minorHAnsi" w:hAnsiTheme="minorHAnsi" w:cstheme="minorHAnsi"/>
          <w:sz w:val="18"/>
          <w:szCs w:val="18"/>
        </w:rPr>
        <w:t xml:space="preserve"> a ve stejné nebo podobné </w:t>
      </w:r>
      <w:r w:rsidRPr="000A00E3">
        <w:rPr>
          <w:rFonts w:asciiTheme="minorHAnsi" w:hAnsiTheme="minorHAnsi" w:cstheme="minorHAnsi" w:hint="eastAsia"/>
          <w:sz w:val="18"/>
          <w:szCs w:val="18"/>
        </w:rPr>
        <w:t>č</w:t>
      </w:r>
      <w:r w:rsidRPr="000A00E3">
        <w:rPr>
          <w:rFonts w:asciiTheme="minorHAnsi" w:hAnsiTheme="minorHAnsi" w:cstheme="minorHAnsi"/>
          <w:sz w:val="18"/>
          <w:szCs w:val="18"/>
        </w:rPr>
        <w:t>innosti v jedné z p</w:t>
      </w:r>
      <w:r w:rsidRPr="000A00E3">
        <w:rPr>
          <w:rFonts w:asciiTheme="minorHAnsi" w:hAnsiTheme="minorHAnsi" w:cstheme="minorHAnsi" w:hint="eastAsia"/>
          <w:sz w:val="18"/>
          <w:szCs w:val="18"/>
        </w:rPr>
        <w:t>ů</w:t>
      </w:r>
      <w:r w:rsidRPr="000A00E3">
        <w:rPr>
          <w:rFonts w:asciiTheme="minorHAnsi" w:hAnsiTheme="minorHAnsi" w:cstheme="minorHAnsi"/>
          <w:sz w:val="18"/>
          <w:szCs w:val="18"/>
        </w:rPr>
        <w:t>vodních provozoven p</w:t>
      </w:r>
      <w:r w:rsidRPr="000A00E3">
        <w:rPr>
          <w:rFonts w:asciiTheme="minorHAnsi" w:hAnsiTheme="minorHAnsi" w:cstheme="minorHAnsi" w:hint="eastAsia"/>
          <w:sz w:val="18"/>
          <w:szCs w:val="18"/>
        </w:rPr>
        <w:t>ří</w:t>
      </w:r>
      <w:r w:rsidRPr="000A00E3">
        <w:rPr>
          <w:rFonts w:asciiTheme="minorHAnsi" w:hAnsiTheme="minorHAnsi" w:cstheme="minorHAnsi"/>
          <w:sz w:val="18"/>
          <w:szCs w:val="18"/>
        </w:rPr>
        <w:t>jemce v EHP dojde ke ztrát</w:t>
      </w:r>
      <w:r w:rsidRPr="000A00E3">
        <w:rPr>
          <w:rFonts w:asciiTheme="minorHAnsi" w:hAnsiTheme="minorHAnsi" w:cstheme="minorHAnsi" w:hint="eastAsia"/>
          <w:sz w:val="18"/>
          <w:szCs w:val="18"/>
        </w:rPr>
        <w:t>ě</w:t>
      </w:r>
      <w:r w:rsidRPr="000A00E3">
        <w:rPr>
          <w:rFonts w:asciiTheme="minorHAnsi" w:hAnsiTheme="minorHAnsi" w:cstheme="minorHAnsi"/>
          <w:sz w:val="18"/>
          <w:szCs w:val="18"/>
        </w:rPr>
        <w:t xml:space="preserve"> pracovních míst;</w:t>
      </w:r>
    </w:p>
  </w:footnote>
  <w:footnote w:id="10">
    <w:p w14:paraId="58AABF65" w14:textId="77777777" w:rsidR="000D642E" w:rsidRPr="00AD14F2" w:rsidRDefault="000D642E" w:rsidP="00CD6EB4">
      <w:pPr>
        <w:pStyle w:val="Textpoznpodarou"/>
        <w:rPr>
          <w:rFonts w:asciiTheme="minorHAnsi" w:hAnsiTheme="minorHAnsi" w:cstheme="minorHAnsi"/>
          <w:sz w:val="18"/>
          <w:szCs w:val="18"/>
        </w:rPr>
      </w:pPr>
      <w:r w:rsidRPr="00AD14F2">
        <w:rPr>
          <w:rStyle w:val="Znakapoznpodarou"/>
          <w:rFonts w:asciiTheme="minorHAnsi" w:hAnsiTheme="minorHAnsi" w:cstheme="minorHAnsi"/>
          <w:sz w:val="18"/>
          <w:szCs w:val="18"/>
        </w:rPr>
        <w:footnoteRef/>
      </w:r>
      <w:r w:rsidRPr="00AD14F2">
        <w:rPr>
          <w:rFonts w:asciiTheme="minorHAnsi" w:hAnsiTheme="minorHAnsi" w:cstheme="minorHAnsi"/>
          <w:sz w:val="18"/>
          <w:szCs w:val="18"/>
        </w:rPr>
        <w:t xml:space="preserve"> Uzavření smlouvy o dodávce stavebních prací se nepovažuje za zahájení projektu v případě, že uzavřená smlouva umožňuje odběrateli (příjemci podpory) před zahájením plnění jednostranně odstoupit bez uvedení důvodu a bez sankce, nebo podmiňuje zahájení plnění získáním podpory a umožňuje odběrateli od smlouvy bez sankce odstoupit, pokud podporu nezíská.</w:t>
      </w:r>
    </w:p>
  </w:footnote>
  <w:footnote w:id="11">
    <w:p w14:paraId="297D6F1E" w14:textId="77777777" w:rsidR="000D642E" w:rsidRPr="001A27C6" w:rsidRDefault="000D642E" w:rsidP="002A6A6B">
      <w:pPr>
        <w:pStyle w:val="Podarou"/>
        <w:ind w:left="142" w:hanging="142"/>
        <w:rPr>
          <w:rFonts w:asciiTheme="minorHAnsi" w:hAnsiTheme="minorHAnsi"/>
        </w:rPr>
      </w:pPr>
      <w:r w:rsidRPr="001A3A72">
        <w:rPr>
          <w:rStyle w:val="Znakapoznpodarou"/>
          <w:rFonts w:asciiTheme="minorHAnsi" w:hAnsiTheme="minorHAnsi"/>
          <w:sz w:val="18"/>
        </w:rPr>
        <w:footnoteRef/>
      </w:r>
      <w:r w:rsidRPr="001A27C6">
        <w:rPr>
          <w:rFonts w:asciiTheme="minorHAnsi" w:hAnsiTheme="minorHAnsi"/>
        </w:rPr>
        <w:t xml:space="preserve"> Projekt byl fyzicky dokončen, tj. došlo k uvedení majetku do užívání nebo byl vydán kolaudační souhlas. </w:t>
      </w:r>
    </w:p>
  </w:footnote>
  <w:footnote w:id="12">
    <w:p w14:paraId="4C1C9B2E" w14:textId="77777777" w:rsidR="000D642E" w:rsidRPr="004F1E3F" w:rsidRDefault="000D642E">
      <w:pPr>
        <w:pStyle w:val="Textpoznpodarou"/>
        <w:rPr>
          <w:rFonts w:asciiTheme="minorHAnsi" w:hAnsiTheme="minorHAnsi"/>
          <w:sz w:val="18"/>
          <w:szCs w:val="18"/>
        </w:rPr>
      </w:pPr>
      <w:r w:rsidRPr="004F1E3F">
        <w:rPr>
          <w:rStyle w:val="Znakapoznpodarou"/>
          <w:rFonts w:asciiTheme="minorHAnsi" w:hAnsiTheme="minorHAnsi"/>
          <w:sz w:val="18"/>
          <w:szCs w:val="18"/>
        </w:rPr>
        <w:footnoteRef/>
      </w:r>
      <w:r w:rsidRPr="004F1E3F">
        <w:rPr>
          <w:rFonts w:asciiTheme="minorHAnsi" w:hAnsiTheme="minorHAnsi"/>
          <w:sz w:val="18"/>
          <w:szCs w:val="18"/>
        </w:rPr>
        <w:t xml:space="preserve"> V p</w:t>
      </w:r>
      <w:r w:rsidRPr="004F1E3F">
        <w:rPr>
          <w:rFonts w:asciiTheme="minorHAnsi" w:hAnsiTheme="minorHAnsi" w:hint="eastAsia"/>
          <w:sz w:val="18"/>
          <w:szCs w:val="18"/>
        </w:rPr>
        <w:t>ří</w:t>
      </w:r>
      <w:r w:rsidRPr="004F1E3F">
        <w:rPr>
          <w:rFonts w:asciiTheme="minorHAnsi" w:hAnsiTheme="minorHAnsi"/>
          <w:sz w:val="18"/>
          <w:szCs w:val="18"/>
        </w:rPr>
        <w:t>pad</w:t>
      </w:r>
      <w:r w:rsidRPr="004F1E3F">
        <w:rPr>
          <w:rFonts w:asciiTheme="minorHAnsi" w:hAnsiTheme="minorHAnsi" w:hint="eastAsia"/>
          <w:sz w:val="18"/>
          <w:szCs w:val="18"/>
        </w:rPr>
        <w:t>ě</w:t>
      </w:r>
      <w:r w:rsidRPr="004F1E3F">
        <w:rPr>
          <w:rFonts w:asciiTheme="minorHAnsi" w:hAnsiTheme="minorHAnsi"/>
          <w:sz w:val="18"/>
          <w:szCs w:val="18"/>
        </w:rPr>
        <w:t xml:space="preserve"> podpory podle Na</w:t>
      </w:r>
      <w:r w:rsidRPr="004F1E3F">
        <w:rPr>
          <w:rFonts w:asciiTheme="minorHAnsi" w:hAnsiTheme="minorHAnsi" w:hint="eastAsia"/>
          <w:sz w:val="18"/>
          <w:szCs w:val="18"/>
        </w:rPr>
        <w:t>ří</w:t>
      </w:r>
      <w:r w:rsidRPr="004F1E3F">
        <w:rPr>
          <w:rFonts w:asciiTheme="minorHAnsi" w:hAnsiTheme="minorHAnsi"/>
          <w:sz w:val="18"/>
          <w:szCs w:val="18"/>
        </w:rPr>
        <w:t xml:space="preserve">zení Komise </w:t>
      </w:r>
      <w:r w:rsidRPr="004F1E3F">
        <w:rPr>
          <w:rFonts w:asciiTheme="minorHAnsi" w:hAnsiTheme="minorHAnsi" w:hint="eastAsia"/>
          <w:sz w:val="18"/>
          <w:szCs w:val="18"/>
        </w:rPr>
        <w:t>č</w:t>
      </w:r>
      <w:r w:rsidRPr="004F1E3F">
        <w:rPr>
          <w:rFonts w:asciiTheme="minorHAnsi" w:hAnsiTheme="minorHAnsi"/>
          <w:sz w:val="18"/>
          <w:szCs w:val="18"/>
        </w:rPr>
        <w:t>. 651/2014 zárove</w:t>
      </w:r>
      <w:r w:rsidRPr="004F1E3F">
        <w:rPr>
          <w:rFonts w:asciiTheme="minorHAnsi" w:hAnsiTheme="minorHAnsi" w:hint="eastAsia"/>
          <w:sz w:val="18"/>
          <w:szCs w:val="18"/>
        </w:rPr>
        <w:t>ň</w:t>
      </w:r>
      <w:r w:rsidRPr="004F1E3F">
        <w:rPr>
          <w:rFonts w:asciiTheme="minorHAnsi" w:hAnsiTheme="minorHAnsi"/>
          <w:sz w:val="18"/>
          <w:szCs w:val="18"/>
        </w:rPr>
        <w:t xml:space="preserve"> minimáln</w:t>
      </w:r>
      <w:r w:rsidRPr="004F1E3F">
        <w:rPr>
          <w:rFonts w:asciiTheme="minorHAnsi" w:hAnsiTheme="minorHAnsi" w:hint="eastAsia"/>
          <w:sz w:val="18"/>
          <w:szCs w:val="18"/>
        </w:rPr>
        <w:t>ě</w:t>
      </w:r>
      <w:r w:rsidRPr="004F1E3F">
        <w:rPr>
          <w:rFonts w:asciiTheme="minorHAnsi" w:hAnsiTheme="minorHAnsi"/>
          <w:sz w:val="18"/>
          <w:szCs w:val="18"/>
        </w:rPr>
        <w:t xml:space="preserve"> do 3 let od data ukon</w:t>
      </w:r>
      <w:r w:rsidRPr="004F1E3F">
        <w:rPr>
          <w:rFonts w:asciiTheme="minorHAnsi" w:hAnsiTheme="minorHAnsi" w:hint="eastAsia"/>
          <w:sz w:val="18"/>
          <w:szCs w:val="18"/>
        </w:rPr>
        <w:t>č</w:t>
      </w:r>
      <w:r w:rsidRPr="004F1E3F">
        <w:rPr>
          <w:rFonts w:asciiTheme="minorHAnsi" w:hAnsiTheme="minorHAnsi"/>
          <w:sz w:val="18"/>
          <w:szCs w:val="18"/>
        </w:rPr>
        <w:t>ení realizace projektu</w:t>
      </w:r>
      <w:r w:rsidRPr="00C81FE4">
        <w:rPr>
          <w:rFonts w:asciiTheme="minorHAnsi" w:hAnsiTheme="minorHAnsi"/>
          <w:sz w:val="18"/>
          <w:szCs w:val="18"/>
        </w:rPr>
        <w:t>.</w:t>
      </w:r>
    </w:p>
  </w:footnote>
  <w:footnote w:id="13">
    <w:p w14:paraId="0079FFEB" w14:textId="77777777" w:rsidR="000D642E" w:rsidRPr="00512396" w:rsidRDefault="000D642E">
      <w:pPr>
        <w:pStyle w:val="Textpoznpodarou"/>
        <w:rPr>
          <w:rFonts w:asciiTheme="minorHAnsi" w:hAnsiTheme="minorHAnsi"/>
          <w:sz w:val="18"/>
          <w:szCs w:val="18"/>
        </w:rPr>
      </w:pPr>
      <w:r w:rsidRPr="00512396">
        <w:rPr>
          <w:rStyle w:val="Znakapoznpodarou"/>
          <w:rFonts w:asciiTheme="minorHAnsi" w:hAnsiTheme="minorHAnsi"/>
          <w:sz w:val="18"/>
          <w:szCs w:val="18"/>
        </w:rPr>
        <w:footnoteRef/>
      </w:r>
      <w:r w:rsidRPr="00512396">
        <w:rPr>
          <w:rFonts w:asciiTheme="minorHAnsi" w:hAnsiTheme="minorHAnsi"/>
          <w:sz w:val="18"/>
          <w:szCs w:val="18"/>
        </w:rPr>
        <w:t xml:space="preserve"> Náhradou za prodaný majetek musí být nakoupen majetek stejného charakteru a se stejným využitím.</w:t>
      </w:r>
    </w:p>
  </w:footnote>
  <w:footnote w:id="14">
    <w:p w14:paraId="635B836E" w14:textId="6E8520AC" w:rsidR="000D642E" w:rsidRPr="00C40B67" w:rsidRDefault="000D642E">
      <w:pPr>
        <w:pStyle w:val="Textpoznpodarou"/>
        <w:rPr>
          <w:rFonts w:ascii="Calibri" w:hAnsi="Calibri" w:cs="Calibri"/>
          <w:sz w:val="18"/>
          <w:szCs w:val="18"/>
        </w:rPr>
      </w:pPr>
      <w:r w:rsidRPr="00C40B67">
        <w:rPr>
          <w:rStyle w:val="Znakapoznpodarou"/>
          <w:rFonts w:ascii="Calibri" w:hAnsi="Calibri" w:cs="Calibri"/>
          <w:sz w:val="18"/>
          <w:szCs w:val="18"/>
        </w:rPr>
        <w:footnoteRef/>
      </w:r>
      <w:r w:rsidRPr="00C40B67">
        <w:rPr>
          <w:rFonts w:ascii="Calibri" w:hAnsi="Calibri" w:cs="Calibri"/>
          <w:sz w:val="18"/>
          <w:szCs w:val="18"/>
        </w:rPr>
        <w:t xml:space="preserve"> </w:t>
      </w:r>
      <w:r>
        <w:rPr>
          <w:rFonts w:ascii="Calibri" w:hAnsi="Calibri" w:cs="Calibri"/>
          <w:sz w:val="18"/>
          <w:szCs w:val="18"/>
        </w:rPr>
        <w:t>P</w:t>
      </w:r>
      <w:r w:rsidRPr="00C40B67">
        <w:rPr>
          <w:rFonts w:ascii="Calibri" w:hAnsi="Calibri" w:cs="Calibri" w:hint="eastAsia"/>
          <w:sz w:val="18"/>
          <w:szCs w:val="18"/>
        </w:rPr>
        <w:t>ř</w:t>
      </w:r>
      <w:r w:rsidRPr="00C40B67">
        <w:rPr>
          <w:rFonts w:ascii="Calibri" w:hAnsi="Calibri" w:cs="Calibri"/>
          <w:sz w:val="18"/>
          <w:szCs w:val="18"/>
        </w:rPr>
        <w:t>emíst</w:t>
      </w:r>
      <w:r w:rsidRPr="00C40B67">
        <w:rPr>
          <w:rFonts w:ascii="Calibri" w:hAnsi="Calibri" w:cs="Calibri" w:hint="eastAsia"/>
          <w:sz w:val="18"/>
          <w:szCs w:val="18"/>
        </w:rPr>
        <w:t>ě</w:t>
      </w:r>
      <w:r w:rsidRPr="00C40B67">
        <w:rPr>
          <w:rFonts w:ascii="Calibri" w:hAnsi="Calibri" w:cs="Calibri"/>
          <w:sz w:val="18"/>
          <w:szCs w:val="18"/>
        </w:rPr>
        <w:t>ním se rozumí p</w:t>
      </w:r>
      <w:r w:rsidRPr="00C40B67">
        <w:rPr>
          <w:rFonts w:ascii="Calibri" w:hAnsi="Calibri" w:cs="Calibri" w:hint="eastAsia"/>
          <w:sz w:val="18"/>
          <w:szCs w:val="18"/>
        </w:rPr>
        <w:t>ř</w:t>
      </w:r>
      <w:r w:rsidRPr="00C40B67">
        <w:rPr>
          <w:rFonts w:ascii="Calibri" w:hAnsi="Calibri" w:cs="Calibri"/>
          <w:sz w:val="18"/>
          <w:szCs w:val="18"/>
        </w:rPr>
        <w:t xml:space="preserve">evedení stejné nebo podobné </w:t>
      </w:r>
      <w:r w:rsidRPr="00C40B67">
        <w:rPr>
          <w:rFonts w:ascii="Calibri" w:hAnsi="Calibri" w:cs="Calibri" w:hint="eastAsia"/>
          <w:sz w:val="18"/>
          <w:szCs w:val="18"/>
        </w:rPr>
        <w:t>č</w:t>
      </w:r>
      <w:r w:rsidRPr="00C40B67">
        <w:rPr>
          <w:rFonts w:ascii="Calibri" w:hAnsi="Calibri" w:cs="Calibri"/>
          <w:sz w:val="18"/>
          <w:szCs w:val="18"/>
        </w:rPr>
        <w:t xml:space="preserve">innosti, nebo její </w:t>
      </w:r>
      <w:r w:rsidRPr="00C40B67">
        <w:rPr>
          <w:rFonts w:ascii="Calibri" w:hAnsi="Calibri" w:cs="Calibri" w:hint="eastAsia"/>
          <w:sz w:val="18"/>
          <w:szCs w:val="18"/>
        </w:rPr>
        <w:t>čá</w:t>
      </w:r>
      <w:r w:rsidRPr="00C40B67">
        <w:rPr>
          <w:rFonts w:ascii="Calibri" w:hAnsi="Calibri" w:cs="Calibri"/>
          <w:sz w:val="18"/>
          <w:szCs w:val="18"/>
        </w:rPr>
        <w:t>sti z provozovny v jedné smluvní stran</w:t>
      </w:r>
      <w:r w:rsidRPr="00C40B67">
        <w:rPr>
          <w:rFonts w:ascii="Calibri" w:hAnsi="Calibri" w:cs="Calibri" w:hint="eastAsia"/>
          <w:sz w:val="18"/>
          <w:szCs w:val="18"/>
        </w:rPr>
        <w:t>ě</w:t>
      </w:r>
      <w:r w:rsidRPr="00C40B67">
        <w:rPr>
          <w:rFonts w:ascii="Calibri" w:hAnsi="Calibri" w:cs="Calibri"/>
          <w:sz w:val="18"/>
          <w:szCs w:val="18"/>
        </w:rPr>
        <w:t xml:space="preserve"> Dohody o EHP (p</w:t>
      </w:r>
      <w:r w:rsidRPr="00C40B67">
        <w:rPr>
          <w:rFonts w:ascii="Calibri" w:hAnsi="Calibri" w:cs="Calibri" w:hint="eastAsia"/>
          <w:sz w:val="18"/>
          <w:szCs w:val="18"/>
        </w:rPr>
        <w:t>ů</w:t>
      </w:r>
      <w:r w:rsidRPr="00C40B67">
        <w:rPr>
          <w:rFonts w:ascii="Calibri" w:hAnsi="Calibri" w:cs="Calibri"/>
          <w:sz w:val="18"/>
          <w:szCs w:val="18"/>
        </w:rPr>
        <w:t>vodní provozovny) do provozovny, ve které se podporovaná investice uskute</w:t>
      </w:r>
      <w:r w:rsidRPr="00C40B67">
        <w:rPr>
          <w:rFonts w:ascii="Calibri" w:hAnsi="Calibri" w:cs="Calibri" w:hint="eastAsia"/>
          <w:sz w:val="18"/>
          <w:szCs w:val="18"/>
        </w:rPr>
        <w:t>čň</w:t>
      </w:r>
      <w:r w:rsidRPr="00C40B67">
        <w:rPr>
          <w:rFonts w:ascii="Calibri" w:hAnsi="Calibri" w:cs="Calibri"/>
          <w:sz w:val="18"/>
          <w:szCs w:val="18"/>
        </w:rPr>
        <w:t>uje v jiné smluvní stran</w:t>
      </w:r>
      <w:r w:rsidRPr="00C40B67">
        <w:rPr>
          <w:rFonts w:ascii="Calibri" w:hAnsi="Calibri" w:cs="Calibri" w:hint="eastAsia"/>
          <w:sz w:val="18"/>
          <w:szCs w:val="18"/>
        </w:rPr>
        <w:t>ě</w:t>
      </w:r>
      <w:r w:rsidRPr="00C40B67">
        <w:rPr>
          <w:rFonts w:ascii="Calibri" w:hAnsi="Calibri" w:cs="Calibri"/>
          <w:sz w:val="18"/>
          <w:szCs w:val="18"/>
        </w:rPr>
        <w:t xml:space="preserve"> Dohody o EHP (podporované provozovny). O p</w:t>
      </w:r>
      <w:r w:rsidRPr="00C40B67">
        <w:rPr>
          <w:rFonts w:ascii="Calibri" w:hAnsi="Calibri" w:cs="Calibri" w:hint="eastAsia"/>
          <w:sz w:val="18"/>
          <w:szCs w:val="18"/>
        </w:rPr>
        <w:t>ř</w:t>
      </w:r>
      <w:r w:rsidRPr="00C40B67">
        <w:rPr>
          <w:rFonts w:ascii="Calibri" w:hAnsi="Calibri" w:cs="Calibri"/>
          <w:sz w:val="18"/>
          <w:szCs w:val="18"/>
        </w:rPr>
        <w:t>evedení se jedná, jestliže výrobek nebo služba v p</w:t>
      </w:r>
      <w:r w:rsidRPr="00C40B67">
        <w:rPr>
          <w:rFonts w:ascii="Calibri" w:hAnsi="Calibri" w:cs="Calibri" w:hint="eastAsia"/>
          <w:sz w:val="18"/>
          <w:szCs w:val="18"/>
        </w:rPr>
        <w:t>ů</w:t>
      </w:r>
      <w:r w:rsidRPr="00C40B67">
        <w:rPr>
          <w:rFonts w:ascii="Calibri" w:hAnsi="Calibri" w:cs="Calibri"/>
          <w:sz w:val="18"/>
          <w:szCs w:val="18"/>
        </w:rPr>
        <w:t>vodní a v podporované provozovn</w:t>
      </w:r>
      <w:r w:rsidRPr="00C40B67">
        <w:rPr>
          <w:rFonts w:ascii="Calibri" w:hAnsi="Calibri" w:cs="Calibri" w:hint="eastAsia"/>
          <w:sz w:val="18"/>
          <w:szCs w:val="18"/>
        </w:rPr>
        <w:t>ě</w:t>
      </w:r>
      <w:r w:rsidRPr="00C40B67">
        <w:rPr>
          <w:rFonts w:ascii="Calibri" w:hAnsi="Calibri" w:cs="Calibri"/>
          <w:sz w:val="18"/>
          <w:szCs w:val="18"/>
        </w:rPr>
        <w:t xml:space="preserve"> slouží alespo</w:t>
      </w:r>
      <w:r w:rsidRPr="00C40B67">
        <w:rPr>
          <w:rFonts w:ascii="Calibri" w:hAnsi="Calibri" w:cs="Calibri" w:hint="eastAsia"/>
          <w:sz w:val="18"/>
          <w:szCs w:val="18"/>
        </w:rPr>
        <w:t>ň</w:t>
      </w:r>
      <w:r w:rsidRPr="00C40B67">
        <w:rPr>
          <w:rFonts w:ascii="Calibri" w:hAnsi="Calibri" w:cs="Calibri"/>
          <w:sz w:val="18"/>
          <w:szCs w:val="18"/>
        </w:rPr>
        <w:t xml:space="preserve"> </w:t>
      </w:r>
      <w:r w:rsidRPr="00C40B67">
        <w:rPr>
          <w:rFonts w:ascii="Calibri" w:hAnsi="Calibri" w:cs="Calibri" w:hint="eastAsia"/>
          <w:sz w:val="18"/>
          <w:szCs w:val="18"/>
        </w:rPr>
        <w:t>čá</w:t>
      </w:r>
      <w:r w:rsidRPr="00C40B67">
        <w:rPr>
          <w:rFonts w:ascii="Calibri" w:hAnsi="Calibri" w:cs="Calibri"/>
          <w:sz w:val="18"/>
          <w:szCs w:val="18"/>
        </w:rPr>
        <w:t>ste</w:t>
      </w:r>
      <w:r w:rsidRPr="00C40B67">
        <w:rPr>
          <w:rFonts w:ascii="Calibri" w:hAnsi="Calibri" w:cs="Calibri" w:hint="eastAsia"/>
          <w:sz w:val="18"/>
          <w:szCs w:val="18"/>
        </w:rPr>
        <w:t>č</w:t>
      </w:r>
      <w:r w:rsidRPr="00C40B67">
        <w:rPr>
          <w:rFonts w:ascii="Calibri" w:hAnsi="Calibri" w:cs="Calibri"/>
          <w:sz w:val="18"/>
          <w:szCs w:val="18"/>
        </w:rPr>
        <w:t>n</w:t>
      </w:r>
      <w:r w:rsidRPr="00C40B67">
        <w:rPr>
          <w:rFonts w:ascii="Calibri" w:hAnsi="Calibri" w:cs="Calibri" w:hint="eastAsia"/>
          <w:sz w:val="18"/>
          <w:szCs w:val="18"/>
        </w:rPr>
        <w:t>ě</w:t>
      </w:r>
      <w:r w:rsidRPr="00C40B67">
        <w:rPr>
          <w:rFonts w:ascii="Calibri" w:hAnsi="Calibri" w:cs="Calibri"/>
          <w:sz w:val="18"/>
          <w:szCs w:val="18"/>
        </w:rPr>
        <w:t xml:space="preserve"> stejným ú</w:t>
      </w:r>
      <w:r w:rsidRPr="00C40B67">
        <w:rPr>
          <w:rFonts w:ascii="Calibri" w:hAnsi="Calibri" w:cs="Calibri" w:hint="eastAsia"/>
          <w:sz w:val="18"/>
          <w:szCs w:val="18"/>
        </w:rPr>
        <w:t>č</w:t>
      </w:r>
      <w:r w:rsidRPr="00C40B67">
        <w:rPr>
          <w:rFonts w:ascii="Calibri" w:hAnsi="Calibri" w:cs="Calibri"/>
          <w:sz w:val="18"/>
          <w:szCs w:val="18"/>
        </w:rPr>
        <w:t>el</w:t>
      </w:r>
      <w:r w:rsidRPr="00C40B67">
        <w:rPr>
          <w:rFonts w:ascii="Calibri" w:hAnsi="Calibri" w:cs="Calibri" w:hint="eastAsia"/>
          <w:sz w:val="18"/>
          <w:szCs w:val="18"/>
        </w:rPr>
        <w:t>ů</w:t>
      </w:r>
      <w:r w:rsidRPr="00C40B67">
        <w:rPr>
          <w:rFonts w:ascii="Calibri" w:hAnsi="Calibri" w:cs="Calibri"/>
          <w:sz w:val="18"/>
          <w:szCs w:val="18"/>
        </w:rPr>
        <w:t>m a spl</w:t>
      </w:r>
      <w:r w:rsidRPr="00C40B67">
        <w:rPr>
          <w:rFonts w:ascii="Calibri" w:hAnsi="Calibri" w:cs="Calibri" w:hint="eastAsia"/>
          <w:sz w:val="18"/>
          <w:szCs w:val="18"/>
        </w:rPr>
        <w:t>ň</w:t>
      </w:r>
      <w:r w:rsidRPr="00C40B67">
        <w:rPr>
          <w:rFonts w:ascii="Calibri" w:hAnsi="Calibri" w:cs="Calibri"/>
          <w:sz w:val="18"/>
          <w:szCs w:val="18"/>
        </w:rPr>
        <w:t>uje požadavky nebo pot</w:t>
      </w:r>
      <w:r w:rsidRPr="00C40B67">
        <w:rPr>
          <w:rFonts w:ascii="Calibri" w:hAnsi="Calibri" w:cs="Calibri" w:hint="eastAsia"/>
          <w:sz w:val="18"/>
          <w:szCs w:val="18"/>
        </w:rPr>
        <w:t>ř</w:t>
      </w:r>
      <w:r w:rsidRPr="00C40B67">
        <w:rPr>
          <w:rFonts w:ascii="Calibri" w:hAnsi="Calibri" w:cs="Calibri"/>
          <w:sz w:val="18"/>
          <w:szCs w:val="18"/>
        </w:rPr>
        <w:t>eby stejného druhu zákazník</w:t>
      </w:r>
      <w:r w:rsidRPr="00C40B67">
        <w:rPr>
          <w:rFonts w:ascii="Calibri" w:hAnsi="Calibri" w:cs="Calibri" w:hint="eastAsia"/>
          <w:sz w:val="18"/>
          <w:szCs w:val="18"/>
        </w:rPr>
        <w:t>ů</w:t>
      </w:r>
      <w:r w:rsidRPr="00C40B67">
        <w:rPr>
          <w:rFonts w:ascii="Calibri" w:hAnsi="Calibri" w:cs="Calibri"/>
          <w:sz w:val="18"/>
          <w:szCs w:val="18"/>
        </w:rPr>
        <w:t xml:space="preserve"> a ve stejné nebo podobné </w:t>
      </w:r>
      <w:r w:rsidRPr="00C40B67">
        <w:rPr>
          <w:rFonts w:ascii="Calibri" w:hAnsi="Calibri" w:cs="Calibri" w:hint="eastAsia"/>
          <w:sz w:val="18"/>
          <w:szCs w:val="18"/>
        </w:rPr>
        <w:t>č</w:t>
      </w:r>
      <w:r w:rsidRPr="00C40B67">
        <w:rPr>
          <w:rFonts w:ascii="Calibri" w:hAnsi="Calibri" w:cs="Calibri"/>
          <w:sz w:val="18"/>
          <w:szCs w:val="18"/>
        </w:rPr>
        <w:t>innosti v jedné z p</w:t>
      </w:r>
      <w:r w:rsidRPr="00C40B67">
        <w:rPr>
          <w:rFonts w:ascii="Calibri" w:hAnsi="Calibri" w:cs="Calibri" w:hint="eastAsia"/>
          <w:sz w:val="18"/>
          <w:szCs w:val="18"/>
        </w:rPr>
        <w:t>ů</w:t>
      </w:r>
      <w:r w:rsidRPr="00C40B67">
        <w:rPr>
          <w:rFonts w:ascii="Calibri" w:hAnsi="Calibri" w:cs="Calibri"/>
          <w:sz w:val="18"/>
          <w:szCs w:val="18"/>
        </w:rPr>
        <w:t>vodních provozoven p</w:t>
      </w:r>
      <w:r w:rsidRPr="00C40B67">
        <w:rPr>
          <w:rFonts w:ascii="Calibri" w:hAnsi="Calibri" w:cs="Calibri" w:hint="eastAsia"/>
          <w:sz w:val="18"/>
          <w:szCs w:val="18"/>
        </w:rPr>
        <w:t>ří</w:t>
      </w:r>
      <w:r w:rsidRPr="00C40B67">
        <w:rPr>
          <w:rFonts w:ascii="Calibri" w:hAnsi="Calibri" w:cs="Calibri"/>
          <w:sz w:val="18"/>
          <w:szCs w:val="18"/>
        </w:rPr>
        <w:t>jemce v EHP dojde ke ztrát</w:t>
      </w:r>
      <w:r w:rsidRPr="00C40B67">
        <w:rPr>
          <w:rFonts w:ascii="Calibri" w:hAnsi="Calibri" w:cs="Calibri" w:hint="eastAsia"/>
          <w:sz w:val="18"/>
          <w:szCs w:val="18"/>
        </w:rPr>
        <w:t>ě</w:t>
      </w:r>
      <w:r w:rsidRPr="00C40B67">
        <w:rPr>
          <w:rFonts w:ascii="Calibri" w:hAnsi="Calibri" w:cs="Calibri"/>
          <w:sz w:val="18"/>
          <w:szCs w:val="18"/>
        </w:rPr>
        <w:t xml:space="preserve"> pracovních míst;“</w:t>
      </w:r>
    </w:p>
  </w:footnote>
  <w:footnote w:id="15">
    <w:p w14:paraId="48CE017B" w14:textId="77777777" w:rsidR="000D642E" w:rsidRPr="001A27C6" w:rsidRDefault="000D642E" w:rsidP="00DE1632">
      <w:pPr>
        <w:pStyle w:val="Podarou"/>
        <w:ind w:left="142" w:hanging="142"/>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Prodávající není akcionářem, společníkem, členem, členem orgánu příjemce podpory, ani není manželkou/manželem či není v přímém příbuzenském vztahu ve smyslu § 772 odst. 1 zákona č. 89/2012 Sb. k příjemci podpory - fyzické osobě. </w:t>
      </w:r>
    </w:p>
  </w:footnote>
  <w:footnote w:id="16">
    <w:p w14:paraId="221BADEB" w14:textId="77777777" w:rsidR="000D642E" w:rsidRPr="00512396" w:rsidRDefault="000D642E" w:rsidP="00596290">
      <w:pPr>
        <w:pStyle w:val="Textpoznpodarou"/>
        <w:spacing w:before="0" w:after="0"/>
        <w:rPr>
          <w:rFonts w:asciiTheme="minorHAnsi" w:hAnsiTheme="minorHAnsi"/>
          <w:sz w:val="18"/>
          <w:szCs w:val="18"/>
        </w:rPr>
      </w:pPr>
      <w:r w:rsidRPr="001A27C6">
        <w:rPr>
          <w:rStyle w:val="Znakapoznpodarou"/>
          <w:rFonts w:asciiTheme="minorHAnsi" w:hAnsiTheme="minorHAnsi"/>
          <w:sz w:val="18"/>
        </w:rPr>
        <w:footnoteRef/>
      </w:r>
      <w:r w:rsidRPr="001A27C6">
        <w:rPr>
          <w:rFonts w:asciiTheme="minorHAnsi" w:hAnsiTheme="minorHAnsi"/>
          <w:sz w:val="18"/>
        </w:rPr>
        <w:t>Pokud je příjemce podpory plátcem DPH nebo si může vrácení DPH nárok</w:t>
      </w:r>
      <w:r w:rsidRPr="00512396">
        <w:rPr>
          <w:rFonts w:asciiTheme="minorHAnsi" w:hAnsiTheme="minorHAnsi"/>
          <w:sz w:val="18"/>
          <w:szCs w:val="18"/>
        </w:rPr>
        <w:t>ovat. V ostatních případech je DPH způsobilým výdajem finančního příspěvku.</w:t>
      </w:r>
    </w:p>
  </w:footnote>
  <w:footnote w:id="17">
    <w:p w14:paraId="5B5885B5" w14:textId="0443463F" w:rsidR="000D642E" w:rsidRPr="000A00E3" w:rsidRDefault="000D642E" w:rsidP="00596290">
      <w:pPr>
        <w:pStyle w:val="Textpoznpodarou"/>
        <w:spacing w:before="0" w:after="0"/>
        <w:rPr>
          <w:rFonts w:asciiTheme="minorHAnsi" w:hAnsiTheme="minorHAnsi"/>
        </w:rPr>
      </w:pPr>
      <w:r>
        <w:rPr>
          <w:rStyle w:val="Znakapoznpodarou"/>
        </w:rPr>
        <w:footnoteRef/>
      </w:r>
      <w:r>
        <w:t xml:space="preserve"> </w:t>
      </w:r>
      <w:r w:rsidRPr="0060247A">
        <w:rPr>
          <w:rStyle w:val="PodarouChar"/>
        </w:rPr>
        <w:t>Minimální výše ú</w:t>
      </w:r>
      <w:r w:rsidRPr="00297822">
        <w:rPr>
          <w:rStyle w:val="PodarouChar"/>
        </w:rPr>
        <w:t>věru zároveň odpovíd</w:t>
      </w:r>
      <w:r>
        <w:rPr>
          <w:rStyle w:val="PodarouChar"/>
        </w:rPr>
        <w:t xml:space="preserve">á ekvivalentu 25.000 </w:t>
      </w:r>
      <w:proofErr w:type="gramStart"/>
      <w:r>
        <w:rPr>
          <w:rStyle w:val="PodarouChar"/>
        </w:rPr>
        <w:t xml:space="preserve">EUR a </w:t>
      </w:r>
      <w:r w:rsidRPr="0060247A">
        <w:rPr>
          <w:rStyle w:val="PodarouChar"/>
        </w:rPr>
        <w:t xml:space="preserve"> může</w:t>
      </w:r>
      <w:proofErr w:type="gramEnd"/>
      <w:r>
        <w:rPr>
          <w:rStyle w:val="PodarouChar"/>
        </w:rPr>
        <w:t xml:space="preserve"> se</w:t>
      </w:r>
      <w:r w:rsidRPr="0060247A">
        <w:rPr>
          <w:rStyle w:val="PodarouChar"/>
        </w:rPr>
        <w:t xml:space="preserve"> </w:t>
      </w:r>
      <w:r>
        <w:rPr>
          <w:rStyle w:val="PodarouChar"/>
        </w:rPr>
        <w:t>z</w:t>
      </w:r>
      <w:r w:rsidRPr="0060247A">
        <w:rPr>
          <w:rStyle w:val="PodarouChar"/>
        </w:rPr>
        <w:t>měnit v závislosti na změně kurzu</w:t>
      </w:r>
      <w:r>
        <w:rPr>
          <w:rStyle w:val="PodarouChar"/>
        </w:rPr>
        <w:t xml:space="preserve"> CZK/EUR</w:t>
      </w:r>
    </w:p>
  </w:footnote>
  <w:footnote w:id="18">
    <w:p w14:paraId="1AEBC8DF" w14:textId="77777777" w:rsidR="000D642E" w:rsidRPr="001A27C6" w:rsidRDefault="000D642E" w:rsidP="00861012">
      <w:pPr>
        <w:pStyle w:val="Podarou"/>
        <w:spacing w:after="0"/>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Pokud je příjemce podpory plátcem DPH nebo si může vrácení DPH nárokovat. V ostatních případech je DPH způsobilým výdajem finančního příspěvku.</w:t>
      </w:r>
    </w:p>
  </w:footnote>
  <w:footnote w:id="19">
    <w:p w14:paraId="6285C4D6" w14:textId="77777777" w:rsidR="000D642E" w:rsidRPr="001A27C6" w:rsidRDefault="000D642E" w:rsidP="00A524AF">
      <w:pPr>
        <w:pStyle w:val="Podarou"/>
        <w:spacing w:after="0"/>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Pokud je příjemce podpory plátcem DPH nebo si mů</w:t>
      </w:r>
      <w:bookmarkStart w:id="33" w:name="_GoBack"/>
      <w:bookmarkEnd w:id="33"/>
      <w:r w:rsidRPr="001A27C6">
        <w:rPr>
          <w:rFonts w:asciiTheme="minorHAnsi" w:hAnsiTheme="minorHAnsi"/>
        </w:rPr>
        <w:t>že vrácení DPH nárokovat. V ostatních případech je DPH způsobilým výdajem finančního příspěvku.</w:t>
      </w:r>
    </w:p>
  </w:footnote>
  <w:footnote w:id="20">
    <w:p w14:paraId="40DD3DED" w14:textId="77777777" w:rsidR="000D642E" w:rsidRPr="001A27C6" w:rsidRDefault="000D642E" w:rsidP="00AC03E9">
      <w:pPr>
        <w:pStyle w:val="Podarou"/>
        <w:spacing w:after="0"/>
        <w:rPr>
          <w:rFonts w:asciiTheme="minorHAnsi" w:hAnsiTheme="minorHAnsi"/>
        </w:rPr>
      </w:pPr>
      <w:r w:rsidRPr="001A27C6">
        <w:rPr>
          <w:rStyle w:val="Znakapoznpodarou"/>
          <w:rFonts w:asciiTheme="minorHAnsi" w:hAnsiTheme="minorHAnsi"/>
          <w:sz w:val="18"/>
        </w:rPr>
        <w:footnoteRef/>
      </w:r>
      <w:r w:rsidRPr="001A27C6">
        <w:rPr>
          <w:rFonts w:asciiTheme="minorHAnsi" w:hAnsiTheme="minorHAnsi"/>
        </w:rPr>
        <w:t xml:space="preserve"> Pokud je příjemce podpory plátcem DPH nebo si může vrácení DPH nárokovat. V ostatních případech je DPH způsobilým výdajem finančního příspěvku.</w:t>
      </w:r>
    </w:p>
  </w:footnote>
  <w:footnote w:id="21">
    <w:p w14:paraId="029D946E" w14:textId="77777777" w:rsidR="000D642E" w:rsidRDefault="000D642E" w:rsidP="006D28FE">
      <w:pPr>
        <w:pStyle w:val="Textpoznpodarou"/>
        <w:rPr>
          <w:rFonts w:ascii="Calibri" w:hAnsi="Calibri"/>
          <w:sz w:val="20"/>
        </w:rPr>
      </w:pPr>
      <w:r>
        <w:rPr>
          <w:rStyle w:val="Znakapoznpodarou"/>
        </w:rPr>
        <w:footnoteRef/>
      </w:r>
      <w:r>
        <w:t xml:space="preserve"> </w:t>
      </w:r>
      <w:r w:rsidRPr="00EF0AE5">
        <w:rPr>
          <w:rFonts w:asciiTheme="minorHAnsi" w:hAnsiTheme="minorHAnsi" w:cstheme="minorHAnsi"/>
          <w:sz w:val="18"/>
          <w:szCs w:val="18"/>
        </w:rPr>
        <w:t>Žadatel bude vypl</w:t>
      </w:r>
      <w:r w:rsidRPr="00EF0AE5">
        <w:rPr>
          <w:rFonts w:asciiTheme="minorHAnsi" w:hAnsiTheme="minorHAnsi" w:cstheme="minorHAnsi" w:hint="eastAsia"/>
          <w:sz w:val="18"/>
          <w:szCs w:val="18"/>
        </w:rPr>
        <w:t>ň</w:t>
      </w:r>
      <w:r w:rsidRPr="00EF0AE5">
        <w:rPr>
          <w:rFonts w:asciiTheme="minorHAnsi" w:hAnsiTheme="minorHAnsi" w:cstheme="minorHAnsi"/>
          <w:sz w:val="18"/>
          <w:szCs w:val="18"/>
        </w:rPr>
        <w:t>ovat pouze za relevantní projekty NGA.</w:t>
      </w:r>
    </w:p>
  </w:footnote>
  <w:footnote w:id="22">
    <w:p w14:paraId="7253DF94" w14:textId="77777777" w:rsidR="000D642E" w:rsidRPr="000026E2" w:rsidRDefault="000D642E" w:rsidP="00F843C9">
      <w:pPr>
        <w:pStyle w:val="Textpoznpodarou"/>
        <w:rPr>
          <w:rFonts w:asciiTheme="minorHAnsi" w:hAnsiTheme="minorHAnsi"/>
          <w:sz w:val="18"/>
        </w:rPr>
      </w:pPr>
      <w:r w:rsidRPr="00202118">
        <w:rPr>
          <w:rFonts w:asciiTheme="minorHAnsi" w:hAnsiTheme="minorHAnsi"/>
          <w:sz w:val="18"/>
        </w:rPr>
        <w:footnoteRef/>
      </w:r>
      <w:r w:rsidRPr="00202118">
        <w:rPr>
          <w:rFonts w:asciiTheme="minorHAnsi" w:hAnsiTheme="minorHAnsi"/>
          <w:sz w:val="18"/>
          <w:vertAlign w:val="superscript"/>
        </w:rPr>
        <w:t xml:space="preserve"> </w:t>
      </w:r>
      <w:r w:rsidRPr="00202118">
        <w:rPr>
          <w:rFonts w:asciiTheme="minorHAnsi" w:hAnsiTheme="minorHAnsi"/>
          <w:sz w:val="18"/>
        </w:rPr>
        <w:t>Jeden podnik zahrnuje veškeré subjekty, které mezi sebou mají alespo</w:t>
      </w:r>
      <w:r w:rsidRPr="00202118">
        <w:rPr>
          <w:rFonts w:asciiTheme="minorHAnsi" w:hAnsiTheme="minorHAnsi" w:hint="eastAsia"/>
          <w:sz w:val="18"/>
        </w:rPr>
        <w:t>ň</w:t>
      </w:r>
      <w:r w:rsidRPr="00202118">
        <w:rPr>
          <w:rFonts w:asciiTheme="minorHAnsi" w:hAnsiTheme="minorHAnsi"/>
          <w:sz w:val="18"/>
        </w:rPr>
        <w:t xml:space="preserve"> jeden ze vztah</w:t>
      </w:r>
      <w:r w:rsidRPr="00202118">
        <w:rPr>
          <w:rFonts w:asciiTheme="minorHAnsi" w:hAnsiTheme="minorHAnsi" w:hint="eastAsia"/>
          <w:sz w:val="18"/>
        </w:rPr>
        <w:t>ů</w:t>
      </w:r>
      <w:r w:rsidRPr="00202118">
        <w:rPr>
          <w:rFonts w:asciiTheme="minorHAnsi" w:hAnsiTheme="minorHAnsi"/>
          <w:sz w:val="18"/>
        </w:rPr>
        <w:t xml:space="preserve">, uvedených v definici jednoho podniku viz </w:t>
      </w:r>
      <w:r w:rsidRPr="00202118">
        <w:rPr>
          <w:rFonts w:asciiTheme="minorHAnsi" w:hAnsiTheme="minorHAnsi" w:hint="eastAsia"/>
          <w:sz w:val="18"/>
        </w:rPr>
        <w:t>č</w:t>
      </w:r>
      <w:r w:rsidRPr="00202118">
        <w:rPr>
          <w:rFonts w:asciiTheme="minorHAnsi" w:hAnsiTheme="minorHAnsi"/>
          <w:sz w:val="18"/>
        </w:rPr>
        <w:t>l. 2, odst. 2 Na</w:t>
      </w:r>
      <w:r w:rsidRPr="00202118">
        <w:rPr>
          <w:rFonts w:asciiTheme="minorHAnsi" w:hAnsiTheme="minorHAnsi" w:hint="eastAsia"/>
          <w:sz w:val="18"/>
        </w:rPr>
        <w:t>ří</w:t>
      </w:r>
      <w:r w:rsidRPr="00202118">
        <w:rPr>
          <w:rFonts w:asciiTheme="minorHAnsi" w:hAnsiTheme="minorHAnsi"/>
          <w:sz w:val="18"/>
        </w:rPr>
        <w:t xml:space="preserve">zení Komise (EU) </w:t>
      </w:r>
      <w:r w:rsidRPr="00202118">
        <w:rPr>
          <w:rFonts w:asciiTheme="minorHAnsi" w:hAnsiTheme="minorHAnsi" w:hint="eastAsia"/>
          <w:sz w:val="18"/>
        </w:rPr>
        <w:t>č</w:t>
      </w:r>
      <w:r w:rsidRPr="00202118">
        <w:rPr>
          <w:rFonts w:asciiTheme="minorHAnsi" w:hAnsiTheme="minorHAnsi"/>
          <w:sz w:val="18"/>
        </w:rPr>
        <w:t>. 1407/2013 o podpo</w:t>
      </w:r>
      <w:r w:rsidRPr="00202118">
        <w:rPr>
          <w:rFonts w:asciiTheme="minorHAnsi" w:hAnsiTheme="minorHAnsi" w:hint="eastAsia"/>
          <w:sz w:val="18"/>
        </w:rPr>
        <w:t>ř</w:t>
      </w:r>
      <w:r w:rsidRPr="00202118">
        <w:rPr>
          <w:rFonts w:asciiTheme="minorHAnsi" w:hAnsiTheme="minorHAnsi"/>
          <w:sz w:val="18"/>
        </w:rPr>
        <w:t xml:space="preserve">e de </w:t>
      </w:r>
      <w:proofErr w:type="spellStart"/>
      <w:r w:rsidRPr="00202118">
        <w:rPr>
          <w:rFonts w:asciiTheme="minorHAnsi" w:hAnsiTheme="minorHAnsi"/>
          <w:sz w:val="18"/>
        </w:rPr>
        <w:t>minimis</w:t>
      </w:r>
      <w:proofErr w:type="spellEnd"/>
      <w:r w:rsidRPr="00202118">
        <w:rPr>
          <w:rFonts w:asciiTheme="minorHAnsi" w:hAnsiTheme="minorHAnsi"/>
          <w:sz w:val="18"/>
        </w:rPr>
        <w:t xml:space="preserve">.  </w:t>
      </w:r>
    </w:p>
    <w:p w14:paraId="16B523A3" w14:textId="77777777" w:rsidR="000D642E" w:rsidRPr="000026E2" w:rsidRDefault="000D642E" w:rsidP="00F843C9">
      <w:pPr>
        <w:pStyle w:val="Textpoznpodarou"/>
        <w:rPr>
          <w:rFonts w:asciiTheme="minorHAnsi" w:hAnsiTheme="minorHAnsi"/>
          <w:sz w:val="18"/>
        </w:rPr>
      </w:pPr>
      <w:r w:rsidRPr="00202118">
        <w:rPr>
          <w:rFonts w:asciiTheme="minorHAnsi" w:hAnsiTheme="minorHAnsi" w:hint="eastAsia"/>
          <w:sz w:val="18"/>
        </w:rPr>
        <w:t>Č</w:t>
      </w:r>
      <w:r w:rsidRPr="00202118">
        <w:rPr>
          <w:rFonts w:asciiTheme="minorHAnsi" w:hAnsiTheme="minorHAnsi"/>
          <w:sz w:val="18"/>
        </w:rPr>
        <w:t>l. 2, odst. 2 Na</w:t>
      </w:r>
      <w:r w:rsidRPr="00202118">
        <w:rPr>
          <w:rFonts w:asciiTheme="minorHAnsi" w:hAnsiTheme="minorHAnsi" w:hint="eastAsia"/>
          <w:sz w:val="18"/>
        </w:rPr>
        <w:t>ří</w:t>
      </w:r>
      <w:r w:rsidRPr="00202118">
        <w:rPr>
          <w:rFonts w:asciiTheme="minorHAnsi" w:hAnsiTheme="minorHAnsi"/>
          <w:sz w:val="18"/>
        </w:rPr>
        <w:t xml:space="preserve">zení </w:t>
      </w:r>
      <w:r w:rsidRPr="00202118">
        <w:rPr>
          <w:rFonts w:asciiTheme="minorHAnsi" w:hAnsiTheme="minorHAnsi" w:hint="eastAsia"/>
          <w:sz w:val="18"/>
        </w:rPr>
        <w:t>č</w:t>
      </w:r>
      <w:r w:rsidRPr="00202118">
        <w:rPr>
          <w:rFonts w:asciiTheme="minorHAnsi" w:hAnsiTheme="minorHAnsi"/>
          <w:sz w:val="18"/>
        </w:rPr>
        <w:t>. 1407/2013:</w:t>
      </w:r>
    </w:p>
    <w:p w14:paraId="3E24D9CA" w14:textId="77777777" w:rsidR="000D642E" w:rsidRPr="000026E2" w:rsidRDefault="000D642E" w:rsidP="00F843C9">
      <w:pPr>
        <w:pStyle w:val="Textpoznpodarou"/>
        <w:rPr>
          <w:rFonts w:asciiTheme="minorHAnsi" w:hAnsiTheme="minorHAnsi"/>
          <w:sz w:val="18"/>
        </w:rPr>
      </w:pPr>
      <w:r w:rsidRPr="00202118">
        <w:rPr>
          <w:rFonts w:asciiTheme="minorHAnsi" w:hAnsiTheme="minorHAnsi"/>
          <w:sz w:val="18"/>
        </w:rPr>
        <w:t>„Jeden podnik“ pro ú</w:t>
      </w:r>
      <w:r w:rsidRPr="00202118">
        <w:rPr>
          <w:rFonts w:asciiTheme="minorHAnsi" w:hAnsiTheme="minorHAnsi" w:hint="eastAsia"/>
          <w:sz w:val="18"/>
        </w:rPr>
        <w:t>č</w:t>
      </w:r>
      <w:r w:rsidRPr="00202118">
        <w:rPr>
          <w:rFonts w:asciiTheme="minorHAnsi" w:hAnsiTheme="minorHAnsi"/>
          <w:sz w:val="18"/>
        </w:rPr>
        <w:t>ely tohoto na</w:t>
      </w:r>
      <w:r w:rsidRPr="00202118">
        <w:rPr>
          <w:rFonts w:asciiTheme="minorHAnsi" w:hAnsiTheme="minorHAnsi" w:hint="eastAsia"/>
          <w:sz w:val="18"/>
        </w:rPr>
        <w:t>ří</w:t>
      </w:r>
      <w:r w:rsidRPr="00202118">
        <w:rPr>
          <w:rFonts w:asciiTheme="minorHAnsi" w:hAnsiTheme="minorHAnsi"/>
          <w:sz w:val="18"/>
        </w:rPr>
        <w:t>zení zahrnuje veškeré subjekty, které mezi sebou mají alespo</w:t>
      </w:r>
      <w:r w:rsidRPr="00202118">
        <w:rPr>
          <w:rFonts w:asciiTheme="minorHAnsi" w:hAnsiTheme="minorHAnsi" w:hint="eastAsia"/>
          <w:sz w:val="18"/>
        </w:rPr>
        <w:t>ň</w:t>
      </w:r>
      <w:r w:rsidRPr="00202118">
        <w:rPr>
          <w:rFonts w:asciiTheme="minorHAnsi" w:hAnsiTheme="minorHAnsi"/>
          <w:sz w:val="18"/>
        </w:rPr>
        <w:t xml:space="preserve"> jeden z následujících vztah</w:t>
      </w:r>
      <w:r w:rsidRPr="00202118">
        <w:rPr>
          <w:rFonts w:asciiTheme="minorHAnsi" w:hAnsiTheme="minorHAnsi" w:hint="eastAsia"/>
          <w:sz w:val="18"/>
        </w:rPr>
        <w:t>ů</w:t>
      </w:r>
      <w:r w:rsidRPr="00202118">
        <w:rPr>
          <w:rFonts w:asciiTheme="minorHAnsi" w:hAnsiTheme="minorHAnsi"/>
          <w:sz w:val="18"/>
        </w:rPr>
        <w:t xml:space="preserve">: </w:t>
      </w:r>
    </w:p>
    <w:p w14:paraId="26C3EF5A" w14:textId="77777777" w:rsidR="000D642E" w:rsidRPr="000026E2" w:rsidRDefault="000D642E" w:rsidP="00F843C9">
      <w:pPr>
        <w:pStyle w:val="Textpoznpodarou"/>
        <w:rPr>
          <w:rFonts w:asciiTheme="minorHAnsi" w:hAnsiTheme="minorHAnsi"/>
          <w:sz w:val="18"/>
        </w:rPr>
      </w:pPr>
      <w:r w:rsidRPr="00202118">
        <w:rPr>
          <w:rFonts w:asciiTheme="minorHAnsi" w:hAnsiTheme="minorHAnsi"/>
          <w:sz w:val="18"/>
        </w:rPr>
        <w:t>a) jeden subjekt vlastní v</w:t>
      </w:r>
      <w:r w:rsidRPr="00202118">
        <w:rPr>
          <w:rFonts w:asciiTheme="minorHAnsi" w:hAnsiTheme="minorHAnsi" w:hint="eastAsia"/>
          <w:sz w:val="18"/>
        </w:rPr>
        <w:t>ě</w:t>
      </w:r>
      <w:r w:rsidRPr="00202118">
        <w:rPr>
          <w:rFonts w:asciiTheme="minorHAnsi" w:hAnsiTheme="minorHAnsi"/>
          <w:sz w:val="18"/>
        </w:rPr>
        <w:t>tšinu hlasovacích práv, která náležejí akcioná</w:t>
      </w:r>
      <w:r w:rsidRPr="00202118">
        <w:rPr>
          <w:rFonts w:asciiTheme="minorHAnsi" w:hAnsiTheme="minorHAnsi" w:hint="eastAsia"/>
          <w:sz w:val="18"/>
        </w:rPr>
        <w:t>řů</w:t>
      </w:r>
      <w:r w:rsidRPr="00202118">
        <w:rPr>
          <w:rFonts w:asciiTheme="minorHAnsi" w:hAnsiTheme="minorHAnsi"/>
          <w:sz w:val="18"/>
        </w:rPr>
        <w:t>m nebo spole</w:t>
      </w:r>
      <w:r w:rsidRPr="00202118">
        <w:rPr>
          <w:rFonts w:asciiTheme="minorHAnsi" w:hAnsiTheme="minorHAnsi" w:hint="eastAsia"/>
          <w:sz w:val="18"/>
        </w:rPr>
        <w:t>č</w:t>
      </w:r>
      <w:r w:rsidRPr="00202118">
        <w:rPr>
          <w:rFonts w:asciiTheme="minorHAnsi" w:hAnsiTheme="minorHAnsi"/>
          <w:sz w:val="18"/>
        </w:rPr>
        <w:t>ník</w:t>
      </w:r>
      <w:r w:rsidRPr="00202118">
        <w:rPr>
          <w:rFonts w:asciiTheme="minorHAnsi" w:hAnsiTheme="minorHAnsi" w:hint="eastAsia"/>
          <w:sz w:val="18"/>
        </w:rPr>
        <w:t>ů</w:t>
      </w:r>
      <w:r w:rsidRPr="00202118">
        <w:rPr>
          <w:rFonts w:asciiTheme="minorHAnsi" w:hAnsiTheme="minorHAnsi"/>
          <w:sz w:val="18"/>
        </w:rPr>
        <w:t xml:space="preserve">m, v jiném subjektu; </w:t>
      </w:r>
    </w:p>
    <w:p w14:paraId="45C228C9" w14:textId="77777777" w:rsidR="000D642E" w:rsidRPr="000026E2" w:rsidRDefault="000D642E" w:rsidP="00F843C9">
      <w:pPr>
        <w:pStyle w:val="Textpoznpodarou"/>
        <w:rPr>
          <w:rFonts w:asciiTheme="minorHAnsi" w:hAnsiTheme="minorHAnsi"/>
          <w:sz w:val="18"/>
        </w:rPr>
      </w:pPr>
      <w:r w:rsidRPr="00202118">
        <w:rPr>
          <w:rFonts w:asciiTheme="minorHAnsi" w:hAnsiTheme="minorHAnsi"/>
          <w:sz w:val="18"/>
        </w:rPr>
        <w:t>b) jeden subjekt má právo jmenovat nebo odvolat v</w:t>
      </w:r>
      <w:r w:rsidRPr="00202118">
        <w:rPr>
          <w:rFonts w:asciiTheme="minorHAnsi" w:hAnsiTheme="minorHAnsi" w:hint="eastAsia"/>
          <w:sz w:val="18"/>
        </w:rPr>
        <w:t>ě</w:t>
      </w:r>
      <w:r w:rsidRPr="00202118">
        <w:rPr>
          <w:rFonts w:asciiTheme="minorHAnsi" w:hAnsiTheme="minorHAnsi"/>
          <w:sz w:val="18"/>
        </w:rPr>
        <w:t xml:space="preserve">tšinu </w:t>
      </w:r>
      <w:r w:rsidRPr="00202118">
        <w:rPr>
          <w:rFonts w:asciiTheme="minorHAnsi" w:hAnsiTheme="minorHAnsi" w:hint="eastAsia"/>
          <w:sz w:val="18"/>
        </w:rPr>
        <w:t>č</w:t>
      </w:r>
      <w:r w:rsidRPr="00202118">
        <w:rPr>
          <w:rFonts w:asciiTheme="minorHAnsi" w:hAnsiTheme="minorHAnsi"/>
          <w:sz w:val="18"/>
        </w:rPr>
        <w:t>len</w:t>
      </w:r>
      <w:r w:rsidRPr="00202118">
        <w:rPr>
          <w:rFonts w:asciiTheme="minorHAnsi" w:hAnsiTheme="minorHAnsi" w:hint="eastAsia"/>
          <w:sz w:val="18"/>
        </w:rPr>
        <w:t>ů</w:t>
      </w:r>
      <w:r w:rsidRPr="00202118">
        <w:rPr>
          <w:rFonts w:asciiTheme="minorHAnsi" w:hAnsiTheme="minorHAnsi"/>
          <w:sz w:val="18"/>
        </w:rPr>
        <w:t xml:space="preserve"> správního, </w:t>
      </w:r>
      <w:r w:rsidRPr="00202118">
        <w:rPr>
          <w:rFonts w:asciiTheme="minorHAnsi" w:hAnsiTheme="minorHAnsi" w:hint="eastAsia"/>
          <w:sz w:val="18"/>
        </w:rPr>
        <w:t>ří</w:t>
      </w:r>
      <w:r w:rsidRPr="00202118">
        <w:rPr>
          <w:rFonts w:asciiTheme="minorHAnsi" w:hAnsiTheme="minorHAnsi"/>
          <w:sz w:val="18"/>
        </w:rPr>
        <w:t>dícího nebo dozor</w:t>
      </w:r>
      <w:r w:rsidRPr="00202118">
        <w:rPr>
          <w:rFonts w:asciiTheme="minorHAnsi" w:hAnsiTheme="minorHAnsi" w:hint="eastAsia"/>
          <w:sz w:val="18"/>
        </w:rPr>
        <w:t>čí</w:t>
      </w:r>
      <w:r w:rsidRPr="00202118">
        <w:rPr>
          <w:rFonts w:asciiTheme="minorHAnsi" w:hAnsiTheme="minorHAnsi"/>
          <w:sz w:val="18"/>
        </w:rPr>
        <w:t xml:space="preserve">ho orgánu jiného subjektu; </w:t>
      </w:r>
    </w:p>
    <w:p w14:paraId="44A37FBC" w14:textId="77777777" w:rsidR="000D642E" w:rsidRPr="000026E2" w:rsidRDefault="000D642E" w:rsidP="00F843C9">
      <w:pPr>
        <w:pStyle w:val="Textpoznpodarou"/>
        <w:rPr>
          <w:rFonts w:asciiTheme="minorHAnsi" w:hAnsiTheme="minorHAnsi"/>
          <w:sz w:val="18"/>
        </w:rPr>
      </w:pPr>
      <w:r w:rsidRPr="00202118">
        <w:rPr>
          <w:rFonts w:asciiTheme="minorHAnsi" w:hAnsiTheme="minorHAnsi"/>
          <w:sz w:val="18"/>
        </w:rPr>
        <w:t>c) jeden subjekt má právo uplat</w:t>
      </w:r>
      <w:r w:rsidRPr="00202118">
        <w:rPr>
          <w:rFonts w:asciiTheme="minorHAnsi" w:hAnsiTheme="minorHAnsi" w:hint="eastAsia"/>
          <w:sz w:val="18"/>
        </w:rPr>
        <w:t>ň</w:t>
      </w:r>
      <w:r w:rsidRPr="00202118">
        <w:rPr>
          <w:rFonts w:asciiTheme="minorHAnsi" w:hAnsiTheme="minorHAnsi"/>
          <w:sz w:val="18"/>
        </w:rPr>
        <w:t>ovat rozhodující vliv v jiném subjektu podle smlouvy uzav</w:t>
      </w:r>
      <w:r w:rsidRPr="00202118">
        <w:rPr>
          <w:rFonts w:asciiTheme="minorHAnsi" w:hAnsiTheme="minorHAnsi" w:hint="eastAsia"/>
          <w:sz w:val="18"/>
        </w:rPr>
        <w:t>ř</w:t>
      </w:r>
      <w:r w:rsidRPr="00202118">
        <w:rPr>
          <w:rFonts w:asciiTheme="minorHAnsi" w:hAnsiTheme="minorHAnsi"/>
          <w:sz w:val="18"/>
        </w:rPr>
        <w:t>ené s daným subjektem nebo dle ustanovení v zakladatelské smlouv</w:t>
      </w:r>
      <w:r w:rsidRPr="00202118">
        <w:rPr>
          <w:rFonts w:asciiTheme="minorHAnsi" w:hAnsiTheme="minorHAnsi" w:hint="eastAsia"/>
          <w:sz w:val="18"/>
        </w:rPr>
        <w:t>ě</w:t>
      </w:r>
      <w:r w:rsidRPr="00202118">
        <w:rPr>
          <w:rFonts w:asciiTheme="minorHAnsi" w:hAnsiTheme="minorHAnsi"/>
          <w:sz w:val="18"/>
        </w:rPr>
        <w:t xml:space="preserve"> nebo ve stanovách tohoto subjektu; </w:t>
      </w:r>
    </w:p>
    <w:p w14:paraId="4F682B88" w14:textId="77777777" w:rsidR="000D642E" w:rsidRPr="000026E2" w:rsidRDefault="000D642E" w:rsidP="00F843C9">
      <w:pPr>
        <w:pStyle w:val="Textpoznpodarou"/>
        <w:rPr>
          <w:rFonts w:asciiTheme="minorHAnsi" w:hAnsiTheme="minorHAnsi"/>
          <w:sz w:val="18"/>
        </w:rPr>
      </w:pPr>
      <w:r w:rsidRPr="00202118">
        <w:rPr>
          <w:rFonts w:asciiTheme="minorHAnsi" w:hAnsiTheme="minorHAnsi"/>
          <w:sz w:val="18"/>
        </w:rPr>
        <w:t>d) jeden subjekt, který je akcioná</w:t>
      </w:r>
      <w:r w:rsidRPr="00202118">
        <w:rPr>
          <w:rFonts w:asciiTheme="minorHAnsi" w:hAnsiTheme="minorHAnsi" w:hint="eastAsia"/>
          <w:sz w:val="18"/>
        </w:rPr>
        <w:t>ř</w:t>
      </w:r>
      <w:r w:rsidRPr="00202118">
        <w:rPr>
          <w:rFonts w:asciiTheme="minorHAnsi" w:hAnsiTheme="minorHAnsi"/>
          <w:sz w:val="18"/>
        </w:rPr>
        <w:t>em nebo spole</w:t>
      </w:r>
      <w:r w:rsidRPr="00202118">
        <w:rPr>
          <w:rFonts w:asciiTheme="minorHAnsi" w:hAnsiTheme="minorHAnsi" w:hint="eastAsia"/>
          <w:sz w:val="18"/>
        </w:rPr>
        <w:t>č</w:t>
      </w:r>
      <w:r w:rsidRPr="00202118">
        <w:rPr>
          <w:rFonts w:asciiTheme="minorHAnsi" w:hAnsiTheme="minorHAnsi"/>
          <w:sz w:val="18"/>
        </w:rPr>
        <w:t>níkem jiného subjektu, ovládá sám, v souladu s dohodou uzav</w:t>
      </w:r>
      <w:r w:rsidRPr="00202118">
        <w:rPr>
          <w:rFonts w:asciiTheme="minorHAnsi" w:hAnsiTheme="minorHAnsi" w:hint="eastAsia"/>
          <w:sz w:val="18"/>
        </w:rPr>
        <w:t>ř</w:t>
      </w:r>
      <w:r w:rsidRPr="00202118">
        <w:rPr>
          <w:rFonts w:asciiTheme="minorHAnsi" w:hAnsiTheme="minorHAnsi"/>
          <w:sz w:val="18"/>
        </w:rPr>
        <w:t>enou s jinými akcioná</w:t>
      </w:r>
      <w:r w:rsidRPr="00202118">
        <w:rPr>
          <w:rFonts w:asciiTheme="minorHAnsi" w:hAnsiTheme="minorHAnsi" w:hint="eastAsia"/>
          <w:sz w:val="18"/>
        </w:rPr>
        <w:t>ř</w:t>
      </w:r>
      <w:r w:rsidRPr="00202118">
        <w:rPr>
          <w:rFonts w:asciiTheme="minorHAnsi" w:hAnsiTheme="minorHAnsi"/>
          <w:sz w:val="18"/>
        </w:rPr>
        <w:t>i nebo spole</w:t>
      </w:r>
      <w:r w:rsidRPr="00202118">
        <w:rPr>
          <w:rFonts w:asciiTheme="minorHAnsi" w:hAnsiTheme="minorHAnsi" w:hint="eastAsia"/>
          <w:sz w:val="18"/>
        </w:rPr>
        <w:t>č</w:t>
      </w:r>
      <w:r w:rsidRPr="00202118">
        <w:rPr>
          <w:rFonts w:asciiTheme="minorHAnsi" w:hAnsiTheme="minorHAnsi"/>
          <w:sz w:val="18"/>
        </w:rPr>
        <w:t>níky daného subjektu, v</w:t>
      </w:r>
      <w:r w:rsidRPr="00202118">
        <w:rPr>
          <w:rFonts w:asciiTheme="minorHAnsi" w:hAnsiTheme="minorHAnsi" w:hint="eastAsia"/>
          <w:sz w:val="18"/>
        </w:rPr>
        <w:t>ě</w:t>
      </w:r>
      <w:r w:rsidRPr="00202118">
        <w:rPr>
          <w:rFonts w:asciiTheme="minorHAnsi" w:hAnsiTheme="minorHAnsi"/>
          <w:sz w:val="18"/>
        </w:rPr>
        <w:t>tšinu hlasovacích práv, náležejících akcioná</w:t>
      </w:r>
      <w:r w:rsidRPr="00202118">
        <w:rPr>
          <w:rFonts w:asciiTheme="minorHAnsi" w:hAnsiTheme="minorHAnsi" w:hint="eastAsia"/>
          <w:sz w:val="18"/>
        </w:rPr>
        <w:t>řů</w:t>
      </w:r>
      <w:r w:rsidRPr="00202118">
        <w:rPr>
          <w:rFonts w:asciiTheme="minorHAnsi" w:hAnsiTheme="minorHAnsi"/>
          <w:sz w:val="18"/>
        </w:rPr>
        <w:t>m nebo spole</w:t>
      </w:r>
      <w:r w:rsidRPr="00202118">
        <w:rPr>
          <w:rFonts w:asciiTheme="minorHAnsi" w:hAnsiTheme="minorHAnsi" w:hint="eastAsia"/>
          <w:sz w:val="18"/>
        </w:rPr>
        <w:t>č</w:t>
      </w:r>
      <w:r w:rsidRPr="00202118">
        <w:rPr>
          <w:rFonts w:asciiTheme="minorHAnsi" w:hAnsiTheme="minorHAnsi"/>
          <w:sz w:val="18"/>
        </w:rPr>
        <w:t>ník</w:t>
      </w:r>
      <w:r w:rsidRPr="00202118">
        <w:rPr>
          <w:rFonts w:asciiTheme="minorHAnsi" w:hAnsiTheme="minorHAnsi" w:hint="eastAsia"/>
          <w:sz w:val="18"/>
        </w:rPr>
        <w:t>ů</w:t>
      </w:r>
      <w:r w:rsidRPr="00202118">
        <w:rPr>
          <w:rFonts w:asciiTheme="minorHAnsi" w:hAnsiTheme="minorHAnsi"/>
          <w:sz w:val="18"/>
        </w:rPr>
        <w:t xml:space="preserve">m, v daném subjektu. </w:t>
      </w:r>
    </w:p>
    <w:p w14:paraId="6A5AF13F" w14:textId="77777777" w:rsidR="000D642E" w:rsidRDefault="000D642E" w:rsidP="00F843C9">
      <w:pPr>
        <w:pStyle w:val="Textpoznpodarou"/>
      </w:pPr>
      <w:r w:rsidRPr="00202118">
        <w:rPr>
          <w:rFonts w:asciiTheme="minorHAnsi" w:hAnsiTheme="minorHAnsi"/>
          <w:sz w:val="18"/>
        </w:rPr>
        <w:t>Subjekty, které mají jakýkoli vztah uvedený v prvním pododstavci písm. a) až d) prost</w:t>
      </w:r>
      <w:r w:rsidRPr="00202118">
        <w:rPr>
          <w:rFonts w:asciiTheme="minorHAnsi" w:hAnsiTheme="minorHAnsi" w:hint="eastAsia"/>
          <w:sz w:val="18"/>
        </w:rPr>
        <w:t>ř</w:t>
      </w:r>
      <w:r w:rsidRPr="00202118">
        <w:rPr>
          <w:rFonts w:asciiTheme="minorHAnsi" w:hAnsiTheme="minorHAnsi"/>
          <w:sz w:val="18"/>
        </w:rPr>
        <w:t>ednictvím jednoho nebo více subjekt</w:t>
      </w:r>
      <w:r w:rsidRPr="00202118">
        <w:rPr>
          <w:rFonts w:asciiTheme="minorHAnsi" w:hAnsiTheme="minorHAnsi" w:hint="eastAsia"/>
          <w:sz w:val="18"/>
        </w:rPr>
        <w:t>ů</w:t>
      </w:r>
      <w:r w:rsidRPr="00202118">
        <w:rPr>
          <w:rFonts w:asciiTheme="minorHAnsi" w:hAnsiTheme="minorHAnsi"/>
          <w:sz w:val="18"/>
        </w:rPr>
        <w:t>, jsou také považovány za jeden podnik.</w:t>
      </w:r>
    </w:p>
  </w:footnote>
  <w:footnote w:id="23">
    <w:p w14:paraId="3DE5ECDB" w14:textId="77777777" w:rsidR="000D642E" w:rsidRPr="00052838" w:rsidRDefault="000D642E">
      <w:pPr>
        <w:pStyle w:val="Textpoznpodarou"/>
        <w:rPr>
          <w:rFonts w:asciiTheme="minorHAnsi" w:hAnsiTheme="minorHAnsi" w:cstheme="minorHAnsi"/>
        </w:rPr>
      </w:pPr>
      <w:r w:rsidRPr="00052838">
        <w:rPr>
          <w:rStyle w:val="Znakapoznpodarou"/>
          <w:rFonts w:asciiTheme="minorHAnsi" w:hAnsiTheme="minorHAnsi" w:cstheme="minorHAnsi"/>
        </w:rPr>
        <w:footnoteRef/>
      </w:r>
      <w:r w:rsidRPr="00052838">
        <w:rPr>
          <w:rFonts w:asciiTheme="minorHAnsi" w:hAnsiTheme="minorHAnsi" w:cstheme="minorHAnsi"/>
        </w:rPr>
        <w:t xml:space="preserve"> </w:t>
      </w:r>
      <w:r w:rsidRPr="00D1370B">
        <w:rPr>
          <w:rFonts w:asciiTheme="minorHAnsi" w:hAnsiTheme="minorHAnsi" w:cstheme="minorHAnsi"/>
        </w:rPr>
        <w:t>O</w:t>
      </w:r>
      <w:r w:rsidRPr="00052838">
        <w:rPr>
          <w:rFonts w:asciiTheme="minorHAnsi" w:hAnsiTheme="minorHAnsi" w:cstheme="minorHAnsi"/>
        </w:rPr>
        <w:t>rienta</w:t>
      </w:r>
      <w:r w:rsidRPr="00052838">
        <w:rPr>
          <w:rFonts w:asciiTheme="minorHAnsi" w:hAnsiTheme="minorHAnsi" w:cstheme="minorHAnsi" w:hint="eastAsia"/>
        </w:rPr>
        <w:t>č</w:t>
      </w:r>
      <w:r w:rsidRPr="00052838">
        <w:rPr>
          <w:rFonts w:asciiTheme="minorHAnsi" w:hAnsiTheme="minorHAnsi" w:cstheme="minorHAnsi"/>
        </w:rPr>
        <w:t>ní vý</w:t>
      </w:r>
      <w:r w:rsidRPr="00052838">
        <w:rPr>
          <w:rFonts w:asciiTheme="minorHAnsi" w:hAnsiTheme="minorHAnsi" w:cstheme="minorHAnsi" w:hint="eastAsia"/>
        </w:rPr>
        <w:t>č</w:t>
      </w:r>
      <w:r w:rsidRPr="00052838">
        <w:rPr>
          <w:rFonts w:asciiTheme="minorHAnsi" w:hAnsiTheme="minorHAnsi" w:cstheme="minorHAnsi"/>
        </w:rPr>
        <w:t>et, poskytovatel podpory je oprávn</w:t>
      </w:r>
      <w:r w:rsidRPr="00052838">
        <w:rPr>
          <w:rFonts w:asciiTheme="minorHAnsi" w:hAnsiTheme="minorHAnsi" w:cstheme="minorHAnsi" w:hint="eastAsia"/>
        </w:rPr>
        <w:t>ě</w:t>
      </w:r>
      <w:r w:rsidRPr="00052838">
        <w:rPr>
          <w:rFonts w:asciiTheme="minorHAnsi" w:hAnsiTheme="minorHAnsi" w:cstheme="minorHAnsi"/>
        </w:rPr>
        <w:t>n rozsah vyhodnocení zúžit nebo rozší</w:t>
      </w:r>
      <w:r w:rsidRPr="00052838">
        <w:rPr>
          <w:rFonts w:asciiTheme="minorHAnsi" w:hAnsiTheme="minorHAnsi" w:cstheme="minorHAnsi" w:hint="eastAsia"/>
        </w:rPr>
        <w:t>ř</w:t>
      </w:r>
      <w:r w:rsidRPr="00052838">
        <w:rPr>
          <w:rFonts w:asciiTheme="minorHAnsi" w:hAnsiTheme="minorHAnsi" w:cstheme="minorHAnsi"/>
        </w:rPr>
        <w:t>it, nap</w:t>
      </w:r>
      <w:r w:rsidRPr="00052838">
        <w:rPr>
          <w:rFonts w:asciiTheme="minorHAnsi" w:hAnsiTheme="minorHAnsi" w:cstheme="minorHAnsi" w:hint="eastAsia"/>
        </w:rPr>
        <w:t>ř</w:t>
      </w:r>
      <w:r w:rsidRPr="00052838">
        <w:rPr>
          <w:rFonts w:asciiTheme="minorHAnsi" w:hAnsiTheme="minorHAnsi" w:cstheme="minorHAnsi"/>
        </w:rPr>
        <w:t>. v závislosti na požadované výši zvýhodn</w:t>
      </w:r>
      <w:r w:rsidRPr="00052838">
        <w:rPr>
          <w:rFonts w:asciiTheme="minorHAnsi" w:hAnsiTheme="minorHAnsi" w:cstheme="minorHAnsi" w:hint="eastAsia"/>
        </w:rPr>
        <w:t>ě</w:t>
      </w:r>
      <w:r w:rsidRPr="00052838">
        <w:rPr>
          <w:rFonts w:asciiTheme="minorHAnsi" w:hAnsiTheme="minorHAnsi" w:cstheme="minorHAnsi"/>
        </w:rPr>
        <w:t xml:space="preserve">ného </w:t>
      </w:r>
      <w:r w:rsidRPr="00052838">
        <w:rPr>
          <w:rFonts w:asciiTheme="minorHAnsi" w:hAnsiTheme="minorHAnsi" w:cstheme="minorHAnsi" w:hint="eastAsia"/>
        </w:rPr>
        <w:t>ú</w:t>
      </w:r>
      <w:r w:rsidRPr="00052838">
        <w:rPr>
          <w:rFonts w:asciiTheme="minorHAnsi" w:hAnsiTheme="minorHAnsi" w:cstheme="minorHAnsi"/>
        </w:rPr>
        <w:t>v</w:t>
      </w:r>
      <w:r w:rsidRPr="00052838">
        <w:rPr>
          <w:rFonts w:asciiTheme="minorHAnsi" w:hAnsiTheme="minorHAnsi" w:cstheme="minorHAnsi" w:hint="eastAsia"/>
        </w:rPr>
        <w:t>ě</w:t>
      </w:r>
      <w:r w:rsidRPr="00052838">
        <w:rPr>
          <w:rFonts w:asciiTheme="minorHAnsi" w:hAnsiTheme="minorHAnsi" w:cstheme="minorHAnsi"/>
        </w:rPr>
        <w:t>ru</w:t>
      </w:r>
      <w:r>
        <w:rPr>
          <w:rFonts w:asciiTheme="minorHAnsi" w:hAnsiTheme="minorHAnsi" w:cstheme="minorHAnsi"/>
        </w:rPr>
        <w:t>, vždy však v souladu se svými interními předpisy řízení úvěrového rizika.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67C6" w14:textId="77777777" w:rsidR="000D642E" w:rsidRDefault="000D64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F7D2" w14:textId="77777777" w:rsidR="000D642E" w:rsidRDefault="000D642E">
    <w:pPr>
      <w:pStyle w:val="Zhlav"/>
      <w:tabs>
        <w:tab w:val="clear" w:pos="4536"/>
        <w:tab w:val="clear" w:pos="9072"/>
        <w:tab w:val="left" w:pos="3600"/>
      </w:tabs>
    </w:pPr>
    <w:r>
      <w:rPr>
        <w:noProof/>
      </w:rPr>
      <w:drawing>
        <wp:anchor distT="0" distB="0" distL="114300" distR="114300" simplePos="0" relativeHeight="251660800" behindDoc="1" locked="0" layoutInCell="1" allowOverlap="1" wp14:anchorId="062D44A6" wp14:editId="11AF55CC">
          <wp:simplePos x="0" y="0"/>
          <wp:positionH relativeFrom="column">
            <wp:posOffset>-607325</wp:posOffset>
          </wp:positionH>
          <wp:positionV relativeFrom="paragraph">
            <wp:posOffset>-280414</wp:posOffset>
          </wp:positionV>
          <wp:extent cx="1385570" cy="741045"/>
          <wp:effectExtent l="0" t="0" r="508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741045"/>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0E7B1D26" wp14:editId="2419EA76">
          <wp:simplePos x="0" y="0"/>
          <wp:positionH relativeFrom="margin">
            <wp:posOffset>4108318</wp:posOffset>
          </wp:positionH>
          <wp:positionV relativeFrom="margin">
            <wp:posOffset>-825064</wp:posOffset>
          </wp:positionV>
          <wp:extent cx="1931670" cy="603885"/>
          <wp:effectExtent l="19050" t="0" r="0" b="0"/>
          <wp:wrapSquare wrapText="bothSides"/>
          <wp:docPr id="3" name="Obrázek 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670" cy="603885"/>
                  </a:xfrm>
                  <a:prstGeom prst="rect">
                    <a:avLst/>
                  </a:prstGeom>
                  <a:noFill/>
                </pic:spPr>
              </pic:pic>
            </a:graphicData>
          </a:graphic>
        </wp:anchor>
      </w:drawing>
    </w:r>
    <w:r>
      <w:tab/>
      <w:t xml:space="preserve">                                                                   logo ČMZRB</w:t>
    </w:r>
  </w:p>
  <w:p w14:paraId="5709E4F7" w14:textId="77777777" w:rsidR="000D642E" w:rsidRDefault="000D64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1F0"/>
    <w:multiLevelType w:val="hybridMultilevel"/>
    <w:tmpl w:val="7ACEA3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C21BF"/>
    <w:multiLevelType w:val="hybridMultilevel"/>
    <w:tmpl w:val="8F1248E6"/>
    <w:lvl w:ilvl="0" w:tplc="37CE23FC">
      <w:start w:val="2"/>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0C2AE3"/>
    <w:multiLevelType w:val="hybridMultilevel"/>
    <w:tmpl w:val="F0F0C9B0"/>
    <w:lvl w:ilvl="0" w:tplc="04050011">
      <w:start w:val="1"/>
      <w:numFmt w:val="decimal"/>
      <w:lvlText w:val="%1)"/>
      <w:lvlJc w:val="left"/>
      <w:pPr>
        <w:ind w:left="360" w:hanging="360"/>
      </w:pPr>
      <w:rPr>
        <w:rFonts w:hint="default"/>
      </w:rPr>
    </w:lvl>
    <w:lvl w:ilvl="1" w:tplc="BA5CCEA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EF74D6"/>
    <w:multiLevelType w:val="hybridMultilevel"/>
    <w:tmpl w:val="18FE107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05484EE7"/>
    <w:multiLevelType w:val="multilevel"/>
    <w:tmpl w:val="67E8CFDA"/>
    <w:lvl w:ilvl="0">
      <w:start w:val="1"/>
      <w:numFmt w:val="decimal"/>
      <w:pStyle w:val="Nadpis1"/>
      <w:lvlText w:val="%1."/>
      <w:lvlJc w:val="left"/>
      <w:pPr>
        <w:ind w:left="716" w:hanging="432"/>
      </w:pPr>
      <w:rPr>
        <w:rFonts w:hint="default"/>
        <w:b/>
        <w:i w:val="0"/>
        <w:sz w:val="32"/>
      </w:rPr>
    </w:lvl>
    <w:lvl w:ilvl="1">
      <w:start w:val="1"/>
      <w:numFmt w:val="decimal"/>
      <w:pStyle w:val="Nadpis2"/>
      <w:lvlText w:val="%1.%2"/>
      <w:lvlJc w:val="left"/>
      <w:pPr>
        <w:ind w:left="3270"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b/>
        <w:i w:val="0"/>
        <w:sz w:val="28"/>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64A629F"/>
    <w:multiLevelType w:val="hybridMultilevel"/>
    <w:tmpl w:val="5FCEDAA0"/>
    <w:lvl w:ilvl="0" w:tplc="A1244D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6964A33"/>
    <w:multiLevelType w:val="hybridMultilevel"/>
    <w:tmpl w:val="E00604F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6AE7782"/>
    <w:multiLevelType w:val="hybridMultilevel"/>
    <w:tmpl w:val="FB94E13A"/>
    <w:lvl w:ilvl="0" w:tplc="5FBC45E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07090391"/>
    <w:multiLevelType w:val="hybridMultilevel"/>
    <w:tmpl w:val="176E4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560D02"/>
    <w:multiLevelType w:val="hybridMultilevel"/>
    <w:tmpl w:val="54966F22"/>
    <w:lvl w:ilvl="0" w:tplc="A1244D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C666B2"/>
    <w:multiLevelType w:val="hybridMultilevel"/>
    <w:tmpl w:val="17660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0E3832"/>
    <w:multiLevelType w:val="hybridMultilevel"/>
    <w:tmpl w:val="066E21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95C3E11"/>
    <w:multiLevelType w:val="hybridMultilevel"/>
    <w:tmpl w:val="DA7A0A8C"/>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66254F"/>
    <w:multiLevelType w:val="hybridMultilevel"/>
    <w:tmpl w:val="13E69C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ACA1D77"/>
    <w:multiLevelType w:val="hybridMultilevel"/>
    <w:tmpl w:val="8F0662F0"/>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5D4F05"/>
    <w:multiLevelType w:val="hybridMultilevel"/>
    <w:tmpl w:val="7F240922"/>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0DD73563"/>
    <w:multiLevelType w:val="hybridMultilevel"/>
    <w:tmpl w:val="8FB4659A"/>
    <w:lvl w:ilvl="0" w:tplc="286E847C">
      <w:start w:val="2"/>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ECC5303"/>
    <w:multiLevelType w:val="hybridMultilevel"/>
    <w:tmpl w:val="E01878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FB66A82"/>
    <w:multiLevelType w:val="hybridMultilevel"/>
    <w:tmpl w:val="C5D4E74A"/>
    <w:lvl w:ilvl="0" w:tplc="0409000F">
      <w:start w:val="1"/>
      <w:numFmt w:val="decimal"/>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u w:val="none"/>
      </w:rPr>
    </w:lvl>
    <w:lvl w:ilvl="2" w:tplc="7ED8964A">
      <w:start w:val="1"/>
      <w:numFmt w:val="lowerLetter"/>
      <w:lvlText w:val="%3)"/>
      <w:lvlJc w:val="left"/>
      <w:pPr>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2E6F0E"/>
    <w:multiLevelType w:val="hybridMultilevel"/>
    <w:tmpl w:val="F60A8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325164B"/>
    <w:multiLevelType w:val="hybridMultilevel"/>
    <w:tmpl w:val="C61839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32E719C"/>
    <w:multiLevelType w:val="hybridMultilevel"/>
    <w:tmpl w:val="8690BCA0"/>
    <w:lvl w:ilvl="0" w:tplc="B358E162">
      <w:start w:val="1"/>
      <w:numFmt w:val="lowerLetter"/>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13D6341B"/>
    <w:multiLevelType w:val="hybridMultilevel"/>
    <w:tmpl w:val="7E46BFEA"/>
    <w:lvl w:ilvl="0" w:tplc="FFFFFFFF">
      <w:start w:val="1"/>
      <w:numFmt w:val="lowerLetter"/>
      <w:lvlText w:val="%1)"/>
      <w:lvlJc w:val="left"/>
      <w:pPr>
        <w:tabs>
          <w:tab w:val="num" w:pos="502"/>
        </w:tabs>
        <w:ind w:left="50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3" w15:restartNumberingAfterBreak="0">
    <w:nsid w:val="142B6506"/>
    <w:multiLevelType w:val="hybridMultilevel"/>
    <w:tmpl w:val="CA6668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5841C04"/>
    <w:multiLevelType w:val="multilevel"/>
    <w:tmpl w:val="188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1838F4"/>
    <w:multiLevelType w:val="hybridMultilevel"/>
    <w:tmpl w:val="45705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76820DC"/>
    <w:multiLevelType w:val="hybridMultilevel"/>
    <w:tmpl w:val="4EA0D534"/>
    <w:lvl w:ilvl="0" w:tplc="13DEA3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83855A7"/>
    <w:multiLevelType w:val="hybridMultilevel"/>
    <w:tmpl w:val="3A985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96F5A4B"/>
    <w:multiLevelType w:val="hybridMultilevel"/>
    <w:tmpl w:val="4DB0E4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9CF4739"/>
    <w:multiLevelType w:val="hybridMultilevel"/>
    <w:tmpl w:val="2F2E45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A0268BE"/>
    <w:multiLevelType w:val="hybridMultilevel"/>
    <w:tmpl w:val="5DB68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B066AD9"/>
    <w:multiLevelType w:val="hybridMultilevel"/>
    <w:tmpl w:val="AD201C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B8D2C65"/>
    <w:multiLevelType w:val="hybridMultilevel"/>
    <w:tmpl w:val="977023C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1BDF61FC"/>
    <w:multiLevelType w:val="hybridMultilevel"/>
    <w:tmpl w:val="BC5467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C360673"/>
    <w:multiLevelType w:val="hybridMultilevel"/>
    <w:tmpl w:val="BF4ECC2A"/>
    <w:lvl w:ilvl="0" w:tplc="E6E0B5B4">
      <w:start w:val="1"/>
      <w:numFmt w:val="lowerLetter"/>
      <w:pStyle w:val="Index"/>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C745081"/>
    <w:multiLevelType w:val="hybridMultilevel"/>
    <w:tmpl w:val="3D88E1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1F6F1523"/>
    <w:multiLevelType w:val="hybridMultilevel"/>
    <w:tmpl w:val="3386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FBB77B5"/>
    <w:multiLevelType w:val="hybridMultilevel"/>
    <w:tmpl w:val="0F06BCF6"/>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8" w15:restartNumberingAfterBreak="0">
    <w:nsid w:val="206B57D9"/>
    <w:multiLevelType w:val="hybridMultilevel"/>
    <w:tmpl w:val="8F0662F0"/>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1487194"/>
    <w:multiLevelType w:val="hybridMultilevel"/>
    <w:tmpl w:val="1D6655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33729AB"/>
    <w:multiLevelType w:val="hybridMultilevel"/>
    <w:tmpl w:val="7E781E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55732D7"/>
    <w:multiLevelType w:val="hybridMultilevel"/>
    <w:tmpl w:val="1C74EF1A"/>
    <w:lvl w:ilvl="0" w:tplc="E7BA5F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A8564C8"/>
    <w:multiLevelType w:val="hybridMultilevel"/>
    <w:tmpl w:val="1C38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BA753D2"/>
    <w:multiLevelType w:val="hybridMultilevel"/>
    <w:tmpl w:val="E7D44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C294E48"/>
    <w:multiLevelType w:val="hybridMultilevel"/>
    <w:tmpl w:val="6F06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CFD257F"/>
    <w:multiLevelType w:val="hybridMultilevel"/>
    <w:tmpl w:val="2B14F6F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2F0A52F9"/>
    <w:multiLevelType w:val="hybridMultilevel"/>
    <w:tmpl w:val="E6FCEF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30E75A7E"/>
    <w:multiLevelType w:val="hybridMultilevel"/>
    <w:tmpl w:val="09AAFE8E"/>
    <w:lvl w:ilvl="0" w:tplc="DFB4AF2E">
      <w:start w:val="1"/>
      <w:numFmt w:val="lowerLetter"/>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15:restartNumberingAfterBreak="0">
    <w:nsid w:val="33B56391"/>
    <w:multiLevelType w:val="hybridMultilevel"/>
    <w:tmpl w:val="3F76F444"/>
    <w:lvl w:ilvl="0" w:tplc="76E25CC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9" w15:restartNumberingAfterBreak="0">
    <w:nsid w:val="33C25926"/>
    <w:multiLevelType w:val="hybridMultilevel"/>
    <w:tmpl w:val="B068F2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0" w15:restartNumberingAfterBreak="0">
    <w:nsid w:val="33CC5CB5"/>
    <w:multiLevelType w:val="hybridMultilevel"/>
    <w:tmpl w:val="4454D132"/>
    <w:lvl w:ilvl="0" w:tplc="0F405B0C">
      <w:start w:val="1"/>
      <w:numFmt w:val="bullet"/>
      <w:pStyle w:val="Odrka"/>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7FA275E"/>
    <w:multiLevelType w:val="hybridMultilevel"/>
    <w:tmpl w:val="0E483CF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2" w15:restartNumberingAfterBreak="0">
    <w:nsid w:val="387F29B9"/>
    <w:multiLevelType w:val="hybridMultilevel"/>
    <w:tmpl w:val="9AA2B6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391B7958"/>
    <w:multiLevelType w:val="hybridMultilevel"/>
    <w:tmpl w:val="0B74C0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A102BDD"/>
    <w:multiLevelType w:val="hybridMultilevel"/>
    <w:tmpl w:val="16A879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DC14562"/>
    <w:multiLevelType w:val="hybridMultilevel"/>
    <w:tmpl w:val="2304B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F2C33E8"/>
    <w:multiLevelType w:val="hybridMultilevel"/>
    <w:tmpl w:val="7CA2B8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FE97DFC"/>
    <w:multiLevelType w:val="hybridMultilevel"/>
    <w:tmpl w:val="1C706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30B3770"/>
    <w:multiLevelType w:val="hybridMultilevel"/>
    <w:tmpl w:val="7278D9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46492888"/>
    <w:multiLevelType w:val="hybridMultilevel"/>
    <w:tmpl w:val="2B0CF2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82D2C4F"/>
    <w:multiLevelType w:val="hybridMultilevel"/>
    <w:tmpl w:val="0E6CC10C"/>
    <w:lvl w:ilvl="0" w:tplc="04050001">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90167B3"/>
    <w:multiLevelType w:val="hybridMultilevel"/>
    <w:tmpl w:val="8E747C9C"/>
    <w:lvl w:ilvl="0" w:tplc="198C84A8">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62" w15:restartNumberingAfterBreak="0">
    <w:nsid w:val="4C163773"/>
    <w:multiLevelType w:val="hybridMultilevel"/>
    <w:tmpl w:val="DA28DE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51003BE"/>
    <w:multiLevelType w:val="hybridMultilevel"/>
    <w:tmpl w:val="AB5A51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7C445C0"/>
    <w:multiLevelType w:val="hybridMultilevel"/>
    <w:tmpl w:val="1C208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93213C9"/>
    <w:multiLevelType w:val="hybridMultilevel"/>
    <w:tmpl w:val="A2D45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9A26D17"/>
    <w:multiLevelType w:val="hybridMultilevel"/>
    <w:tmpl w:val="BBB0E3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A471D66"/>
    <w:multiLevelType w:val="hybridMultilevel"/>
    <w:tmpl w:val="F2681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BA0480D"/>
    <w:multiLevelType w:val="hybridMultilevel"/>
    <w:tmpl w:val="C200F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C3C3DFB"/>
    <w:multiLevelType w:val="hybridMultilevel"/>
    <w:tmpl w:val="15163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9D4164"/>
    <w:multiLevelType w:val="hybridMultilevel"/>
    <w:tmpl w:val="9488C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E007D1B"/>
    <w:multiLevelType w:val="hybridMultilevel"/>
    <w:tmpl w:val="01C648FE"/>
    <w:lvl w:ilvl="0" w:tplc="647420C8">
      <w:start w:val="1"/>
      <w:numFmt w:val="lowerLetter"/>
      <w:lvlText w:val="%1)"/>
      <w:lvlJc w:val="left"/>
      <w:pPr>
        <w:ind w:left="360" w:hanging="360"/>
      </w:pPr>
      <w:rPr>
        <w:rFonts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5F3C5CBD"/>
    <w:multiLevelType w:val="hybridMultilevel"/>
    <w:tmpl w:val="EC504376"/>
    <w:lvl w:ilvl="0" w:tplc="A1244D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3" w15:restartNumberingAfterBreak="0">
    <w:nsid w:val="60BC6A14"/>
    <w:multiLevelType w:val="hybridMultilevel"/>
    <w:tmpl w:val="C66C9C88"/>
    <w:lvl w:ilvl="0" w:tplc="04050019">
      <w:start w:val="1"/>
      <w:numFmt w:val="lowerLetter"/>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E74581"/>
    <w:multiLevelType w:val="hybridMultilevel"/>
    <w:tmpl w:val="68E45F22"/>
    <w:lvl w:ilvl="0" w:tplc="9170EA0E">
      <w:start w:val="2"/>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CF824EC"/>
    <w:multiLevelType w:val="hybridMultilevel"/>
    <w:tmpl w:val="183AC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D3E3229"/>
    <w:multiLevelType w:val="hybridMultilevel"/>
    <w:tmpl w:val="6F06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DB21D5D"/>
    <w:multiLevelType w:val="hybridMultilevel"/>
    <w:tmpl w:val="79C8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E987EC6"/>
    <w:multiLevelType w:val="hybridMultilevel"/>
    <w:tmpl w:val="6F06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53A0D48"/>
    <w:multiLevelType w:val="hybridMultilevel"/>
    <w:tmpl w:val="B6D0C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57A2307"/>
    <w:multiLevelType w:val="hybridMultilevel"/>
    <w:tmpl w:val="0FFA2CE8"/>
    <w:lvl w:ilvl="0" w:tplc="647420C8">
      <w:start w:val="1"/>
      <w:numFmt w:val="lowerLetter"/>
      <w:lvlText w:val="%1)"/>
      <w:lvlJc w:val="left"/>
      <w:pPr>
        <w:ind w:left="360" w:hanging="360"/>
      </w:pPr>
      <w:rPr>
        <w:rFonts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774C5ED0"/>
    <w:multiLevelType w:val="hybridMultilevel"/>
    <w:tmpl w:val="47A2A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90505B3"/>
    <w:multiLevelType w:val="hybridMultilevel"/>
    <w:tmpl w:val="9B3CE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A8C1BD3"/>
    <w:multiLevelType w:val="hybridMultilevel"/>
    <w:tmpl w:val="2F2E64B4"/>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B1E7064"/>
    <w:multiLevelType w:val="hybridMultilevel"/>
    <w:tmpl w:val="ED346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C8E24A9"/>
    <w:multiLevelType w:val="hybridMultilevel"/>
    <w:tmpl w:val="6F06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CF064F1"/>
    <w:multiLevelType w:val="hybridMultilevel"/>
    <w:tmpl w:val="244E0FD0"/>
    <w:lvl w:ilvl="0" w:tplc="9E465810">
      <w:start w:val="1"/>
      <w:numFmt w:val="lowerLetter"/>
      <w:lvlText w:val="%1)"/>
      <w:lvlJc w:val="left"/>
      <w:pPr>
        <w:ind w:left="720" w:hanging="360"/>
      </w:pPr>
    </w:lvl>
    <w:lvl w:ilvl="1" w:tplc="C2166254">
      <w:start w:val="1"/>
      <w:numFmt w:val="decimal"/>
      <w:lvlText w:val="%2."/>
      <w:lvlJc w:val="left"/>
      <w:pPr>
        <w:ind w:left="1440" w:hanging="360"/>
      </w:pPr>
      <w:rPr>
        <w:rFonts w:hint="default"/>
      </w:rPr>
    </w:lvl>
    <w:lvl w:ilvl="2" w:tplc="87A8B0DC" w:tentative="1">
      <w:start w:val="1"/>
      <w:numFmt w:val="lowerRoman"/>
      <w:lvlText w:val="%3."/>
      <w:lvlJc w:val="right"/>
      <w:pPr>
        <w:ind w:left="2160" w:hanging="180"/>
      </w:pPr>
    </w:lvl>
    <w:lvl w:ilvl="3" w:tplc="87B46B2A" w:tentative="1">
      <w:start w:val="1"/>
      <w:numFmt w:val="decimal"/>
      <w:lvlText w:val="%4."/>
      <w:lvlJc w:val="left"/>
      <w:pPr>
        <w:ind w:left="2880" w:hanging="360"/>
      </w:pPr>
    </w:lvl>
    <w:lvl w:ilvl="4" w:tplc="BEA8D5BC" w:tentative="1">
      <w:start w:val="1"/>
      <w:numFmt w:val="lowerLetter"/>
      <w:lvlText w:val="%5."/>
      <w:lvlJc w:val="left"/>
      <w:pPr>
        <w:ind w:left="3600" w:hanging="360"/>
      </w:pPr>
    </w:lvl>
    <w:lvl w:ilvl="5" w:tplc="2F484CCC" w:tentative="1">
      <w:start w:val="1"/>
      <w:numFmt w:val="lowerRoman"/>
      <w:lvlText w:val="%6."/>
      <w:lvlJc w:val="right"/>
      <w:pPr>
        <w:ind w:left="4320" w:hanging="180"/>
      </w:pPr>
    </w:lvl>
    <w:lvl w:ilvl="6" w:tplc="A18889B6" w:tentative="1">
      <w:start w:val="1"/>
      <w:numFmt w:val="decimal"/>
      <w:lvlText w:val="%7."/>
      <w:lvlJc w:val="left"/>
      <w:pPr>
        <w:ind w:left="5040" w:hanging="360"/>
      </w:pPr>
    </w:lvl>
    <w:lvl w:ilvl="7" w:tplc="B55C3CAE" w:tentative="1">
      <w:start w:val="1"/>
      <w:numFmt w:val="lowerLetter"/>
      <w:lvlText w:val="%8."/>
      <w:lvlJc w:val="left"/>
      <w:pPr>
        <w:ind w:left="5760" w:hanging="360"/>
      </w:pPr>
    </w:lvl>
    <w:lvl w:ilvl="8" w:tplc="529204FC" w:tentative="1">
      <w:start w:val="1"/>
      <w:numFmt w:val="lowerRoman"/>
      <w:lvlText w:val="%9."/>
      <w:lvlJc w:val="right"/>
      <w:pPr>
        <w:ind w:left="6480" w:hanging="180"/>
      </w:pPr>
    </w:lvl>
  </w:abstractNum>
  <w:abstractNum w:abstractNumId="87" w15:restartNumberingAfterBreak="0">
    <w:nsid w:val="7D5910EC"/>
    <w:multiLevelType w:val="hybridMultilevel"/>
    <w:tmpl w:val="C590B92C"/>
    <w:lvl w:ilvl="0" w:tplc="04050017">
      <w:start w:val="1"/>
      <w:numFmt w:val="lowerLetter"/>
      <w:lvlText w:val="%1)"/>
      <w:lvlJc w:val="left"/>
      <w:pPr>
        <w:ind w:left="720" w:hanging="360"/>
      </w:pPr>
    </w:lvl>
    <w:lvl w:ilvl="1" w:tplc="1FA08E5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EB949D0"/>
    <w:multiLevelType w:val="hybridMultilevel"/>
    <w:tmpl w:val="E3CC9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0"/>
  </w:num>
  <w:num w:numId="3">
    <w:abstractNumId w:val="27"/>
  </w:num>
  <w:num w:numId="4">
    <w:abstractNumId w:val="34"/>
  </w:num>
  <w:num w:numId="5">
    <w:abstractNumId w:val="52"/>
  </w:num>
  <w:num w:numId="6">
    <w:abstractNumId w:val="54"/>
  </w:num>
  <w:num w:numId="7">
    <w:abstractNumId w:val="62"/>
  </w:num>
  <w:num w:numId="8">
    <w:abstractNumId w:val="39"/>
  </w:num>
  <w:num w:numId="9">
    <w:abstractNumId w:val="87"/>
  </w:num>
  <w:num w:numId="10">
    <w:abstractNumId w:val="86"/>
  </w:num>
  <w:num w:numId="11">
    <w:abstractNumId w:val="36"/>
  </w:num>
  <w:num w:numId="12">
    <w:abstractNumId w:val="66"/>
  </w:num>
  <w:num w:numId="13">
    <w:abstractNumId w:val="81"/>
  </w:num>
  <w:num w:numId="14">
    <w:abstractNumId w:val="13"/>
  </w:num>
  <w:num w:numId="15">
    <w:abstractNumId w:val="20"/>
  </w:num>
  <w:num w:numId="16">
    <w:abstractNumId w:val="28"/>
  </w:num>
  <w:num w:numId="17">
    <w:abstractNumId w:val="78"/>
  </w:num>
  <w:num w:numId="18">
    <w:abstractNumId w:val="33"/>
  </w:num>
  <w:num w:numId="19">
    <w:abstractNumId w:val="75"/>
  </w:num>
  <w:num w:numId="20">
    <w:abstractNumId w:val="38"/>
  </w:num>
  <w:num w:numId="21">
    <w:abstractNumId w:val="11"/>
  </w:num>
  <w:num w:numId="22">
    <w:abstractNumId w:val="12"/>
  </w:num>
  <w:num w:numId="23">
    <w:abstractNumId w:val="59"/>
  </w:num>
  <w:num w:numId="24">
    <w:abstractNumId w:val="23"/>
  </w:num>
  <w:num w:numId="25">
    <w:abstractNumId w:val="70"/>
  </w:num>
  <w:num w:numId="26">
    <w:abstractNumId w:val="8"/>
  </w:num>
  <w:num w:numId="27">
    <w:abstractNumId w:val="68"/>
  </w:num>
  <w:num w:numId="28">
    <w:abstractNumId w:val="10"/>
  </w:num>
  <w:num w:numId="29">
    <w:abstractNumId w:val="84"/>
  </w:num>
  <w:num w:numId="30">
    <w:abstractNumId w:val="53"/>
  </w:num>
  <w:num w:numId="31">
    <w:abstractNumId w:val="69"/>
  </w:num>
  <w:num w:numId="32">
    <w:abstractNumId w:val="24"/>
  </w:num>
  <w:num w:numId="33">
    <w:abstractNumId w:val="17"/>
  </w:num>
  <w:num w:numId="34">
    <w:abstractNumId w:val="44"/>
  </w:num>
  <w:num w:numId="35">
    <w:abstractNumId w:val="25"/>
  </w:num>
  <w:num w:numId="36">
    <w:abstractNumId w:val="45"/>
  </w:num>
  <w:num w:numId="37">
    <w:abstractNumId w:val="50"/>
  </w:num>
  <w:num w:numId="38">
    <w:abstractNumId w:val="4"/>
  </w:num>
  <w:num w:numId="39">
    <w:abstractNumId w:val="61"/>
  </w:num>
  <w:num w:numId="40">
    <w:abstractNumId w:val="65"/>
  </w:num>
  <w:num w:numId="41">
    <w:abstractNumId w:val="79"/>
  </w:num>
  <w:num w:numId="42">
    <w:abstractNumId w:val="85"/>
  </w:num>
  <w:num w:numId="43">
    <w:abstractNumId w:val="76"/>
  </w:num>
  <w:num w:numId="44">
    <w:abstractNumId w:val="22"/>
  </w:num>
  <w:num w:numId="45">
    <w:abstractNumId w:val="83"/>
  </w:num>
  <w:num w:numId="46">
    <w:abstractNumId w:val="88"/>
  </w:num>
  <w:num w:numId="47">
    <w:abstractNumId w:val="40"/>
  </w:num>
  <w:num w:numId="48">
    <w:abstractNumId w:val="46"/>
  </w:num>
  <w:num w:numId="49">
    <w:abstractNumId w:val="64"/>
  </w:num>
  <w:num w:numId="50">
    <w:abstractNumId w:val="63"/>
  </w:num>
  <w:num w:numId="51">
    <w:abstractNumId w:val="49"/>
  </w:num>
  <w:num w:numId="52">
    <w:abstractNumId w:val="48"/>
  </w:num>
  <w:num w:numId="53">
    <w:abstractNumId w:val="4"/>
  </w:num>
  <w:num w:numId="54">
    <w:abstractNumId w:val="4"/>
  </w:num>
  <w:num w:numId="55">
    <w:abstractNumId w:val="4"/>
  </w:num>
  <w:num w:numId="56">
    <w:abstractNumId w:val="31"/>
  </w:num>
  <w:num w:numId="57">
    <w:abstractNumId w:val="7"/>
  </w:num>
  <w:num w:numId="58">
    <w:abstractNumId w:val="50"/>
  </w:num>
  <w:num w:numId="59">
    <w:abstractNumId w:val="30"/>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29"/>
  </w:num>
  <w:num w:numId="72">
    <w:abstractNumId w:val="6"/>
  </w:num>
  <w:num w:numId="73">
    <w:abstractNumId w:val="4"/>
  </w:num>
  <w:num w:numId="74">
    <w:abstractNumId w:val="4"/>
  </w:num>
  <w:num w:numId="75">
    <w:abstractNumId w:val="35"/>
  </w:num>
  <w:num w:numId="76">
    <w:abstractNumId w:val="71"/>
  </w:num>
  <w:num w:numId="77">
    <w:abstractNumId w:val="80"/>
  </w:num>
  <w:num w:numId="78">
    <w:abstractNumId w:val="4"/>
  </w:num>
  <w:num w:numId="79">
    <w:abstractNumId w:val="2"/>
  </w:num>
  <w:num w:numId="80">
    <w:abstractNumId w:val="18"/>
  </w:num>
  <w:num w:numId="81">
    <w:abstractNumId w:val="58"/>
  </w:num>
  <w:num w:numId="82">
    <w:abstractNumId w:val="57"/>
  </w:num>
  <w:num w:numId="83">
    <w:abstractNumId w:val="3"/>
  </w:num>
  <w:num w:numId="84">
    <w:abstractNumId w:val="47"/>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67"/>
  </w:num>
  <w:num w:numId="95">
    <w:abstractNumId w:val="9"/>
  </w:num>
  <w:num w:numId="96">
    <w:abstractNumId w:val="5"/>
  </w:num>
  <w:num w:numId="97">
    <w:abstractNumId w:val="72"/>
  </w:num>
  <w:num w:numId="98">
    <w:abstractNumId w:val="32"/>
  </w:num>
  <w:num w:numId="99">
    <w:abstractNumId w:val="19"/>
  </w:num>
  <w:num w:numId="100">
    <w:abstractNumId w:val="77"/>
  </w:num>
  <w:num w:numId="101">
    <w:abstractNumId w:val="56"/>
  </w:num>
  <w:num w:numId="102">
    <w:abstractNumId w:val="37"/>
  </w:num>
  <w:num w:numId="103">
    <w:abstractNumId w:val="55"/>
  </w:num>
  <w:num w:numId="104">
    <w:abstractNumId w:val="50"/>
  </w:num>
  <w:num w:numId="105">
    <w:abstractNumId w:val="4"/>
  </w:num>
  <w:num w:numId="106">
    <w:abstractNumId w:val="82"/>
  </w:num>
  <w:num w:numId="107">
    <w:abstractNumId w:val="60"/>
  </w:num>
  <w:num w:numId="108">
    <w:abstractNumId w:val="43"/>
  </w:num>
  <w:num w:numId="109">
    <w:abstractNumId w:val="21"/>
  </w:num>
  <w:num w:numId="110">
    <w:abstractNumId w:val="16"/>
  </w:num>
  <w:num w:numId="111">
    <w:abstractNumId w:val="74"/>
  </w:num>
  <w:num w:numId="112">
    <w:abstractNumId w:val="42"/>
  </w:num>
  <w:num w:numId="113">
    <w:abstractNumId w:val="1"/>
  </w:num>
  <w:num w:numId="114">
    <w:abstractNumId w:val="50"/>
  </w:num>
  <w:num w:numId="115">
    <w:abstractNumId w:val="4"/>
  </w:num>
  <w:num w:numId="116">
    <w:abstractNumId w:val="4"/>
  </w:num>
  <w:num w:numId="117">
    <w:abstractNumId w:val="50"/>
  </w:num>
  <w:num w:numId="118">
    <w:abstractNumId w:val="26"/>
  </w:num>
  <w:num w:numId="119">
    <w:abstractNumId w:val="15"/>
  </w:num>
  <w:num w:numId="120">
    <w:abstractNumId w:val="51"/>
  </w:num>
  <w:num w:numId="121">
    <w:abstractNumId w:val="50"/>
  </w:num>
  <w:num w:numId="122">
    <w:abstractNumId w:val="41"/>
  </w:num>
  <w:num w:numId="123">
    <w:abstractNumId w:val="0"/>
  </w:num>
  <w:num w:numId="124">
    <w:abstractNumId w:val="73"/>
  </w:num>
  <w:num w:numId="125">
    <w:abstractNumId w:val="4"/>
  </w:num>
  <w:num w:numId="126">
    <w:abstractNumId w:val="4"/>
  </w:num>
  <w:num w:numId="127">
    <w:abstractNumId w:val="4"/>
  </w:num>
  <w:num w:numId="128">
    <w:abstractNumId w:val="14"/>
  </w:num>
  <w:num w:numId="129">
    <w:abstractNumId w:val="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C"/>
    <w:rsid w:val="000010B3"/>
    <w:rsid w:val="000011CF"/>
    <w:rsid w:val="000026E2"/>
    <w:rsid w:val="00003464"/>
    <w:rsid w:val="000035A6"/>
    <w:rsid w:val="00003A0C"/>
    <w:rsid w:val="00003B67"/>
    <w:rsid w:val="00005BB8"/>
    <w:rsid w:val="00005CD2"/>
    <w:rsid w:val="00005D1E"/>
    <w:rsid w:val="000066F4"/>
    <w:rsid w:val="00006C97"/>
    <w:rsid w:val="000077F6"/>
    <w:rsid w:val="000079F9"/>
    <w:rsid w:val="00007E3C"/>
    <w:rsid w:val="00010C2A"/>
    <w:rsid w:val="00011996"/>
    <w:rsid w:val="000119E0"/>
    <w:rsid w:val="00011EA0"/>
    <w:rsid w:val="00012650"/>
    <w:rsid w:val="0001365C"/>
    <w:rsid w:val="00014370"/>
    <w:rsid w:val="00014F6B"/>
    <w:rsid w:val="0001659A"/>
    <w:rsid w:val="0002042A"/>
    <w:rsid w:val="00020A5C"/>
    <w:rsid w:val="000210E2"/>
    <w:rsid w:val="0002138B"/>
    <w:rsid w:val="000222D3"/>
    <w:rsid w:val="00022AA5"/>
    <w:rsid w:val="00022DB7"/>
    <w:rsid w:val="0002336E"/>
    <w:rsid w:val="000247DA"/>
    <w:rsid w:val="00024AE0"/>
    <w:rsid w:val="000266B2"/>
    <w:rsid w:val="000277A1"/>
    <w:rsid w:val="000318EC"/>
    <w:rsid w:val="00031BE0"/>
    <w:rsid w:val="00031DA6"/>
    <w:rsid w:val="00031E23"/>
    <w:rsid w:val="00032BC8"/>
    <w:rsid w:val="000359C1"/>
    <w:rsid w:val="000368D9"/>
    <w:rsid w:val="000378AB"/>
    <w:rsid w:val="00037C7A"/>
    <w:rsid w:val="00040559"/>
    <w:rsid w:val="000417D0"/>
    <w:rsid w:val="0004185B"/>
    <w:rsid w:val="0004220A"/>
    <w:rsid w:val="00043615"/>
    <w:rsid w:val="00043902"/>
    <w:rsid w:val="0004555D"/>
    <w:rsid w:val="00045EF8"/>
    <w:rsid w:val="00045F94"/>
    <w:rsid w:val="00047444"/>
    <w:rsid w:val="000510C1"/>
    <w:rsid w:val="00052410"/>
    <w:rsid w:val="00052838"/>
    <w:rsid w:val="00052C4A"/>
    <w:rsid w:val="00053EA2"/>
    <w:rsid w:val="000547C1"/>
    <w:rsid w:val="00055051"/>
    <w:rsid w:val="00055253"/>
    <w:rsid w:val="0005558A"/>
    <w:rsid w:val="00055F0E"/>
    <w:rsid w:val="000563C4"/>
    <w:rsid w:val="00060DCF"/>
    <w:rsid w:val="0006160E"/>
    <w:rsid w:val="00061814"/>
    <w:rsid w:val="00061AA4"/>
    <w:rsid w:val="00061E7C"/>
    <w:rsid w:val="0006251B"/>
    <w:rsid w:val="00063FAB"/>
    <w:rsid w:val="000659C3"/>
    <w:rsid w:val="00065FDE"/>
    <w:rsid w:val="0006687E"/>
    <w:rsid w:val="00066A4C"/>
    <w:rsid w:val="00072122"/>
    <w:rsid w:val="00072489"/>
    <w:rsid w:val="00072535"/>
    <w:rsid w:val="00072771"/>
    <w:rsid w:val="00073785"/>
    <w:rsid w:val="00074B13"/>
    <w:rsid w:val="00075B25"/>
    <w:rsid w:val="00080507"/>
    <w:rsid w:val="000806C0"/>
    <w:rsid w:val="00080BDC"/>
    <w:rsid w:val="000818B4"/>
    <w:rsid w:val="000820D1"/>
    <w:rsid w:val="000823CE"/>
    <w:rsid w:val="000825DC"/>
    <w:rsid w:val="00082764"/>
    <w:rsid w:val="00083554"/>
    <w:rsid w:val="00084063"/>
    <w:rsid w:val="00084C91"/>
    <w:rsid w:val="00085237"/>
    <w:rsid w:val="00085E1A"/>
    <w:rsid w:val="0008618A"/>
    <w:rsid w:val="00087402"/>
    <w:rsid w:val="00087725"/>
    <w:rsid w:val="00087848"/>
    <w:rsid w:val="00087B95"/>
    <w:rsid w:val="0009131C"/>
    <w:rsid w:val="00091C04"/>
    <w:rsid w:val="00093AEA"/>
    <w:rsid w:val="000948EC"/>
    <w:rsid w:val="00095BD8"/>
    <w:rsid w:val="00096652"/>
    <w:rsid w:val="000966DE"/>
    <w:rsid w:val="00096891"/>
    <w:rsid w:val="000A00E3"/>
    <w:rsid w:val="000A04F5"/>
    <w:rsid w:val="000A053A"/>
    <w:rsid w:val="000A0636"/>
    <w:rsid w:val="000A13C0"/>
    <w:rsid w:val="000A157A"/>
    <w:rsid w:val="000A3C5C"/>
    <w:rsid w:val="000A730C"/>
    <w:rsid w:val="000B02C1"/>
    <w:rsid w:val="000B10EE"/>
    <w:rsid w:val="000B11C3"/>
    <w:rsid w:val="000B138D"/>
    <w:rsid w:val="000B1D50"/>
    <w:rsid w:val="000B1DAF"/>
    <w:rsid w:val="000B1EE7"/>
    <w:rsid w:val="000B35A9"/>
    <w:rsid w:val="000B3B8E"/>
    <w:rsid w:val="000B4DCC"/>
    <w:rsid w:val="000B5189"/>
    <w:rsid w:val="000B65DA"/>
    <w:rsid w:val="000B6C69"/>
    <w:rsid w:val="000B7166"/>
    <w:rsid w:val="000C0E6C"/>
    <w:rsid w:val="000C389A"/>
    <w:rsid w:val="000C486F"/>
    <w:rsid w:val="000C59BA"/>
    <w:rsid w:val="000C613B"/>
    <w:rsid w:val="000C6BEE"/>
    <w:rsid w:val="000C7111"/>
    <w:rsid w:val="000C7330"/>
    <w:rsid w:val="000C796A"/>
    <w:rsid w:val="000D1D32"/>
    <w:rsid w:val="000D24EF"/>
    <w:rsid w:val="000D28B2"/>
    <w:rsid w:val="000D2CE5"/>
    <w:rsid w:val="000D48A7"/>
    <w:rsid w:val="000D5D6D"/>
    <w:rsid w:val="000D642E"/>
    <w:rsid w:val="000D6A97"/>
    <w:rsid w:val="000E0BE4"/>
    <w:rsid w:val="000E1F9A"/>
    <w:rsid w:val="000E206D"/>
    <w:rsid w:val="000E21C9"/>
    <w:rsid w:val="000E298F"/>
    <w:rsid w:val="000E2A63"/>
    <w:rsid w:val="000E2AF3"/>
    <w:rsid w:val="000E39BF"/>
    <w:rsid w:val="000E45DB"/>
    <w:rsid w:val="000E4C23"/>
    <w:rsid w:val="000E5074"/>
    <w:rsid w:val="000E5BDE"/>
    <w:rsid w:val="000E61CF"/>
    <w:rsid w:val="000E772E"/>
    <w:rsid w:val="000F203A"/>
    <w:rsid w:val="000F2085"/>
    <w:rsid w:val="000F3841"/>
    <w:rsid w:val="000F3897"/>
    <w:rsid w:val="000F396E"/>
    <w:rsid w:val="000F44C3"/>
    <w:rsid w:val="000F5D45"/>
    <w:rsid w:val="000F5E4F"/>
    <w:rsid w:val="000F634E"/>
    <w:rsid w:val="000F6686"/>
    <w:rsid w:val="000F748E"/>
    <w:rsid w:val="000F7C67"/>
    <w:rsid w:val="00100AD0"/>
    <w:rsid w:val="001012DC"/>
    <w:rsid w:val="001023FD"/>
    <w:rsid w:val="00102D7C"/>
    <w:rsid w:val="001037E3"/>
    <w:rsid w:val="00104811"/>
    <w:rsid w:val="00106EBC"/>
    <w:rsid w:val="0011293E"/>
    <w:rsid w:val="00112D11"/>
    <w:rsid w:val="0011344F"/>
    <w:rsid w:val="00117581"/>
    <w:rsid w:val="00120A18"/>
    <w:rsid w:val="001216D1"/>
    <w:rsid w:val="00121ABC"/>
    <w:rsid w:val="001221AF"/>
    <w:rsid w:val="001226F0"/>
    <w:rsid w:val="00124E8D"/>
    <w:rsid w:val="0012517A"/>
    <w:rsid w:val="001259AA"/>
    <w:rsid w:val="00125EBD"/>
    <w:rsid w:val="001260C0"/>
    <w:rsid w:val="001263B5"/>
    <w:rsid w:val="0012713D"/>
    <w:rsid w:val="0012757D"/>
    <w:rsid w:val="00127DC4"/>
    <w:rsid w:val="00130418"/>
    <w:rsid w:val="00130F4A"/>
    <w:rsid w:val="00131577"/>
    <w:rsid w:val="00132DAA"/>
    <w:rsid w:val="00134492"/>
    <w:rsid w:val="0013575B"/>
    <w:rsid w:val="00135DC4"/>
    <w:rsid w:val="0013611A"/>
    <w:rsid w:val="00137A67"/>
    <w:rsid w:val="00142465"/>
    <w:rsid w:val="00144DB8"/>
    <w:rsid w:val="00145596"/>
    <w:rsid w:val="00146547"/>
    <w:rsid w:val="001465D6"/>
    <w:rsid w:val="0014715A"/>
    <w:rsid w:val="00147A02"/>
    <w:rsid w:val="00152698"/>
    <w:rsid w:val="00153B5F"/>
    <w:rsid w:val="00153BF0"/>
    <w:rsid w:val="00155026"/>
    <w:rsid w:val="00155788"/>
    <w:rsid w:val="001557B3"/>
    <w:rsid w:val="00157211"/>
    <w:rsid w:val="001576BB"/>
    <w:rsid w:val="00160A0A"/>
    <w:rsid w:val="00162042"/>
    <w:rsid w:val="00162D75"/>
    <w:rsid w:val="00163B54"/>
    <w:rsid w:val="00163D30"/>
    <w:rsid w:val="00165807"/>
    <w:rsid w:val="001666CE"/>
    <w:rsid w:val="001676B6"/>
    <w:rsid w:val="0016781E"/>
    <w:rsid w:val="00170366"/>
    <w:rsid w:val="00170C73"/>
    <w:rsid w:val="00171240"/>
    <w:rsid w:val="001738F0"/>
    <w:rsid w:val="00173BA5"/>
    <w:rsid w:val="00175328"/>
    <w:rsid w:val="001777BB"/>
    <w:rsid w:val="00177D20"/>
    <w:rsid w:val="0018002C"/>
    <w:rsid w:val="00181685"/>
    <w:rsid w:val="00181CA1"/>
    <w:rsid w:val="00182133"/>
    <w:rsid w:val="00182BB8"/>
    <w:rsid w:val="00182D22"/>
    <w:rsid w:val="001830DC"/>
    <w:rsid w:val="001831EC"/>
    <w:rsid w:val="00183291"/>
    <w:rsid w:val="00185589"/>
    <w:rsid w:val="00185C06"/>
    <w:rsid w:val="00186650"/>
    <w:rsid w:val="00186933"/>
    <w:rsid w:val="00186E7B"/>
    <w:rsid w:val="001871CA"/>
    <w:rsid w:val="00190668"/>
    <w:rsid w:val="00190780"/>
    <w:rsid w:val="0019336C"/>
    <w:rsid w:val="001942C3"/>
    <w:rsid w:val="0019451E"/>
    <w:rsid w:val="00196065"/>
    <w:rsid w:val="001962F2"/>
    <w:rsid w:val="00197060"/>
    <w:rsid w:val="001970F1"/>
    <w:rsid w:val="001A0BC5"/>
    <w:rsid w:val="001A206E"/>
    <w:rsid w:val="001A27C6"/>
    <w:rsid w:val="001A2C40"/>
    <w:rsid w:val="001A3732"/>
    <w:rsid w:val="001A3A72"/>
    <w:rsid w:val="001A4645"/>
    <w:rsid w:val="001A4ED6"/>
    <w:rsid w:val="001A551B"/>
    <w:rsid w:val="001A5570"/>
    <w:rsid w:val="001A6061"/>
    <w:rsid w:val="001A60A7"/>
    <w:rsid w:val="001A67C0"/>
    <w:rsid w:val="001A6BF6"/>
    <w:rsid w:val="001B0CA5"/>
    <w:rsid w:val="001B1683"/>
    <w:rsid w:val="001B26A8"/>
    <w:rsid w:val="001B2F3C"/>
    <w:rsid w:val="001B3987"/>
    <w:rsid w:val="001B4458"/>
    <w:rsid w:val="001B473A"/>
    <w:rsid w:val="001B5CE3"/>
    <w:rsid w:val="001B6913"/>
    <w:rsid w:val="001B6A74"/>
    <w:rsid w:val="001B7387"/>
    <w:rsid w:val="001B7458"/>
    <w:rsid w:val="001B7B4C"/>
    <w:rsid w:val="001C1946"/>
    <w:rsid w:val="001C38ED"/>
    <w:rsid w:val="001C4DBE"/>
    <w:rsid w:val="001C7827"/>
    <w:rsid w:val="001D0185"/>
    <w:rsid w:val="001D0353"/>
    <w:rsid w:val="001D18E0"/>
    <w:rsid w:val="001D3289"/>
    <w:rsid w:val="001D44F8"/>
    <w:rsid w:val="001D6319"/>
    <w:rsid w:val="001D7041"/>
    <w:rsid w:val="001E11B2"/>
    <w:rsid w:val="001E15AA"/>
    <w:rsid w:val="001E257F"/>
    <w:rsid w:val="001E2746"/>
    <w:rsid w:val="001E2C1F"/>
    <w:rsid w:val="001E35E9"/>
    <w:rsid w:val="001E3823"/>
    <w:rsid w:val="001E4049"/>
    <w:rsid w:val="001E4976"/>
    <w:rsid w:val="001E4D11"/>
    <w:rsid w:val="001E56BA"/>
    <w:rsid w:val="001E604B"/>
    <w:rsid w:val="001E6DEF"/>
    <w:rsid w:val="001E793E"/>
    <w:rsid w:val="001E79B1"/>
    <w:rsid w:val="001F10AF"/>
    <w:rsid w:val="001F1D76"/>
    <w:rsid w:val="001F3949"/>
    <w:rsid w:val="001F3BFA"/>
    <w:rsid w:val="001F5643"/>
    <w:rsid w:val="001F5AC2"/>
    <w:rsid w:val="001F70A0"/>
    <w:rsid w:val="00202118"/>
    <w:rsid w:val="0020283C"/>
    <w:rsid w:val="00202972"/>
    <w:rsid w:val="00202D65"/>
    <w:rsid w:val="00203150"/>
    <w:rsid w:val="00204CF1"/>
    <w:rsid w:val="0020550F"/>
    <w:rsid w:val="00205840"/>
    <w:rsid w:val="00205BAB"/>
    <w:rsid w:val="00206D51"/>
    <w:rsid w:val="002070BA"/>
    <w:rsid w:val="00207384"/>
    <w:rsid w:val="00207FC5"/>
    <w:rsid w:val="00213D7F"/>
    <w:rsid w:val="00214A4B"/>
    <w:rsid w:val="00214EED"/>
    <w:rsid w:val="0021619F"/>
    <w:rsid w:val="00216DAA"/>
    <w:rsid w:val="00220160"/>
    <w:rsid w:val="00220621"/>
    <w:rsid w:val="00220BE6"/>
    <w:rsid w:val="002215CB"/>
    <w:rsid w:val="002215DB"/>
    <w:rsid w:val="002218A2"/>
    <w:rsid w:val="00222469"/>
    <w:rsid w:val="00222CF7"/>
    <w:rsid w:val="00222F88"/>
    <w:rsid w:val="00223F05"/>
    <w:rsid w:val="00224C1D"/>
    <w:rsid w:val="00224F0C"/>
    <w:rsid w:val="002259D3"/>
    <w:rsid w:val="00225A33"/>
    <w:rsid w:val="00226756"/>
    <w:rsid w:val="002267A6"/>
    <w:rsid w:val="002326AC"/>
    <w:rsid w:val="002328BD"/>
    <w:rsid w:val="00233031"/>
    <w:rsid w:val="00233514"/>
    <w:rsid w:val="00233F40"/>
    <w:rsid w:val="00233F67"/>
    <w:rsid w:val="0023493C"/>
    <w:rsid w:val="002360D1"/>
    <w:rsid w:val="0023652A"/>
    <w:rsid w:val="002368A1"/>
    <w:rsid w:val="00236B73"/>
    <w:rsid w:val="00236E76"/>
    <w:rsid w:val="00237D12"/>
    <w:rsid w:val="00240AED"/>
    <w:rsid w:val="002413B9"/>
    <w:rsid w:val="00241507"/>
    <w:rsid w:val="002417DA"/>
    <w:rsid w:val="002425FB"/>
    <w:rsid w:val="002432F8"/>
    <w:rsid w:val="00244FD4"/>
    <w:rsid w:val="00246E8E"/>
    <w:rsid w:val="002471AA"/>
    <w:rsid w:val="00247433"/>
    <w:rsid w:val="00247FF7"/>
    <w:rsid w:val="002501B9"/>
    <w:rsid w:val="00252CB4"/>
    <w:rsid w:val="00254141"/>
    <w:rsid w:val="002541E4"/>
    <w:rsid w:val="0025470D"/>
    <w:rsid w:val="0025645A"/>
    <w:rsid w:val="0026072A"/>
    <w:rsid w:val="00260F25"/>
    <w:rsid w:val="00261F6B"/>
    <w:rsid w:val="00263DDE"/>
    <w:rsid w:val="0026661F"/>
    <w:rsid w:val="00266F8D"/>
    <w:rsid w:val="002676C4"/>
    <w:rsid w:val="0026771C"/>
    <w:rsid w:val="0027100A"/>
    <w:rsid w:val="0027251C"/>
    <w:rsid w:val="0027285A"/>
    <w:rsid w:val="00272ABD"/>
    <w:rsid w:val="00273376"/>
    <w:rsid w:val="00273D9B"/>
    <w:rsid w:val="002740F0"/>
    <w:rsid w:val="00274FD6"/>
    <w:rsid w:val="00276D83"/>
    <w:rsid w:val="00277306"/>
    <w:rsid w:val="00277500"/>
    <w:rsid w:val="00277DC6"/>
    <w:rsid w:val="0028017D"/>
    <w:rsid w:val="002808E7"/>
    <w:rsid w:val="00280D97"/>
    <w:rsid w:val="00280FC4"/>
    <w:rsid w:val="002815D8"/>
    <w:rsid w:val="0028361F"/>
    <w:rsid w:val="002847A6"/>
    <w:rsid w:val="00284EDB"/>
    <w:rsid w:val="00285021"/>
    <w:rsid w:val="002860DD"/>
    <w:rsid w:val="002867E4"/>
    <w:rsid w:val="00287C91"/>
    <w:rsid w:val="00291D8D"/>
    <w:rsid w:val="00292E69"/>
    <w:rsid w:val="00293582"/>
    <w:rsid w:val="00293D10"/>
    <w:rsid w:val="00293D24"/>
    <w:rsid w:val="00294AC9"/>
    <w:rsid w:val="00294CB6"/>
    <w:rsid w:val="00295820"/>
    <w:rsid w:val="0029748D"/>
    <w:rsid w:val="00297822"/>
    <w:rsid w:val="00297D81"/>
    <w:rsid w:val="002A08CB"/>
    <w:rsid w:val="002A2C1A"/>
    <w:rsid w:val="002A3426"/>
    <w:rsid w:val="002A6365"/>
    <w:rsid w:val="002A6794"/>
    <w:rsid w:val="002A6A6B"/>
    <w:rsid w:val="002A759A"/>
    <w:rsid w:val="002B0607"/>
    <w:rsid w:val="002B164E"/>
    <w:rsid w:val="002B300B"/>
    <w:rsid w:val="002B352F"/>
    <w:rsid w:val="002B3C14"/>
    <w:rsid w:val="002B3C62"/>
    <w:rsid w:val="002B4329"/>
    <w:rsid w:val="002B732E"/>
    <w:rsid w:val="002B7725"/>
    <w:rsid w:val="002C0867"/>
    <w:rsid w:val="002C3626"/>
    <w:rsid w:val="002C397A"/>
    <w:rsid w:val="002C3DEF"/>
    <w:rsid w:val="002C5D83"/>
    <w:rsid w:val="002C7237"/>
    <w:rsid w:val="002D065C"/>
    <w:rsid w:val="002D0F55"/>
    <w:rsid w:val="002D1037"/>
    <w:rsid w:val="002D28FD"/>
    <w:rsid w:val="002D35D2"/>
    <w:rsid w:val="002D3C17"/>
    <w:rsid w:val="002D4061"/>
    <w:rsid w:val="002D5F64"/>
    <w:rsid w:val="002D6888"/>
    <w:rsid w:val="002D6FCA"/>
    <w:rsid w:val="002D7357"/>
    <w:rsid w:val="002D7B6A"/>
    <w:rsid w:val="002E024B"/>
    <w:rsid w:val="002E0DFC"/>
    <w:rsid w:val="002E1D0B"/>
    <w:rsid w:val="002E246B"/>
    <w:rsid w:val="002E2553"/>
    <w:rsid w:val="002E3607"/>
    <w:rsid w:val="002E40A3"/>
    <w:rsid w:val="002E441D"/>
    <w:rsid w:val="002E4D20"/>
    <w:rsid w:val="002E52F5"/>
    <w:rsid w:val="002E7153"/>
    <w:rsid w:val="002E798B"/>
    <w:rsid w:val="002E7CD2"/>
    <w:rsid w:val="002E7D11"/>
    <w:rsid w:val="002F04FD"/>
    <w:rsid w:val="002F09F6"/>
    <w:rsid w:val="002F0E03"/>
    <w:rsid w:val="002F1324"/>
    <w:rsid w:val="002F33A0"/>
    <w:rsid w:val="002F57BF"/>
    <w:rsid w:val="002F63AE"/>
    <w:rsid w:val="002F67EA"/>
    <w:rsid w:val="00301931"/>
    <w:rsid w:val="00301EC2"/>
    <w:rsid w:val="00302AC1"/>
    <w:rsid w:val="00303091"/>
    <w:rsid w:val="00303FD4"/>
    <w:rsid w:val="0030550F"/>
    <w:rsid w:val="00306C73"/>
    <w:rsid w:val="00307BBE"/>
    <w:rsid w:val="00310DD5"/>
    <w:rsid w:val="00311E7B"/>
    <w:rsid w:val="003149F0"/>
    <w:rsid w:val="003153E0"/>
    <w:rsid w:val="003157E6"/>
    <w:rsid w:val="00315F17"/>
    <w:rsid w:val="00316EDD"/>
    <w:rsid w:val="0031707F"/>
    <w:rsid w:val="00317C43"/>
    <w:rsid w:val="00321AC5"/>
    <w:rsid w:val="003223D3"/>
    <w:rsid w:val="00322BA0"/>
    <w:rsid w:val="00322E5D"/>
    <w:rsid w:val="003237B6"/>
    <w:rsid w:val="00325570"/>
    <w:rsid w:val="003263BC"/>
    <w:rsid w:val="00326CE7"/>
    <w:rsid w:val="00326EDF"/>
    <w:rsid w:val="00327265"/>
    <w:rsid w:val="003302A7"/>
    <w:rsid w:val="003311D3"/>
    <w:rsid w:val="003312D6"/>
    <w:rsid w:val="003315FC"/>
    <w:rsid w:val="003316F3"/>
    <w:rsid w:val="003316F7"/>
    <w:rsid w:val="0033172A"/>
    <w:rsid w:val="00332233"/>
    <w:rsid w:val="00332304"/>
    <w:rsid w:val="00332B6D"/>
    <w:rsid w:val="00332E1D"/>
    <w:rsid w:val="00333004"/>
    <w:rsid w:val="003336E3"/>
    <w:rsid w:val="00333D5B"/>
    <w:rsid w:val="00334ED6"/>
    <w:rsid w:val="00335C54"/>
    <w:rsid w:val="003360AC"/>
    <w:rsid w:val="00336526"/>
    <w:rsid w:val="00336752"/>
    <w:rsid w:val="00336A6E"/>
    <w:rsid w:val="00336D2E"/>
    <w:rsid w:val="003378D1"/>
    <w:rsid w:val="00337C9A"/>
    <w:rsid w:val="00341358"/>
    <w:rsid w:val="00341F44"/>
    <w:rsid w:val="003427E9"/>
    <w:rsid w:val="00342B6E"/>
    <w:rsid w:val="0034368B"/>
    <w:rsid w:val="00344077"/>
    <w:rsid w:val="0034453B"/>
    <w:rsid w:val="00344A72"/>
    <w:rsid w:val="00344BE2"/>
    <w:rsid w:val="003461B2"/>
    <w:rsid w:val="00346655"/>
    <w:rsid w:val="0034735C"/>
    <w:rsid w:val="00347B61"/>
    <w:rsid w:val="00347F65"/>
    <w:rsid w:val="0035008A"/>
    <w:rsid w:val="00350607"/>
    <w:rsid w:val="00350CF0"/>
    <w:rsid w:val="00351D41"/>
    <w:rsid w:val="00352D4A"/>
    <w:rsid w:val="00353239"/>
    <w:rsid w:val="0035725C"/>
    <w:rsid w:val="00357362"/>
    <w:rsid w:val="0036005B"/>
    <w:rsid w:val="00361C53"/>
    <w:rsid w:val="00362B7E"/>
    <w:rsid w:val="0036331F"/>
    <w:rsid w:val="00363D11"/>
    <w:rsid w:val="00364151"/>
    <w:rsid w:val="0036435A"/>
    <w:rsid w:val="00364A8D"/>
    <w:rsid w:val="00364D8C"/>
    <w:rsid w:val="003662AC"/>
    <w:rsid w:val="003677D5"/>
    <w:rsid w:val="00367A04"/>
    <w:rsid w:val="003705AA"/>
    <w:rsid w:val="0037088F"/>
    <w:rsid w:val="00371BDC"/>
    <w:rsid w:val="00371F9E"/>
    <w:rsid w:val="0037284C"/>
    <w:rsid w:val="00372CB3"/>
    <w:rsid w:val="00377B23"/>
    <w:rsid w:val="00380B12"/>
    <w:rsid w:val="00380DD3"/>
    <w:rsid w:val="00382DF5"/>
    <w:rsid w:val="0038322B"/>
    <w:rsid w:val="00383BAC"/>
    <w:rsid w:val="00386F01"/>
    <w:rsid w:val="003873B4"/>
    <w:rsid w:val="00390EE8"/>
    <w:rsid w:val="00391537"/>
    <w:rsid w:val="00391D29"/>
    <w:rsid w:val="00392FF6"/>
    <w:rsid w:val="00394772"/>
    <w:rsid w:val="003956A6"/>
    <w:rsid w:val="003959BB"/>
    <w:rsid w:val="00395DB3"/>
    <w:rsid w:val="00395E1C"/>
    <w:rsid w:val="003963B5"/>
    <w:rsid w:val="00396CA5"/>
    <w:rsid w:val="00397AD3"/>
    <w:rsid w:val="003A13C7"/>
    <w:rsid w:val="003A184C"/>
    <w:rsid w:val="003A4550"/>
    <w:rsid w:val="003A486A"/>
    <w:rsid w:val="003A61AE"/>
    <w:rsid w:val="003A771E"/>
    <w:rsid w:val="003B04B1"/>
    <w:rsid w:val="003B1D4D"/>
    <w:rsid w:val="003B36AA"/>
    <w:rsid w:val="003B3C6D"/>
    <w:rsid w:val="003C0976"/>
    <w:rsid w:val="003C15D6"/>
    <w:rsid w:val="003C1BFD"/>
    <w:rsid w:val="003C2BE9"/>
    <w:rsid w:val="003C324C"/>
    <w:rsid w:val="003C414F"/>
    <w:rsid w:val="003C4EBB"/>
    <w:rsid w:val="003C5257"/>
    <w:rsid w:val="003C539D"/>
    <w:rsid w:val="003C577F"/>
    <w:rsid w:val="003C7595"/>
    <w:rsid w:val="003D047C"/>
    <w:rsid w:val="003D0FD5"/>
    <w:rsid w:val="003D115A"/>
    <w:rsid w:val="003D2045"/>
    <w:rsid w:val="003D2BAE"/>
    <w:rsid w:val="003D2D45"/>
    <w:rsid w:val="003D6AA1"/>
    <w:rsid w:val="003D6F4C"/>
    <w:rsid w:val="003D72BA"/>
    <w:rsid w:val="003D7981"/>
    <w:rsid w:val="003D7F0C"/>
    <w:rsid w:val="003E0BB7"/>
    <w:rsid w:val="003E143B"/>
    <w:rsid w:val="003E150F"/>
    <w:rsid w:val="003E17E7"/>
    <w:rsid w:val="003E1945"/>
    <w:rsid w:val="003E1EB4"/>
    <w:rsid w:val="003E2DB0"/>
    <w:rsid w:val="003E3626"/>
    <w:rsid w:val="003E506E"/>
    <w:rsid w:val="003E5651"/>
    <w:rsid w:val="003E5E32"/>
    <w:rsid w:val="003E6226"/>
    <w:rsid w:val="003F292F"/>
    <w:rsid w:val="003F2A8B"/>
    <w:rsid w:val="003F3D73"/>
    <w:rsid w:val="003F3F92"/>
    <w:rsid w:val="003F5F1E"/>
    <w:rsid w:val="003F6939"/>
    <w:rsid w:val="003F76E8"/>
    <w:rsid w:val="004000E3"/>
    <w:rsid w:val="00400F47"/>
    <w:rsid w:val="0040114E"/>
    <w:rsid w:val="0040136C"/>
    <w:rsid w:val="00401C9C"/>
    <w:rsid w:val="00403007"/>
    <w:rsid w:val="00403625"/>
    <w:rsid w:val="0040446E"/>
    <w:rsid w:val="00404639"/>
    <w:rsid w:val="0040535F"/>
    <w:rsid w:val="00406564"/>
    <w:rsid w:val="00407040"/>
    <w:rsid w:val="00410087"/>
    <w:rsid w:val="00410B50"/>
    <w:rsid w:val="00410EF0"/>
    <w:rsid w:val="004118A2"/>
    <w:rsid w:val="00411AC2"/>
    <w:rsid w:val="0041389A"/>
    <w:rsid w:val="004142E8"/>
    <w:rsid w:val="004176A6"/>
    <w:rsid w:val="0041793A"/>
    <w:rsid w:val="00420489"/>
    <w:rsid w:val="00420B62"/>
    <w:rsid w:val="00421344"/>
    <w:rsid w:val="00422233"/>
    <w:rsid w:val="00422458"/>
    <w:rsid w:val="00424053"/>
    <w:rsid w:val="00424433"/>
    <w:rsid w:val="00425C9C"/>
    <w:rsid w:val="00426F09"/>
    <w:rsid w:val="00430C23"/>
    <w:rsid w:val="00431E99"/>
    <w:rsid w:val="004339AF"/>
    <w:rsid w:val="00434EE2"/>
    <w:rsid w:val="00435872"/>
    <w:rsid w:val="00435F80"/>
    <w:rsid w:val="00435FB3"/>
    <w:rsid w:val="0044088A"/>
    <w:rsid w:val="00440F46"/>
    <w:rsid w:val="004410DB"/>
    <w:rsid w:val="0044227B"/>
    <w:rsid w:val="00442A2F"/>
    <w:rsid w:val="00443650"/>
    <w:rsid w:val="004439A4"/>
    <w:rsid w:val="0044476E"/>
    <w:rsid w:val="00445033"/>
    <w:rsid w:val="004459F5"/>
    <w:rsid w:val="00445EC6"/>
    <w:rsid w:val="004506BE"/>
    <w:rsid w:val="0045113C"/>
    <w:rsid w:val="00451F4E"/>
    <w:rsid w:val="004534BC"/>
    <w:rsid w:val="00453B5D"/>
    <w:rsid w:val="00455133"/>
    <w:rsid w:val="0045550F"/>
    <w:rsid w:val="004564E0"/>
    <w:rsid w:val="004565A8"/>
    <w:rsid w:val="004565C8"/>
    <w:rsid w:val="00457E8E"/>
    <w:rsid w:val="00457F71"/>
    <w:rsid w:val="004602E7"/>
    <w:rsid w:val="00460F41"/>
    <w:rsid w:val="00464D9D"/>
    <w:rsid w:val="0046571A"/>
    <w:rsid w:val="00465B85"/>
    <w:rsid w:val="00465C65"/>
    <w:rsid w:val="00466346"/>
    <w:rsid w:val="00467CFD"/>
    <w:rsid w:val="004705C4"/>
    <w:rsid w:val="00471329"/>
    <w:rsid w:val="00471796"/>
    <w:rsid w:val="00471E07"/>
    <w:rsid w:val="00472FD8"/>
    <w:rsid w:val="00473433"/>
    <w:rsid w:val="004736E0"/>
    <w:rsid w:val="00473C31"/>
    <w:rsid w:val="0047474D"/>
    <w:rsid w:val="0047490F"/>
    <w:rsid w:val="00475386"/>
    <w:rsid w:val="00475E15"/>
    <w:rsid w:val="00476AD6"/>
    <w:rsid w:val="00476FCC"/>
    <w:rsid w:val="00481B3A"/>
    <w:rsid w:val="004836DD"/>
    <w:rsid w:val="0048480D"/>
    <w:rsid w:val="00486ADD"/>
    <w:rsid w:val="00486B66"/>
    <w:rsid w:val="00486D91"/>
    <w:rsid w:val="00487308"/>
    <w:rsid w:val="00487481"/>
    <w:rsid w:val="004905C4"/>
    <w:rsid w:val="0049177C"/>
    <w:rsid w:val="00491E32"/>
    <w:rsid w:val="004940BE"/>
    <w:rsid w:val="00494BDB"/>
    <w:rsid w:val="00494DB3"/>
    <w:rsid w:val="004954EA"/>
    <w:rsid w:val="00495943"/>
    <w:rsid w:val="00496174"/>
    <w:rsid w:val="0049763B"/>
    <w:rsid w:val="004A0001"/>
    <w:rsid w:val="004A1D42"/>
    <w:rsid w:val="004A2FF0"/>
    <w:rsid w:val="004A48C9"/>
    <w:rsid w:val="004A4C32"/>
    <w:rsid w:val="004A4DF4"/>
    <w:rsid w:val="004A5F35"/>
    <w:rsid w:val="004A6419"/>
    <w:rsid w:val="004A64D8"/>
    <w:rsid w:val="004A6D82"/>
    <w:rsid w:val="004A761C"/>
    <w:rsid w:val="004B0C61"/>
    <w:rsid w:val="004B159D"/>
    <w:rsid w:val="004B173E"/>
    <w:rsid w:val="004B1D94"/>
    <w:rsid w:val="004B22F4"/>
    <w:rsid w:val="004B27F7"/>
    <w:rsid w:val="004B376B"/>
    <w:rsid w:val="004B4D11"/>
    <w:rsid w:val="004B4DB6"/>
    <w:rsid w:val="004B535B"/>
    <w:rsid w:val="004B682B"/>
    <w:rsid w:val="004B72EB"/>
    <w:rsid w:val="004B77D4"/>
    <w:rsid w:val="004B7C4C"/>
    <w:rsid w:val="004B7CC3"/>
    <w:rsid w:val="004C0E70"/>
    <w:rsid w:val="004C2448"/>
    <w:rsid w:val="004C3133"/>
    <w:rsid w:val="004C53B5"/>
    <w:rsid w:val="004C57D7"/>
    <w:rsid w:val="004C7DDA"/>
    <w:rsid w:val="004D0329"/>
    <w:rsid w:val="004D1AF8"/>
    <w:rsid w:val="004D2120"/>
    <w:rsid w:val="004D2EEE"/>
    <w:rsid w:val="004D4506"/>
    <w:rsid w:val="004D4A4F"/>
    <w:rsid w:val="004D5A49"/>
    <w:rsid w:val="004D6237"/>
    <w:rsid w:val="004D65DF"/>
    <w:rsid w:val="004D6711"/>
    <w:rsid w:val="004D7682"/>
    <w:rsid w:val="004D7746"/>
    <w:rsid w:val="004E0DAE"/>
    <w:rsid w:val="004E0ED4"/>
    <w:rsid w:val="004E3053"/>
    <w:rsid w:val="004E350C"/>
    <w:rsid w:val="004E4D5C"/>
    <w:rsid w:val="004E6240"/>
    <w:rsid w:val="004E6BF8"/>
    <w:rsid w:val="004E6EB1"/>
    <w:rsid w:val="004E6EF9"/>
    <w:rsid w:val="004F0336"/>
    <w:rsid w:val="004F0A14"/>
    <w:rsid w:val="004F19B9"/>
    <w:rsid w:val="004F1E3F"/>
    <w:rsid w:val="004F24FF"/>
    <w:rsid w:val="004F3B35"/>
    <w:rsid w:val="004F47E0"/>
    <w:rsid w:val="004F488F"/>
    <w:rsid w:val="004F48AB"/>
    <w:rsid w:val="004F4A6B"/>
    <w:rsid w:val="004F5886"/>
    <w:rsid w:val="004F5BDE"/>
    <w:rsid w:val="004F60C9"/>
    <w:rsid w:val="004F6670"/>
    <w:rsid w:val="004F6E19"/>
    <w:rsid w:val="004F79CC"/>
    <w:rsid w:val="00500BFD"/>
    <w:rsid w:val="005017B1"/>
    <w:rsid w:val="00501A08"/>
    <w:rsid w:val="00502918"/>
    <w:rsid w:val="005049D2"/>
    <w:rsid w:val="00504CB7"/>
    <w:rsid w:val="00504F02"/>
    <w:rsid w:val="00505760"/>
    <w:rsid w:val="00506FED"/>
    <w:rsid w:val="005071A5"/>
    <w:rsid w:val="00507F14"/>
    <w:rsid w:val="00510712"/>
    <w:rsid w:val="0051072F"/>
    <w:rsid w:val="0051084E"/>
    <w:rsid w:val="005108CE"/>
    <w:rsid w:val="005115A9"/>
    <w:rsid w:val="005116EB"/>
    <w:rsid w:val="00512396"/>
    <w:rsid w:val="005143F6"/>
    <w:rsid w:val="0051453C"/>
    <w:rsid w:val="005155EB"/>
    <w:rsid w:val="00515E32"/>
    <w:rsid w:val="0051784E"/>
    <w:rsid w:val="005178CF"/>
    <w:rsid w:val="00520631"/>
    <w:rsid w:val="00521606"/>
    <w:rsid w:val="00521987"/>
    <w:rsid w:val="00521D5A"/>
    <w:rsid w:val="005220AA"/>
    <w:rsid w:val="00522B3E"/>
    <w:rsid w:val="00523465"/>
    <w:rsid w:val="0052384B"/>
    <w:rsid w:val="00524310"/>
    <w:rsid w:val="00524356"/>
    <w:rsid w:val="00524EBD"/>
    <w:rsid w:val="0053071B"/>
    <w:rsid w:val="005307E5"/>
    <w:rsid w:val="00530D83"/>
    <w:rsid w:val="00531620"/>
    <w:rsid w:val="00531BCD"/>
    <w:rsid w:val="00531E29"/>
    <w:rsid w:val="00532377"/>
    <w:rsid w:val="00534F48"/>
    <w:rsid w:val="005360E5"/>
    <w:rsid w:val="0053711C"/>
    <w:rsid w:val="00541838"/>
    <w:rsid w:val="00541B2F"/>
    <w:rsid w:val="00541BE0"/>
    <w:rsid w:val="00542560"/>
    <w:rsid w:val="005429E1"/>
    <w:rsid w:val="005430E0"/>
    <w:rsid w:val="00543457"/>
    <w:rsid w:val="00543AB0"/>
    <w:rsid w:val="00544DC2"/>
    <w:rsid w:val="005452FC"/>
    <w:rsid w:val="005501A3"/>
    <w:rsid w:val="00550D68"/>
    <w:rsid w:val="005523DF"/>
    <w:rsid w:val="00552C7D"/>
    <w:rsid w:val="00552EB3"/>
    <w:rsid w:val="00553FDD"/>
    <w:rsid w:val="005546FB"/>
    <w:rsid w:val="005548E8"/>
    <w:rsid w:val="005552AD"/>
    <w:rsid w:val="00556A1D"/>
    <w:rsid w:val="00557989"/>
    <w:rsid w:val="00561365"/>
    <w:rsid w:val="00561656"/>
    <w:rsid w:val="005618DB"/>
    <w:rsid w:val="005637D7"/>
    <w:rsid w:val="00565267"/>
    <w:rsid w:val="00565F6D"/>
    <w:rsid w:val="00566432"/>
    <w:rsid w:val="00567311"/>
    <w:rsid w:val="00567578"/>
    <w:rsid w:val="00567806"/>
    <w:rsid w:val="00567813"/>
    <w:rsid w:val="00567A8E"/>
    <w:rsid w:val="00570A30"/>
    <w:rsid w:val="00571DF6"/>
    <w:rsid w:val="00572DD0"/>
    <w:rsid w:val="00574C0C"/>
    <w:rsid w:val="00574F50"/>
    <w:rsid w:val="00574FBB"/>
    <w:rsid w:val="005751E5"/>
    <w:rsid w:val="005759E1"/>
    <w:rsid w:val="00575B34"/>
    <w:rsid w:val="005764E8"/>
    <w:rsid w:val="005771E4"/>
    <w:rsid w:val="0057726D"/>
    <w:rsid w:val="00577496"/>
    <w:rsid w:val="0057761D"/>
    <w:rsid w:val="00577730"/>
    <w:rsid w:val="00580528"/>
    <w:rsid w:val="0058083A"/>
    <w:rsid w:val="00581787"/>
    <w:rsid w:val="00581F04"/>
    <w:rsid w:val="00582673"/>
    <w:rsid w:val="00583A45"/>
    <w:rsid w:val="00583B85"/>
    <w:rsid w:val="00584337"/>
    <w:rsid w:val="0058597A"/>
    <w:rsid w:val="00587651"/>
    <w:rsid w:val="0059129C"/>
    <w:rsid w:val="00591AA5"/>
    <w:rsid w:val="005920E2"/>
    <w:rsid w:val="00592452"/>
    <w:rsid w:val="005930D1"/>
    <w:rsid w:val="005933EE"/>
    <w:rsid w:val="00595707"/>
    <w:rsid w:val="00596290"/>
    <w:rsid w:val="00596E07"/>
    <w:rsid w:val="00596EF9"/>
    <w:rsid w:val="00597007"/>
    <w:rsid w:val="005A19C5"/>
    <w:rsid w:val="005A3834"/>
    <w:rsid w:val="005A4424"/>
    <w:rsid w:val="005A4715"/>
    <w:rsid w:val="005A5780"/>
    <w:rsid w:val="005A5FD8"/>
    <w:rsid w:val="005A6936"/>
    <w:rsid w:val="005A7E0B"/>
    <w:rsid w:val="005B20B0"/>
    <w:rsid w:val="005B22FC"/>
    <w:rsid w:val="005B4866"/>
    <w:rsid w:val="005B49EA"/>
    <w:rsid w:val="005B7343"/>
    <w:rsid w:val="005C026C"/>
    <w:rsid w:val="005C1020"/>
    <w:rsid w:val="005C1565"/>
    <w:rsid w:val="005C1BA0"/>
    <w:rsid w:val="005C1E54"/>
    <w:rsid w:val="005C2638"/>
    <w:rsid w:val="005C3331"/>
    <w:rsid w:val="005C3523"/>
    <w:rsid w:val="005C3DB1"/>
    <w:rsid w:val="005C3F5B"/>
    <w:rsid w:val="005C4C18"/>
    <w:rsid w:val="005C5850"/>
    <w:rsid w:val="005C6224"/>
    <w:rsid w:val="005C6E20"/>
    <w:rsid w:val="005C7975"/>
    <w:rsid w:val="005D0BD2"/>
    <w:rsid w:val="005D239E"/>
    <w:rsid w:val="005D2FB5"/>
    <w:rsid w:val="005D3ED4"/>
    <w:rsid w:val="005D471D"/>
    <w:rsid w:val="005D4C34"/>
    <w:rsid w:val="005D57EC"/>
    <w:rsid w:val="005D6257"/>
    <w:rsid w:val="005D6582"/>
    <w:rsid w:val="005D7BF5"/>
    <w:rsid w:val="005D7E47"/>
    <w:rsid w:val="005D7EE0"/>
    <w:rsid w:val="005E09FD"/>
    <w:rsid w:val="005E10E3"/>
    <w:rsid w:val="005E1F50"/>
    <w:rsid w:val="005E209B"/>
    <w:rsid w:val="005E248B"/>
    <w:rsid w:val="005E382F"/>
    <w:rsid w:val="005E46EB"/>
    <w:rsid w:val="005E4C22"/>
    <w:rsid w:val="005E4C53"/>
    <w:rsid w:val="005E5823"/>
    <w:rsid w:val="005E5A2E"/>
    <w:rsid w:val="005E62E8"/>
    <w:rsid w:val="005E644F"/>
    <w:rsid w:val="005E7A17"/>
    <w:rsid w:val="005F0F6F"/>
    <w:rsid w:val="005F2163"/>
    <w:rsid w:val="005F2AF5"/>
    <w:rsid w:val="005F364F"/>
    <w:rsid w:val="005F39D5"/>
    <w:rsid w:val="005F404C"/>
    <w:rsid w:val="005F4966"/>
    <w:rsid w:val="005F65AA"/>
    <w:rsid w:val="005F6EAA"/>
    <w:rsid w:val="005F7CD1"/>
    <w:rsid w:val="0060007E"/>
    <w:rsid w:val="006003F4"/>
    <w:rsid w:val="006008A9"/>
    <w:rsid w:val="00601506"/>
    <w:rsid w:val="00601CB3"/>
    <w:rsid w:val="0060247A"/>
    <w:rsid w:val="006028B4"/>
    <w:rsid w:val="00603774"/>
    <w:rsid w:val="0060446D"/>
    <w:rsid w:val="00605540"/>
    <w:rsid w:val="00605626"/>
    <w:rsid w:val="006066EF"/>
    <w:rsid w:val="006068CB"/>
    <w:rsid w:val="00606F46"/>
    <w:rsid w:val="006073AB"/>
    <w:rsid w:val="00611B9E"/>
    <w:rsid w:val="006142F4"/>
    <w:rsid w:val="0061599F"/>
    <w:rsid w:val="00616756"/>
    <w:rsid w:val="00617021"/>
    <w:rsid w:val="0061770D"/>
    <w:rsid w:val="00620713"/>
    <w:rsid w:val="0062183B"/>
    <w:rsid w:val="006218DA"/>
    <w:rsid w:val="006227FB"/>
    <w:rsid w:val="00623FDE"/>
    <w:rsid w:val="0062498F"/>
    <w:rsid w:val="006249AE"/>
    <w:rsid w:val="00624FC5"/>
    <w:rsid w:val="00625D28"/>
    <w:rsid w:val="0062607D"/>
    <w:rsid w:val="006260C5"/>
    <w:rsid w:val="0062726C"/>
    <w:rsid w:val="006277EB"/>
    <w:rsid w:val="0063010F"/>
    <w:rsid w:val="00630C21"/>
    <w:rsid w:val="0063303D"/>
    <w:rsid w:val="00633048"/>
    <w:rsid w:val="00633151"/>
    <w:rsid w:val="0063333C"/>
    <w:rsid w:val="0063378B"/>
    <w:rsid w:val="00633E13"/>
    <w:rsid w:val="006344F9"/>
    <w:rsid w:val="00634644"/>
    <w:rsid w:val="0063495C"/>
    <w:rsid w:val="00634C39"/>
    <w:rsid w:val="006354D9"/>
    <w:rsid w:val="00636183"/>
    <w:rsid w:val="0063652D"/>
    <w:rsid w:val="00636B2E"/>
    <w:rsid w:val="00636EB4"/>
    <w:rsid w:val="006376A4"/>
    <w:rsid w:val="0064096A"/>
    <w:rsid w:val="006409D4"/>
    <w:rsid w:val="00640DD0"/>
    <w:rsid w:val="006411EF"/>
    <w:rsid w:val="00641838"/>
    <w:rsid w:val="00643405"/>
    <w:rsid w:val="00644EAD"/>
    <w:rsid w:val="00645256"/>
    <w:rsid w:val="006455E9"/>
    <w:rsid w:val="00646FA6"/>
    <w:rsid w:val="006505F1"/>
    <w:rsid w:val="00650FA1"/>
    <w:rsid w:val="00652391"/>
    <w:rsid w:val="006525AD"/>
    <w:rsid w:val="00652887"/>
    <w:rsid w:val="00652C71"/>
    <w:rsid w:val="00653E3F"/>
    <w:rsid w:val="00653E6F"/>
    <w:rsid w:val="00654163"/>
    <w:rsid w:val="006541B8"/>
    <w:rsid w:val="006555F0"/>
    <w:rsid w:val="00655D70"/>
    <w:rsid w:val="00655D91"/>
    <w:rsid w:val="006565F6"/>
    <w:rsid w:val="006569A7"/>
    <w:rsid w:val="00657329"/>
    <w:rsid w:val="00657F31"/>
    <w:rsid w:val="00660455"/>
    <w:rsid w:val="006614D4"/>
    <w:rsid w:val="006624C6"/>
    <w:rsid w:val="00662961"/>
    <w:rsid w:val="00662E15"/>
    <w:rsid w:val="00663313"/>
    <w:rsid w:val="00664866"/>
    <w:rsid w:val="00664AC0"/>
    <w:rsid w:val="00664BEA"/>
    <w:rsid w:val="00665822"/>
    <w:rsid w:val="0066650B"/>
    <w:rsid w:val="00666D9C"/>
    <w:rsid w:val="00666FC2"/>
    <w:rsid w:val="00667AC2"/>
    <w:rsid w:val="00667AC3"/>
    <w:rsid w:val="00671090"/>
    <w:rsid w:val="006711BC"/>
    <w:rsid w:val="006722A7"/>
    <w:rsid w:val="00673910"/>
    <w:rsid w:val="0067427F"/>
    <w:rsid w:val="00674358"/>
    <w:rsid w:val="00675991"/>
    <w:rsid w:val="00676963"/>
    <w:rsid w:val="00676D4A"/>
    <w:rsid w:val="0067705D"/>
    <w:rsid w:val="00677345"/>
    <w:rsid w:val="00677830"/>
    <w:rsid w:val="00682A1A"/>
    <w:rsid w:val="00683DC4"/>
    <w:rsid w:val="006846D7"/>
    <w:rsid w:val="00684BBA"/>
    <w:rsid w:val="00685752"/>
    <w:rsid w:val="00685B6D"/>
    <w:rsid w:val="00685D8A"/>
    <w:rsid w:val="00687A90"/>
    <w:rsid w:val="00690214"/>
    <w:rsid w:val="00691020"/>
    <w:rsid w:val="00691264"/>
    <w:rsid w:val="00692972"/>
    <w:rsid w:val="00693C4C"/>
    <w:rsid w:val="006940A1"/>
    <w:rsid w:val="00695117"/>
    <w:rsid w:val="00695CF0"/>
    <w:rsid w:val="00695E0D"/>
    <w:rsid w:val="00696760"/>
    <w:rsid w:val="00697A5D"/>
    <w:rsid w:val="006A03E9"/>
    <w:rsid w:val="006A089D"/>
    <w:rsid w:val="006A09CC"/>
    <w:rsid w:val="006A251F"/>
    <w:rsid w:val="006A25E2"/>
    <w:rsid w:val="006A346D"/>
    <w:rsid w:val="006A4AC9"/>
    <w:rsid w:val="006A4DA1"/>
    <w:rsid w:val="006A5E2F"/>
    <w:rsid w:val="006A6EE8"/>
    <w:rsid w:val="006A7987"/>
    <w:rsid w:val="006B2886"/>
    <w:rsid w:val="006B2B7B"/>
    <w:rsid w:val="006B7D78"/>
    <w:rsid w:val="006C0C71"/>
    <w:rsid w:val="006C0D8B"/>
    <w:rsid w:val="006C16E4"/>
    <w:rsid w:val="006C1D29"/>
    <w:rsid w:val="006C21A7"/>
    <w:rsid w:val="006C4420"/>
    <w:rsid w:val="006C453A"/>
    <w:rsid w:val="006C4A30"/>
    <w:rsid w:val="006C5587"/>
    <w:rsid w:val="006C59BA"/>
    <w:rsid w:val="006C5A32"/>
    <w:rsid w:val="006D0C8C"/>
    <w:rsid w:val="006D0D5D"/>
    <w:rsid w:val="006D11BA"/>
    <w:rsid w:val="006D23FF"/>
    <w:rsid w:val="006D2809"/>
    <w:rsid w:val="006D28FE"/>
    <w:rsid w:val="006D290D"/>
    <w:rsid w:val="006D56AB"/>
    <w:rsid w:val="006D590A"/>
    <w:rsid w:val="006D62E2"/>
    <w:rsid w:val="006D6FD1"/>
    <w:rsid w:val="006D7E25"/>
    <w:rsid w:val="006E0E45"/>
    <w:rsid w:val="006E0F38"/>
    <w:rsid w:val="006E2741"/>
    <w:rsid w:val="006E32C5"/>
    <w:rsid w:val="006E3402"/>
    <w:rsid w:val="006E5992"/>
    <w:rsid w:val="006E5D26"/>
    <w:rsid w:val="006E784D"/>
    <w:rsid w:val="006E7DB4"/>
    <w:rsid w:val="006E7E44"/>
    <w:rsid w:val="006F0D37"/>
    <w:rsid w:val="006F0EAC"/>
    <w:rsid w:val="006F1C9E"/>
    <w:rsid w:val="006F24B7"/>
    <w:rsid w:val="006F2D76"/>
    <w:rsid w:val="006F322D"/>
    <w:rsid w:val="006F3463"/>
    <w:rsid w:val="006F36E6"/>
    <w:rsid w:val="006F3A11"/>
    <w:rsid w:val="006F3E71"/>
    <w:rsid w:val="006F3E83"/>
    <w:rsid w:val="006F45E8"/>
    <w:rsid w:val="006F4A63"/>
    <w:rsid w:val="006F4BDF"/>
    <w:rsid w:val="006F6863"/>
    <w:rsid w:val="006F7200"/>
    <w:rsid w:val="007006B2"/>
    <w:rsid w:val="00700745"/>
    <w:rsid w:val="007008BB"/>
    <w:rsid w:val="0070250A"/>
    <w:rsid w:val="007027CD"/>
    <w:rsid w:val="007053CE"/>
    <w:rsid w:val="00705A1D"/>
    <w:rsid w:val="00706F4E"/>
    <w:rsid w:val="00707552"/>
    <w:rsid w:val="00710545"/>
    <w:rsid w:val="007106A3"/>
    <w:rsid w:val="007114AF"/>
    <w:rsid w:val="00711B27"/>
    <w:rsid w:val="00711E81"/>
    <w:rsid w:val="00711F6D"/>
    <w:rsid w:val="00712C3C"/>
    <w:rsid w:val="00712CC7"/>
    <w:rsid w:val="00712F90"/>
    <w:rsid w:val="00714270"/>
    <w:rsid w:val="00716EED"/>
    <w:rsid w:val="00717485"/>
    <w:rsid w:val="00717B60"/>
    <w:rsid w:val="00717FF0"/>
    <w:rsid w:val="0072108D"/>
    <w:rsid w:val="0072117B"/>
    <w:rsid w:val="0072195A"/>
    <w:rsid w:val="00722AFD"/>
    <w:rsid w:val="00722E65"/>
    <w:rsid w:val="0072333E"/>
    <w:rsid w:val="00723408"/>
    <w:rsid w:val="0072674C"/>
    <w:rsid w:val="007270A0"/>
    <w:rsid w:val="007277BD"/>
    <w:rsid w:val="007278EC"/>
    <w:rsid w:val="00727D4A"/>
    <w:rsid w:val="00727ECD"/>
    <w:rsid w:val="00730B2B"/>
    <w:rsid w:val="00731CAB"/>
    <w:rsid w:val="007347DA"/>
    <w:rsid w:val="007348A5"/>
    <w:rsid w:val="007358CD"/>
    <w:rsid w:val="00735A45"/>
    <w:rsid w:val="00736086"/>
    <w:rsid w:val="00736496"/>
    <w:rsid w:val="00737200"/>
    <w:rsid w:val="00737617"/>
    <w:rsid w:val="00737821"/>
    <w:rsid w:val="00737C4B"/>
    <w:rsid w:val="00741722"/>
    <w:rsid w:val="00742418"/>
    <w:rsid w:val="00743182"/>
    <w:rsid w:val="00743E70"/>
    <w:rsid w:val="00745BD5"/>
    <w:rsid w:val="00746FB4"/>
    <w:rsid w:val="00746FBE"/>
    <w:rsid w:val="00750980"/>
    <w:rsid w:val="00752C01"/>
    <w:rsid w:val="007540D0"/>
    <w:rsid w:val="007542D3"/>
    <w:rsid w:val="007550A3"/>
    <w:rsid w:val="007555A5"/>
    <w:rsid w:val="00756691"/>
    <w:rsid w:val="00756B21"/>
    <w:rsid w:val="00756B90"/>
    <w:rsid w:val="00757C7C"/>
    <w:rsid w:val="00757DE7"/>
    <w:rsid w:val="0076000D"/>
    <w:rsid w:val="007602D7"/>
    <w:rsid w:val="00761215"/>
    <w:rsid w:val="007620C6"/>
    <w:rsid w:val="00762110"/>
    <w:rsid w:val="00762775"/>
    <w:rsid w:val="00762C28"/>
    <w:rsid w:val="00763571"/>
    <w:rsid w:val="00764952"/>
    <w:rsid w:val="00764EE9"/>
    <w:rsid w:val="00764FED"/>
    <w:rsid w:val="00766963"/>
    <w:rsid w:val="0076728E"/>
    <w:rsid w:val="00767C44"/>
    <w:rsid w:val="00772E7F"/>
    <w:rsid w:val="00773E94"/>
    <w:rsid w:val="00774498"/>
    <w:rsid w:val="007745C6"/>
    <w:rsid w:val="00775094"/>
    <w:rsid w:val="00775AD2"/>
    <w:rsid w:val="00775C61"/>
    <w:rsid w:val="00780078"/>
    <w:rsid w:val="007805CF"/>
    <w:rsid w:val="00781905"/>
    <w:rsid w:val="0078230E"/>
    <w:rsid w:val="00783D98"/>
    <w:rsid w:val="00784B4F"/>
    <w:rsid w:val="00786047"/>
    <w:rsid w:val="00786342"/>
    <w:rsid w:val="00786E67"/>
    <w:rsid w:val="00786FC9"/>
    <w:rsid w:val="00786FD7"/>
    <w:rsid w:val="00787BC3"/>
    <w:rsid w:val="0079074D"/>
    <w:rsid w:val="00790BC0"/>
    <w:rsid w:val="00790CF5"/>
    <w:rsid w:val="0079102A"/>
    <w:rsid w:val="00791419"/>
    <w:rsid w:val="00791AB4"/>
    <w:rsid w:val="007928F2"/>
    <w:rsid w:val="0079293F"/>
    <w:rsid w:val="007931D6"/>
    <w:rsid w:val="00793A8B"/>
    <w:rsid w:val="00794345"/>
    <w:rsid w:val="00794B80"/>
    <w:rsid w:val="00795D30"/>
    <w:rsid w:val="00796EA0"/>
    <w:rsid w:val="0079790C"/>
    <w:rsid w:val="007A0898"/>
    <w:rsid w:val="007A09EF"/>
    <w:rsid w:val="007A13FF"/>
    <w:rsid w:val="007A2BB3"/>
    <w:rsid w:val="007A30A2"/>
    <w:rsid w:val="007A4B29"/>
    <w:rsid w:val="007A4DAC"/>
    <w:rsid w:val="007A6B00"/>
    <w:rsid w:val="007B0130"/>
    <w:rsid w:val="007B066A"/>
    <w:rsid w:val="007B0DCD"/>
    <w:rsid w:val="007B24EC"/>
    <w:rsid w:val="007B25AB"/>
    <w:rsid w:val="007B3FD8"/>
    <w:rsid w:val="007B612E"/>
    <w:rsid w:val="007B693F"/>
    <w:rsid w:val="007B70FA"/>
    <w:rsid w:val="007C33FC"/>
    <w:rsid w:val="007C4E9F"/>
    <w:rsid w:val="007C5061"/>
    <w:rsid w:val="007C5740"/>
    <w:rsid w:val="007C69F4"/>
    <w:rsid w:val="007D0430"/>
    <w:rsid w:val="007D17E5"/>
    <w:rsid w:val="007D33F4"/>
    <w:rsid w:val="007D3A40"/>
    <w:rsid w:val="007D41FC"/>
    <w:rsid w:val="007D704D"/>
    <w:rsid w:val="007D7445"/>
    <w:rsid w:val="007E11C6"/>
    <w:rsid w:val="007E1200"/>
    <w:rsid w:val="007E2215"/>
    <w:rsid w:val="007E2DE0"/>
    <w:rsid w:val="007E3290"/>
    <w:rsid w:val="007E339A"/>
    <w:rsid w:val="007E3431"/>
    <w:rsid w:val="007E36FE"/>
    <w:rsid w:val="007E4819"/>
    <w:rsid w:val="007E6D0B"/>
    <w:rsid w:val="007F0F8B"/>
    <w:rsid w:val="007F1030"/>
    <w:rsid w:val="007F1FBC"/>
    <w:rsid w:val="007F3569"/>
    <w:rsid w:val="007F3C3E"/>
    <w:rsid w:val="007F539C"/>
    <w:rsid w:val="007F5F61"/>
    <w:rsid w:val="007F6388"/>
    <w:rsid w:val="007F6C6A"/>
    <w:rsid w:val="00800C6F"/>
    <w:rsid w:val="00800C96"/>
    <w:rsid w:val="0080206A"/>
    <w:rsid w:val="00802235"/>
    <w:rsid w:val="008028D8"/>
    <w:rsid w:val="00802A0E"/>
    <w:rsid w:val="00802BDA"/>
    <w:rsid w:val="0080354E"/>
    <w:rsid w:val="00803889"/>
    <w:rsid w:val="00803E92"/>
    <w:rsid w:val="00803FDC"/>
    <w:rsid w:val="00805D2E"/>
    <w:rsid w:val="00806025"/>
    <w:rsid w:val="008119DC"/>
    <w:rsid w:val="00812B48"/>
    <w:rsid w:val="0081600F"/>
    <w:rsid w:val="0081667A"/>
    <w:rsid w:val="00817ADD"/>
    <w:rsid w:val="00820DF5"/>
    <w:rsid w:val="00821217"/>
    <w:rsid w:val="008214B4"/>
    <w:rsid w:val="00821C67"/>
    <w:rsid w:val="0082205B"/>
    <w:rsid w:val="008226A6"/>
    <w:rsid w:val="00822AA0"/>
    <w:rsid w:val="00822CC6"/>
    <w:rsid w:val="008248B5"/>
    <w:rsid w:val="00824D28"/>
    <w:rsid w:val="00825673"/>
    <w:rsid w:val="00826879"/>
    <w:rsid w:val="00833C74"/>
    <w:rsid w:val="008355E1"/>
    <w:rsid w:val="00835B25"/>
    <w:rsid w:val="008363B0"/>
    <w:rsid w:val="008375C0"/>
    <w:rsid w:val="00837A64"/>
    <w:rsid w:val="00837A87"/>
    <w:rsid w:val="00837D0D"/>
    <w:rsid w:val="00840F7D"/>
    <w:rsid w:val="00842805"/>
    <w:rsid w:val="00842EFF"/>
    <w:rsid w:val="008437FA"/>
    <w:rsid w:val="008438F8"/>
    <w:rsid w:val="008441EB"/>
    <w:rsid w:val="008443E0"/>
    <w:rsid w:val="00844564"/>
    <w:rsid w:val="00845CDC"/>
    <w:rsid w:val="008501FF"/>
    <w:rsid w:val="00851EE3"/>
    <w:rsid w:val="0085240E"/>
    <w:rsid w:val="00852F70"/>
    <w:rsid w:val="00853D53"/>
    <w:rsid w:val="00853F4F"/>
    <w:rsid w:val="0085411F"/>
    <w:rsid w:val="00854679"/>
    <w:rsid w:val="00860323"/>
    <w:rsid w:val="00860391"/>
    <w:rsid w:val="00861012"/>
    <w:rsid w:val="008614C4"/>
    <w:rsid w:val="00861A05"/>
    <w:rsid w:val="0086279C"/>
    <w:rsid w:val="008640E3"/>
    <w:rsid w:val="0086422E"/>
    <w:rsid w:val="00864ECB"/>
    <w:rsid w:val="00865096"/>
    <w:rsid w:val="008652DD"/>
    <w:rsid w:val="00866D1F"/>
    <w:rsid w:val="00867004"/>
    <w:rsid w:val="0087008C"/>
    <w:rsid w:val="00870CBF"/>
    <w:rsid w:val="00871E19"/>
    <w:rsid w:val="00874C14"/>
    <w:rsid w:val="008750FA"/>
    <w:rsid w:val="00876572"/>
    <w:rsid w:val="008817F9"/>
    <w:rsid w:val="00881CA3"/>
    <w:rsid w:val="0088236E"/>
    <w:rsid w:val="0088267B"/>
    <w:rsid w:val="00882E03"/>
    <w:rsid w:val="00884696"/>
    <w:rsid w:val="00884D7B"/>
    <w:rsid w:val="00884F24"/>
    <w:rsid w:val="00885140"/>
    <w:rsid w:val="00885C61"/>
    <w:rsid w:val="00887209"/>
    <w:rsid w:val="0088720D"/>
    <w:rsid w:val="008900DB"/>
    <w:rsid w:val="00890C6C"/>
    <w:rsid w:val="00891093"/>
    <w:rsid w:val="008912FC"/>
    <w:rsid w:val="00891874"/>
    <w:rsid w:val="00892B4B"/>
    <w:rsid w:val="008938B4"/>
    <w:rsid w:val="0089645A"/>
    <w:rsid w:val="00896E2B"/>
    <w:rsid w:val="008971BF"/>
    <w:rsid w:val="008A051B"/>
    <w:rsid w:val="008A0FF6"/>
    <w:rsid w:val="008A17D0"/>
    <w:rsid w:val="008A1EE2"/>
    <w:rsid w:val="008A2C4D"/>
    <w:rsid w:val="008A3569"/>
    <w:rsid w:val="008A58F5"/>
    <w:rsid w:val="008B07A2"/>
    <w:rsid w:val="008B09F9"/>
    <w:rsid w:val="008B391B"/>
    <w:rsid w:val="008B3D7D"/>
    <w:rsid w:val="008B4E5D"/>
    <w:rsid w:val="008B6C13"/>
    <w:rsid w:val="008B7589"/>
    <w:rsid w:val="008C0293"/>
    <w:rsid w:val="008C4618"/>
    <w:rsid w:val="008C47F3"/>
    <w:rsid w:val="008C51A8"/>
    <w:rsid w:val="008C571B"/>
    <w:rsid w:val="008C5C6C"/>
    <w:rsid w:val="008C66FA"/>
    <w:rsid w:val="008C6783"/>
    <w:rsid w:val="008C7260"/>
    <w:rsid w:val="008C7F22"/>
    <w:rsid w:val="008D0164"/>
    <w:rsid w:val="008D01C9"/>
    <w:rsid w:val="008D078E"/>
    <w:rsid w:val="008D102C"/>
    <w:rsid w:val="008D209B"/>
    <w:rsid w:val="008D2384"/>
    <w:rsid w:val="008D318A"/>
    <w:rsid w:val="008D3453"/>
    <w:rsid w:val="008D48B5"/>
    <w:rsid w:val="008D5B55"/>
    <w:rsid w:val="008D5C92"/>
    <w:rsid w:val="008D615F"/>
    <w:rsid w:val="008D74B5"/>
    <w:rsid w:val="008E0849"/>
    <w:rsid w:val="008E0E69"/>
    <w:rsid w:val="008E1AAB"/>
    <w:rsid w:val="008E293C"/>
    <w:rsid w:val="008E3611"/>
    <w:rsid w:val="008E5E9B"/>
    <w:rsid w:val="008E680C"/>
    <w:rsid w:val="008E692A"/>
    <w:rsid w:val="008E6FF0"/>
    <w:rsid w:val="008E7F5E"/>
    <w:rsid w:val="008F0CD6"/>
    <w:rsid w:val="008F1E48"/>
    <w:rsid w:val="008F2AE8"/>
    <w:rsid w:val="008F40D7"/>
    <w:rsid w:val="008F7AB4"/>
    <w:rsid w:val="00900C9E"/>
    <w:rsid w:val="00902F4D"/>
    <w:rsid w:val="0090441A"/>
    <w:rsid w:val="00905255"/>
    <w:rsid w:val="0090591F"/>
    <w:rsid w:val="00905BF5"/>
    <w:rsid w:val="009066CF"/>
    <w:rsid w:val="00906D5D"/>
    <w:rsid w:val="009107F5"/>
    <w:rsid w:val="00910CF6"/>
    <w:rsid w:val="009112C0"/>
    <w:rsid w:val="00912287"/>
    <w:rsid w:val="0091251D"/>
    <w:rsid w:val="0091679C"/>
    <w:rsid w:val="00916CD0"/>
    <w:rsid w:val="00917479"/>
    <w:rsid w:val="009203F8"/>
    <w:rsid w:val="0092381D"/>
    <w:rsid w:val="009241F8"/>
    <w:rsid w:val="00924668"/>
    <w:rsid w:val="009257EC"/>
    <w:rsid w:val="00925E09"/>
    <w:rsid w:val="00926A98"/>
    <w:rsid w:val="00927045"/>
    <w:rsid w:val="0093106E"/>
    <w:rsid w:val="009329EA"/>
    <w:rsid w:val="00932A21"/>
    <w:rsid w:val="00934425"/>
    <w:rsid w:val="00940BE0"/>
    <w:rsid w:val="00941B20"/>
    <w:rsid w:val="00942090"/>
    <w:rsid w:val="009424E9"/>
    <w:rsid w:val="009425F9"/>
    <w:rsid w:val="00942EB5"/>
    <w:rsid w:val="009436DE"/>
    <w:rsid w:val="00943A3B"/>
    <w:rsid w:val="0095041F"/>
    <w:rsid w:val="009516CB"/>
    <w:rsid w:val="00951AF3"/>
    <w:rsid w:val="00952172"/>
    <w:rsid w:val="00953350"/>
    <w:rsid w:val="0095336B"/>
    <w:rsid w:val="0095440F"/>
    <w:rsid w:val="00954896"/>
    <w:rsid w:val="00955003"/>
    <w:rsid w:val="00955188"/>
    <w:rsid w:val="009559AD"/>
    <w:rsid w:val="0095715C"/>
    <w:rsid w:val="00957AD3"/>
    <w:rsid w:val="00957DF8"/>
    <w:rsid w:val="00957EE5"/>
    <w:rsid w:val="00962A7D"/>
    <w:rsid w:val="009631B8"/>
    <w:rsid w:val="009636EB"/>
    <w:rsid w:val="00963AA7"/>
    <w:rsid w:val="00964A69"/>
    <w:rsid w:val="00966755"/>
    <w:rsid w:val="0097057B"/>
    <w:rsid w:val="00970822"/>
    <w:rsid w:val="00971921"/>
    <w:rsid w:val="00973BDD"/>
    <w:rsid w:val="00973F1D"/>
    <w:rsid w:val="00975CDD"/>
    <w:rsid w:val="00976DBE"/>
    <w:rsid w:val="009772C7"/>
    <w:rsid w:val="00977794"/>
    <w:rsid w:val="0098021F"/>
    <w:rsid w:val="0098123D"/>
    <w:rsid w:val="0098179B"/>
    <w:rsid w:val="0098183C"/>
    <w:rsid w:val="009818E1"/>
    <w:rsid w:val="0098196E"/>
    <w:rsid w:val="009823D5"/>
    <w:rsid w:val="00982542"/>
    <w:rsid w:val="0098318D"/>
    <w:rsid w:val="00984D56"/>
    <w:rsid w:val="00987843"/>
    <w:rsid w:val="00987D8E"/>
    <w:rsid w:val="0099015E"/>
    <w:rsid w:val="009914AF"/>
    <w:rsid w:val="00991589"/>
    <w:rsid w:val="00991645"/>
    <w:rsid w:val="00992703"/>
    <w:rsid w:val="00993027"/>
    <w:rsid w:val="009933A8"/>
    <w:rsid w:val="0099350E"/>
    <w:rsid w:val="00993D7E"/>
    <w:rsid w:val="009957C0"/>
    <w:rsid w:val="00995B10"/>
    <w:rsid w:val="009A1361"/>
    <w:rsid w:val="009A1ABE"/>
    <w:rsid w:val="009A1CCA"/>
    <w:rsid w:val="009A1DA6"/>
    <w:rsid w:val="009A2C99"/>
    <w:rsid w:val="009A2E47"/>
    <w:rsid w:val="009A3993"/>
    <w:rsid w:val="009A4995"/>
    <w:rsid w:val="009A4CF0"/>
    <w:rsid w:val="009A7183"/>
    <w:rsid w:val="009A71BD"/>
    <w:rsid w:val="009B0B8D"/>
    <w:rsid w:val="009B1CEE"/>
    <w:rsid w:val="009B2804"/>
    <w:rsid w:val="009B349F"/>
    <w:rsid w:val="009B5C7B"/>
    <w:rsid w:val="009B61B4"/>
    <w:rsid w:val="009B6999"/>
    <w:rsid w:val="009C0155"/>
    <w:rsid w:val="009C15E5"/>
    <w:rsid w:val="009C1854"/>
    <w:rsid w:val="009C22AB"/>
    <w:rsid w:val="009C27D1"/>
    <w:rsid w:val="009C5A0D"/>
    <w:rsid w:val="009C6B8B"/>
    <w:rsid w:val="009C7B91"/>
    <w:rsid w:val="009C7DF4"/>
    <w:rsid w:val="009D03A9"/>
    <w:rsid w:val="009D16F9"/>
    <w:rsid w:val="009D4EDA"/>
    <w:rsid w:val="009D5178"/>
    <w:rsid w:val="009D6E1B"/>
    <w:rsid w:val="009D6FE6"/>
    <w:rsid w:val="009D7EAE"/>
    <w:rsid w:val="009E064A"/>
    <w:rsid w:val="009E06CF"/>
    <w:rsid w:val="009E0BDA"/>
    <w:rsid w:val="009E12A2"/>
    <w:rsid w:val="009E174C"/>
    <w:rsid w:val="009E36DA"/>
    <w:rsid w:val="009E383E"/>
    <w:rsid w:val="009E38A9"/>
    <w:rsid w:val="009E4A23"/>
    <w:rsid w:val="009E56FA"/>
    <w:rsid w:val="009E6FEA"/>
    <w:rsid w:val="009E71D1"/>
    <w:rsid w:val="009E788C"/>
    <w:rsid w:val="009F06A9"/>
    <w:rsid w:val="009F0B23"/>
    <w:rsid w:val="009F632D"/>
    <w:rsid w:val="009F67AC"/>
    <w:rsid w:val="00A00787"/>
    <w:rsid w:val="00A02C0D"/>
    <w:rsid w:val="00A03153"/>
    <w:rsid w:val="00A03833"/>
    <w:rsid w:val="00A03ECF"/>
    <w:rsid w:val="00A05C31"/>
    <w:rsid w:val="00A06115"/>
    <w:rsid w:val="00A06261"/>
    <w:rsid w:val="00A0786E"/>
    <w:rsid w:val="00A11E43"/>
    <w:rsid w:val="00A12F22"/>
    <w:rsid w:val="00A13D9D"/>
    <w:rsid w:val="00A14673"/>
    <w:rsid w:val="00A15444"/>
    <w:rsid w:val="00A1620B"/>
    <w:rsid w:val="00A20653"/>
    <w:rsid w:val="00A22C3F"/>
    <w:rsid w:val="00A2304C"/>
    <w:rsid w:val="00A2305F"/>
    <w:rsid w:val="00A2380D"/>
    <w:rsid w:val="00A3001B"/>
    <w:rsid w:val="00A30038"/>
    <w:rsid w:val="00A317D9"/>
    <w:rsid w:val="00A320BC"/>
    <w:rsid w:val="00A33F1A"/>
    <w:rsid w:val="00A349AF"/>
    <w:rsid w:val="00A34E5F"/>
    <w:rsid w:val="00A35766"/>
    <w:rsid w:val="00A35912"/>
    <w:rsid w:val="00A36B10"/>
    <w:rsid w:val="00A376CC"/>
    <w:rsid w:val="00A37A8E"/>
    <w:rsid w:val="00A40251"/>
    <w:rsid w:val="00A409E0"/>
    <w:rsid w:val="00A412A6"/>
    <w:rsid w:val="00A4238A"/>
    <w:rsid w:val="00A42453"/>
    <w:rsid w:val="00A42749"/>
    <w:rsid w:val="00A42C3F"/>
    <w:rsid w:val="00A461D7"/>
    <w:rsid w:val="00A46871"/>
    <w:rsid w:val="00A46C1D"/>
    <w:rsid w:val="00A479FE"/>
    <w:rsid w:val="00A521D7"/>
    <w:rsid w:val="00A524AF"/>
    <w:rsid w:val="00A53A68"/>
    <w:rsid w:val="00A53CF9"/>
    <w:rsid w:val="00A5543E"/>
    <w:rsid w:val="00A56354"/>
    <w:rsid w:val="00A5724D"/>
    <w:rsid w:val="00A605A1"/>
    <w:rsid w:val="00A607E2"/>
    <w:rsid w:val="00A6083A"/>
    <w:rsid w:val="00A61FCB"/>
    <w:rsid w:val="00A62C1F"/>
    <w:rsid w:val="00A63224"/>
    <w:rsid w:val="00A635A0"/>
    <w:rsid w:val="00A63871"/>
    <w:rsid w:val="00A63E28"/>
    <w:rsid w:val="00A64235"/>
    <w:rsid w:val="00A64DA6"/>
    <w:rsid w:val="00A65A29"/>
    <w:rsid w:val="00A661B0"/>
    <w:rsid w:val="00A661C4"/>
    <w:rsid w:val="00A66F37"/>
    <w:rsid w:val="00A678A7"/>
    <w:rsid w:val="00A70558"/>
    <w:rsid w:val="00A7081B"/>
    <w:rsid w:val="00A710A4"/>
    <w:rsid w:val="00A712D3"/>
    <w:rsid w:val="00A71328"/>
    <w:rsid w:val="00A71433"/>
    <w:rsid w:val="00A718D9"/>
    <w:rsid w:val="00A71C3E"/>
    <w:rsid w:val="00A7214A"/>
    <w:rsid w:val="00A723A3"/>
    <w:rsid w:val="00A7292C"/>
    <w:rsid w:val="00A747F8"/>
    <w:rsid w:val="00A751F8"/>
    <w:rsid w:val="00A75998"/>
    <w:rsid w:val="00A766D7"/>
    <w:rsid w:val="00A769C5"/>
    <w:rsid w:val="00A76B07"/>
    <w:rsid w:val="00A77BEC"/>
    <w:rsid w:val="00A80C75"/>
    <w:rsid w:val="00A81585"/>
    <w:rsid w:val="00A81862"/>
    <w:rsid w:val="00A8195A"/>
    <w:rsid w:val="00A82091"/>
    <w:rsid w:val="00A82B4E"/>
    <w:rsid w:val="00A8451F"/>
    <w:rsid w:val="00A85461"/>
    <w:rsid w:val="00A854C9"/>
    <w:rsid w:val="00A857B7"/>
    <w:rsid w:val="00A85DFC"/>
    <w:rsid w:val="00A87D4F"/>
    <w:rsid w:val="00A9023A"/>
    <w:rsid w:val="00A906B0"/>
    <w:rsid w:val="00A90DAF"/>
    <w:rsid w:val="00A91A1D"/>
    <w:rsid w:val="00A94506"/>
    <w:rsid w:val="00A94A79"/>
    <w:rsid w:val="00A95B30"/>
    <w:rsid w:val="00A95D52"/>
    <w:rsid w:val="00A97100"/>
    <w:rsid w:val="00A97214"/>
    <w:rsid w:val="00A974F7"/>
    <w:rsid w:val="00AA0888"/>
    <w:rsid w:val="00AA2693"/>
    <w:rsid w:val="00AA40ED"/>
    <w:rsid w:val="00AA4404"/>
    <w:rsid w:val="00AA545C"/>
    <w:rsid w:val="00AA6142"/>
    <w:rsid w:val="00AA6BEB"/>
    <w:rsid w:val="00AA6DD0"/>
    <w:rsid w:val="00AA7A83"/>
    <w:rsid w:val="00AB1E56"/>
    <w:rsid w:val="00AB1EC1"/>
    <w:rsid w:val="00AB5564"/>
    <w:rsid w:val="00AB7D98"/>
    <w:rsid w:val="00AC03E9"/>
    <w:rsid w:val="00AC068B"/>
    <w:rsid w:val="00AC11A5"/>
    <w:rsid w:val="00AC245A"/>
    <w:rsid w:val="00AC2C52"/>
    <w:rsid w:val="00AC3339"/>
    <w:rsid w:val="00AC3ECC"/>
    <w:rsid w:val="00AC4055"/>
    <w:rsid w:val="00AC546B"/>
    <w:rsid w:val="00AC5CA1"/>
    <w:rsid w:val="00AC6544"/>
    <w:rsid w:val="00AC7E57"/>
    <w:rsid w:val="00AD0FFE"/>
    <w:rsid w:val="00AD229C"/>
    <w:rsid w:val="00AD4430"/>
    <w:rsid w:val="00AD459D"/>
    <w:rsid w:val="00AD4EA1"/>
    <w:rsid w:val="00AD53D2"/>
    <w:rsid w:val="00AD72ED"/>
    <w:rsid w:val="00AD7454"/>
    <w:rsid w:val="00AD77E3"/>
    <w:rsid w:val="00AD78E0"/>
    <w:rsid w:val="00AD79D3"/>
    <w:rsid w:val="00AE29E5"/>
    <w:rsid w:val="00AE2AF0"/>
    <w:rsid w:val="00AE2ECE"/>
    <w:rsid w:val="00AE3FEE"/>
    <w:rsid w:val="00AE57FE"/>
    <w:rsid w:val="00AE5D1C"/>
    <w:rsid w:val="00AE6015"/>
    <w:rsid w:val="00AE61B5"/>
    <w:rsid w:val="00AE64A8"/>
    <w:rsid w:val="00AE6FA1"/>
    <w:rsid w:val="00AE72D4"/>
    <w:rsid w:val="00AF05AF"/>
    <w:rsid w:val="00AF1451"/>
    <w:rsid w:val="00AF21FA"/>
    <w:rsid w:val="00AF52F3"/>
    <w:rsid w:val="00AF64FF"/>
    <w:rsid w:val="00AF6551"/>
    <w:rsid w:val="00B005DC"/>
    <w:rsid w:val="00B00A2A"/>
    <w:rsid w:val="00B00B68"/>
    <w:rsid w:val="00B010C3"/>
    <w:rsid w:val="00B01C30"/>
    <w:rsid w:val="00B04664"/>
    <w:rsid w:val="00B065AD"/>
    <w:rsid w:val="00B06C88"/>
    <w:rsid w:val="00B100F4"/>
    <w:rsid w:val="00B11263"/>
    <w:rsid w:val="00B11B3F"/>
    <w:rsid w:val="00B1205F"/>
    <w:rsid w:val="00B1207C"/>
    <w:rsid w:val="00B12400"/>
    <w:rsid w:val="00B13580"/>
    <w:rsid w:val="00B14983"/>
    <w:rsid w:val="00B14FD2"/>
    <w:rsid w:val="00B15A90"/>
    <w:rsid w:val="00B16EB3"/>
    <w:rsid w:val="00B2069C"/>
    <w:rsid w:val="00B20BA4"/>
    <w:rsid w:val="00B20EA6"/>
    <w:rsid w:val="00B21AE8"/>
    <w:rsid w:val="00B22A0E"/>
    <w:rsid w:val="00B23579"/>
    <w:rsid w:val="00B23E39"/>
    <w:rsid w:val="00B249E3"/>
    <w:rsid w:val="00B2541E"/>
    <w:rsid w:val="00B27105"/>
    <w:rsid w:val="00B27801"/>
    <w:rsid w:val="00B27BA9"/>
    <w:rsid w:val="00B30643"/>
    <w:rsid w:val="00B31311"/>
    <w:rsid w:val="00B327CF"/>
    <w:rsid w:val="00B33EA2"/>
    <w:rsid w:val="00B34101"/>
    <w:rsid w:val="00B34C59"/>
    <w:rsid w:val="00B358EF"/>
    <w:rsid w:val="00B35B53"/>
    <w:rsid w:val="00B364E4"/>
    <w:rsid w:val="00B3650D"/>
    <w:rsid w:val="00B366C7"/>
    <w:rsid w:val="00B37740"/>
    <w:rsid w:val="00B37FB4"/>
    <w:rsid w:val="00B42016"/>
    <w:rsid w:val="00B437A1"/>
    <w:rsid w:val="00B442D8"/>
    <w:rsid w:val="00B456E7"/>
    <w:rsid w:val="00B45F8F"/>
    <w:rsid w:val="00B46184"/>
    <w:rsid w:val="00B46CE6"/>
    <w:rsid w:val="00B50156"/>
    <w:rsid w:val="00B51000"/>
    <w:rsid w:val="00B51F4F"/>
    <w:rsid w:val="00B52D0C"/>
    <w:rsid w:val="00B534DA"/>
    <w:rsid w:val="00B53960"/>
    <w:rsid w:val="00B53D95"/>
    <w:rsid w:val="00B554F3"/>
    <w:rsid w:val="00B5604D"/>
    <w:rsid w:val="00B5637E"/>
    <w:rsid w:val="00B56A0C"/>
    <w:rsid w:val="00B56D0E"/>
    <w:rsid w:val="00B56EDB"/>
    <w:rsid w:val="00B57061"/>
    <w:rsid w:val="00B57CFB"/>
    <w:rsid w:val="00B57D9C"/>
    <w:rsid w:val="00B6178B"/>
    <w:rsid w:val="00B62484"/>
    <w:rsid w:val="00B62947"/>
    <w:rsid w:val="00B62A8C"/>
    <w:rsid w:val="00B62CB4"/>
    <w:rsid w:val="00B642F1"/>
    <w:rsid w:val="00B6490A"/>
    <w:rsid w:val="00B65029"/>
    <w:rsid w:val="00B65CE2"/>
    <w:rsid w:val="00B67001"/>
    <w:rsid w:val="00B672A4"/>
    <w:rsid w:val="00B674DB"/>
    <w:rsid w:val="00B709A8"/>
    <w:rsid w:val="00B70CB6"/>
    <w:rsid w:val="00B71C7B"/>
    <w:rsid w:val="00B72C7D"/>
    <w:rsid w:val="00B73F28"/>
    <w:rsid w:val="00B75BD3"/>
    <w:rsid w:val="00B76181"/>
    <w:rsid w:val="00B76B57"/>
    <w:rsid w:val="00B77231"/>
    <w:rsid w:val="00B7745E"/>
    <w:rsid w:val="00B805A8"/>
    <w:rsid w:val="00B81BA8"/>
    <w:rsid w:val="00B81D50"/>
    <w:rsid w:val="00B833EF"/>
    <w:rsid w:val="00B83586"/>
    <w:rsid w:val="00B83636"/>
    <w:rsid w:val="00B83B1F"/>
    <w:rsid w:val="00B84694"/>
    <w:rsid w:val="00B8509F"/>
    <w:rsid w:val="00B8546E"/>
    <w:rsid w:val="00B87167"/>
    <w:rsid w:val="00B87825"/>
    <w:rsid w:val="00B8793F"/>
    <w:rsid w:val="00B920F3"/>
    <w:rsid w:val="00B92C51"/>
    <w:rsid w:val="00B94578"/>
    <w:rsid w:val="00B947C7"/>
    <w:rsid w:val="00B948B3"/>
    <w:rsid w:val="00B95355"/>
    <w:rsid w:val="00B955EC"/>
    <w:rsid w:val="00B959DE"/>
    <w:rsid w:val="00B9670A"/>
    <w:rsid w:val="00B96758"/>
    <w:rsid w:val="00B96995"/>
    <w:rsid w:val="00B97853"/>
    <w:rsid w:val="00B97E15"/>
    <w:rsid w:val="00BA0A28"/>
    <w:rsid w:val="00BA0FDC"/>
    <w:rsid w:val="00BA1378"/>
    <w:rsid w:val="00BA23F0"/>
    <w:rsid w:val="00BA42AA"/>
    <w:rsid w:val="00BA4578"/>
    <w:rsid w:val="00BA5163"/>
    <w:rsid w:val="00BA6B41"/>
    <w:rsid w:val="00BA7323"/>
    <w:rsid w:val="00BA7900"/>
    <w:rsid w:val="00BA7C82"/>
    <w:rsid w:val="00BB08B9"/>
    <w:rsid w:val="00BB1042"/>
    <w:rsid w:val="00BB2616"/>
    <w:rsid w:val="00BB2AE5"/>
    <w:rsid w:val="00BB2E09"/>
    <w:rsid w:val="00BB2F0E"/>
    <w:rsid w:val="00BB38DB"/>
    <w:rsid w:val="00BB3FAC"/>
    <w:rsid w:val="00BB44BD"/>
    <w:rsid w:val="00BB5351"/>
    <w:rsid w:val="00BB54DA"/>
    <w:rsid w:val="00BB5528"/>
    <w:rsid w:val="00BB5979"/>
    <w:rsid w:val="00BB5F90"/>
    <w:rsid w:val="00BB60FD"/>
    <w:rsid w:val="00BB7EAA"/>
    <w:rsid w:val="00BC0108"/>
    <w:rsid w:val="00BC1167"/>
    <w:rsid w:val="00BC3772"/>
    <w:rsid w:val="00BC3BED"/>
    <w:rsid w:val="00BC413E"/>
    <w:rsid w:val="00BC5326"/>
    <w:rsid w:val="00BC614F"/>
    <w:rsid w:val="00BC650A"/>
    <w:rsid w:val="00BC6B7B"/>
    <w:rsid w:val="00BC7047"/>
    <w:rsid w:val="00BD1946"/>
    <w:rsid w:val="00BD1D80"/>
    <w:rsid w:val="00BD28AB"/>
    <w:rsid w:val="00BD35C4"/>
    <w:rsid w:val="00BD3C48"/>
    <w:rsid w:val="00BD4BEE"/>
    <w:rsid w:val="00BD5294"/>
    <w:rsid w:val="00BD637E"/>
    <w:rsid w:val="00BD6C59"/>
    <w:rsid w:val="00BE0395"/>
    <w:rsid w:val="00BE2265"/>
    <w:rsid w:val="00BE3DE0"/>
    <w:rsid w:val="00BE505C"/>
    <w:rsid w:val="00BE51AB"/>
    <w:rsid w:val="00BE5CF0"/>
    <w:rsid w:val="00BE684B"/>
    <w:rsid w:val="00BE68AE"/>
    <w:rsid w:val="00BE6DE7"/>
    <w:rsid w:val="00BF0722"/>
    <w:rsid w:val="00BF13FC"/>
    <w:rsid w:val="00BF14B0"/>
    <w:rsid w:val="00BF17B6"/>
    <w:rsid w:val="00BF1E66"/>
    <w:rsid w:val="00BF2575"/>
    <w:rsid w:val="00BF307F"/>
    <w:rsid w:val="00BF41EE"/>
    <w:rsid w:val="00BF5E96"/>
    <w:rsid w:val="00BF6BDD"/>
    <w:rsid w:val="00BF6DCE"/>
    <w:rsid w:val="00BF746A"/>
    <w:rsid w:val="00BF77CF"/>
    <w:rsid w:val="00BF7BA5"/>
    <w:rsid w:val="00C00C1B"/>
    <w:rsid w:val="00C03F05"/>
    <w:rsid w:val="00C06926"/>
    <w:rsid w:val="00C07397"/>
    <w:rsid w:val="00C0790B"/>
    <w:rsid w:val="00C07A7D"/>
    <w:rsid w:val="00C07E50"/>
    <w:rsid w:val="00C1055C"/>
    <w:rsid w:val="00C11535"/>
    <w:rsid w:val="00C11675"/>
    <w:rsid w:val="00C11E99"/>
    <w:rsid w:val="00C12EE6"/>
    <w:rsid w:val="00C138C3"/>
    <w:rsid w:val="00C13A23"/>
    <w:rsid w:val="00C14908"/>
    <w:rsid w:val="00C152CA"/>
    <w:rsid w:val="00C152E0"/>
    <w:rsid w:val="00C175C6"/>
    <w:rsid w:val="00C205CD"/>
    <w:rsid w:val="00C212C0"/>
    <w:rsid w:val="00C217DC"/>
    <w:rsid w:val="00C2184B"/>
    <w:rsid w:val="00C224A5"/>
    <w:rsid w:val="00C228FC"/>
    <w:rsid w:val="00C22DC9"/>
    <w:rsid w:val="00C23312"/>
    <w:rsid w:val="00C24D6A"/>
    <w:rsid w:val="00C24F1A"/>
    <w:rsid w:val="00C27940"/>
    <w:rsid w:val="00C30C26"/>
    <w:rsid w:val="00C31390"/>
    <w:rsid w:val="00C3157E"/>
    <w:rsid w:val="00C31679"/>
    <w:rsid w:val="00C329F6"/>
    <w:rsid w:val="00C32F1F"/>
    <w:rsid w:val="00C34091"/>
    <w:rsid w:val="00C3492D"/>
    <w:rsid w:val="00C35971"/>
    <w:rsid w:val="00C36A77"/>
    <w:rsid w:val="00C40B67"/>
    <w:rsid w:val="00C41461"/>
    <w:rsid w:val="00C423E9"/>
    <w:rsid w:val="00C4501D"/>
    <w:rsid w:val="00C46656"/>
    <w:rsid w:val="00C47637"/>
    <w:rsid w:val="00C50D8F"/>
    <w:rsid w:val="00C51012"/>
    <w:rsid w:val="00C51320"/>
    <w:rsid w:val="00C52277"/>
    <w:rsid w:val="00C52C72"/>
    <w:rsid w:val="00C5322D"/>
    <w:rsid w:val="00C535BC"/>
    <w:rsid w:val="00C53F4A"/>
    <w:rsid w:val="00C54182"/>
    <w:rsid w:val="00C54240"/>
    <w:rsid w:val="00C55F13"/>
    <w:rsid w:val="00C56103"/>
    <w:rsid w:val="00C57540"/>
    <w:rsid w:val="00C57759"/>
    <w:rsid w:val="00C57979"/>
    <w:rsid w:val="00C57BB4"/>
    <w:rsid w:val="00C6106C"/>
    <w:rsid w:val="00C614BF"/>
    <w:rsid w:val="00C61804"/>
    <w:rsid w:val="00C61967"/>
    <w:rsid w:val="00C61CD6"/>
    <w:rsid w:val="00C6278F"/>
    <w:rsid w:val="00C63482"/>
    <w:rsid w:val="00C63E35"/>
    <w:rsid w:val="00C64AAC"/>
    <w:rsid w:val="00C64BA1"/>
    <w:rsid w:val="00C650D3"/>
    <w:rsid w:val="00C668DD"/>
    <w:rsid w:val="00C67186"/>
    <w:rsid w:val="00C67249"/>
    <w:rsid w:val="00C67446"/>
    <w:rsid w:val="00C679C1"/>
    <w:rsid w:val="00C67EEB"/>
    <w:rsid w:val="00C73297"/>
    <w:rsid w:val="00C73554"/>
    <w:rsid w:val="00C7382A"/>
    <w:rsid w:val="00C73AA1"/>
    <w:rsid w:val="00C73E58"/>
    <w:rsid w:val="00C762F2"/>
    <w:rsid w:val="00C7636D"/>
    <w:rsid w:val="00C7651E"/>
    <w:rsid w:val="00C76D00"/>
    <w:rsid w:val="00C771C8"/>
    <w:rsid w:val="00C772B9"/>
    <w:rsid w:val="00C802D5"/>
    <w:rsid w:val="00C81112"/>
    <w:rsid w:val="00C8170D"/>
    <w:rsid w:val="00C81FE4"/>
    <w:rsid w:val="00C83C19"/>
    <w:rsid w:val="00C84B83"/>
    <w:rsid w:val="00C85011"/>
    <w:rsid w:val="00C86444"/>
    <w:rsid w:val="00C867A0"/>
    <w:rsid w:val="00C8694D"/>
    <w:rsid w:val="00C86974"/>
    <w:rsid w:val="00C876D8"/>
    <w:rsid w:val="00C9092C"/>
    <w:rsid w:val="00C91536"/>
    <w:rsid w:val="00C916C8"/>
    <w:rsid w:val="00C91C5E"/>
    <w:rsid w:val="00C91E67"/>
    <w:rsid w:val="00C9235D"/>
    <w:rsid w:val="00C9438D"/>
    <w:rsid w:val="00C94873"/>
    <w:rsid w:val="00C94B1B"/>
    <w:rsid w:val="00C95098"/>
    <w:rsid w:val="00C95841"/>
    <w:rsid w:val="00C95A53"/>
    <w:rsid w:val="00C96190"/>
    <w:rsid w:val="00C96633"/>
    <w:rsid w:val="00C9664D"/>
    <w:rsid w:val="00C972E2"/>
    <w:rsid w:val="00C97848"/>
    <w:rsid w:val="00C97F9D"/>
    <w:rsid w:val="00CA03B0"/>
    <w:rsid w:val="00CA0895"/>
    <w:rsid w:val="00CA13E4"/>
    <w:rsid w:val="00CA1BB1"/>
    <w:rsid w:val="00CA2712"/>
    <w:rsid w:val="00CA3259"/>
    <w:rsid w:val="00CA3381"/>
    <w:rsid w:val="00CA3CF9"/>
    <w:rsid w:val="00CA3FAA"/>
    <w:rsid w:val="00CA41F7"/>
    <w:rsid w:val="00CA51C8"/>
    <w:rsid w:val="00CA5699"/>
    <w:rsid w:val="00CA58A5"/>
    <w:rsid w:val="00CA6DA6"/>
    <w:rsid w:val="00CA6F84"/>
    <w:rsid w:val="00CA7B4C"/>
    <w:rsid w:val="00CB022C"/>
    <w:rsid w:val="00CB02F7"/>
    <w:rsid w:val="00CB0E11"/>
    <w:rsid w:val="00CB5171"/>
    <w:rsid w:val="00CB5ACD"/>
    <w:rsid w:val="00CB73E4"/>
    <w:rsid w:val="00CB7668"/>
    <w:rsid w:val="00CC0F33"/>
    <w:rsid w:val="00CC255A"/>
    <w:rsid w:val="00CC2F63"/>
    <w:rsid w:val="00CC388F"/>
    <w:rsid w:val="00CC38E3"/>
    <w:rsid w:val="00CC536B"/>
    <w:rsid w:val="00CC536C"/>
    <w:rsid w:val="00CC6278"/>
    <w:rsid w:val="00CC6AE4"/>
    <w:rsid w:val="00CC741C"/>
    <w:rsid w:val="00CC748F"/>
    <w:rsid w:val="00CD22E1"/>
    <w:rsid w:val="00CD6EB4"/>
    <w:rsid w:val="00CD703D"/>
    <w:rsid w:val="00CD79CA"/>
    <w:rsid w:val="00CD7B51"/>
    <w:rsid w:val="00CE00BA"/>
    <w:rsid w:val="00CE1A1B"/>
    <w:rsid w:val="00CE2137"/>
    <w:rsid w:val="00CE2589"/>
    <w:rsid w:val="00CE2ED3"/>
    <w:rsid w:val="00CE33F1"/>
    <w:rsid w:val="00CE37E2"/>
    <w:rsid w:val="00CE437C"/>
    <w:rsid w:val="00CE574F"/>
    <w:rsid w:val="00CF1498"/>
    <w:rsid w:val="00CF22C8"/>
    <w:rsid w:val="00CF2A4A"/>
    <w:rsid w:val="00CF2F1B"/>
    <w:rsid w:val="00CF338D"/>
    <w:rsid w:val="00CF35CC"/>
    <w:rsid w:val="00CF3F2D"/>
    <w:rsid w:val="00CF7105"/>
    <w:rsid w:val="00CF7FF9"/>
    <w:rsid w:val="00D00160"/>
    <w:rsid w:val="00D01034"/>
    <w:rsid w:val="00D02717"/>
    <w:rsid w:val="00D0311E"/>
    <w:rsid w:val="00D033FC"/>
    <w:rsid w:val="00D05122"/>
    <w:rsid w:val="00D05617"/>
    <w:rsid w:val="00D074B7"/>
    <w:rsid w:val="00D12750"/>
    <w:rsid w:val="00D12815"/>
    <w:rsid w:val="00D12F4E"/>
    <w:rsid w:val="00D13292"/>
    <w:rsid w:val="00D1370B"/>
    <w:rsid w:val="00D13F79"/>
    <w:rsid w:val="00D202FF"/>
    <w:rsid w:val="00D20CF1"/>
    <w:rsid w:val="00D2133B"/>
    <w:rsid w:val="00D21BF1"/>
    <w:rsid w:val="00D22256"/>
    <w:rsid w:val="00D22762"/>
    <w:rsid w:val="00D23BF1"/>
    <w:rsid w:val="00D24450"/>
    <w:rsid w:val="00D24B67"/>
    <w:rsid w:val="00D24D35"/>
    <w:rsid w:val="00D25A4B"/>
    <w:rsid w:val="00D25FFE"/>
    <w:rsid w:val="00D30FFC"/>
    <w:rsid w:val="00D3101A"/>
    <w:rsid w:val="00D31B18"/>
    <w:rsid w:val="00D32685"/>
    <w:rsid w:val="00D33FB7"/>
    <w:rsid w:val="00D34721"/>
    <w:rsid w:val="00D34849"/>
    <w:rsid w:val="00D34C2B"/>
    <w:rsid w:val="00D35308"/>
    <w:rsid w:val="00D40FC6"/>
    <w:rsid w:val="00D43B4B"/>
    <w:rsid w:val="00D44177"/>
    <w:rsid w:val="00D45315"/>
    <w:rsid w:val="00D4570C"/>
    <w:rsid w:val="00D4628C"/>
    <w:rsid w:val="00D46535"/>
    <w:rsid w:val="00D46B1B"/>
    <w:rsid w:val="00D5012A"/>
    <w:rsid w:val="00D50A7B"/>
    <w:rsid w:val="00D51591"/>
    <w:rsid w:val="00D51E63"/>
    <w:rsid w:val="00D5290A"/>
    <w:rsid w:val="00D52ED7"/>
    <w:rsid w:val="00D53634"/>
    <w:rsid w:val="00D547CC"/>
    <w:rsid w:val="00D552C9"/>
    <w:rsid w:val="00D5748B"/>
    <w:rsid w:val="00D57E62"/>
    <w:rsid w:val="00D604CA"/>
    <w:rsid w:val="00D61DD5"/>
    <w:rsid w:val="00D62B8E"/>
    <w:rsid w:val="00D63176"/>
    <w:rsid w:val="00D64BDA"/>
    <w:rsid w:val="00D650BC"/>
    <w:rsid w:val="00D65985"/>
    <w:rsid w:val="00D66422"/>
    <w:rsid w:val="00D664FC"/>
    <w:rsid w:val="00D666D8"/>
    <w:rsid w:val="00D66B43"/>
    <w:rsid w:val="00D66D7E"/>
    <w:rsid w:val="00D67122"/>
    <w:rsid w:val="00D70184"/>
    <w:rsid w:val="00D70E86"/>
    <w:rsid w:val="00D71CD5"/>
    <w:rsid w:val="00D73BAB"/>
    <w:rsid w:val="00D74E8B"/>
    <w:rsid w:val="00D75BE9"/>
    <w:rsid w:val="00D764E1"/>
    <w:rsid w:val="00D76E45"/>
    <w:rsid w:val="00D80113"/>
    <w:rsid w:val="00D80A6F"/>
    <w:rsid w:val="00D80C20"/>
    <w:rsid w:val="00D80DF6"/>
    <w:rsid w:val="00D81BA0"/>
    <w:rsid w:val="00D83A63"/>
    <w:rsid w:val="00D84605"/>
    <w:rsid w:val="00D855CF"/>
    <w:rsid w:val="00D866D9"/>
    <w:rsid w:val="00D86E64"/>
    <w:rsid w:val="00D8731A"/>
    <w:rsid w:val="00D87766"/>
    <w:rsid w:val="00D902CC"/>
    <w:rsid w:val="00D91206"/>
    <w:rsid w:val="00D92A0F"/>
    <w:rsid w:val="00D95824"/>
    <w:rsid w:val="00D96448"/>
    <w:rsid w:val="00D9694D"/>
    <w:rsid w:val="00D97343"/>
    <w:rsid w:val="00D97589"/>
    <w:rsid w:val="00D97A93"/>
    <w:rsid w:val="00DA1242"/>
    <w:rsid w:val="00DA1D64"/>
    <w:rsid w:val="00DA2409"/>
    <w:rsid w:val="00DA2DE4"/>
    <w:rsid w:val="00DA3548"/>
    <w:rsid w:val="00DA38F1"/>
    <w:rsid w:val="00DA4C86"/>
    <w:rsid w:val="00DA4FFA"/>
    <w:rsid w:val="00DA5970"/>
    <w:rsid w:val="00DA6EEB"/>
    <w:rsid w:val="00DA6EF3"/>
    <w:rsid w:val="00DB0738"/>
    <w:rsid w:val="00DB08FB"/>
    <w:rsid w:val="00DB1C8D"/>
    <w:rsid w:val="00DB3ABA"/>
    <w:rsid w:val="00DB41AD"/>
    <w:rsid w:val="00DB4422"/>
    <w:rsid w:val="00DB53CD"/>
    <w:rsid w:val="00DB5582"/>
    <w:rsid w:val="00DB57C3"/>
    <w:rsid w:val="00DB5F51"/>
    <w:rsid w:val="00DB6A70"/>
    <w:rsid w:val="00DB77CA"/>
    <w:rsid w:val="00DC0A94"/>
    <w:rsid w:val="00DC0E3F"/>
    <w:rsid w:val="00DC16F1"/>
    <w:rsid w:val="00DC1B1C"/>
    <w:rsid w:val="00DC1CBB"/>
    <w:rsid w:val="00DC2548"/>
    <w:rsid w:val="00DC2B63"/>
    <w:rsid w:val="00DC3B49"/>
    <w:rsid w:val="00DC4D9C"/>
    <w:rsid w:val="00DC5215"/>
    <w:rsid w:val="00DC5305"/>
    <w:rsid w:val="00DC5423"/>
    <w:rsid w:val="00DC6DCE"/>
    <w:rsid w:val="00DC76FB"/>
    <w:rsid w:val="00DD0108"/>
    <w:rsid w:val="00DD2A2A"/>
    <w:rsid w:val="00DD57AB"/>
    <w:rsid w:val="00DD7AA1"/>
    <w:rsid w:val="00DD7C84"/>
    <w:rsid w:val="00DE017B"/>
    <w:rsid w:val="00DE097A"/>
    <w:rsid w:val="00DE0CEB"/>
    <w:rsid w:val="00DE0E10"/>
    <w:rsid w:val="00DE1632"/>
    <w:rsid w:val="00DE28BC"/>
    <w:rsid w:val="00DE2B4C"/>
    <w:rsid w:val="00DE4E61"/>
    <w:rsid w:val="00DE510A"/>
    <w:rsid w:val="00DE5209"/>
    <w:rsid w:val="00DE553D"/>
    <w:rsid w:val="00DE6076"/>
    <w:rsid w:val="00DE7373"/>
    <w:rsid w:val="00DE7900"/>
    <w:rsid w:val="00DF0909"/>
    <w:rsid w:val="00DF2EFC"/>
    <w:rsid w:val="00DF3075"/>
    <w:rsid w:val="00DF3E14"/>
    <w:rsid w:val="00DF55C8"/>
    <w:rsid w:val="00DF69C9"/>
    <w:rsid w:val="00DF6CEA"/>
    <w:rsid w:val="00DF7816"/>
    <w:rsid w:val="00E00108"/>
    <w:rsid w:val="00E00127"/>
    <w:rsid w:val="00E0359E"/>
    <w:rsid w:val="00E03DF9"/>
    <w:rsid w:val="00E0414D"/>
    <w:rsid w:val="00E0649B"/>
    <w:rsid w:val="00E0678F"/>
    <w:rsid w:val="00E067DB"/>
    <w:rsid w:val="00E06CEF"/>
    <w:rsid w:val="00E10A41"/>
    <w:rsid w:val="00E10E2B"/>
    <w:rsid w:val="00E1280D"/>
    <w:rsid w:val="00E12B80"/>
    <w:rsid w:val="00E131A5"/>
    <w:rsid w:val="00E13907"/>
    <w:rsid w:val="00E13C24"/>
    <w:rsid w:val="00E14503"/>
    <w:rsid w:val="00E14822"/>
    <w:rsid w:val="00E151A3"/>
    <w:rsid w:val="00E20044"/>
    <w:rsid w:val="00E2004E"/>
    <w:rsid w:val="00E21AF0"/>
    <w:rsid w:val="00E21C54"/>
    <w:rsid w:val="00E21C75"/>
    <w:rsid w:val="00E24AEF"/>
    <w:rsid w:val="00E24C18"/>
    <w:rsid w:val="00E258BF"/>
    <w:rsid w:val="00E26C2F"/>
    <w:rsid w:val="00E26D6A"/>
    <w:rsid w:val="00E2704D"/>
    <w:rsid w:val="00E32349"/>
    <w:rsid w:val="00E32A48"/>
    <w:rsid w:val="00E32D57"/>
    <w:rsid w:val="00E33235"/>
    <w:rsid w:val="00E33318"/>
    <w:rsid w:val="00E33CDC"/>
    <w:rsid w:val="00E347D8"/>
    <w:rsid w:val="00E35DD5"/>
    <w:rsid w:val="00E3603F"/>
    <w:rsid w:val="00E367A0"/>
    <w:rsid w:val="00E36914"/>
    <w:rsid w:val="00E376B0"/>
    <w:rsid w:val="00E40642"/>
    <w:rsid w:val="00E4080F"/>
    <w:rsid w:val="00E424AF"/>
    <w:rsid w:val="00E426A1"/>
    <w:rsid w:val="00E433D7"/>
    <w:rsid w:val="00E43D87"/>
    <w:rsid w:val="00E43FEF"/>
    <w:rsid w:val="00E4506D"/>
    <w:rsid w:val="00E45450"/>
    <w:rsid w:val="00E454AA"/>
    <w:rsid w:val="00E45942"/>
    <w:rsid w:val="00E4629D"/>
    <w:rsid w:val="00E469C8"/>
    <w:rsid w:val="00E47208"/>
    <w:rsid w:val="00E47706"/>
    <w:rsid w:val="00E4780A"/>
    <w:rsid w:val="00E500D3"/>
    <w:rsid w:val="00E5022E"/>
    <w:rsid w:val="00E53ED2"/>
    <w:rsid w:val="00E53F54"/>
    <w:rsid w:val="00E5438B"/>
    <w:rsid w:val="00E5478B"/>
    <w:rsid w:val="00E54A35"/>
    <w:rsid w:val="00E54C7E"/>
    <w:rsid w:val="00E56316"/>
    <w:rsid w:val="00E567EB"/>
    <w:rsid w:val="00E57E3E"/>
    <w:rsid w:val="00E601E8"/>
    <w:rsid w:val="00E602EB"/>
    <w:rsid w:val="00E604CC"/>
    <w:rsid w:val="00E6204C"/>
    <w:rsid w:val="00E626C9"/>
    <w:rsid w:val="00E6271F"/>
    <w:rsid w:val="00E63428"/>
    <w:rsid w:val="00E63BFA"/>
    <w:rsid w:val="00E63FC3"/>
    <w:rsid w:val="00E64FFE"/>
    <w:rsid w:val="00E651CF"/>
    <w:rsid w:val="00E651DC"/>
    <w:rsid w:val="00E664BF"/>
    <w:rsid w:val="00E6684E"/>
    <w:rsid w:val="00E6685B"/>
    <w:rsid w:val="00E66DFF"/>
    <w:rsid w:val="00E673B7"/>
    <w:rsid w:val="00E703B8"/>
    <w:rsid w:val="00E71B23"/>
    <w:rsid w:val="00E73017"/>
    <w:rsid w:val="00E731FA"/>
    <w:rsid w:val="00E733B9"/>
    <w:rsid w:val="00E737BD"/>
    <w:rsid w:val="00E7401A"/>
    <w:rsid w:val="00E7414A"/>
    <w:rsid w:val="00E75374"/>
    <w:rsid w:val="00E7598D"/>
    <w:rsid w:val="00E80EFD"/>
    <w:rsid w:val="00E818EA"/>
    <w:rsid w:val="00E81A83"/>
    <w:rsid w:val="00E81C7B"/>
    <w:rsid w:val="00E81E6F"/>
    <w:rsid w:val="00E81EC6"/>
    <w:rsid w:val="00E821B8"/>
    <w:rsid w:val="00E8245D"/>
    <w:rsid w:val="00E8327C"/>
    <w:rsid w:val="00E86019"/>
    <w:rsid w:val="00E87CB1"/>
    <w:rsid w:val="00E90B51"/>
    <w:rsid w:val="00E91D26"/>
    <w:rsid w:val="00E94E2E"/>
    <w:rsid w:val="00E94FDA"/>
    <w:rsid w:val="00E951D7"/>
    <w:rsid w:val="00E97DD3"/>
    <w:rsid w:val="00EA073F"/>
    <w:rsid w:val="00EA11B5"/>
    <w:rsid w:val="00EA345D"/>
    <w:rsid w:val="00EA3CB0"/>
    <w:rsid w:val="00EA597C"/>
    <w:rsid w:val="00EA62C0"/>
    <w:rsid w:val="00EA63A5"/>
    <w:rsid w:val="00EA68CD"/>
    <w:rsid w:val="00EA6C38"/>
    <w:rsid w:val="00EA7605"/>
    <w:rsid w:val="00EB07AE"/>
    <w:rsid w:val="00EB1A92"/>
    <w:rsid w:val="00EB2547"/>
    <w:rsid w:val="00EB2614"/>
    <w:rsid w:val="00EB2FED"/>
    <w:rsid w:val="00EB308C"/>
    <w:rsid w:val="00EB4089"/>
    <w:rsid w:val="00EB414A"/>
    <w:rsid w:val="00EB427E"/>
    <w:rsid w:val="00EB634A"/>
    <w:rsid w:val="00EC0BE2"/>
    <w:rsid w:val="00EC0FCF"/>
    <w:rsid w:val="00EC145D"/>
    <w:rsid w:val="00EC1953"/>
    <w:rsid w:val="00EC19D7"/>
    <w:rsid w:val="00EC1D4C"/>
    <w:rsid w:val="00EC29ED"/>
    <w:rsid w:val="00EC3268"/>
    <w:rsid w:val="00EC3CEE"/>
    <w:rsid w:val="00EC567B"/>
    <w:rsid w:val="00EC56E9"/>
    <w:rsid w:val="00EC6625"/>
    <w:rsid w:val="00EC6DEA"/>
    <w:rsid w:val="00EC7898"/>
    <w:rsid w:val="00ED0B3B"/>
    <w:rsid w:val="00ED0CCB"/>
    <w:rsid w:val="00ED40C0"/>
    <w:rsid w:val="00ED412A"/>
    <w:rsid w:val="00ED4B0B"/>
    <w:rsid w:val="00ED6C1D"/>
    <w:rsid w:val="00ED7B02"/>
    <w:rsid w:val="00EE0029"/>
    <w:rsid w:val="00EE1184"/>
    <w:rsid w:val="00EE164A"/>
    <w:rsid w:val="00EE18F5"/>
    <w:rsid w:val="00EE33C6"/>
    <w:rsid w:val="00EE37C5"/>
    <w:rsid w:val="00EE3B08"/>
    <w:rsid w:val="00EE417A"/>
    <w:rsid w:val="00EE56FB"/>
    <w:rsid w:val="00EE7934"/>
    <w:rsid w:val="00EE7CEB"/>
    <w:rsid w:val="00EE7E20"/>
    <w:rsid w:val="00EF0AE5"/>
    <w:rsid w:val="00EF2A52"/>
    <w:rsid w:val="00EF3EE8"/>
    <w:rsid w:val="00EF4214"/>
    <w:rsid w:val="00EF5574"/>
    <w:rsid w:val="00EF6DD7"/>
    <w:rsid w:val="00F02816"/>
    <w:rsid w:val="00F029FB"/>
    <w:rsid w:val="00F02DF2"/>
    <w:rsid w:val="00F0361C"/>
    <w:rsid w:val="00F03C4D"/>
    <w:rsid w:val="00F051DE"/>
    <w:rsid w:val="00F05334"/>
    <w:rsid w:val="00F065E6"/>
    <w:rsid w:val="00F07439"/>
    <w:rsid w:val="00F10EB9"/>
    <w:rsid w:val="00F1120F"/>
    <w:rsid w:val="00F113EF"/>
    <w:rsid w:val="00F114DC"/>
    <w:rsid w:val="00F1156B"/>
    <w:rsid w:val="00F11C64"/>
    <w:rsid w:val="00F125FF"/>
    <w:rsid w:val="00F1261D"/>
    <w:rsid w:val="00F127FD"/>
    <w:rsid w:val="00F13D85"/>
    <w:rsid w:val="00F140C8"/>
    <w:rsid w:val="00F140F3"/>
    <w:rsid w:val="00F147A4"/>
    <w:rsid w:val="00F147CE"/>
    <w:rsid w:val="00F159DE"/>
    <w:rsid w:val="00F1618F"/>
    <w:rsid w:val="00F16F99"/>
    <w:rsid w:val="00F17113"/>
    <w:rsid w:val="00F17183"/>
    <w:rsid w:val="00F176EB"/>
    <w:rsid w:val="00F206EF"/>
    <w:rsid w:val="00F2081C"/>
    <w:rsid w:val="00F20A48"/>
    <w:rsid w:val="00F210AF"/>
    <w:rsid w:val="00F213BB"/>
    <w:rsid w:val="00F23877"/>
    <w:rsid w:val="00F23E5A"/>
    <w:rsid w:val="00F24C63"/>
    <w:rsid w:val="00F24DFE"/>
    <w:rsid w:val="00F25595"/>
    <w:rsid w:val="00F25AF7"/>
    <w:rsid w:val="00F26D94"/>
    <w:rsid w:val="00F26DE2"/>
    <w:rsid w:val="00F2749D"/>
    <w:rsid w:val="00F274CF"/>
    <w:rsid w:val="00F277AE"/>
    <w:rsid w:val="00F311D0"/>
    <w:rsid w:val="00F325C8"/>
    <w:rsid w:val="00F33068"/>
    <w:rsid w:val="00F34906"/>
    <w:rsid w:val="00F34BDF"/>
    <w:rsid w:val="00F359CE"/>
    <w:rsid w:val="00F35C16"/>
    <w:rsid w:val="00F368C5"/>
    <w:rsid w:val="00F373BD"/>
    <w:rsid w:val="00F376C5"/>
    <w:rsid w:val="00F3790B"/>
    <w:rsid w:val="00F37FEF"/>
    <w:rsid w:val="00F414AC"/>
    <w:rsid w:val="00F414E3"/>
    <w:rsid w:val="00F421AC"/>
    <w:rsid w:val="00F450A7"/>
    <w:rsid w:val="00F47B5C"/>
    <w:rsid w:val="00F5218F"/>
    <w:rsid w:val="00F53254"/>
    <w:rsid w:val="00F533FA"/>
    <w:rsid w:val="00F53B45"/>
    <w:rsid w:val="00F53B9E"/>
    <w:rsid w:val="00F55356"/>
    <w:rsid w:val="00F558EE"/>
    <w:rsid w:val="00F5799F"/>
    <w:rsid w:val="00F600B4"/>
    <w:rsid w:val="00F6237A"/>
    <w:rsid w:val="00F627FE"/>
    <w:rsid w:val="00F65FD3"/>
    <w:rsid w:val="00F66A9F"/>
    <w:rsid w:val="00F701E1"/>
    <w:rsid w:val="00F721EF"/>
    <w:rsid w:val="00F72FD8"/>
    <w:rsid w:val="00F73298"/>
    <w:rsid w:val="00F74BE1"/>
    <w:rsid w:val="00F75AB4"/>
    <w:rsid w:val="00F7669F"/>
    <w:rsid w:val="00F76D15"/>
    <w:rsid w:val="00F77F6E"/>
    <w:rsid w:val="00F80226"/>
    <w:rsid w:val="00F80C2C"/>
    <w:rsid w:val="00F81F31"/>
    <w:rsid w:val="00F82193"/>
    <w:rsid w:val="00F821AF"/>
    <w:rsid w:val="00F82438"/>
    <w:rsid w:val="00F83717"/>
    <w:rsid w:val="00F84062"/>
    <w:rsid w:val="00F843C9"/>
    <w:rsid w:val="00F86407"/>
    <w:rsid w:val="00F8657C"/>
    <w:rsid w:val="00F86D48"/>
    <w:rsid w:val="00F9072A"/>
    <w:rsid w:val="00F91708"/>
    <w:rsid w:val="00F91B46"/>
    <w:rsid w:val="00F91D0C"/>
    <w:rsid w:val="00F927FE"/>
    <w:rsid w:val="00F937CD"/>
    <w:rsid w:val="00F94113"/>
    <w:rsid w:val="00F94BEF"/>
    <w:rsid w:val="00F94C08"/>
    <w:rsid w:val="00F951CD"/>
    <w:rsid w:val="00F95F23"/>
    <w:rsid w:val="00F97474"/>
    <w:rsid w:val="00FA1203"/>
    <w:rsid w:val="00FA1998"/>
    <w:rsid w:val="00FA378A"/>
    <w:rsid w:val="00FA5BAD"/>
    <w:rsid w:val="00FA6188"/>
    <w:rsid w:val="00FA648B"/>
    <w:rsid w:val="00FA6D0E"/>
    <w:rsid w:val="00FA6F36"/>
    <w:rsid w:val="00FB1CE2"/>
    <w:rsid w:val="00FB1E4B"/>
    <w:rsid w:val="00FB37EE"/>
    <w:rsid w:val="00FB4763"/>
    <w:rsid w:val="00FB49E0"/>
    <w:rsid w:val="00FB4AEC"/>
    <w:rsid w:val="00FB5ED5"/>
    <w:rsid w:val="00FB752A"/>
    <w:rsid w:val="00FB7D82"/>
    <w:rsid w:val="00FC097B"/>
    <w:rsid w:val="00FC2486"/>
    <w:rsid w:val="00FC30AF"/>
    <w:rsid w:val="00FC3174"/>
    <w:rsid w:val="00FC3BE6"/>
    <w:rsid w:val="00FC46EF"/>
    <w:rsid w:val="00FC4C6A"/>
    <w:rsid w:val="00FC53B4"/>
    <w:rsid w:val="00FC5904"/>
    <w:rsid w:val="00FC6174"/>
    <w:rsid w:val="00FC662A"/>
    <w:rsid w:val="00FC693A"/>
    <w:rsid w:val="00FC6D75"/>
    <w:rsid w:val="00FC7770"/>
    <w:rsid w:val="00FC78E9"/>
    <w:rsid w:val="00FD1170"/>
    <w:rsid w:val="00FD22E5"/>
    <w:rsid w:val="00FD2CBC"/>
    <w:rsid w:val="00FD2DCB"/>
    <w:rsid w:val="00FD2F99"/>
    <w:rsid w:val="00FD4105"/>
    <w:rsid w:val="00FD4C4B"/>
    <w:rsid w:val="00FD5419"/>
    <w:rsid w:val="00FD5B21"/>
    <w:rsid w:val="00FD7553"/>
    <w:rsid w:val="00FD75FC"/>
    <w:rsid w:val="00FD782C"/>
    <w:rsid w:val="00FD7882"/>
    <w:rsid w:val="00FE0941"/>
    <w:rsid w:val="00FE1B5F"/>
    <w:rsid w:val="00FE301C"/>
    <w:rsid w:val="00FE353A"/>
    <w:rsid w:val="00FE39D0"/>
    <w:rsid w:val="00FE47D5"/>
    <w:rsid w:val="00FE48DE"/>
    <w:rsid w:val="00FE50C7"/>
    <w:rsid w:val="00FE65CA"/>
    <w:rsid w:val="00FE691E"/>
    <w:rsid w:val="00FE6EB3"/>
    <w:rsid w:val="00FF2094"/>
    <w:rsid w:val="00FF3B67"/>
    <w:rsid w:val="00FF3C8F"/>
    <w:rsid w:val="00FF5294"/>
    <w:rsid w:val="00FF56A5"/>
    <w:rsid w:val="00FF6E82"/>
    <w:rsid w:val="00FF75BC"/>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50909F"/>
  <w15:docId w15:val="{FFDBC0F6-49A7-4D16-8857-29C5A7A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72E2"/>
    <w:pPr>
      <w:overflowPunct w:val="0"/>
      <w:autoSpaceDE w:val="0"/>
      <w:autoSpaceDN w:val="0"/>
      <w:adjustRightInd w:val="0"/>
      <w:spacing w:after="240"/>
      <w:jc w:val="both"/>
      <w:textAlignment w:val="baseline"/>
    </w:pPr>
    <w:rPr>
      <w:rFonts w:ascii="Calibri" w:hAnsi="Calibri"/>
      <w:sz w:val="22"/>
    </w:rPr>
  </w:style>
  <w:style w:type="paragraph" w:styleId="Nadpis1">
    <w:name w:val="heading 1"/>
    <w:aliases w:val="I,kapitola,číslo článku,eíslo elánku"/>
    <w:basedOn w:val="Normln"/>
    <w:next w:val="Normln"/>
    <w:uiPriority w:val="99"/>
    <w:qFormat/>
    <w:rsid w:val="00B554F3"/>
    <w:pPr>
      <w:keepNext/>
      <w:numPr>
        <w:numId w:val="1"/>
      </w:numPr>
      <w:overflowPunct/>
      <w:spacing w:before="480" w:after="360"/>
      <w:textAlignment w:val="auto"/>
      <w:outlineLvl w:val="0"/>
    </w:pPr>
    <w:rPr>
      <w:rFonts w:cs="Arial"/>
      <w:b/>
      <w:bCs/>
      <w:sz w:val="32"/>
      <w:szCs w:val="32"/>
    </w:rPr>
  </w:style>
  <w:style w:type="paragraph" w:styleId="Nadpis2">
    <w:name w:val="heading 2"/>
    <w:basedOn w:val="Normln"/>
    <w:next w:val="Normln"/>
    <w:uiPriority w:val="99"/>
    <w:qFormat/>
    <w:rsid w:val="00E81C7B"/>
    <w:pPr>
      <w:keepNext/>
      <w:numPr>
        <w:ilvl w:val="1"/>
        <w:numId w:val="1"/>
      </w:numPr>
      <w:overflowPunct/>
      <w:spacing w:before="240"/>
      <w:ind w:left="862" w:hanging="578"/>
      <w:jc w:val="left"/>
      <w:textAlignment w:val="auto"/>
      <w:outlineLvl w:val="1"/>
    </w:pPr>
    <w:rPr>
      <w:rFonts w:cs="Arial"/>
      <w:b/>
      <w:bCs/>
      <w:iCs/>
      <w:sz w:val="26"/>
      <w:szCs w:val="28"/>
    </w:rPr>
  </w:style>
  <w:style w:type="paragraph" w:styleId="Nadpis3">
    <w:name w:val="heading 3"/>
    <w:basedOn w:val="Normln"/>
    <w:next w:val="Normln"/>
    <w:link w:val="Nadpis3Char"/>
    <w:uiPriority w:val="99"/>
    <w:qFormat/>
    <w:rsid w:val="00E81C7B"/>
    <w:pPr>
      <w:keepNext/>
      <w:numPr>
        <w:ilvl w:val="2"/>
        <w:numId w:val="1"/>
      </w:numPr>
      <w:overflowPunct/>
      <w:spacing w:before="360"/>
      <w:jc w:val="left"/>
      <w:textAlignment w:val="auto"/>
      <w:outlineLvl w:val="2"/>
    </w:pPr>
    <w:rPr>
      <w:rFonts w:cs="Arial"/>
      <w:bCs/>
      <w:szCs w:val="28"/>
    </w:rPr>
  </w:style>
  <w:style w:type="paragraph" w:styleId="Nadpis4">
    <w:name w:val="heading 4"/>
    <w:basedOn w:val="Normln"/>
    <w:next w:val="Normln"/>
    <w:uiPriority w:val="99"/>
    <w:qFormat/>
    <w:rsid w:val="00F140C8"/>
    <w:pPr>
      <w:keepNext/>
      <w:numPr>
        <w:ilvl w:val="3"/>
        <w:numId w:val="1"/>
      </w:numPr>
      <w:tabs>
        <w:tab w:val="center" w:pos="4536"/>
      </w:tabs>
      <w:spacing w:before="240" w:after="120"/>
      <w:outlineLvl w:val="3"/>
    </w:pPr>
    <w:rPr>
      <w:rFonts w:ascii="Arial" w:hAnsi="Arial" w:cs="Arial"/>
      <w:b/>
      <w:bCs/>
      <w:sz w:val="24"/>
    </w:rPr>
  </w:style>
  <w:style w:type="paragraph" w:styleId="Nadpis5">
    <w:name w:val="heading 5"/>
    <w:basedOn w:val="Normln"/>
    <w:next w:val="Normln"/>
    <w:uiPriority w:val="99"/>
    <w:qFormat/>
    <w:rsid w:val="00F140C8"/>
    <w:pPr>
      <w:keepNext/>
      <w:numPr>
        <w:ilvl w:val="4"/>
        <w:numId w:val="1"/>
      </w:numPr>
      <w:spacing w:before="240" w:after="120"/>
      <w:outlineLvl w:val="4"/>
    </w:pPr>
    <w:rPr>
      <w:rFonts w:ascii="Arial" w:hAnsi="Arial" w:cs="Arial"/>
      <w:b/>
      <w:bCs/>
      <w:i/>
      <w:iCs/>
      <w:sz w:val="24"/>
    </w:rPr>
  </w:style>
  <w:style w:type="paragraph" w:styleId="Nadpis6">
    <w:name w:val="heading 6"/>
    <w:basedOn w:val="Normln"/>
    <w:next w:val="Normln"/>
    <w:uiPriority w:val="99"/>
    <w:qFormat/>
    <w:rsid w:val="00F140C8"/>
    <w:pPr>
      <w:keepNext/>
      <w:pageBreakBefore/>
      <w:numPr>
        <w:ilvl w:val="5"/>
        <w:numId w:val="1"/>
      </w:numPr>
      <w:outlineLvl w:val="5"/>
    </w:pPr>
    <w:rPr>
      <w:rFonts w:ascii="Arial" w:hAnsi="Arial" w:cs="Arial"/>
      <w:b/>
      <w:bCs/>
      <w:sz w:val="28"/>
    </w:rPr>
  </w:style>
  <w:style w:type="paragraph" w:styleId="Nadpis7">
    <w:name w:val="heading 7"/>
    <w:basedOn w:val="Normln"/>
    <w:next w:val="Normln"/>
    <w:uiPriority w:val="99"/>
    <w:qFormat/>
    <w:rsid w:val="00F140C8"/>
    <w:pPr>
      <w:keepNext/>
      <w:numPr>
        <w:ilvl w:val="6"/>
        <w:numId w:val="1"/>
      </w:numPr>
      <w:overflowPunct/>
      <w:spacing w:before="3360"/>
      <w:jc w:val="center"/>
      <w:textAlignment w:val="auto"/>
      <w:outlineLvl w:val="6"/>
    </w:pPr>
    <w:rPr>
      <w:rFonts w:ascii="Arial" w:hAnsi="Arial" w:cs="Arial"/>
      <w:b/>
      <w:bCs/>
      <w:i/>
      <w:iCs/>
      <w:szCs w:val="22"/>
    </w:rPr>
  </w:style>
  <w:style w:type="paragraph" w:styleId="Nadpis8">
    <w:name w:val="heading 8"/>
    <w:basedOn w:val="Normln"/>
    <w:next w:val="Normln"/>
    <w:uiPriority w:val="99"/>
    <w:qFormat/>
    <w:rsid w:val="00F140C8"/>
    <w:pPr>
      <w:keepNext/>
      <w:numPr>
        <w:ilvl w:val="7"/>
        <w:numId w:val="1"/>
      </w:numPr>
      <w:outlineLvl w:val="7"/>
    </w:pPr>
    <w:rPr>
      <w:rFonts w:ascii="Arial" w:hAnsi="Arial" w:cs="Arial"/>
      <w:b/>
      <w:bCs/>
      <w:sz w:val="24"/>
    </w:rPr>
  </w:style>
  <w:style w:type="paragraph" w:styleId="Nadpis9">
    <w:name w:val="heading 9"/>
    <w:basedOn w:val="Normln"/>
    <w:next w:val="Normln"/>
    <w:uiPriority w:val="99"/>
    <w:qFormat/>
    <w:rsid w:val="00F140C8"/>
    <w:pPr>
      <w:keepNext/>
      <w:numPr>
        <w:ilvl w:val="8"/>
        <w:numId w:val="1"/>
      </w:numPr>
      <w:overflowPunct/>
      <w:spacing w:after="960"/>
      <w:jc w:val="center"/>
      <w:textAlignment w:val="auto"/>
      <w:outlineLvl w:val="8"/>
    </w:pPr>
    <w:rPr>
      <w:rFonts w:ascii="Arial" w:hAnsi="Arial" w:cs="Arial"/>
      <w:b/>
      <w:bCs/>
      <w:color w:val="0D3D84"/>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F140C8"/>
    <w:pPr>
      <w:spacing w:before="1680"/>
      <w:jc w:val="center"/>
    </w:pPr>
    <w:rPr>
      <w:b/>
      <w:bCs/>
      <w:sz w:val="32"/>
    </w:rPr>
  </w:style>
  <w:style w:type="paragraph" w:styleId="Zhlav">
    <w:name w:val="header"/>
    <w:basedOn w:val="Normln"/>
    <w:link w:val="ZhlavChar"/>
    <w:uiPriority w:val="99"/>
    <w:rsid w:val="00F140C8"/>
    <w:pPr>
      <w:tabs>
        <w:tab w:val="center" w:pos="4536"/>
        <w:tab w:val="right" w:pos="9072"/>
      </w:tabs>
    </w:pPr>
  </w:style>
  <w:style w:type="paragraph" w:styleId="Zpat">
    <w:name w:val="footer"/>
    <w:basedOn w:val="Normln"/>
    <w:link w:val="ZpatChar"/>
    <w:uiPriority w:val="99"/>
    <w:rsid w:val="00F140C8"/>
    <w:pPr>
      <w:tabs>
        <w:tab w:val="center" w:pos="4536"/>
        <w:tab w:val="right" w:pos="9072"/>
      </w:tabs>
    </w:pPr>
  </w:style>
  <w:style w:type="character" w:styleId="slostrnky">
    <w:name w:val="page number"/>
    <w:basedOn w:val="Standardnpsmoodstavce"/>
    <w:semiHidden/>
    <w:rsid w:val="00F140C8"/>
  </w:style>
  <w:style w:type="paragraph" w:styleId="Obsah1">
    <w:name w:val="toc 1"/>
    <w:basedOn w:val="Normln"/>
    <w:next w:val="Normln"/>
    <w:autoRedefine/>
    <w:uiPriority w:val="39"/>
    <w:qFormat/>
    <w:rsid w:val="00941B20"/>
    <w:pPr>
      <w:tabs>
        <w:tab w:val="left" w:pos="426"/>
        <w:tab w:val="right" w:leader="dot" w:pos="9487"/>
      </w:tabs>
      <w:spacing w:before="120" w:after="120"/>
    </w:pPr>
    <w:rPr>
      <w:b/>
      <w:bCs/>
      <w:caps/>
      <w:szCs w:val="24"/>
    </w:rPr>
  </w:style>
  <w:style w:type="paragraph" w:styleId="Obsah2">
    <w:name w:val="toc 2"/>
    <w:basedOn w:val="Normln"/>
    <w:next w:val="Normln"/>
    <w:autoRedefine/>
    <w:uiPriority w:val="39"/>
    <w:qFormat/>
    <w:rsid w:val="007B693F"/>
    <w:pPr>
      <w:tabs>
        <w:tab w:val="left" w:pos="1276"/>
        <w:tab w:val="right" w:leader="dot" w:pos="9498"/>
      </w:tabs>
      <w:ind w:left="1276" w:hanging="709"/>
    </w:pPr>
    <w:rPr>
      <w:smallCaps/>
      <w:szCs w:val="24"/>
    </w:rPr>
  </w:style>
  <w:style w:type="paragraph" w:styleId="Obsah3">
    <w:name w:val="toc 3"/>
    <w:basedOn w:val="Normln"/>
    <w:next w:val="Normln"/>
    <w:autoRedefine/>
    <w:uiPriority w:val="39"/>
    <w:rsid w:val="00941B20"/>
    <w:pPr>
      <w:tabs>
        <w:tab w:val="left" w:leader="dot" w:pos="1400"/>
        <w:tab w:val="right" w:leader="dot" w:pos="9498"/>
      </w:tabs>
      <w:ind w:left="1395" w:hanging="828"/>
    </w:pPr>
    <w:rPr>
      <w:noProof/>
      <w:spacing w:val="10"/>
      <w:szCs w:val="24"/>
    </w:rPr>
  </w:style>
  <w:style w:type="paragraph" w:styleId="Obsah4">
    <w:name w:val="toc 4"/>
    <w:basedOn w:val="Normln"/>
    <w:next w:val="Normln"/>
    <w:autoRedefine/>
    <w:semiHidden/>
    <w:rsid w:val="00F140C8"/>
    <w:pPr>
      <w:ind w:left="600"/>
    </w:pPr>
    <w:rPr>
      <w:szCs w:val="21"/>
    </w:rPr>
  </w:style>
  <w:style w:type="character" w:styleId="Hypertextovodkaz">
    <w:name w:val="Hyperlink"/>
    <w:uiPriority w:val="99"/>
    <w:rsid w:val="00F140C8"/>
    <w:rPr>
      <w:color w:val="0000FF"/>
      <w:u w:val="single"/>
    </w:rPr>
  </w:style>
  <w:style w:type="paragraph" w:styleId="Obsah5">
    <w:name w:val="toc 5"/>
    <w:basedOn w:val="Normln"/>
    <w:next w:val="Normln"/>
    <w:autoRedefine/>
    <w:semiHidden/>
    <w:rsid w:val="00F140C8"/>
    <w:pPr>
      <w:ind w:left="800"/>
    </w:pPr>
  </w:style>
  <w:style w:type="paragraph" w:styleId="Obsah6">
    <w:name w:val="toc 6"/>
    <w:basedOn w:val="Normln"/>
    <w:next w:val="Normln"/>
    <w:autoRedefine/>
    <w:semiHidden/>
    <w:rsid w:val="00F140C8"/>
    <w:pPr>
      <w:ind w:left="1000"/>
    </w:pPr>
  </w:style>
  <w:style w:type="paragraph" w:styleId="Obsah7">
    <w:name w:val="toc 7"/>
    <w:basedOn w:val="Normln"/>
    <w:next w:val="Normln"/>
    <w:autoRedefine/>
    <w:semiHidden/>
    <w:rsid w:val="00F140C8"/>
    <w:pPr>
      <w:ind w:left="1200"/>
    </w:pPr>
  </w:style>
  <w:style w:type="paragraph" w:styleId="Obsah8">
    <w:name w:val="toc 8"/>
    <w:basedOn w:val="Normln"/>
    <w:next w:val="Normln"/>
    <w:autoRedefine/>
    <w:semiHidden/>
    <w:rsid w:val="00F140C8"/>
    <w:pPr>
      <w:ind w:left="1400"/>
    </w:pPr>
  </w:style>
  <w:style w:type="paragraph" w:styleId="Obsah9">
    <w:name w:val="toc 9"/>
    <w:basedOn w:val="Normln"/>
    <w:next w:val="Normln"/>
    <w:autoRedefine/>
    <w:semiHidden/>
    <w:rsid w:val="00F140C8"/>
    <w:pPr>
      <w:ind w:left="1600"/>
    </w:pPr>
  </w:style>
  <w:style w:type="paragraph" w:styleId="Zkladntextodsazen">
    <w:name w:val="Body Text Indent"/>
    <w:basedOn w:val="Normln"/>
    <w:semiHidden/>
    <w:rsid w:val="00F140C8"/>
    <w:pPr>
      <w:overflowPunct/>
      <w:autoSpaceDE/>
      <w:autoSpaceDN/>
      <w:adjustRightInd/>
      <w:spacing w:before="120"/>
      <w:textAlignment w:val="auto"/>
    </w:pPr>
    <w:rPr>
      <w:rFonts w:ascii="Arial" w:hAnsi="Arial" w:cs="Arial"/>
      <w:szCs w:val="24"/>
    </w:rPr>
  </w:style>
  <w:style w:type="paragraph" w:customStyle="1" w:styleId="dka">
    <w:name w:val="Řádka"/>
    <w:basedOn w:val="Normln"/>
    <w:rsid w:val="00F140C8"/>
    <w:pPr>
      <w:tabs>
        <w:tab w:val="left" w:pos="851"/>
      </w:tabs>
      <w:overflowPunct/>
      <w:autoSpaceDE/>
      <w:autoSpaceDN/>
      <w:adjustRightInd/>
      <w:spacing w:before="60" w:after="60"/>
      <w:textAlignment w:val="auto"/>
    </w:pPr>
    <w:rPr>
      <w:rFonts w:ascii="Arial" w:hAnsi="Arial"/>
      <w:kern w:val="24"/>
      <w:sz w:val="24"/>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rsid w:val="00F140C8"/>
    <w:rPr>
      <w:sz w:val="20"/>
      <w:vertAlign w:val="superscript"/>
    </w:rPr>
  </w:style>
  <w:style w:type="paragraph" w:customStyle="1" w:styleId="normln0">
    <w:name w:val="normální"/>
    <w:basedOn w:val="Normln"/>
    <w:link w:val="normlnChar"/>
    <w:rsid w:val="00F140C8"/>
    <w:pPr>
      <w:tabs>
        <w:tab w:val="left" w:pos="0"/>
      </w:tabs>
      <w:spacing w:line="360" w:lineRule="auto"/>
    </w:pPr>
    <w:rPr>
      <w:rFonts w:ascii="Arial" w:hAnsi="Arial"/>
      <w:bCs/>
      <w:sz w:val="24"/>
    </w:rPr>
  </w:style>
  <w:style w:type="paragraph" w:styleId="Textpoznpodarou">
    <w:name w:val="footnote text"/>
    <w:basedOn w:val="Normln"/>
    <w:link w:val="TextpoznpodarouChar"/>
    <w:uiPriority w:val="99"/>
    <w:rsid w:val="00F140C8"/>
    <w:pPr>
      <w:overflowPunct/>
      <w:autoSpaceDE/>
      <w:autoSpaceDN/>
      <w:adjustRightInd/>
      <w:spacing w:before="120"/>
      <w:textAlignment w:val="auto"/>
    </w:pPr>
    <w:rPr>
      <w:rFonts w:ascii="Tms Rmn" w:hAnsi="Tms Rmn"/>
    </w:rPr>
  </w:style>
  <w:style w:type="paragraph" w:styleId="Zkladntextodsazen3">
    <w:name w:val="Body Text Indent 3"/>
    <w:basedOn w:val="Normln"/>
    <w:semiHidden/>
    <w:rsid w:val="00F140C8"/>
    <w:pPr>
      <w:overflowPunct/>
      <w:autoSpaceDE/>
      <w:autoSpaceDN/>
      <w:adjustRightInd/>
      <w:spacing w:before="120"/>
      <w:ind w:left="360"/>
      <w:textAlignment w:val="auto"/>
    </w:pPr>
    <w:rPr>
      <w:rFonts w:ascii="Arial" w:hAnsi="Arial"/>
      <w:szCs w:val="24"/>
    </w:rPr>
  </w:style>
  <w:style w:type="paragraph" w:customStyle="1" w:styleId="odrtecka">
    <w:name w:val="odr_tecka"/>
    <w:basedOn w:val="Normln"/>
    <w:link w:val="odrteckaChar"/>
    <w:rsid w:val="00F140C8"/>
    <w:pPr>
      <w:tabs>
        <w:tab w:val="left" w:pos="709"/>
      </w:tabs>
      <w:overflowPunct/>
      <w:autoSpaceDE/>
      <w:autoSpaceDN/>
      <w:adjustRightInd/>
      <w:spacing w:before="120"/>
      <w:textAlignment w:val="auto"/>
    </w:pPr>
    <w:rPr>
      <w:rFonts w:ascii="Arial" w:hAnsi="Arial"/>
      <w:sz w:val="24"/>
      <w:szCs w:val="24"/>
    </w:rPr>
  </w:style>
  <w:style w:type="paragraph" w:styleId="Normlnweb">
    <w:name w:val="Normal (Web)"/>
    <w:basedOn w:val="Normln"/>
    <w:semiHidden/>
    <w:rsid w:val="00F140C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Zkladntext3">
    <w:name w:val="Body Text 3"/>
    <w:basedOn w:val="Normln"/>
    <w:link w:val="Zkladntext3Char"/>
    <w:semiHidden/>
    <w:rsid w:val="00F140C8"/>
    <w:pPr>
      <w:overflowPunct/>
      <w:autoSpaceDE/>
      <w:autoSpaceDN/>
      <w:adjustRightInd/>
      <w:textAlignment w:val="auto"/>
    </w:pPr>
    <w:rPr>
      <w:rFonts w:ascii="Arial" w:hAnsi="Arial"/>
      <w:szCs w:val="24"/>
    </w:rPr>
  </w:style>
  <w:style w:type="paragraph" w:styleId="Zkladntext">
    <w:name w:val="Body Text"/>
    <w:basedOn w:val="Normln"/>
    <w:semiHidden/>
    <w:rsid w:val="00F140C8"/>
    <w:pPr>
      <w:overflowPunct/>
      <w:autoSpaceDE/>
      <w:autoSpaceDN/>
      <w:adjustRightInd/>
      <w:spacing w:before="120"/>
      <w:textAlignment w:val="auto"/>
    </w:pPr>
    <w:rPr>
      <w:sz w:val="24"/>
      <w:szCs w:val="24"/>
    </w:rPr>
  </w:style>
  <w:style w:type="paragraph" w:customStyle="1" w:styleId="odsaz1">
    <w:name w:val="odsaz1"/>
    <w:basedOn w:val="Normln"/>
    <w:rsid w:val="00F140C8"/>
    <w:pPr>
      <w:overflowPunct/>
      <w:autoSpaceDE/>
      <w:autoSpaceDN/>
      <w:adjustRightInd/>
      <w:spacing w:before="60"/>
      <w:textAlignment w:val="auto"/>
    </w:pPr>
    <w:rPr>
      <w:sz w:val="24"/>
    </w:rPr>
  </w:style>
  <w:style w:type="paragraph" w:customStyle="1" w:styleId="rovenadpisu1">
    <w:name w:val="úroveň nadpisu 1"/>
    <w:basedOn w:val="Normln"/>
    <w:rsid w:val="00F140C8"/>
    <w:pPr>
      <w:keepNext/>
      <w:overflowPunct/>
      <w:autoSpaceDE/>
      <w:autoSpaceDN/>
      <w:adjustRightInd/>
      <w:spacing w:before="240" w:line="360" w:lineRule="auto"/>
      <w:textAlignment w:val="auto"/>
    </w:pPr>
    <w:rPr>
      <w:rFonts w:ascii="Arial" w:hAnsi="Arial" w:cs="Arial"/>
      <w:b/>
      <w:bCs/>
      <w:sz w:val="24"/>
      <w:szCs w:val="24"/>
    </w:rPr>
  </w:style>
  <w:style w:type="paragraph" w:styleId="Rozloendokumentu">
    <w:name w:val="Document Map"/>
    <w:basedOn w:val="Normln"/>
    <w:semiHidden/>
    <w:rsid w:val="00F140C8"/>
    <w:pPr>
      <w:shd w:val="clear" w:color="auto" w:fill="000080"/>
    </w:pPr>
    <w:rPr>
      <w:rFonts w:ascii="Tahoma" w:hAnsi="Tahoma" w:cs="Tahoma"/>
    </w:rPr>
  </w:style>
  <w:style w:type="paragraph" w:styleId="Textbubliny">
    <w:name w:val="Balloon Text"/>
    <w:basedOn w:val="Normln"/>
    <w:semiHidden/>
    <w:rsid w:val="00F140C8"/>
    <w:rPr>
      <w:rFonts w:ascii="Tahoma" w:hAnsi="Tahoma" w:cs="Tahoma"/>
      <w:sz w:val="16"/>
      <w:szCs w:val="16"/>
    </w:rPr>
  </w:style>
  <w:style w:type="paragraph" w:customStyle="1" w:styleId="rovenadpisu2">
    <w:name w:val="úroveň nadpisu 2"/>
    <w:basedOn w:val="Zkladntextodsazen"/>
    <w:rsid w:val="00F140C8"/>
    <w:pPr>
      <w:keepNext/>
      <w:spacing w:line="360" w:lineRule="auto"/>
    </w:pPr>
    <w:rPr>
      <w:b/>
      <w:bCs/>
      <w:sz w:val="24"/>
    </w:rPr>
  </w:style>
  <w:style w:type="paragraph" w:customStyle="1" w:styleId="rovenadpisu3">
    <w:name w:val="úroveň nadpisu 3"/>
    <w:basedOn w:val="rovenadpisu2"/>
    <w:rsid w:val="00F140C8"/>
    <w:pPr>
      <w:tabs>
        <w:tab w:val="num" w:pos="720"/>
      </w:tabs>
    </w:pPr>
    <w:rPr>
      <w:bCs w:val="0"/>
    </w:rPr>
  </w:style>
  <w:style w:type="character" w:styleId="Siln">
    <w:name w:val="Strong"/>
    <w:rsid w:val="00F140C8"/>
    <w:rPr>
      <w:b/>
      <w:bCs/>
    </w:rPr>
  </w:style>
  <w:style w:type="character" w:styleId="Odkaznakoment">
    <w:name w:val="annotation reference"/>
    <w:uiPriority w:val="99"/>
    <w:semiHidden/>
    <w:unhideWhenUsed/>
    <w:rsid w:val="00CF2A4A"/>
    <w:rPr>
      <w:sz w:val="16"/>
      <w:szCs w:val="16"/>
    </w:rPr>
  </w:style>
  <w:style w:type="paragraph" w:styleId="Textkomente">
    <w:name w:val="annotation text"/>
    <w:basedOn w:val="Normln"/>
    <w:link w:val="TextkomenteChar"/>
    <w:uiPriority w:val="99"/>
    <w:unhideWhenUsed/>
    <w:rsid w:val="00CF2A4A"/>
  </w:style>
  <w:style w:type="character" w:customStyle="1" w:styleId="TextkomenteChar">
    <w:name w:val="Text komentáře Char"/>
    <w:basedOn w:val="Standardnpsmoodstavce"/>
    <w:link w:val="Textkomente"/>
    <w:uiPriority w:val="99"/>
    <w:rsid w:val="00CF2A4A"/>
  </w:style>
  <w:style w:type="paragraph" w:styleId="Pedmtkomente">
    <w:name w:val="annotation subject"/>
    <w:basedOn w:val="Textkomente"/>
    <w:next w:val="Textkomente"/>
    <w:link w:val="PedmtkomenteChar"/>
    <w:unhideWhenUsed/>
    <w:rsid w:val="00CF2A4A"/>
    <w:rPr>
      <w:rFonts w:ascii="Times New Roman" w:hAnsi="Times New Roman"/>
      <w:b/>
      <w:bCs/>
      <w:sz w:val="20"/>
    </w:rPr>
  </w:style>
  <w:style w:type="character" w:customStyle="1" w:styleId="PedmtkomenteChar">
    <w:name w:val="Předmět komentáře Char"/>
    <w:link w:val="Pedmtkomente"/>
    <w:rsid w:val="00CF2A4A"/>
    <w:rPr>
      <w:b/>
      <w:bCs/>
    </w:rPr>
  </w:style>
  <w:style w:type="character" w:customStyle="1" w:styleId="TextpoznpodarouChar">
    <w:name w:val="Text pozn. pod čarou Char"/>
    <w:link w:val="Textpoznpodarou"/>
    <w:uiPriority w:val="99"/>
    <w:rsid w:val="00CF2A4A"/>
    <w:rPr>
      <w:rFonts w:ascii="Tms Rmn" w:hAnsi="Tms Rmn"/>
      <w:sz w:val="22"/>
    </w:rPr>
  </w:style>
  <w:style w:type="paragraph" w:styleId="Revize">
    <w:name w:val="Revision"/>
    <w:hidden/>
    <w:uiPriority w:val="99"/>
    <w:semiHidden/>
    <w:rsid w:val="00B3650D"/>
  </w:style>
  <w:style w:type="paragraph" w:styleId="Odstavecseseznamem">
    <w:name w:val="List Paragraph"/>
    <w:aliases w:val="Nad,Odstavec cíl se seznamem,Odstavec se seznamem5"/>
    <w:basedOn w:val="Normln"/>
    <w:link w:val="OdstavecseseznamemChar"/>
    <w:uiPriority w:val="34"/>
    <w:qFormat/>
    <w:rsid w:val="00A3001B"/>
    <w:pPr>
      <w:overflowPunct/>
      <w:autoSpaceDE/>
      <w:autoSpaceDN/>
      <w:adjustRightInd/>
      <w:ind w:left="708"/>
      <w:textAlignment w:val="auto"/>
    </w:pPr>
    <w:rPr>
      <w:sz w:val="24"/>
      <w:szCs w:val="24"/>
    </w:rPr>
  </w:style>
  <w:style w:type="paragraph" w:customStyle="1" w:styleId="CM4">
    <w:name w:val="CM4"/>
    <w:basedOn w:val="Normln"/>
    <w:next w:val="Normln"/>
    <w:uiPriority w:val="99"/>
    <w:rsid w:val="00A3001B"/>
    <w:pPr>
      <w:overflowPunct/>
      <w:textAlignment w:val="auto"/>
    </w:pPr>
    <w:rPr>
      <w:rFonts w:ascii="EUAlbertina" w:hAnsi="EUAlbertina"/>
      <w:sz w:val="24"/>
      <w:szCs w:val="24"/>
    </w:rPr>
  </w:style>
  <w:style w:type="character" w:customStyle="1" w:styleId="Zkladntext3Char">
    <w:name w:val="Základní text 3 Char"/>
    <w:link w:val="Zkladntext3"/>
    <w:semiHidden/>
    <w:rsid w:val="000A0636"/>
    <w:rPr>
      <w:rFonts w:ascii="Arial" w:hAnsi="Arial" w:cs="Arial"/>
      <w:sz w:val="22"/>
      <w:szCs w:val="24"/>
    </w:rPr>
  </w:style>
  <w:style w:type="character" w:customStyle="1" w:styleId="ZpatChar">
    <w:name w:val="Zápatí Char"/>
    <w:basedOn w:val="Standardnpsmoodstavce"/>
    <w:link w:val="Zpat"/>
    <w:uiPriority w:val="99"/>
    <w:rsid w:val="00A82091"/>
  </w:style>
  <w:style w:type="paragraph" w:styleId="Podtitul">
    <w:name w:val="Subtitle"/>
    <w:basedOn w:val="Normln"/>
    <w:link w:val="PodtitulChar"/>
    <w:qFormat/>
    <w:rsid w:val="00E376B0"/>
    <w:pPr>
      <w:jc w:val="center"/>
      <w:textAlignment w:val="auto"/>
    </w:pPr>
    <w:rPr>
      <w:rFonts w:ascii="Arial" w:hAnsi="Arial"/>
      <w:b/>
      <w:sz w:val="20"/>
    </w:rPr>
  </w:style>
  <w:style w:type="character" w:customStyle="1" w:styleId="PodtitulChar">
    <w:name w:val="Podtitul Char"/>
    <w:link w:val="Podtitul"/>
    <w:rsid w:val="00E376B0"/>
    <w:rPr>
      <w:rFonts w:ascii="Arial" w:hAnsi="Arial"/>
      <w:b/>
    </w:rPr>
  </w:style>
  <w:style w:type="paragraph" w:customStyle="1" w:styleId="Default">
    <w:name w:val="Default"/>
    <w:uiPriority w:val="99"/>
    <w:rsid w:val="004B77D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803FDC"/>
    <w:rPr>
      <w:rFonts w:ascii="Calibri" w:hAnsi="Calibri"/>
      <w:sz w:val="22"/>
    </w:rPr>
  </w:style>
  <w:style w:type="paragraph" w:customStyle="1" w:styleId="Nadplev">
    <w:name w:val="Nadp. levý"/>
    <w:basedOn w:val="Normln"/>
    <w:link w:val="NadplevChar"/>
    <w:qFormat/>
    <w:rsid w:val="000F7C67"/>
    <w:pPr>
      <w:keepNext/>
      <w:tabs>
        <w:tab w:val="left" w:pos="1276"/>
      </w:tabs>
      <w:spacing w:before="240" w:after="120" w:line="360" w:lineRule="auto"/>
    </w:pPr>
    <w:rPr>
      <w:b/>
      <w:sz w:val="32"/>
    </w:rPr>
  </w:style>
  <w:style w:type="character" w:customStyle="1" w:styleId="NadplevChar">
    <w:name w:val="Nadp. levý Char"/>
    <w:link w:val="Nadplev"/>
    <w:rsid w:val="000F7C67"/>
    <w:rPr>
      <w:rFonts w:ascii="Calibri" w:hAnsi="Calibri" w:cs="Arial"/>
      <w:b/>
      <w:sz w:val="32"/>
    </w:rPr>
  </w:style>
  <w:style w:type="paragraph" w:customStyle="1" w:styleId="Odrka">
    <w:name w:val="Odrážka"/>
    <w:basedOn w:val="odrtecka"/>
    <w:link w:val="OdrkaChar"/>
    <w:qFormat/>
    <w:rsid w:val="00867004"/>
    <w:pPr>
      <w:numPr>
        <w:numId w:val="2"/>
      </w:numPr>
      <w:tabs>
        <w:tab w:val="clear" w:pos="709"/>
      </w:tabs>
      <w:spacing w:before="0" w:line="360" w:lineRule="auto"/>
      <w:contextualSpacing/>
    </w:pPr>
    <w:rPr>
      <w:rFonts w:ascii="Calibri" w:hAnsi="Calibri"/>
      <w:bCs/>
      <w:iCs/>
      <w:sz w:val="22"/>
    </w:rPr>
  </w:style>
  <w:style w:type="paragraph" w:customStyle="1" w:styleId="ko">
    <w:name w:val="áčko"/>
    <w:basedOn w:val="normln0"/>
    <w:link w:val="koChar"/>
    <w:qFormat/>
    <w:rsid w:val="000A157A"/>
    <w:pPr>
      <w:tabs>
        <w:tab w:val="clear" w:pos="0"/>
        <w:tab w:val="num" w:pos="502"/>
      </w:tabs>
      <w:spacing w:after="120" w:line="276" w:lineRule="auto"/>
      <w:ind w:left="502" w:hanging="360"/>
    </w:pPr>
    <w:rPr>
      <w:rFonts w:ascii="Calibri" w:hAnsi="Calibri"/>
      <w:spacing w:val="10"/>
      <w:sz w:val="22"/>
      <w:szCs w:val="22"/>
    </w:rPr>
  </w:style>
  <w:style w:type="character" w:customStyle="1" w:styleId="odrteckaChar">
    <w:name w:val="odr_tecka Char"/>
    <w:link w:val="odrtecka"/>
    <w:rsid w:val="00803FDC"/>
    <w:rPr>
      <w:rFonts w:ascii="Arial" w:hAnsi="Arial"/>
      <w:sz w:val="24"/>
      <w:szCs w:val="24"/>
    </w:rPr>
  </w:style>
  <w:style w:type="character" w:customStyle="1" w:styleId="OdrkaChar">
    <w:name w:val="Odrážka Char"/>
    <w:link w:val="Odrka"/>
    <w:rsid w:val="00867004"/>
    <w:rPr>
      <w:rFonts w:ascii="Calibri" w:hAnsi="Calibri"/>
      <w:bCs/>
      <w:iCs/>
      <w:sz w:val="22"/>
      <w:szCs w:val="24"/>
    </w:rPr>
  </w:style>
  <w:style w:type="character" w:customStyle="1" w:styleId="koChar">
    <w:name w:val="áčko Char"/>
    <w:link w:val="ko"/>
    <w:rsid w:val="000A157A"/>
    <w:rPr>
      <w:rFonts w:ascii="Calibri" w:hAnsi="Calibri" w:cs="Arial"/>
      <w:bCs/>
      <w:spacing w:val="10"/>
      <w:sz w:val="22"/>
      <w:szCs w:val="22"/>
    </w:rPr>
  </w:style>
  <w:style w:type="paragraph" w:customStyle="1" w:styleId="Index">
    <w:name w:val="Index"/>
    <w:basedOn w:val="ko"/>
    <w:link w:val="IndexChar"/>
    <w:qFormat/>
    <w:rsid w:val="000A157A"/>
    <w:pPr>
      <w:numPr>
        <w:numId w:val="4"/>
      </w:numPr>
    </w:pPr>
    <w:rPr>
      <w:vertAlign w:val="superscript"/>
    </w:rPr>
  </w:style>
  <w:style w:type="paragraph" w:customStyle="1" w:styleId="Nadpissted">
    <w:name w:val="Nadpis střed"/>
    <w:basedOn w:val="Normln"/>
    <w:link w:val="NadpisstedChar"/>
    <w:qFormat/>
    <w:rsid w:val="003E6226"/>
    <w:pPr>
      <w:spacing w:before="360"/>
      <w:jc w:val="center"/>
    </w:pPr>
    <w:rPr>
      <w:b/>
      <w:bCs/>
      <w:sz w:val="32"/>
      <w:szCs w:val="32"/>
    </w:rPr>
  </w:style>
  <w:style w:type="character" w:customStyle="1" w:styleId="IndexChar">
    <w:name w:val="Index Char"/>
    <w:link w:val="Index"/>
    <w:rsid w:val="000A157A"/>
    <w:rPr>
      <w:rFonts w:ascii="Calibri" w:hAnsi="Calibri" w:cs="Arial"/>
      <w:bCs/>
      <w:spacing w:val="10"/>
      <w:sz w:val="22"/>
      <w:szCs w:val="22"/>
      <w:vertAlign w:val="superscript"/>
    </w:rPr>
  </w:style>
  <w:style w:type="character" w:customStyle="1" w:styleId="NadpisstedChar">
    <w:name w:val="Nadpis střed Char"/>
    <w:link w:val="Nadpissted"/>
    <w:rsid w:val="003E6226"/>
    <w:rPr>
      <w:rFonts w:ascii="Calibri" w:hAnsi="Calibri" w:cs="Arial"/>
      <w:b/>
      <w:bCs/>
      <w:sz w:val="32"/>
      <w:szCs w:val="32"/>
    </w:rPr>
  </w:style>
  <w:style w:type="paragraph" w:customStyle="1" w:styleId="Podarou">
    <w:name w:val="Pod čarou"/>
    <w:basedOn w:val="Textpoznpodarou"/>
    <w:link w:val="PodarouChar"/>
    <w:qFormat/>
    <w:rsid w:val="008E680C"/>
    <w:pPr>
      <w:spacing w:before="0" w:after="120"/>
    </w:pPr>
    <w:rPr>
      <w:rFonts w:ascii="Calibri" w:hAnsi="Calibri"/>
      <w:sz w:val="18"/>
    </w:rPr>
  </w:style>
  <w:style w:type="table" w:styleId="Mkatabulky">
    <w:name w:val="Table Grid"/>
    <w:basedOn w:val="Normlntabulka"/>
    <w:uiPriority w:val="59"/>
    <w:rsid w:val="0051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arouChar">
    <w:name w:val="Pod čarou Char"/>
    <w:link w:val="Podarou"/>
    <w:rsid w:val="008E680C"/>
    <w:rPr>
      <w:rFonts w:ascii="Calibri" w:hAnsi="Calibri" w:cs="Arial"/>
      <w:sz w:val="18"/>
    </w:rPr>
  </w:style>
  <w:style w:type="paragraph" w:styleId="Zkladntext2">
    <w:name w:val="Body Text 2"/>
    <w:basedOn w:val="Normln"/>
    <w:link w:val="Zkladntext2Char"/>
    <w:uiPriority w:val="99"/>
    <w:unhideWhenUsed/>
    <w:rsid w:val="00853F4F"/>
    <w:pPr>
      <w:spacing w:after="120" w:line="480" w:lineRule="auto"/>
    </w:pPr>
  </w:style>
  <w:style w:type="character" w:customStyle="1" w:styleId="Zkladntext2Char">
    <w:name w:val="Základní text 2 Char"/>
    <w:link w:val="Zkladntext2"/>
    <w:uiPriority w:val="99"/>
    <w:rsid w:val="00853F4F"/>
    <w:rPr>
      <w:rFonts w:ascii="Calibri" w:hAnsi="Calibri"/>
      <w:sz w:val="22"/>
    </w:rPr>
  </w:style>
  <w:style w:type="character" w:customStyle="1" w:styleId="normlnChar">
    <w:name w:val="normální Char"/>
    <w:link w:val="normln0"/>
    <w:rsid w:val="009E0BDA"/>
    <w:rPr>
      <w:rFonts w:ascii="Arial" w:hAnsi="Arial"/>
      <w:bCs/>
      <w:sz w:val="24"/>
    </w:rPr>
  </w:style>
  <w:style w:type="character" w:customStyle="1" w:styleId="OdstavecseseznamemChar">
    <w:name w:val="Odstavec se seznamem Char"/>
    <w:aliases w:val="Nad Char,Odstavec cíl se seznamem Char,Odstavec se seznamem5 Char"/>
    <w:link w:val="Odstavecseseznamem"/>
    <w:uiPriority w:val="34"/>
    <w:locked/>
    <w:rsid w:val="00567813"/>
    <w:rPr>
      <w:rFonts w:ascii="Calibri" w:hAnsi="Calibri"/>
      <w:sz w:val="24"/>
      <w:szCs w:val="24"/>
    </w:rPr>
  </w:style>
  <w:style w:type="paragraph" w:styleId="Prosttext">
    <w:name w:val="Plain Text"/>
    <w:basedOn w:val="Normln"/>
    <w:link w:val="ProsttextChar"/>
    <w:uiPriority w:val="99"/>
    <w:semiHidden/>
    <w:unhideWhenUsed/>
    <w:rsid w:val="001777BB"/>
    <w:pPr>
      <w:overflowPunct/>
      <w:autoSpaceDE/>
      <w:autoSpaceDN/>
      <w:adjustRightInd/>
      <w:spacing w:after="0"/>
      <w:jc w:val="left"/>
      <w:textAlignment w:val="auto"/>
    </w:pPr>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1777BB"/>
    <w:rPr>
      <w:rFonts w:ascii="Consolas" w:eastAsiaTheme="minorHAnsi" w:hAnsi="Consolas" w:cstheme="minorBidi"/>
      <w:sz w:val="21"/>
      <w:szCs w:val="21"/>
      <w:lang w:eastAsia="en-US"/>
    </w:rPr>
  </w:style>
  <w:style w:type="paragraph" w:styleId="Textvysvtlivek">
    <w:name w:val="endnote text"/>
    <w:basedOn w:val="Normln"/>
    <w:link w:val="TextvysvtlivekChar"/>
    <w:uiPriority w:val="99"/>
    <w:semiHidden/>
    <w:unhideWhenUsed/>
    <w:rsid w:val="00727D4A"/>
    <w:pPr>
      <w:spacing w:after="0"/>
    </w:pPr>
    <w:rPr>
      <w:sz w:val="20"/>
    </w:rPr>
  </w:style>
  <w:style w:type="character" w:customStyle="1" w:styleId="TextvysvtlivekChar">
    <w:name w:val="Text vysvětlivek Char"/>
    <w:basedOn w:val="Standardnpsmoodstavce"/>
    <w:link w:val="Textvysvtlivek"/>
    <w:uiPriority w:val="99"/>
    <w:semiHidden/>
    <w:rsid w:val="00727D4A"/>
    <w:rPr>
      <w:rFonts w:ascii="Calibri" w:hAnsi="Calibri"/>
    </w:rPr>
  </w:style>
  <w:style w:type="character" w:styleId="Odkaznavysvtlivky">
    <w:name w:val="endnote reference"/>
    <w:basedOn w:val="Standardnpsmoodstavce"/>
    <w:uiPriority w:val="99"/>
    <w:semiHidden/>
    <w:unhideWhenUsed/>
    <w:rsid w:val="00727D4A"/>
    <w:rPr>
      <w:vertAlign w:val="superscript"/>
    </w:rPr>
  </w:style>
  <w:style w:type="character" w:customStyle="1" w:styleId="Nadpis3Char">
    <w:name w:val="Nadpis 3 Char"/>
    <w:basedOn w:val="Standardnpsmoodstavce"/>
    <w:link w:val="Nadpis3"/>
    <w:uiPriority w:val="99"/>
    <w:rsid w:val="00C972E2"/>
    <w:rPr>
      <w:rFonts w:ascii="Calibri" w:hAnsi="Calibri" w:cs="Arial"/>
      <w:bCs/>
      <w:sz w:val="22"/>
      <w:szCs w:val="28"/>
    </w:rPr>
  </w:style>
  <w:style w:type="character" w:styleId="Sledovanodkaz">
    <w:name w:val="FollowedHyperlink"/>
    <w:basedOn w:val="Standardnpsmoodstavce"/>
    <w:uiPriority w:val="99"/>
    <w:semiHidden/>
    <w:unhideWhenUsed/>
    <w:rsid w:val="00F55356"/>
    <w:rPr>
      <w:color w:val="800080" w:themeColor="followedHyperlink"/>
      <w:u w:val="single"/>
    </w:rPr>
  </w:style>
  <w:style w:type="paragraph" w:customStyle="1" w:styleId="CM1">
    <w:name w:val="CM1"/>
    <w:basedOn w:val="Default"/>
    <w:next w:val="Default"/>
    <w:uiPriority w:val="99"/>
    <w:rsid w:val="003677D5"/>
    <w:rPr>
      <w:rFonts w:ascii="Times New Roman" w:hAnsi="Times New Roman" w:cs="Times New Roman"/>
      <w:color w:val="auto"/>
    </w:rPr>
  </w:style>
  <w:style w:type="paragraph" w:customStyle="1" w:styleId="CM3">
    <w:name w:val="CM3"/>
    <w:basedOn w:val="Default"/>
    <w:next w:val="Default"/>
    <w:uiPriority w:val="99"/>
    <w:rsid w:val="003677D5"/>
    <w:rPr>
      <w:rFonts w:ascii="Times New Roman" w:hAnsi="Times New Roman" w:cs="Times New Roman"/>
      <w:color w:val="auto"/>
    </w:rPr>
  </w:style>
  <w:style w:type="character" w:customStyle="1" w:styleId="italic1">
    <w:name w:val="italic1"/>
    <w:basedOn w:val="Standardnpsmoodstavce"/>
    <w:rsid w:val="00DE7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9342">
      <w:bodyDiv w:val="1"/>
      <w:marLeft w:val="0"/>
      <w:marRight w:val="0"/>
      <w:marTop w:val="0"/>
      <w:marBottom w:val="0"/>
      <w:divBdr>
        <w:top w:val="none" w:sz="0" w:space="0" w:color="auto"/>
        <w:left w:val="none" w:sz="0" w:space="0" w:color="auto"/>
        <w:bottom w:val="none" w:sz="0" w:space="0" w:color="auto"/>
        <w:right w:val="none" w:sz="0" w:space="0" w:color="auto"/>
      </w:divBdr>
    </w:div>
    <w:div w:id="741558792">
      <w:bodyDiv w:val="1"/>
      <w:marLeft w:val="0"/>
      <w:marRight w:val="0"/>
      <w:marTop w:val="0"/>
      <w:marBottom w:val="0"/>
      <w:divBdr>
        <w:top w:val="none" w:sz="0" w:space="0" w:color="auto"/>
        <w:left w:val="none" w:sz="0" w:space="0" w:color="auto"/>
        <w:bottom w:val="none" w:sz="0" w:space="0" w:color="auto"/>
        <w:right w:val="none" w:sz="0" w:space="0" w:color="auto"/>
      </w:divBdr>
      <w:divsChild>
        <w:div w:id="315886641">
          <w:marLeft w:val="0"/>
          <w:marRight w:val="0"/>
          <w:marTop w:val="0"/>
          <w:marBottom w:val="0"/>
          <w:divBdr>
            <w:top w:val="none" w:sz="0" w:space="0" w:color="auto"/>
            <w:left w:val="none" w:sz="0" w:space="0" w:color="auto"/>
            <w:bottom w:val="none" w:sz="0" w:space="0" w:color="auto"/>
            <w:right w:val="none" w:sz="0" w:space="0" w:color="auto"/>
          </w:divBdr>
          <w:divsChild>
            <w:div w:id="643462636">
              <w:marLeft w:val="0"/>
              <w:marRight w:val="0"/>
              <w:marTop w:val="0"/>
              <w:marBottom w:val="0"/>
              <w:divBdr>
                <w:top w:val="none" w:sz="0" w:space="0" w:color="auto"/>
                <w:left w:val="none" w:sz="0" w:space="0" w:color="auto"/>
                <w:bottom w:val="none" w:sz="0" w:space="0" w:color="auto"/>
                <w:right w:val="none" w:sz="0" w:space="0" w:color="auto"/>
              </w:divBdr>
              <w:divsChild>
                <w:div w:id="122963587">
                  <w:marLeft w:val="0"/>
                  <w:marRight w:val="0"/>
                  <w:marTop w:val="0"/>
                  <w:marBottom w:val="0"/>
                  <w:divBdr>
                    <w:top w:val="none" w:sz="0" w:space="0" w:color="auto"/>
                    <w:left w:val="none" w:sz="0" w:space="0" w:color="auto"/>
                    <w:bottom w:val="none" w:sz="0" w:space="0" w:color="auto"/>
                    <w:right w:val="none" w:sz="0" w:space="0" w:color="auto"/>
                  </w:divBdr>
                  <w:divsChild>
                    <w:div w:id="1669745579">
                      <w:marLeft w:val="0"/>
                      <w:marRight w:val="0"/>
                      <w:marTop w:val="0"/>
                      <w:marBottom w:val="0"/>
                      <w:divBdr>
                        <w:top w:val="none" w:sz="0" w:space="0" w:color="auto"/>
                        <w:left w:val="none" w:sz="0" w:space="0" w:color="auto"/>
                        <w:bottom w:val="none" w:sz="0" w:space="0" w:color="auto"/>
                        <w:right w:val="none" w:sz="0" w:space="0" w:color="auto"/>
                      </w:divBdr>
                      <w:divsChild>
                        <w:div w:id="1029993229">
                          <w:marLeft w:val="0"/>
                          <w:marRight w:val="0"/>
                          <w:marTop w:val="0"/>
                          <w:marBottom w:val="0"/>
                          <w:divBdr>
                            <w:top w:val="none" w:sz="0" w:space="0" w:color="auto"/>
                            <w:left w:val="none" w:sz="0" w:space="0" w:color="auto"/>
                            <w:bottom w:val="none" w:sz="0" w:space="0" w:color="auto"/>
                            <w:right w:val="none" w:sz="0" w:space="0" w:color="auto"/>
                          </w:divBdr>
                          <w:divsChild>
                            <w:div w:id="1797983958">
                              <w:marLeft w:val="0"/>
                              <w:marRight w:val="0"/>
                              <w:marTop w:val="0"/>
                              <w:marBottom w:val="0"/>
                              <w:divBdr>
                                <w:top w:val="none" w:sz="0" w:space="0" w:color="auto"/>
                                <w:left w:val="none" w:sz="0" w:space="0" w:color="auto"/>
                                <w:bottom w:val="none" w:sz="0" w:space="0" w:color="auto"/>
                                <w:right w:val="none" w:sz="0" w:space="0" w:color="auto"/>
                              </w:divBdr>
                              <w:divsChild>
                                <w:div w:id="1382366121">
                                  <w:marLeft w:val="0"/>
                                  <w:marRight w:val="0"/>
                                  <w:marTop w:val="0"/>
                                  <w:marBottom w:val="0"/>
                                  <w:divBdr>
                                    <w:top w:val="none" w:sz="0" w:space="0" w:color="auto"/>
                                    <w:left w:val="none" w:sz="0" w:space="0" w:color="auto"/>
                                    <w:bottom w:val="none" w:sz="0" w:space="0" w:color="auto"/>
                                    <w:right w:val="none" w:sz="0" w:space="0" w:color="auto"/>
                                  </w:divBdr>
                                  <w:divsChild>
                                    <w:div w:id="1554586424">
                                      <w:marLeft w:val="0"/>
                                      <w:marRight w:val="0"/>
                                      <w:marTop w:val="0"/>
                                      <w:marBottom w:val="0"/>
                                      <w:divBdr>
                                        <w:top w:val="none" w:sz="0" w:space="0" w:color="auto"/>
                                        <w:left w:val="none" w:sz="0" w:space="0" w:color="auto"/>
                                        <w:bottom w:val="none" w:sz="0" w:space="0" w:color="auto"/>
                                        <w:right w:val="none" w:sz="0" w:space="0" w:color="auto"/>
                                      </w:divBdr>
                                      <w:divsChild>
                                        <w:div w:id="1978796405">
                                          <w:marLeft w:val="0"/>
                                          <w:marRight w:val="0"/>
                                          <w:marTop w:val="0"/>
                                          <w:marBottom w:val="0"/>
                                          <w:divBdr>
                                            <w:top w:val="none" w:sz="0" w:space="0" w:color="auto"/>
                                            <w:left w:val="none" w:sz="0" w:space="0" w:color="auto"/>
                                            <w:bottom w:val="none" w:sz="0" w:space="0" w:color="auto"/>
                                            <w:right w:val="none" w:sz="0" w:space="0" w:color="auto"/>
                                          </w:divBdr>
                                          <w:divsChild>
                                            <w:div w:id="61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476593">
      <w:bodyDiv w:val="1"/>
      <w:marLeft w:val="0"/>
      <w:marRight w:val="0"/>
      <w:marTop w:val="0"/>
      <w:marBottom w:val="0"/>
      <w:divBdr>
        <w:top w:val="none" w:sz="0" w:space="0" w:color="auto"/>
        <w:left w:val="none" w:sz="0" w:space="0" w:color="auto"/>
        <w:bottom w:val="none" w:sz="0" w:space="0" w:color="auto"/>
        <w:right w:val="none" w:sz="0" w:space="0" w:color="auto"/>
      </w:divBdr>
    </w:div>
    <w:div w:id="1371034916">
      <w:bodyDiv w:val="1"/>
      <w:marLeft w:val="0"/>
      <w:marRight w:val="0"/>
      <w:marTop w:val="0"/>
      <w:marBottom w:val="0"/>
      <w:divBdr>
        <w:top w:val="none" w:sz="0" w:space="0" w:color="auto"/>
        <w:left w:val="none" w:sz="0" w:space="0" w:color="auto"/>
        <w:bottom w:val="none" w:sz="0" w:space="0" w:color="auto"/>
        <w:right w:val="none" w:sz="0" w:space="0" w:color="auto"/>
      </w:divBdr>
    </w:div>
    <w:div w:id="1387414572">
      <w:bodyDiv w:val="1"/>
      <w:marLeft w:val="0"/>
      <w:marRight w:val="0"/>
      <w:marTop w:val="0"/>
      <w:marBottom w:val="0"/>
      <w:divBdr>
        <w:top w:val="none" w:sz="0" w:space="0" w:color="auto"/>
        <w:left w:val="none" w:sz="0" w:space="0" w:color="auto"/>
        <w:bottom w:val="none" w:sz="0" w:space="0" w:color="auto"/>
        <w:right w:val="none" w:sz="0" w:space="0" w:color="auto"/>
      </w:divBdr>
    </w:div>
    <w:div w:id="1742559434">
      <w:bodyDiv w:val="1"/>
      <w:marLeft w:val="0"/>
      <w:marRight w:val="0"/>
      <w:marTop w:val="0"/>
      <w:marBottom w:val="0"/>
      <w:divBdr>
        <w:top w:val="none" w:sz="0" w:space="0" w:color="auto"/>
        <w:left w:val="none" w:sz="0" w:space="0" w:color="auto"/>
        <w:bottom w:val="none" w:sz="0" w:space="0" w:color="auto"/>
        <w:right w:val="none" w:sz="0" w:space="0" w:color="auto"/>
      </w:divBdr>
    </w:div>
    <w:div w:id="1774521190">
      <w:bodyDiv w:val="1"/>
      <w:marLeft w:val="0"/>
      <w:marRight w:val="0"/>
      <w:marTop w:val="0"/>
      <w:marBottom w:val="0"/>
      <w:divBdr>
        <w:top w:val="none" w:sz="0" w:space="0" w:color="auto"/>
        <w:left w:val="none" w:sz="0" w:space="0" w:color="auto"/>
        <w:bottom w:val="none" w:sz="0" w:space="0" w:color="auto"/>
        <w:right w:val="none" w:sz="0" w:space="0" w:color="auto"/>
      </w:divBdr>
    </w:div>
    <w:div w:id="1811750822">
      <w:bodyDiv w:val="1"/>
      <w:marLeft w:val="0"/>
      <w:marRight w:val="0"/>
      <w:marTop w:val="0"/>
      <w:marBottom w:val="0"/>
      <w:divBdr>
        <w:top w:val="none" w:sz="0" w:space="0" w:color="auto"/>
        <w:left w:val="none" w:sz="0" w:space="0" w:color="auto"/>
        <w:bottom w:val="none" w:sz="0" w:space="0" w:color="auto"/>
        <w:right w:val="none" w:sz="0" w:space="0" w:color="auto"/>
      </w:divBdr>
    </w:div>
    <w:div w:id="18821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zrb.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mzrb.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rtal.mpsv.cz/sz/stat/nz/m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o.cz" TargetMode="External"/><Relationship Id="rId5" Type="http://schemas.openxmlformats.org/officeDocument/2006/relationships/numbering" Target="numbering.xml"/><Relationship Id="rId15" Type="http://schemas.openxmlformats.org/officeDocument/2006/relationships/hyperlink" Target="http://www.cmzrb.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zrb.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B298A-67AD-487E-A7B9-FA7021148986}">
  <ds:schemaRefs>
    <ds:schemaRef ds:uri="http://schemas.openxmlformats.org/officeDocument/2006/bibliography"/>
  </ds:schemaRefs>
</ds:datastoreItem>
</file>

<file path=customXml/itemProps2.xml><?xml version="1.0" encoding="utf-8"?>
<ds:datastoreItem xmlns:ds="http://schemas.openxmlformats.org/officeDocument/2006/customXml" ds:itemID="{CD39DE90-CB10-43DC-990F-C3BE2C0BF3A8}">
  <ds:schemaRefs>
    <ds:schemaRef ds:uri="http://schemas.openxmlformats.org/officeDocument/2006/bibliography"/>
  </ds:schemaRefs>
</ds:datastoreItem>
</file>

<file path=customXml/itemProps3.xml><?xml version="1.0" encoding="utf-8"?>
<ds:datastoreItem xmlns:ds="http://schemas.openxmlformats.org/officeDocument/2006/customXml" ds:itemID="{CD60D8F3-8ACB-44CE-9AB6-BDEC2216AC46}">
  <ds:schemaRefs>
    <ds:schemaRef ds:uri="http://schemas.openxmlformats.org/officeDocument/2006/bibliography"/>
  </ds:schemaRefs>
</ds:datastoreItem>
</file>

<file path=customXml/itemProps4.xml><?xml version="1.0" encoding="utf-8"?>
<ds:datastoreItem xmlns:ds="http://schemas.openxmlformats.org/officeDocument/2006/customXml" ds:itemID="{975B56B0-4AE3-48EC-BBFB-A717586E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BC74D94A.dotm</Template>
  <TotalTime>1</TotalTime>
  <Pages>30</Pages>
  <Words>7457</Words>
  <Characters>46440</Characters>
  <Application>Microsoft Office Word</Application>
  <DocSecurity>0</DocSecurity>
  <Lines>387</Lines>
  <Paragraphs>107</Paragraphs>
  <ScaleCrop>false</ScaleCrop>
  <HeadingPairs>
    <vt:vector size="2" baseType="variant">
      <vt:variant>
        <vt:lpstr>Název</vt:lpstr>
      </vt:variant>
      <vt:variant>
        <vt:i4>1</vt:i4>
      </vt:variant>
    </vt:vector>
  </HeadingPairs>
  <TitlesOfParts>
    <vt:vector size="1" baseType="lpstr">
      <vt:lpstr>Záruka OPPI, Výzva III</vt:lpstr>
    </vt:vector>
  </TitlesOfParts>
  <Company>MPO</Company>
  <LinksUpToDate>false</LinksUpToDate>
  <CharactersWithSpaces>53790</CharactersWithSpaces>
  <SharedDoc>false</SharedDoc>
  <HLinks>
    <vt:vector size="156" baseType="variant">
      <vt:variant>
        <vt:i4>983116</vt:i4>
      </vt:variant>
      <vt:variant>
        <vt:i4>141</vt:i4>
      </vt:variant>
      <vt:variant>
        <vt:i4>0</vt:i4>
      </vt:variant>
      <vt:variant>
        <vt:i4>5</vt:i4>
      </vt:variant>
      <vt:variant>
        <vt:lpwstr>http://portal.mpsv.cz/sz/stat/nz/mes</vt:lpwstr>
      </vt:variant>
      <vt:variant>
        <vt:lpwstr/>
      </vt:variant>
      <vt:variant>
        <vt:i4>1769493</vt:i4>
      </vt:variant>
      <vt:variant>
        <vt:i4>138</vt:i4>
      </vt:variant>
      <vt:variant>
        <vt:i4>0</vt:i4>
      </vt:variant>
      <vt:variant>
        <vt:i4>5</vt:i4>
      </vt:variant>
      <vt:variant>
        <vt:lpwstr>http://eagri.cz/public/app/RDM/Portal</vt:lpwstr>
      </vt:variant>
      <vt:variant>
        <vt:lpwstr/>
      </vt:variant>
      <vt:variant>
        <vt:i4>1835035</vt:i4>
      </vt:variant>
      <vt:variant>
        <vt:i4>135</vt:i4>
      </vt:variant>
      <vt:variant>
        <vt:i4>0</vt:i4>
      </vt:variant>
      <vt:variant>
        <vt:i4>5</vt:i4>
      </vt:variant>
      <vt:variant>
        <vt:lpwstr>http://www.cmzrb.cz/</vt:lpwstr>
      </vt:variant>
      <vt:variant>
        <vt:lpwstr/>
      </vt:variant>
      <vt:variant>
        <vt:i4>1835035</vt:i4>
      </vt:variant>
      <vt:variant>
        <vt:i4>132</vt:i4>
      </vt:variant>
      <vt:variant>
        <vt:i4>0</vt:i4>
      </vt:variant>
      <vt:variant>
        <vt:i4>5</vt:i4>
      </vt:variant>
      <vt:variant>
        <vt:lpwstr>http://www.cmzrb.cz/</vt:lpwstr>
      </vt:variant>
      <vt:variant>
        <vt:lpwstr/>
      </vt:variant>
      <vt:variant>
        <vt:i4>6619252</vt:i4>
      </vt:variant>
      <vt:variant>
        <vt:i4>129</vt:i4>
      </vt:variant>
      <vt:variant>
        <vt:i4>0</vt:i4>
      </vt:variant>
      <vt:variant>
        <vt:i4>5</vt:i4>
      </vt:variant>
      <vt:variant>
        <vt:lpwstr>http://www.mpo.cz/</vt:lpwstr>
      </vt:variant>
      <vt:variant>
        <vt:lpwstr/>
      </vt:variant>
      <vt:variant>
        <vt:i4>1507378</vt:i4>
      </vt:variant>
      <vt:variant>
        <vt:i4>122</vt:i4>
      </vt:variant>
      <vt:variant>
        <vt:i4>0</vt:i4>
      </vt:variant>
      <vt:variant>
        <vt:i4>5</vt:i4>
      </vt:variant>
      <vt:variant>
        <vt:lpwstr/>
      </vt:variant>
      <vt:variant>
        <vt:lpwstr>_Toc429574830</vt:lpwstr>
      </vt:variant>
      <vt:variant>
        <vt:i4>1441842</vt:i4>
      </vt:variant>
      <vt:variant>
        <vt:i4>116</vt:i4>
      </vt:variant>
      <vt:variant>
        <vt:i4>0</vt:i4>
      </vt:variant>
      <vt:variant>
        <vt:i4>5</vt:i4>
      </vt:variant>
      <vt:variant>
        <vt:lpwstr/>
      </vt:variant>
      <vt:variant>
        <vt:lpwstr>_Toc429574829</vt:lpwstr>
      </vt:variant>
      <vt:variant>
        <vt:i4>1441842</vt:i4>
      </vt:variant>
      <vt:variant>
        <vt:i4>110</vt:i4>
      </vt:variant>
      <vt:variant>
        <vt:i4>0</vt:i4>
      </vt:variant>
      <vt:variant>
        <vt:i4>5</vt:i4>
      </vt:variant>
      <vt:variant>
        <vt:lpwstr/>
      </vt:variant>
      <vt:variant>
        <vt:lpwstr>_Toc429574828</vt:lpwstr>
      </vt:variant>
      <vt:variant>
        <vt:i4>1441842</vt:i4>
      </vt:variant>
      <vt:variant>
        <vt:i4>104</vt:i4>
      </vt:variant>
      <vt:variant>
        <vt:i4>0</vt:i4>
      </vt:variant>
      <vt:variant>
        <vt:i4>5</vt:i4>
      </vt:variant>
      <vt:variant>
        <vt:lpwstr/>
      </vt:variant>
      <vt:variant>
        <vt:lpwstr>_Toc429574827</vt:lpwstr>
      </vt:variant>
      <vt:variant>
        <vt:i4>1441842</vt:i4>
      </vt:variant>
      <vt:variant>
        <vt:i4>98</vt:i4>
      </vt:variant>
      <vt:variant>
        <vt:i4>0</vt:i4>
      </vt:variant>
      <vt:variant>
        <vt:i4>5</vt:i4>
      </vt:variant>
      <vt:variant>
        <vt:lpwstr/>
      </vt:variant>
      <vt:variant>
        <vt:lpwstr>_Toc429574826</vt:lpwstr>
      </vt:variant>
      <vt:variant>
        <vt:i4>1441842</vt:i4>
      </vt:variant>
      <vt:variant>
        <vt:i4>92</vt:i4>
      </vt:variant>
      <vt:variant>
        <vt:i4>0</vt:i4>
      </vt:variant>
      <vt:variant>
        <vt:i4>5</vt:i4>
      </vt:variant>
      <vt:variant>
        <vt:lpwstr/>
      </vt:variant>
      <vt:variant>
        <vt:lpwstr>_Toc429574825</vt:lpwstr>
      </vt:variant>
      <vt:variant>
        <vt:i4>1441842</vt:i4>
      </vt:variant>
      <vt:variant>
        <vt:i4>86</vt:i4>
      </vt:variant>
      <vt:variant>
        <vt:i4>0</vt:i4>
      </vt:variant>
      <vt:variant>
        <vt:i4>5</vt:i4>
      </vt:variant>
      <vt:variant>
        <vt:lpwstr/>
      </vt:variant>
      <vt:variant>
        <vt:lpwstr>_Toc429574824</vt:lpwstr>
      </vt:variant>
      <vt:variant>
        <vt:i4>1441842</vt:i4>
      </vt:variant>
      <vt:variant>
        <vt:i4>80</vt:i4>
      </vt:variant>
      <vt:variant>
        <vt:i4>0</vt:i4>
      </vt:variant>
      <vt:variant>
        <vt:i4>5</vt:i4>
      </vt:variant>
      <vt:variant>
        <vt:lpwstr/>
      </vt:variant>
      <vt:variant>
        <vt:lpwstr>_Toc429574823</vt:lpwstr>
      </vt:variant>
      <vt:variant>
        <vt:i4>1441842</vt:i4>
      </vt:variant>
      <vt:variant>
        <vt:i4>74</vt:i4>
      </vt:variant>
      <vt:variant>
        <vt:i4>0</vt:i4>
      </vt:variant>
      <vt:variant>
        <vt:i4>5</vt:i4>
      </vt:variant>
      <vt:variant>
        <vt:lpwstr/>
      </vt:variant>
      <vt:variant>
        <vt:lpwstr>_Toc429574822</vt:lpwstr>
      </vt:variant>
      <vt:variant>
        <vt:i4>1441842</vt:i4>
      </vt:variant>
      <vt:variant>
        <vt:i4>68</vt:i4>
      </vt:variant>
      <vt:variant>
        <vt:i4>0</vt:i4>
      </vt:variant>
      <vt:variant>
        <vt:i4>5</vt:i4>
      </vt:variant>
      <vt:variant>
        <vt:lpwstr/>
      </vt:variant>
      <vt:variant>
        <vt:lpwstr>_Toc429574821</vt:lpwstr>
      </vt:variant>
      <vt:variant>
        <vt:i4>1441842</vt:i4>
      </vt:variant>
      <vt:variant>
        <vt:i4>62</vt:i4>
      </vt:variant>
      <vt:variant>
        <vt:i4>0</vt:i4>
      </vt:variant>
      <vt:variant>
        <vt:i4>5</vt:i4>
      </vt:variant>
      <vt:variant>
        <vt:lpwstr/>
      </vt:variant>
      <vt:variant>
        <vt:lpwstr>_Toc429574820</vt:lpwstr>
      </vt:variant>
      <vt:variant>
        <vt:i4>1376306</vt:i4>
      </vt:variant>
      <vt:variant>
        <vt:i4>56</vt:i4>
      </vt:variant>
      <vt:variant>
        <vt:i4>0</vt:i4>
      </vt:variant>
      <vt:variant>
        <vt:i4>5</vt:i4>
      </vt:variant>
      <vt:variant>
        <vt:lpwstr/>
      </vt:variant>
      <vt:variant>
        <vt:lpwstr>_Toc429574819</vt:lpwstr>
      </vt:variant>
      <vt:variant>
        <vt:i4>1376306</vt:i4>
      </vt:variant>
      <vt:variant>
        <vt:i4>50</vt:i4>
      </vt:variant>
      <vt:variant>
        <vt:i4>0</vt:i4>
      </vt:variant>
      <vt:variant>
        <vt:i4>5</vt:i4>
      </vt:variant>
      <vt:variant>
        <vt:lpwstr/>
      </vt:variant>
      <vt:variant>
        <vt:lpwstr>_Toc429574818</vt:lpwstr>
      </vt:variant>
      <vt:variant>
        <vt:i4>1376306</vt:i4>
      </vt:variant>
      <vt:variant>
        <vt:i4>44</vt:i4>
      </vt:variant>
      <vt:variant>
        <vt:i4>0</vt:i4>
      </vt:variant>
      <vt:variant>
        <vt:i4>5</vt:i4>
      </vt:variant>
      <vt:variant>
        <vt:lpwstr/>
      </vt:variant>
      <vt:variant>
        <vt:lpwstr>_Toc429574817</vt:lpwstr>
      </vt:variant>
      <vt:variant>
        <vt:i4>1376306</vt:i4>
      </vt:variant>
      <vt:variant>
        <vt:i4>38</vt:i4>
      </vt:variant>
      <vt:variant>
        <vt:i4>0</vt:i4>
      </vt:variant>
      <vt:variant>
        <vt:i4>5</vt:i4>
      </vt:variant>
      <vt:variant>
        <vt:lpwstr/>
      </vt:variant>
      <vt:variant>
        <vt:lpwstr>_Toc429574816</vt:lpwstr>
      </vt:variant>
      <vt:variant>
        <vt:i4>1376306</vt:i4>
      </vt:variant>
      <vt:variant>
        <vt:i4>32</vt:i4>
      </vt:variant>
      <vt:variant>
        <vt:i4>0</vt:i4>
      </vt:variant>
      <vt:variant>
        <vt:i4>5</vt:i4>
      </vt:variant>
      <vt:variant>
        <vt:lpwstr/>
      </vt:variant>
      <vt:variant>
        <vt:lpwstr>_Toc429574815</vt:lpwstr>
      </vt:variant>
      <vt:variant>
        <vt:i4>1376306</vt:i4>
      </vt:variant>
      <vt:variant>
        <vt:i4>26</vt:i4>
      </vt:variant>
      <vt:variant>
        <vt:i4>0</vt:i4>
      </vt:variant>
      <vt:variant>
        <vt:i4>5</vt:i4>
      </vt:variant>
      <vt:variant>
        <vt:lpwstr/>
      </vt:variant>
      <vt:variant>
        <vt:lpwstr>_Toc429574814</vt:lpwstr>
      </vt:variant>
      <vt:variant>
        <vt:i4>1376306</vt:i4>
      </vt:variant>
      <vt:variant>
        <vt:i4>20</vt:i4>
      </vt:variant>
      <vt:variant>
        <vt:i4>0</vt:i4>
      </vt:variant>
      <vt:variant>
        <vt:i4>5</vt:i4>
      </vt:variant>
      <vt:variant>
        <vt:lpwstr/>
      </vt:variant>
      <vt:variant>
        <vt:lpwstr>_Toc429574813</vt:lpwstr>
      </vt:variant>
      <vt:variant>
        <vt:i4>1376306</vt:i4>
      </vt:variant>
      <vt:variant>
        <vt:i4>14</vt:i4>
      </vt:variant>
      <vt:variant>
        <vt:i4>0</vt:i4>
      </vt:variant>
      <vt:variant>
        <vt:i4>5</vt:i4>
      </vt:variant>
      <vt:variant>
        <vt:lpwstr/>
      </vt:variant>
      <vt:variant>
        <vt:lpwstr>_Toc429574812</vt:lpwstr>
      </vt:variant>
      <vt:variant>
        <vt:i4>1376306</vt:i4>
      </vt:variant>
      <vt:variant>
        <vt:i4>8</vt:i4>
      </vt:variant>
      <vt:variant>
        <vt:i4>0</vt:i4>
      </vt:variant>
      <vt:variant>
        <vt:i4>5</vt:i4>
      </vt:variant>
      <vt:variant>
        <vt:lpwstr/>
      </vt:variant>
      <vt:variant>
        <vt:lpwstr>_Toc429574811</vt:lpwstr>
      </vt:variant>
      <vt:variant>
        <vt:i4>1376306</vt:i4>
      </vt:variant>
      <vt:variant>
        <vt:i4>2</vt:i4>
      </vt:variant>
      <vt:variant>
        <vt:i4>0</vt:i4>
      </vt:variant>
      <vt:variant>
        <vt:i4>5</vt:i4>
      </vt:variant>
      <vt:variant>
        <vt:lpwstr/>
      </vt:variant>
      <vt:variant>
        <vt:lpwstr>_Toc429574810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Záruka OPPI, Výzva III</dc:title>
  <dc:creator>Hříbek Ivo</dc:creator>
  <cp:lastModifiedBy>Kloboučník Pavel</cp:lastModifiedBy>
  <cp:revision>4</cp:revision>
  <cp:lastPrinted>2018-08-16T07:01:00Z</cp:lastPrinted>
  <dcterms:created xsi:type="dcterms:W3CDTF">2018-08-29T11:14:00Z</dcterms:created>
  <dcterms:modified xsi:type="dcterms:W3CDTF">2018-09-05T08:50:00Z</dcterms:modified>
</cp:coreProperties>
</file>