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E570" w14:textId="77777777" w:rsidR="00F124D1" w:rsidRDefault="00F124D1">
      <w:bookmarkStart w:id="0" w:name="_GoBack"/>
      <w:bookmarkEnd w:id="0"/>
    </w:p>
    <w:p w14:paraId="4FE6D985" w14:textId="44EFE170" w:rsidR="00266992" w:rsidRPr="00510CFA" w:rsidRDefault="00266992" w:rsidP="00266992">
      <w:pPr>
        <w:pStyle w:val="Nadpis1"/>
        <w:rPr>
          <w:rFonts w:asciiTheme="minorHAnsi" w:hAnsiTheme="minorHAnsi" w:cstheme="minorHAnsi"/>
          <w:color w:val="002060"/>
          <w:sz w:val="28"/>
        </w:rPr>
      </w:pPr>
      <w:bookmarkStart w:id="1" w:name="_Toc458616080"/>
      <w:bookmarkStart w:id="2" w:name="_Toc474486707"/>
      <w:r w:rsidRPr="00510CFA">
        <w:rPr>
          <w:rFonts w:asciiTheme="minorHAnsi" w:hAnsiTheme="minorHAnsi" w:cstheme="minorHAnsi"/>
          <w:color w:val="002060"/>
          <w:sz w:val="28"/>
        </w:rPr>
        <w:t xml:space="preserve">Příloha č. </w:t>
      </w:r>
      <w:r w:rsidR="00510CFA">
        <w:rPr>
          <w:rFonts w:asciiTheme="minorHAnsi" w:hAnsiTheme="minorHAnsi" w:cstheme="minorHAnsi"/>
          <w:color w:val="002060"/>
          <w:sz w:val="28"/>
        </w:rPr>
        <w:t>6</w:t>
      </w:r>
      <w:r w:rsidRPr="00510CFA">
        <w:rPr>
          <w:rFonts w:asciiTheme="minorHAnsi" w:hAnsiTheme="minorHAnsi" w:cstheme="minorHAnsi"/>
          <w:color w:val="002060"/>
          <w:sz w:val="28"/>
        </w:rPr>
        <w:t xml:space="preserve"> – POJMY</w:t>
      </w:r>
      <w:bookmarkEnd w:id="1"/>
      <w:bookmarkEnd w:id="2"/>
    </w:p>
    <w:p w14:paraId="3A469F09" w14:textId="63E2A03C" w:rsidR="005F6A71" w:rsidRDefault="005F6A71" w:rsidP="005F6A71"/>
    <w:p w14:paraId="082A07AD" w14:textId="77777777" w:rsidR="005F6A71" w:rsidRPr="005F6A71" w:rsidRDefault="005F6A71" w:rsidP="005F6A7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51429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AD7838" w14:textId="5580F1CD" w:rsidR="00BC4771" w:rsidRPr="00510CFA" w:rsidRDefault="00BC4771">
          <w:pPr>
            <w:pStyle w:val="Nadpisobsahu"/>
            <w:rPr>
              <w:color w:val="002060"/>
            </w:rPr>
          </w:pPr>
          <w:r w:rsidRPr="00510CFA">
            <w:rPr>
              <w:color w:val="002060"/>
            </w:rPr>
            <w:t>Obsah</w:t>
          </w:r>
        </w:p>
        <w:p w14:paraId="5ECDFB04" w14:textId="064F276B" w:rsidR="00E03320" w:rsidRDefault="00BC477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486707" w:history="1">
            <w:r w:rsidR="00E03320" w:rsidRPr="001F3A0A">
              <w:rPr>
                <w:rStyle w:val="Hypertextovodkaz"/>
                <w:rFonts w:cstheme="minorHAnsi"/>
                <w:noProof/>
              </w:rPr>
              <w:t>Příloha č. 2 – POJMY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_Toc474486707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1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1F23B10E" w14:textId="03713E2D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08" w:history="1">
            <w:r w:rsidR="00E03320" w:rsidRPr="001F3A0A">
              <w:rPr>
                <w:rStyle w:val="Hypertextovodkaz"/>
                <w:noProof/>
              </w:rPr>
              <w:t>1. DEFINICE MSP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_Toc474486708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2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374C2F71" w14:textId="450571C8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09" w:history="1">
            <w:r w:rsidR="00E03320" w:rsidRPr="001F3A0A">
              <w:rPr>
                <w:rStyle w:val="Hypertextovodkaz"/>
                <w:noProof/>
              </w:rPr>
              <w:t>2. PODPORA DE MINIMIS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_Toc474486709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2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00C4D53A" w14:textId="04325002" w:rsidR="00E03320" w:rsidRDefault="00501E0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10" w:history="1">
            <w:r w:rsidR="00E03320" w:rsidRPr="001F3A0A">
              <w:rPr>
                <w:rStyle w:val="Hypertextovodkaz"/>
                <w:noProof/>
              </w:rPr>
              <w:t>Jeden podnik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_Toc474486710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3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1A34B703" w14:textId="478DDE98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11" w:history="1">
            <w:r w:rsidR="00E03320" w:rsidRPr="001F3A0A">
              <w:rPr>
                <w:rStyle w:val="Hypertextovodkaz"/>
                <w:noProof/>
              </w:rPr>
              <w:t>3. PODNIK V OBTÍŽÍCH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_Toc474486711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4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735DB69E" w14:textId="66E3C8DE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12" w:history="1">
            <w:r w:rsidR="00E03320" w:rsidRPr="001F3A0A">
              <w:rPr>
                <w:rStyle w:val="Hypertextovodkaz"/>
                <w:noProof/>
              </w:rPr>
              <w:t>4. ELEKTRONICKÝ PODPIS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_Toc474486712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4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6D33D082" w14:textId="075127AE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13" w:history="1">
            <w:r w:rsidR="00E03320" w:rsidRPr="001F3A0A">
              <w:rPr>
                <w:rStyle w:val="Hypertextovodkaz"/>
                <w:noProof/>
              </w:rPr>
              <w:t>5. ÚROVNĚ TECHNOLOGICKÉ PŘIPRAVENOSTI (TRL)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_Toc474486713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4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77D2EC41" w14:textId="5ACE4A7F" w:rsidR="00E03320" w:rsidRDefault="00501E0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4486714" w:history="1">
            <w:r w:rsidR="00E03320" w:rsidRPr="001F3A0A">
              <w:rPr>
                <w:rStyle w:val="Hypertextovodkaz"/>
                <w:noProof/>
              </w:rPr>
              <w:t>6. PŘÍLOHY</w:t>
            </w:r>
            <w:r w:rsidR="00E03320">
              <w:rPr>
                <w:noProof/>
                <w:webHidden/>
              </w:rPr>
              <w:tab/>
            </w:r>
            <w:r w:rsidR="00E03320">
              <w:rPr>
                <w:noProof/>
                <w:webHidden/>
              </w:rPr>
              <w:fldChar w:fldCharType="begin"/>
            </w:r>
            <w:r w:rsidR="00E03320">
              <w:rPr>
                <w:noProof/>
                <w:webHidden/>
              </w:rPr>
              <w:instrText xml:space="preserve"> PAGEREF _Toc474486714 \h </w:instrText>
            </w:r>
            <w:r w:rsidR="00E03320">
              <w:rPr>
                <w:noProof/>
                <w:webHidden/>
              </w:rPr>
            </w:r>
            <w:r w:rsidR="00E03320">
              <w:rPr>
                <w:noProof/>
                <w:webHidden/>
              </w:rPr>
              <w:fldChar w:fldCharType="separate"/>
            </w:r>
            <w:r w:rsidR="00E03320">
              <w:rPr>
                <w:noProof/>
                <w:webHidden/>
              </w:rPr>
              <w:t>5</w:t>
            </w:r>
            <w:r w:rsidR="00E03320">
              <w:rPr>
                <w:noProof/>
                <w:webHidden/>
              </w:rPr>
              <w:fldChar w:fldCharType="end"/>
            </w:r>
          </w:hyperlink>
        </w:p>
        <w:p w14:paraId="58E9D150" w14:textId="592796B8" w:rsidR="00BC4771" w:rsidRDefault="00BC4771">
          <w:r>
            <w:rPr>
              <w:b/>
              <w:bCs/>
            </w:rPr>
            <w:fldChar w:fldCharType="end"/>
          </w:r>
        </w:p>
      </w:sdtContent>
    </w:sdt>
    <w:p w14:paraId="6633A95E" w14:textId="77777777" w:rsidR="00653998" w:rsidRPr="00653998" w:rsidRDefault="00653998" w:rsidP="00653998"/>
    <w:p w14:paraId="75D595F1" w14:textId="77777777" w:rsidR="005F6A71" w:rsidRDefault="005F6A7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</w:rPr>
      </w:pPr>
      <w:r>
        <w:br w:type="page"/>
      </w:r>
    </w:p>
    <w:p w14:paraId="354B03C6" w14:textId="3B359441" w:rsidR="00941272" w:rsidRDefault="00941272" w:rsidP="00266992">
      <w:pPr>
        <w:pStyle w:val="Nadpis2"/>
        <w:rPr>
          <w:u w:val="none"/>
        </w:rPr>
      </w:pPr>
    </w:p>
    <w:p w14:paraId="66F5641F" w14:textId="11854FFE" w:rsidR="00266992" w:rsidRPr="00510CFA" w:rsidRDefault="00941272" w:rsidP="00266992">
      <w:pPr>
        <w:pStyle w:val="Nadpis2"/>
        <w:rPr>
          <w:color w:val="002060"/>
          <w:u w:val="none"/>
        </w:rPr>
      </w:pPr>
      <w:bookmarkStart w:id="3" w:name="_Toc474486708"/>
      <w:r w:rsidRPr="00510CFA">
        <w:rPr>
          <w:color w:val="002060"/>
          <w:u w:val="none"/>
        </w:rPr>
        <w:t>1. DEFINICE MSP</w:t>
      </w:r>
      <w:bookmarkEnd w:id="3"/>
    </w:p>
    <w:p w14:paraId="6F0EE575" w14:textId="42076C6A" w:rsidR="00653998" w:rsidRPr="00DA4D24" w:rsidRDefault="00266992" w:rsidP="00941272">
      <w:pPr>
        <w:jc w:val="both"/>
      </w:pPr>
      <w:r w:rsidRPr="00DA4D24">
        <w:t xml:space="preserve">Malý a střední podnikatel (MSP) </w:t>
      </w:r>
      <w:r w:rsidR="00941272" w:rsidRPr="00DA4D24">
        <w:t>splňuje definici malého a středního podniku podle podmínek stanovené v Příloze č. 1 Nařízení komise (EU) č. 651/2014 ze dne 17. června 2014</w:t>
      </w:r>
      <w:r w:rsidR="00941272" w:rsidRPr="00DA4D24">
        <w:rPr>
          <w:rStyle w:val="Znakapoznpodarou"/>
        </w:rPr>
        <w:footnoteReference w:id="1"/>
      </w:r>
      <w:r w:rsidR="00941272" w:rsidRPr="00DA4D24">
        <w:t>, kterým se v souladu s články 107 a 108 Smlouvy o EU prohlašující určité kategorie podpory za slučitelné s vnitřním trhem (dále jen „Nařízení komise (EU) č. 651/2014“) a v návaznosti Doporučení 2003/361/ES</w:t>
      </w:r>
      <w:r w:rsidR="00941272" w:rsidRPr="00DA4D24">
        <w:rPr>
          <w:rStyle w:val="Znakapoznpodarou"/>
        </w:rPr>
        <w:footnoteReference w:id="2"/>
      </w:r>
      <w:r w:rsidR="00941272" w:rsidRPr="00DA4D24">
        <w:t xml:space="preserve"> </w:t>
      </w:r>
      <w:r w:rsidR="00653998" w:rsidRPr="00DA4D24">
        <w:t>dle</w:t>
      </w:r>
      <w:r w:rsidR="00653998" w:rsidRPr="00510CFA">
        <w:rPr>
          <w:color w:val="002060"/>
        </w:rPr>
        <w:t xml:space="preserve"> Aplikačního výkladu pro vymezení pojmů drobný, malý a střední podnikatel a postupů pro zařazování podnikatelů do jednotlivých kategorií </w:t>
      </w:r>
      <w:r w:rsidR="00653998" w:rsidRPr="00DA4D24">
        <w:t>dle nařízení MPO č.j. 25075/15/61100, s platností od 1. 6. 2015.</w:t>
      </w:r>
      <w:r w:rsidR="00A64AE5" w:rsidRPr="00DA4D24">
        <w:t xml:space="preserve"> </w:t>
      </w:r>
      <w:r w:rsidR="00A64AE5" w:rsidRPr="00510CFA">
        <w:rPr>
          <w:color w:val="002060"/>
        </w:rPr>
        <w:t xml:space="preserve">Aplikační výklad je přílohou tohoto dokumentu. </w:t>
      </w:r>
    </w:p>
    <w:p w14:paraId="29859E6F" w14:textId="4D9D1B32" w:rsidR="00653998" w:rsidRPr="00DA4D24" w:rsidRDefault="00653998" w:rsidP="00941272">
      <w:pPr>
        <w:jc w:val="both"/>
        <w:rPr>
          <w:iCs/>
        </w:rPr>
      </w:pPr>
      <w:r w:rsidRPr="00DA4D24">
        <w:rPr>
          <w:iCs/>
        </w:rPr>
        <w:t>Vymezení pojmu drobný, malý a střední podnikatel (dále jen “Aplikační výklad MSP“) je určeno pro</w:t>
      </w:r>
      <w:r w:rsidR="007A7FBF">
        <w:rPr>
          <w:iCs/>
        </w:rPr>
        <w:t> </w:t>
      </w:r>
      <w:r w:rsidRPr="00DA4D24">
        <w:rPr>
          <w:iCs/>
        </w:rPr>
        <w:t>aplikaci v Doporučení 2003/361/ES ze dne 6. května 2003 týkaj</w:t>
      </w:r>
      <w:r w:rsidR="007A7FBF">
        <w:rPr>
          <w:iCs/>
        </w:rPr>
        <w:t>ící se definice mikro, malých a </w:t>
      </w:r>
      <w:r w:rsidRPr="00DA4D24">
        <w:rPr>
          <w:iCs/>
        </w:rPr>
        <w:t>středních podniků Úřední věstník EU, L 124 ze dne 20. 5. 2003, str</w:t>
      </w:r>
      <w:r w:rsidR="007A7FBF">
        <w:rPr>
          <w:iCs/>
        </w:rPr>
        <w:t>. 36-40 (dále jen Doporučení) v </w:t>
      </w:r>
      <w:r w:rsidRPr="00DA4D24">
        <w:rPr>
          <w:iCs/>
        </w:rPr>
        <w:t xml:space="preserve">podmínkách České republiky. Je zpracováno Ministerstvem </w:t>
      </w:r>
      <w:r w:rsidR="007A7FBF">
        <w:rPr>
          <w:iCs/>
        </w:rPr>
        <w:t>průmyslu a obchodu a Úřadem pro </w:t>
      </w:r>
      <w:r w:rsidRPr="00DA4D24">
        <w:rPr>
          <w:iCs/>
        </w:rPr>
        <w:t>ochranu hospodářské soutěže.</w:t>
      </w:r>
    </w:p>
    <w:p w14:paraId="061BD594" w14:textId="08284B14" w:rsidR="00266992" w:rsidRPr="00DA4D24" w:rsidRDefault="00653998" w:rsidP="00941272">
      <w:pPr>
        <w:jc w:val="both"/>
        <w:rPr>
          <w:iCs/>
        </w:rPr>
      </w:pPr>
      <w:r w:rsidRPr="00DA4D24">
        <w:rPr>
          <w:iCs/>
        </w:rPr>
        <w:t>Ve vztahu k českému překladu definice malého a středního pod</w:t>
      </w:r>
      <w:r w:rsidR="007A7FBF">
        <w:rPr>
          <w:iCs/>
        </w:rPr>
        <w:t>niku uvedené v Doporučení, je v </w:t>
      </w:r>
      <w:r w:rsidRPr="00DA4D24">
        <w:rPr>
          <w:iCs/>
        </w:rPr>
        <w:t>Aplikačním výkladu pro vymezení MSP použita tato terminologie:</w:t>
      </w:r>
    </w:p>
    <w:p w14:paraId="45FC0DD4" w14:textId="77777777" w:rsidR="00941272" w:rsidRPr="00653998" w:rsidRDefault="00941272" w:rsidP="00653998"/>
    <w:tbl>
      <w:tblPr>
        <w:tblStyle w:val="Tabulkasmkou2zvraznn5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850"/>
        <w:gridCol w:w="2557"/>
      </w:tblGrid>
      <w:tr w:rsidR="00653998" w14:paraId="45CC62DE" w14:textId="77777777" w:rsidTr="005F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DD4CA7" w14:textId="77777777" w:rsidR="00653998" w:rsidRDefault="00653998" w:rsidP="00266992">
            <w:r>
              <w:t>Aplikační výklad pro vymezení MSP</w:t>
            </w:r>
          </w:p>
        </w:tc>
        <w:tc>
          <w:tcPr>
            <w:tcW w:w="850" w:type="dxa"/>
          </w:tcPr>
          <w:p w14:paraId="68D2A438" w14:textId="77777777" w:rsidR="00653998" w:rsidRDefault="00653998" w:rsidP="00266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</w:tcPr>
          <w:p w14:paraId="73F2D46E" w14:textId="77777777" w:rsidR="00653998" w:rsidRDefault="00653998" w:rsidP="00266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3998">
              <w:t>Doporučení 2003/361/ES</w:t>
            </w:r>
          </w:p>
        </w:tc>
      </w:tr>
      <w:tr w:rsidR="00653998" w14:paraId="4E70E5B6" w14:textId="77777777" w:rsidTr="005F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F9AF7F" w14:textId="77777777" w:rsidR="00653998" w:rsidRDefault="00653998" w:rsidP="00653998">
            <w:pPr>
              <w:jc w:val="center"/>
            </w:pPr>
            <w:r>
              <w:t>Podnikatel</w:t>
            </w:r>
          </w:p>
        </w:tc>
        <w:tc>
          <w:tcPr>
            <w:tcW w:w="850" w:type="dxa"/>
          </w:tcPr>
          <w:p w14:paraId="21CE749A" w14:textId="77777777" w:rsidR="00653998" w:rsidRDefault="00653998" w:rsidP="0065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557" w:type="dxa"/>
          </w:tcPr>
          <w:p w14:paraId="085C0D24" w14:textId="77777777" w:rsidR="00653998" w:rsidRDefault="00653998" w:rsidP="0065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Podnik</w:t>
            </w:r>
          </w:p>
        </w:tc>
      </w:tr>
      <w:tr w:rsidR="00653998" w14:paraId="4E81D3E3" w14:textId="77777777" w:rsidTr="005F6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294378" w14:textId="77777777" w:rsidR="00653998" w:rsidRDefault="00653998" w:rsidP="00653998">
            <w:pPr>
              <w:jc w:val="center"/>
            </w:pPr>
            <w:r>
              <w:t>Samostatný podnikatel</w:t>
            </w:r>
          </w:p>
        </w:tc>
        <w:tc>
          <w:tcPr>
            <w:tcW w:w="850" w:type="dxa"/>
          </w:tcPr>
          <w:p w14:paraId="360E2FF5" w14:textId="77777777" w:rsidR="00653998" w:rsidRDefault="00653998" w:rsidP="0065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557" w:type="dxa"/>
          </w:tcPr>
          <w:p w14:paraId="595289EB" w14:textId="77777777" w:rsidR="00653998" w:rsidRDefault="00653998" w:rsidP="0065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Nezávislý podnik</w:t>
            </w:r>
          </w:p>
        </w:tc>
      </w:tr>
      <w:tr w:rsidR="00653998" w14:paraId="19C9D659" w14:textId="77777777" w:rsidTr="005F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AA8B4C" w14:textId="77777777" w:rsidR="00653998" w:rsidRDefault="00653998" w:rsidP="00653998">
            <w:pPr>
              <w:jc w:val="center"/>
            </w:pPr>
            <w:r>
              <w:t>Spojený podnikatel</w:t>
            </w:r>
          </w:p>
        </w:tc>
        <w:tc>
          <w:tcPr>
            <w:tcW w:w="850" w:type="dxa"/>
          </w:tcPr>
          <w:p w14:paraId="5AAEC8A9" w14:textId="77777777" w:rsidR="00653998" w:rsidRDefault="00653998" w:rsidP="0065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557" w:type="dxa"/>
          </w:tcPr>
          <w:p w14:paraId="7E54E45E" w14:textId="77777777" w:rsidR="00653998" w:rsidRDefault="00653998" w:rsidP="0065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Propojený podnik</w:t>
            </w:r>
          </w:p>
        </w:tc>
      </w:tr>
      <w:tr w:rsidR="00653998" w14:paraId="69FBF864" w14:textId="77777777" w:rsidTr="005F6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F30D2E5" w14:textId="77777777" w:rsidR="00653998" w:rsidRDefault="00653998" w:rsidP="00653998">
            <w:pPr>
              <w:jc w:val="center"/>
            </w:pPr>
            <w:r>
              <w:t>Spojený</w:t>
            </w:r>
          </w:p>
        </w:tc>
        <w:tc>
          <w:tcPr>
            <w:tcW w:w="850" w:type="dxa"/>
          </w:tcPr>
          <w:p w14:paraId="3F178EBB" w14:textId="77777777" w:rsidR="00653998" w:rsidRDefault="00653998" w:rsidP="0065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557" w:type="dxa"/>
          </w:tcPr>
          <w:p w14:paraId="05CB7960" w14:textId="77777777" w:rsidR="00653998" w:rsidRDefault="00653998" w:rsidP="0065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Propojený</w:t>
            </w:r>
          </w:p>
        </w:tc>
      </w:tr>
    </w:tbl>
    <w:p w14:paraId="5E0C0587" w14:textId="5E633E06" w:rsidR="00691478" w:rsidRDefault="00691478" w:rsidP="00691478"/>
    <w:p w14:paraId="6C30385D" w14:textId="758CF965" w:rsidR="008E3663" w:rsidRDefault="008E3663" w:rsidP="008E3663">
      <w:pPr>
        <w:jc w:val="both"/>
        <w:rPr>
          <w:iCs/>
        </w:rPr>
      </w:pPr>
      <w:r w:rsidRPr="008E3663">
        <w:rPr>
          <w:iCs/>
        </w:rPr>
        <w:t xml:space="preserve">Pro určení, zda podnikatel splňuje definici </w:t>
      </w:r>
      <w:r w:rsidRPr="008441E7">
        <w:rPr>
          <w:iCs/>
        </w:rPr>
        <w:t>MSP, lze využít</w:t>
      </w:r>
      <w:r w:rsidRPr="00510CFA">
        <w:rPr>
          <w:iCs/>
          <w:color w:val="002060"/>
        </w:rPr>
        <w:t xml:space="preserve"> Uživatelsk</w:t>
      </w:r>
      <w:r w:rsidR="007A7FBF" w:rsidRPr="00510CFA">
        <w:rPr>
          <w:iCs/>
          <w:color w:val="002060"/>
        </w:rPr>
        <w:t>ou příručku k definici malých a </w:t>
      </w:r>
      <w:r w:rsidRPr="00510CFA">
        <w:rPr>
          <w:iCs/>
          <w:color w:val="002060"/>
        </w:rPr>
        <w:t xml:space="preserve">středních podniků </w:t>
      </w:r>
      <w:r w:rsidR="000E6E83" w:rsidRPr="00510CFA">
        <w:rPr>
          <w:iCs/>
          <w:color w:val="002060"/>
        </w:rPr>
        <w:t xml:space="preserve">(viz Příloha </w:t>
      </w:r>
      <w:proofErr w:type="gramStart"/>
      <w:r w:rsidR="00DF0C7F">
        <w:rPr>
          <w:iCs/>
          <w:color w:val="002060"/>
        </w:rPr>
        <w:t>6b</w:t>
      </w:r>
      <w:proofErr w:type="gramEnd"/>
      <w:r w:rsidR="000E6E83" w:rsidRPr="00510CFA">
        <w:rPr>
          <w:iCs/>
          <w:color w:val="002060"/>
        </w:rPr>
        <w:t xml:space="preserve">) </w:t>
      </w:r>
      <w:r w:rsidRPr="008441E7">
        <w:rPr>
          <w:iCs/>
        </w:rPr>
        <w:t>vydanou Úřadem pro publikace Evropské</w:t>
      </w:r>
      <w:r w:rsidRPr="008E3663">
        <w:rPr>
          <w:iCs/>
        </w:rPr>
        <w:t xml:space="preserve"> unie. </w:t>
      </w:r>
    </w:p>
    <w:p w14:paraId="02170E18" w14:textId="48C453EF" w:rsidR="00A64AE5" w:rsidRDefault="00A64AE5" w:rsidP="008E3663">
      <w:pPr>
        <w:jc w:val="both"/>
        <w:rPr>
          <w:iCs/>
        </w:rPr>
      </w:pPr>
      <w:r>
        <w:rPr>
          <w:iCs/>
        </w:rPr>
        <w:t xml:space="preserve">Nejen Aplikační výklad MSP, ale další dokumenty k vymezení MSP a postupů pro zařazování podnikatelů do jednotlivých kategorií jsou k dispozici na odkazu: </w:t>
      </w:r>
      <w:hyperlink r:id="rId8" w:history="1">
        <w:r w:rsidRPr="00510CFA">
          <w:rPr>
            <w:rStyle w:val="Hypertextovodkaz"/>
            <w:iCs/>
            <w:color w:val="002060"/>
          </w:rPr>
          <w:t>http://www.agentura-api.org/metodika/msp/</w:t>
        </w:r>
      </w:hyperlink>
    </w:p>
    <w:p w14:paraId="52D21AE9" w14:textId="77777777" w:rsidR="00B411DC" w:rsidRPr="00266992" w:rsidRDefault="00B411DC" w:rsidP="00B411DC"/>
    <w:p w14:paraId="21BA8110" w14:textId="455D18C6" w:rsidR="00266992" w:rsidRPr="00510CFA" w:rsidRDefault="00D152C4" w:rsidP="00266992">
      <w:pPr>
        <w:pStyle w:val="Nadpis2"/>
        <w:rPr>
          <w:color w:val="002060"/>
          <w:u w:val="none"/>
        </w:rPr>
      </w:pPr>
      <w:bookmarkStart w:id="4" w:name="_Toc474486709"/>
      <w:r w:rsidRPr="00510CFA">
        <w:rPr>
          <w:color w:val="002060"/>
          <w:u w:val="none"/>
        </w:rPr>
        <w:t>2. PODPORA DE MINIMIS</w:t>
      </w:r>
      <w:bookmarkEnd w:id="4"/>
    </w:p>
    <w:p w14:paraId="0AF607D3" w14:textId="19D4544A" w:rsidR="00266992" w:rsidRDefault="00266992" w:rsidP="00DC1B61">
      <w:pPr>
        <w:jc w:val="both"/>
      </w:pPr>
      <w:r w:rsidRPr="00266992">
        <w:t xml:space="preserve">Celková výše podpory de minimis poskytnuté </w:t>
      </w:r>
      <w:r w:rsidRPr="00510CFA">
        <w:rPr>
          <w:color w:val="002060"/>
        </w:rPr>
        <w:t xml:space="preserve">jednomu podniku a s ním spojeným podnikům </w:t>
      </w:r>
      <w:r w:rsidRPr="00510CFA">
        <w:rPr>
          <w:bCs/>
          <w:color w:val="002060"/>
        </w:rPr>
        <w:t>nesmí v kterémkoli tříletém období</w:t>
      </w:r>
      <w:r w:rsidRPr="00510CFA">
        <w:rPr>
          <w:color w:val="002060"/>
        </w:rPr>
        <w:t xml:space="preserve"> </w:t>
      </w:r>
      <w:r w:rsidRPr="00266992">
        <w:t xml:space="preserve">(to znamená při sečtení podpory de minimis získané v současném daňovém období a za dvě předcházející daňová období) </w:t>
      </w:r>
      <w:r w:rsidRPr="00510CFA">
        <w:rPr>
          <w:bCs/>
          <w:color w:val="002060"/>
        </w:rPr>
        <w:t>přesáhnout částku 200 000 EUR.</w:t>
      </w:r>
      <w:r w:rsidRPr="00510CFA">
        <w:rPr>
          <w:color w:val="002060"/>
        </w:rPr>
        <w:t xml:space="preserve"> </w:t>
      </w:r>
      <w:r w:rsidRPr="00266992">
        <w:t>Tento finanční strop platí bez ohledu na formu či účel podpory de minimis poskytnuté v předchozím tříletém období. V</w:t>
      </w:r>
      <w:r w:rsidR="00DC1B61">
        <w:t>ysvětlení označení „jeden podnik = propojené podniky</w:t>
      </w:r>
      <w:r w:rsidRPr="00266992">
        <w:t>“ je uveden</w:t>
      </w:r>
      <w:r w:rsidR="00DC1B61">
        <w:t>o</w:t>
      </w:r>
      <w:r>
        <w:t xml:space="preserve"> níže.</w:t>
      </w:r>
    </w:p>
    <w:p w14:paraId="1B96E84C" w14:textId="77777777" w:rsidR="00266992" w:rsidRPr="00510CFA" w:rsidRDefault="00266992" w:rsidP="00266992">
      <w:pPr>
        <w:pStyle w:val="Nadpis3"/>
        <w:rPr>
          <w:color w:val="002060"/>
        </w:rPr>
      </w:pPr>
      <w:bookmarkStart w:id="5" w:name="_Toc474486710"/>
      <w:r w:rsidRPr="00510CFA">
        <w:rPr>
          <w:color w:val="002060"/>
        </w:rPr>
        <w:lastRenderedPageBreak/>
        <w:t>Jeden podnik</w:t>
      </w:r>
      <w:bookmarkEnd w:id="5"/>
    </w:p>
    <w:p w14:paraId="075A5965" w14:textId="0CB6BF11" w:rsidR="00266992" w:rsidRDefault="00266992" w:rsidP="00266992">
      <w:r w:rsidRPr="00510CFA">
        <w:rPr>
          <w:color w:val="002060"/>
        </w:rPr>
        <w:t xml:space="preserve">Jeden podnik </w:t>
      </w:r>
      <w:r w:rsidRPr="00266992">
        <w:t>pro účely tohoto nařízení zahrnuje veškeré subjekty, které mezi sebou mají alespoň jeden z následujících vztahů</w:t>
      </w:r>
      <w:r>
        <w:t xml:space="preserve">, </w:t>
      </w:r>
      <w:r w:rsidRPr="00266992">
        <w:t>uvedených v definici jednoho podniku viz čl. 2, odst. 2 Nařízení Komise (EU) č. 1407/2013 o podpoře de minimis</w:t>
      </w:r>
      <w:r>
        <w:t>.</w:t>
      </w:r>
    </w:p>
    <w:p w14:paraId="30242A7E" w14:textId="77777777" w:rsidR="00266992" w:rsidRPr="00266992" w:rsidRDefault="00266992" w:rsidP="00266992">
      <w:r w:rsidRPr="00266992">
        <w:t>Čl. 2, odst. 2 Nařízení č. 1407/2013</w:t>
      </w:r>
      <w:r>
        <w:t>:</w:t>
      </w:r>
      <w:r w:rsidRPr="00266992">
        <w:t xml:space="preserve">  </w:t>
      </w:r>
    </w:p>
    <w:p w14:paraId="767F0374" w14:textId="77777777" w:rsidR="00266992" w:rsidRPr="00266992" w:rsidRDefault="00266992" w:rsidP="00266992">
      <w:pPr>
        <w:numPr>
          <w:ilvl w:val="0"/>
          <w:numId w:val="2"/>
        </w:numPr>
      </w:pPr>
      <w:r w:rsidRPr="00266992">
        <w:t>jeden subjekt vlastní většinu hlasovacích práv</w:t>
      </w:r>
      <w:r>
        <w:t xml:space="preserve"> (více než 50 %)</w:t>
      </w:r>
      <w:r w:rsidRPr="00266992">
        <w:t xml:space="preserve">, která náležejí akcionářům nebo společníkům, v jiném subjektu;  </w:t>
      </w:r>
    </w:p>
    <w:p w14:paraId="01B477A0" w14:textId="77777777" w:rsidR="00266992" w:rsidRPr="00266992" w:rsidRDefault="00266992" w:rsidP="00266992">
      <w:pPr>
        <w:numPr>
          <w:ilvl w:val="0"/>
          <w:numId w:val="2"/>
        </w:numPr>
      </w:pPr>
      <w:r w:rsidRPr="00266992">
        <w:t xml:space="preserve">jeden subjekt má právo jmenovat nebo odvolat většinu </w:t>
      </w:r>
      <w:r>
        <w:t xml:space="preserve">(více než 50 %) </w:t>
      </w:r>
      <w:r w:rsidRPr="00266992">
        <w:t xml:space="preserve">členů správního, řídícího nebo dozorčího orgánu jiného subjektu;  </w:t>
      </w:r>
    </w:p>
    <w:p w14:paraId="035DD99E" w14:textId="77777777" w:rsidR="00266992" w:rsidRDefault="00266992" w:rsidP="00266992">
      <w:pPr>
        <w:numPr>
          <w:ilvl w:val="0"/>
          <w:numId w:val="2"/>
        </w:numPr>
      </w:pPr>
      <w:r w:rsidRPr="00266992">
        <w:t xml:space="preserve">jeden subjekt má právo uplatňovat rozhodující </w:t>
      </w:r>
      <w:r w:rsidR="00653998">
        <w:t xml:space="preserve">(více než 50%) </w:t>
      </w:r>
      <w:r w:rsidRPr="00266992">
        <w:t>vliv v jiném subjektu podle smlouvy uzavřené s daným subjektem nebo dle ustanovení v zakladatelské smlouvě nebo ve stanovách tohoto subjektu;</w:t>
      </w:r>
    </w:p>
    <w:p w14:paraId="4272477C" w14:textId="77777777" w:rsidR="00266992" w:rsidRDefault="00266992" w:rsidP="00266992">
      <w:pPr>
        <w:numPr>
          <w:ilvl w:val="0"/>
          <w:numId w:val="2"/>
        </w:numPr>
      </w:pPr>
      <w:r w:rsidRPr="00266992">
        <w:t xml:space="preserve">jeden subjekt, který je akcionářem nebo společníkem jiného subjektu, ovládá sám, v souladu s dohodou uzavřenou s jinými akcionáři nebo společníky daného subjektu, většinu </w:t>
      </w:r>
      <w:r w:rsidR="00653998">
        <w:t xml:space="preserve">(více než 50 %) </w:t>
      </w:r>
      <w:r w:rsidRPr="00266992">
        <w:t xml:space="preserve">hlasovacích práv, náležejících akcionářům nebo společníkům, v daném subjektu. </w:t>
      </w:r>
    </w:p>
    <w:p w14:paraId="352D3CA6" w14:textId="77777777" w:rsidR="00266992" w:rsidRPr="00DC1B61" w:rsidRDefault="00266992" w:rsidP="00DC1B61">
      <w:pPr>
        <w:jc w:val="both"/>
        <w:rPr>
          <w:bCs/>
        </w:rPr>
      </w:pPr>
      <w:r w:rsidRPr="00DC1B61">
        <w:rPr>
          <w:bCs/>
        </w:rPr>
        <w:t>Subjekty, které mají jakýkoli vztah uvedený v prvním pododstavci písm. a) až d) prostřednictvím jednoho nebo více subjektů, jsou také považovány za jeden podnik.</w:t>
      </w:r>
    </w:p>
    <w:p w14:paraId="237C8A57" w14:textId="747E5FFB" w:rsidR="00266992" w:rsidRDefault="00653998" w:rsidP="00DC1B61">
      <w:pPr>
        <w:jc w:val="both"/>
        <w:rPr>
          <w:bCs/>
        </w:rPr>
      </w:pPr>
      <w:r w:rsidRPr="00DC1B61">
        <w:rPr>
          <w:bCs/>
        </w:rPr>
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</w:r>
    </w:p>
    <w:p w14:paraId="40CEA92D" w14:textId="3D078B3A" w:rsidR="00DC1B61" w:rsidRPr="008441E7" w:rsidRDefault="00DC1B61" w:rsidP="00DC1B61">
      <w:pPr>
        <w:jc w:val="both"/>
        <w:rPr>
          <w:bCs/>
          <w:color w:val="0070C0"/>
        </w:rPr>
      </w:pPr>
      <w:r w:rsidRPr="00DC1B61">
        <w:rPr>
          <w:bCs/>
        </w:rPr>
        <w:t>Pod pojmem „jeden podnik“ se rozumí pouze propojení dvou či více subjektů v rámci jednoho členského státu. Tedy nezohledňují se mateřské anebo dceřiné společnosti sídlící v zahraničí.</w:t>
      </w:r>
      <w:r>
        <w:rPr>
          <w:b/>
          <w:bCs/>
        </w:rPr>
        <w:t xml:space="preserve"> </w:t>
      </w:r>
      <w:r w:rsidRPr="00510CFA">
        <w:rPr>
          <w:color w:val="002060"/>
        </w:rPr>
        <w:t>Propojenost podniků se sleduje pouze u podniků sídlících na území stejného členského státu, tj. pouze na území ČR.</w:t>
      </w:r>
    </w:p>
    <w:p w14:paraId="33CAAAAF" w14:textId="07E6FB77" w:rsidR="00DC1B61" w:rsidRPr="00DC1B61" w:rsidRDefault="00DC1B61" w:rsidP="00DC1B61">
      <w:pPr>
        <w:jc w:val="both"/>
      </w:pPr>
      <w:r w:rsidRPr="00DC1B61">
        <w:rPr>
          <w:bCs/>
        </w:rPr>
        <w:t xml:space="preserve">Pravidla státní podpory včetně Nařízení č. 1407/2013 se použijí pouze na podniky. Podnik je vymezen jako jakýkoli subjekt vykonávající hospodářskou činnost nezávisle na právním postavení tohoto subjektu a způsobu jeho financování. </w:t>
      </w:r>
      <w:r w:rsidRPr="00510CFA">
        <w:rPr>
          <w:bCs/>
          <w:color w:val="002060"/>
        </w:rPr>
        <w:t>Tímto subjektem může být fyzická i právnická osoba, která však musí vykonávat hospodářskou činnost,</w:t>
      </w:r>
      <w:r w:rsidRPr="008441E7">
        <w:rPr>
          <w:bCs/>
          <w:color w:val="0070C0"/>
        </w:rPr>
        <w:t xml:space="preserve"> </w:t>
      </w:r>
      <w:r w:rsidRPr="00DC1B61">
        <w:rPr>
          <w:bCs/>
        </w:rPr>
        <w:t>tj. nabízet na určitém trhu zboží či služby. Odpověď na otázku závisí na tom, zdali daná fyzická osoba vykonává hospodářskou činnost, a tedy naplňuje znaky podniku, či nikoli. Je-li tomu tak, pak subjekty, jež tato fyzická osoba vykonávající hospodářskou činnost ovládá, budou pokládány za „jeden podnik“. Pokud fyzická osoba nevykonává hospodářskou činnost a pouze drží podíly či akcie v určitém subjektu, nejedná se zpravidla o výkon hospodářské činnosti, a proto subjekty nejsou považovány za „propojené podniky“.</w:t>
      </w:r>
    </w:p>
    <w:p w14:paraId="7548B270" w14:textId="67CC6F60" w:rsidR="00266992" w:rsidRPr="000E6E83" w:rsidRDefault="00DC1B61">
      <w:r>
        <w:t>Konkrétní příklady propojených podniků naleznete v </w:t>
      </w:r>
      <w:hyperlink r:id="rId9" w:history="1">
        <w:r w:rsidRPr="00510CFA">
          <w:rPr>
            <w:rStyle w:val="Hypertextovodkaz"/>
            <w:b/>
            <w:color w:val="002060"/>
          </w:rPr>
          <w:t>Metodické příručce k aplikaci pojmu „jeden podnik“ z pohl</w:t>
        </w:r>
        <w:r w:rsidR="008441E7" w:rsidRPr="00510CFA">
          <w:rPr>
            <w:rStyle w:val="Hypertextovodkaz"/>
            <w:b/>
            <w:color w:val="002060"/>
          </w:rPr>
          <w:t>edu pravidel podpory de minimis</w:t>
        </w:r>
      </w:hyperlink>
      <w:r w:rsidR="008441E7" w:rsidRPr="00510CFA">
        <w:rPr>
          <w:b/>
          <w:color w:val="002060"/>
        </w:rPr>
        <w:t>.</w:t>
      </w:r>
    </w:p>
    <w:p w14:paraId="3FE8D3EB" w14:textId="3182D024" w:rsidR="00DC1B61" w:rsidRDefault="00DC1B61"/>
    <w:p w14:paraId="0277D058" w14:textId="77777777" w:rsidR="00F63A75" w:rsidRDefault="00F63A75"/>
    <w:p w14:paraId="00F25DEA" w14:textId="42733122" w:rsidR="00266992" w:rsidRPr="00510CFA" w:rsidRDefault="00D152C4" w:rsidP="00266992">
      <w:pPr>
        <w:pStyle w:val="Nadpis2"/>
        <w:rPr>
          <w:color w:val="002060"/>
          <w:u w:val="none"/>
        </w:rPr>
      </w:pPr>
      <w:bookmarkStart w:id="6" w:name="_Toc474486711"/>
      <w:r w:rsidRPr="00510CFA">
        <w:rPr>
          <w:color w:val="002060"/>
          <w:u w:val="none"/>
        </w:rPr>
        <w:lastRenderedPageBreak/>
        <w:t>3. PODNIK V OBTÍŽÍCH</w:t>
      </w:r>
      <w:bookmarkEnd w:id="6"/>
    </w:p>
    <w:p w14:paraId="29971058" w14:textId="77777777" w:rsidR="00F63A75" w:rsidRPr="00F63A75" w:rsidRDefault="00F63A75" w:rsidP="00F63A75">
      <w:pPr>
        <w:rPr>
          <w:rFonts w:eastAsia="Times New Roman" w:cs="Times New Roman"/>
        </w:rPr>
      </w:pPr>
      <w:r w:rsidRPr="00F63A75">
        <w:rPr>
          <w:rFonts w:eastAsia="Times New Roman" w:cs="Times New Roman"/>
        </w:rPr>
        <w:t xml:space="preserve">Podnikem v obtížích (dle Nařízení Komise (ES) č. 651/2014). </w:t>
      </w:r>
    </w:p>
    <w:p w14:paraId="235AC355" w14:textId="77777777" w:rsidR="00F63A75" w:rsidRPr="00F63A75" w:rsidRDefault="00F63A75" w:rsidP="00F63A75">
      <w:pPr>
        <w:rPr>
          <w:rFonts w:eastAsia="Times New Roman" w:cs="Times New Roman"/>
        </w:rPr>
      </w:pPr>
      <w:r w:rsidRPr="00F63A75">
        <w:rPr>
          <w:rFonts w:eastAsia="Times New Roman" w:cs="Times New Roman"/>
        </w:rPr>
        <w:t>Malý a střední podnik se považuje za podnik v obtížích, pokud splňuje tyto podmínky</w:t>
      </w:r>
    </w:p>
    <w:p w14:paraId="6C0452AB" w14:textId="77777777" w:rsidR="00F63A75" w:rsidRPr="00F63A75" w:rsidRDefault="00F63A75" w:rsidP="00F63A75">
      <w:pPr>
        <w:numPr>
          <w:ilvl w:val="0"/>
          <w:numId w:val="1"/>
        </w:numPr>
        <w:rPr>
          <w:rFonts w:eastAsia="Times New Roman" w:cs="Times New Roman"/>
        </w:rPr>
      </w:pPr>
      <w:r w:rsidRPr="00F63A75">
        <w:rPr>
          <w:rFonts w:eastAsia="Times New Roman" w:cs="Times New Roman"/>
        </w:rPr>
        <w:t>v případě společnosti s ručením omezeným, kde došlo ke ztrátě více než poloviny základního kapitálu a kde ke ztrátě více než jedné čtvrtiny tohoto kapitálu došlo za posledních 12 měsíců, nebo</w:t>
      </w:r>
    </w:p>
    <w:p w14:paraId="7CE44C33" w14:textId="77777777" w:rsidR="00F63A75" w:rsidRPr="00F63A75" w:rsidRDefault="00F63A75" w:rsidP="00F63A75">
      <w:pPr>
        <w:numPr>
          <w:ilvl w:val="0"/>
          <w:numId w:val="1"/>
        </w:numPr>
        <w:rPr>
          <w:rFonts w:eastAsia="Times New Roman" w:cs="Times New Roman"/>
        </w:rPr>
      </w:pPr>
      <w:r w:rsidRPr="00F63A75">
        <w:rPr>
          <w:rFonts w:eastAsia="Times New Roman" w:cs="Times New Roman"/>
        </w:rPr>
        <w:t xml:space="preserve">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měsíců, nebo </w:t>
      </w:r>
    </w:p>
    <w:p w14:paraId="5D4C37E3" w14:textId="77777777" w:rsidR="00F63A75" w:rsidRPr="00F63A75" w:rsidRDefault="00F63A75" w:rsidP="00F63A75">
      <w:pPr>
        <w:numPr>
          <w:ilvl w:val="0"/>
          <w:numId w:val="1"/>
        </w:numPr>
        <w:rPr>
          <w:rFonts w:eastAsia="Times New Roman" w:cs="Times New Roman"/>
        </w:rPr>
      </w:pPr>
      <w:r w:rsidRPr="00F63A75">
        <w:rPr>
          <w:rFonts w:eastAsia="Times New Roman" w:cs="Times New Roman"/>
        </w:rPr>
        <w:t xml:space="preserve">kde nehledě na to, o jaký typ společnosti se jedná, podnik splňuje podmínky insolvenčního zákona (182/2006 Sb., o úpadku a způsobech jeho řešení) pro zahájení kolektivního úpadkového řízení. </w:t>
      </w:r>
    </w:p>
    <w:p w14:paraId="5008E6F1" w14:textId="77777777" w:rsidR="00F63A75" w:rsidRPr="00F63A75" w:rsidRDefault="00F63A75" w:rsidP="00F63A75">
      <w:pPr>
        <w:rPr>
          <w:rFonts w:eastAsia="Times New Roman" w:cs="Times New Roman"/>
          <w:i/>
        </w:rPr>
      </w:pPr>
      <w:r w:rsidRPr="00F63A75">
        <w:rPr>
          <w:rFonts w:eastAsia="Times New Roman" w:cs="Times New Roman"/>
          <w:i/>
        </w:rPr>
        <w:t xml:space="preserve">Malý nebo střední podnik, </w:t>
      </w:r>
      <w:r w:rsidRPr="00F63A75">
        <w:rPr>
          <w:rFonts w:eastAsia="Times New Roman" w:cs="Times New Roman"/>
          <w:i/>
          <w:u w:val="single"/>
        </w:rPr>
        <w:t>který existuje méně než tři roky</w:t>
      </w:r>
      <w:r w:rsidRPr="00F63A75">
        <w:rPr>
          <w:rFonts w:eastAsia="Times New Roman" w:cs="Times New Roman"/>
          <w:i/>
        </w:rPr>
        <w:t xml:space="preserve">, se po uvedenou dobu považuje za podnik v obtížích </w:t>
      </w:r>
      <w:r w:rsidRPr="00F63A75">
        <w:rPr>
          <w:rFonts w:eastAsia="Times New Roman" w:cs="Times New Roman"/>
          <w:i/>
          <w:u w:val="single"/>
        </w:rPr>
        <w:t>pouze tehdy, pokud splňuje podmínky stanovené v písm. c)</w:t>
      </w:r>
      <w:r w:rsidRPr="00F63A75">
        <w:rPr>
          <w:rFonts w:eastAsia="Times New Roman" w:cs="Times New Roman"/>
          <w:i/>
        </w:rPr>
        <w:t>.</w:t>
      </w:r>
    </w:p>
    <w:p w14:paraId="5E505B15" w14:textId="77777777" w:rsidR="00266992" w:rsidRDefault="00266992"/>
    <w:p w14:paraId="121A41A1" w14:textId="2F3966E1" w:rsidR="002D11BC" w:rsidRPr="00510CFA" w:rsidRDefault="008B50CB" w:rsidP="008B50CB">
      <w:pPr>
        <w:pStyle w:val="Nadpis2"/>
        <w:rPr>
          <w:color w:val="002060"/>
          <w:u w:val="none"/>
        </w:rPr>
      </w:pPr>
      <w:bookmarkStart w:id="7" w:name="_Toc474486712"/>
      <w:r w:rsidRPr="00510CFA">
        <w:rPr>
          <w:color w:val="002060"/>
          <w:u w:val="none"/>
        </w:rPr>
        <w:t>4. ELEKTRONICKÝ PODPIS</w:t>
      </w:r>
      <w:bookmarkEnd w:id="7"/>
    </w:p>
    <w:p w14:paraId="135FC85C" w14:textId="3CFE368F" w:rsidR="00C42B7E" w:rsidRPr="008B50CB" w:rsidRDefault="00501E06" w:rsidP="008B50CB">
      <w:hyperlink r:id="rId10" w:history="1">
        <w:r w:rsidR="00C42B7E" w:rsidRPr="00510CFA">
          <w:rPr>
            <w:rStyle w:val="Hypertextovodkaz"/>
            <w:color w:val="002060"/>
          </w:rPr>
          <w:t xml:space="preserve">Dokument Pravidla pro Žadatele a Příjemce z OP </w:t>
        </w:r>
        <w:r w:rsidR="009E6C6F" w:rsidRPr="00510CFA">
          <w:rPr>
            <w:rStyle w:val="Hypertextovodkaz"/>
            <w:color w:val="002060"/>
          </w:rPr>
          <w:t xml:space="preserve">PIK - </w:t>
        </w:r>
        <w:r w:rsidR="00C42B7E" w:rsidRPr="00510CFA">
          <w:rPr>
            <w:rStyle w:val="Hypertextovodkaz"/>
            <w:color w:val="002060"/>
          </w:rPr>
          <w:t>obecná část</w:t>
        </w:r>
      </w:hyperlink>
      <w:r w:rsidR="009E6C6F" w:rsidRPr="00510CFA">
        <w:rPr>
          <w:color w:val="002060"/>
        </w:rPr>
        <w:t xml:space="preserve">, </w:t>
      </w:r>
      <w:r w:rsidR="009E6C6F">
        <w:t>kapitola č. 1.6</w:t>
      </w:r>
      <w:r w:rsidR="00C42B7E">
        <w:t xml:space="preserve"> </w:t>
      </w:r>
      <w:r w:rsidR="009E6C6F">
        <w:t>obsahuje postup jak a</w:t>
      </w:r>
      <w:r w:rsidR="001A1F5E">
        <w:t xml:space="preserve"> kde získat elektronický podpis (</w:t>
      </w:r>
      <w:hyperlink r:id="rId11" w:history="1">
        <w:r w:rsidR="001A1F5E" w:rsidRPr="00510CFA">
          <w:rPr>
            <w:rStyle w:val="Hypertextovodkaz"/>
            <w:color w:val="002060"/>
          </w:rPr>
          <w:t>http://www.agentura-api.org/metodika/</w:t>
        </w:r>
      </w:hyperlink>
      <w:r w:rsidR="001A1F5E">
        <w:t>)</w:t>
      </w:r>
    </w:p>
    <w:p w14:paraId="502B5870" w14:textId="40CCB677" w:rsidR="00755753" w:rsidRDefault="00755753" w:rsidP="009E6C6F">
      <w:pPr>
        <w:jc w:val="both"/>
      </w:pPr>
    </w:p>
    <w:p w14:paraId="578F87EE" w14:textId="41D6DFB0" w:rsidR="006D4EAD" w:rsidRPr="00510CFA" w:rsidRDefault="008B50CB" w:rsidP="00A1348A">
      <w:pPr>
        <w:pStyle w:val="Nadpis2"/>
        <w:rPr>
          <w:color w:val="002060"/>
          <w:u w:val="none"/>
        </w:rPr>
      </w:pPr>
      <w:bookmarkStart w:id="8" w:name="_Toc474486713"/>
      <w:r w:rsidRPr="00510CFA">
        <w:rPr>
          <w:color w:val="002060"/>
          <w:u w:val="none"/>
        </w:rPr>
        <w:t>5</w:t>
      </w:r>
      <w:r w:rsidR="00D152C4" w:rsidRPr="00510CFA">
        <w:rPr>
          <w:color w:val="002060"/>
          <w:u w:val="none"/>
        </w:rPr>
        <w:t>.</w:t>
      </w:r>
      <w:r w:rsidR="006D4EAD" w:rsidRPr="00510CFA">
        <w:rPr>
          <w:color w:val="002060"/>
          <w:u w:val="none"/>
        </w:rPr>
        <w:t xml:space="preserve"> ÚROVNĚ TECHNOLOGICKÉ PŘIPRAVENOSTI (TRL)</w:t>
      </w:r>
      <w:bookmarkEnd w:id="8"/>
    </w:p>
    <w:p w14:paraId="1419523D" w14:textId="56F026F7" w:rsidR="006D4EAD" w:rsidRDefault="006D4EAD" w:rsidP="006D4EAD">
      <w:r>
        <w:t xml:space="preserve">Produkt žadatele musí splňovat </w:t>
      </w:r>
      <w:r w:rsidRPr="006D4EAD">
        <w:t>minimálně vývojov</w:t>
      </w:r>
      <w:r>
        <w:t>ou</w:t>
      </w:r>
      <w:r w:rsidRPr="006D4EAD">
        <w:t xml:space="preserve"> fázi TRL 4 dle Úrovní technologické připravenosti (TRL)</w:t>
      </w:r>
      <w:r>
        <w:t xml:space="preserve"> viz tabulka. </w:t>
      </w:r>
    </w:p>
    <w:tbl>
      <w:tblPr>
        <w:tblStyle w:val="Svtltabulkasmkou1zvraznn5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5954"/>
      </w:tblGrid>
      <w:tr w:rsidR="006D4EAD" w14:paraId="2BA7B3F0" w14:textId="77777777" w:rsidTr="00B7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shd w:val="clear" w:color="auto" w:fill="BDD6EE" w:themeFill="accent1" w:themeFillTint="66"/>
          </w:tcPr>
          <w:p w14:paraId="2DD0505C" w14:textId="37BE8865" w:rsidR="006D4EAD" w:rsidRPr="009C3C65" w:rsidRDefault="00E53632" w:rsidP="00B759FC">
            <w:pPr>
              <w:jc w:val="center"/>
            </w:pPr>
            <w:r w:rsidRPr="009C3C65">
              <w:t>Úrovně technologické připravenosti (TRL)</w:t>
            </w:r>
          </w:p>
        </w:tc>
      </w:tr>
      <w:tr w:rsidR="00E53632" w14:paraId="4AE52FB8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AEC1D9" w14:textId="08AE696F" w:rsidR="00E53632" w:rsidRPr="009C3C65" w:rsidRDefault="00E53632" w:rsidP="00E53632">
            <w:r w:rsidRPr="009C3C65">
              <w:t>TRL O</w:t>
            </w:r>
          </w:p>
        </w:tc>
        <w:tc>
          <w:tcPr>
            <w:tcW w:w="2551" w:type="dxa"/>
          </w:tcPr>
          <w:p w14:paraId="5A4F7C7E" w14:textId="260F8B70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Nápad</w:t>
            </w:r>
          </w:p>
        </w:tc>
        <w:tc>
          <w:tcPr>
            <w:tcW w:w="5954" w:type="dxa"/>
          </w:tcPr>
          <w:p w14:paraId="3667E5BC" w14:textId="3D64FF6F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Neověřený koncept, neproběhlo žádné testování</w:t>
            </w:r>
          </w:p>
        </w:tc>
      </w:tr>
      <w:tr w:rsidR="00E53632" w14:paraId="2C521DBE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647830" w14:textId="66A8248E" w:rsidR="00E53632" w:rsidRPr="009C3C65" w:rsidRDefault="00E53632" w:rsidP="00E53632">
            <w:r w:rsidRPr="009C3C65">
              <w:t>TRL 1</w:t>
            </w:r>
          </w:p>
        </w:tc>
        <w:tc>
          <w:tcPr>
            <w:tcW w:w="2551" w:type="dxa"/>
          </w:tcPr>
          <w:p w14:paraId="0A63BB2F" w14:textId="5B8F569E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 xml:space="preserve">Základní výzkum </w:t>
            </w:r>
          </w:p>
        </w:tc>
        <w:tc>
          <w:tcPr>
            <w:tcW w:w="5954" w:type="dxa"/>
          </w:tcPr>
          <w:p w14:paraId="2F10A336" w14:textId="24FACEFB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Popsání nějakého jevu na základní úrovni</w:t>
            </w:r>
          </w:p>
        </w:tc>
      </w:tr>
      <w:tr w:rsidR="00E53632" w14:paraId="6AF61B73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4BD4AB" w14:textId="44E33605" w:rsidR="00E53632" w:rsidRPr="009C3C65" w:rsidRDefault="00E53632" w:rsidP="00E53632">
            <w:r w:rsidRPr="009C3C65">
              <w:t>TRL 2</w:t>
            </w:r>
          </w:p>
        </w:tc>
        <w:tc>
          <w:tcPr>
            <w:tcW w:w="2551" w:type="dxa"/>
          </w:tcPr>
          <w:p w14:paraId="292A8B60" w14:textId="5B9C388E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Technologická formulace</w:t>
            </w:r>
          </w:p>
        </w:tc>
        <w:tc>
          <w:tcPr>
            <w:tcW w:w="5954" w:type="dxa"/>
          </w:tcPr>
          <w:p w14:paraId="6031A0E3" w14:textId="13327827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Vypracování technologického záměru</w:t>
            </w:r>
          </w:p>
        </w:tc>
      </w:tr>
      <w:tr w:rsidR="00E53632" w14:paraId="2DEADAAE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87F5B2" w14:textId="12383E79" w:rsidR="00E53632" w:rsidRPr="009C3C65" w:rsidRDefault="00E53632" w:rsidP="00E53632">
            <w:r w:rsidRPr="009C3C65">
              <w:t>TRL 3</w:t>
            </w:r>
          </w:p>
        </w:tc>
        <w:tc>
          <w:tcPr>
            <w:tcW w:w="2551" w:type="dxa"/>
          </w:tcPr>
          <w:p w14:paraId="40E9B5A9" w14:textId="12C15451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Aplikovaný výzkum</w:t>
            </w:r>
          </w:p>
        </w:tc>
        <w:tc>
          <w:tcPr>
            <w:tcW w:w="5954" w:type="dxa"/>
          </w:tcPr>
          <w:p w14:paraId="60EAE1F2" w14:textId="1DCC6F49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Experimentální ověření schůdnosti záměru</w:t>
            </w:r>
          </w:p>
        </w:tc>
      </w:tr>
      <w:tr w:rsidR="00E53632" w14:paraId="6513B5E5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D40FEB" w14:textId="46D5FE6A" w:rsidR="00E53632" w:rsidRPr="009C3C65" w:rsidRDefault="00E53632" w:rsidP="00E53632">
            <w:r w:rsidRPr="009C3C65">
              <w:t>TRL 4</w:t>
            </w:r>
          </w:p>
        </w:tc>
        <w:tc>
          <w:tcPr>
            <w:tcW w:w="2551" w:type="dxa"/>
          </w:tcPr>
          <w:p w14:paraId="53736184" w14:textId="1A8DF982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Prototyp malého rozsahu</w:t>
            </w:r>
          </w:p>
        </w:tc>
        <w:tc>
          <w:tcPr>
            <w:tcW w:w="5954" w:type="dxa"/>
          </w:tcPr>
          <w:p w14:paraId="0C70F92C" w14:textId="53A9B143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Ověření záměru na laboratorní úrovni</w:t>
            </w:r>
          </w:p>
        </w:tc>
      </w:tr>
      <w:tr w:rsidR="00E53632" w14:paraId="4B0D4A14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35F2C6" w14:textId="30024AA8" w:rsidR="00E53632" w:rsidRPr="009C3C65" w:rsidRDefault="00E53632" w:rsidP="00E53632">
            <w:r w:rsidRPr="009C3C65">
              <w:t>TRL 5</w:t>
            </w:r>
          </w:p>
        </w:tc>
        <w:tc>
          <w:tcPr>
            <w:tcW w:w="2551" w:type="dxa"/>
          </w:tcPr>
          <w:p w14:paraId="70AF74F0" w14:textId="62F6D769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Prototyp velkého rozsahu</w:t>
            </w:r>
          </w:p>
        </w:tc>
        <w:tc>
          <w:tcPr>
            <w:tcW w:w="5954" w:type="dxa"/>
          </w:tcPr>
          <w:p w14:paraId="16260151" w14:textId="32B2C2D1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Ověření technologie na úrovni laboratorního prototypu v modelovém prostředí</w:t>
            </w:r>
          </w:p>
        </w:tc>
      </w:tr>
      <w:tr w:rsidR="00E53632" w14:paraId="7856A482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FD04F" w14:textId="0EE8A671" w:rsidR="00E53632" w:rsidRPr="009C3C65" w:rsidRDefault="00E53632" w:rsidP="00E53632">
            <w:r w:rsidRPr="009C3C65">
              <w:t>TRL 6</w:t>
            </w:r>
          </w:p>
        </w:tc>
        <w:tc>
          <w:tcPr>
            <w:tcW w:w="2551" w:type="dxa"/>
          </w:tcPr>
          <w:p w14:paraId="404747E2" w14:textId="0E4600B7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>Prototypový systém</w:t>
            </w:r>
          </w:p>
        </w:tc>
        <w:tc>
          <w:tcPr>
            <w:tcW w:w="5954" w:type="dxa"/>
          </w:tcPr>
          <w:p w14:paraId="099D7322" w14:textId="2E9620C8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Funkce technologie prokázána ve skutečném prostředí</w:t>
            </w:r>
          </w:p>
        </w:tc>
      </w:tr>
      <w:tr w:rsidR="00E53632" w14:paraId="5168D8A4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F2022B" w14:textId="50746A41" w:rsidR="00E53632" w:rsidRPr="009C3C65" w:rsidRDefault="00E53632" w:rsidP="00E53632">
            <w:r w:rsidRPr="009C3C65">
              <w:t>TRL 7</w:t>
            </w:r>
          </w:p>
        </w:tc>
        <w:tc>
          <w:tcPr>
            <w:tcW w:w="2551" w:type="dxa"/>
          </w:tcPr>
          <w:p w14:paraId="1549F7AD" w14:textId="1D1D1209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 xml:space="preserve">Vzorový systém </w:t>
            </w:r>
          </w:p>
        </w:tc>
        <w:tc>
          <w:tcPr>
            <w:tcW w:w="5954" w:type="dxa"/>
          </w:tcPr>
          <w:p w14:paraId="51AF6956" w14:textId="7F49B59D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Provoz technologie ve skutečných souvislostech a prostředí</w:t>
            </w:r>
          </w:p>
        </w:tc>
      </w:tr>
      <w:tr w:rsidR="00E53632" w14:paraId="4BE1545A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4BE199" w14:textId="49C939C7" w:rsidR="00E53632" w:rsidRPr="009C3C65" w:rsidRDefault="00E53632" w:rsidP="00E53632">
            <w:r w:rsidRPr="009C3C65">
              <w:t>TRL 8</w:t>
            </w:r>
          </w:p>
        </w:tc>
        <w:tc>
          <w:tcPr>
            <w:tcW w:w="2551" w:type="dxa"/>
          </w:tcPr>
          <w:p w14:paraId="001A7225" w14:textId="47BA56F1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 xml:space="preserve">První komerční systém </w:t>
            </w:r>
          </w:p>
        </w:tc>
        <w:tc>
          <w:tcPr>
            <w:tcW w:w="5954" w:type="dxa"/>
          </w:tcPr>
          <w:p w14:paraId="11999477" w14:textId="52A6389C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68B">
              <w:t>Kompletní systém připravený pro výrobu</w:t>
            </w:r>
          </w:p>
        </w:tc>
      </w:tr>
      <w:tr w:rsidR="00E53632" w14:paraId="3A513E89" w14:textId="77777777" w:rsidTr="00B75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6DCE9B" w14:textId="4DD6A970" w:rsidR="00E53632" w:rsidRPr="009C3C65" w:rsidRDefault="00E53632" w:rsidP="00E53632">
            <w:r w:rsidRPr="009C3C65">
              <w:t>TRL 9</w:t>
            </w:r>
          </w:p>
        </w:tc>
        <w:tc>
          <w:tcPr>
            <w:tcW w:w="2551" w:type="dxa"/>
          </w:tcPr>
          <w:p w14:paraId="759BC80D" w14:textId="3F2F15B0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 xml:space="preserve">Plné komerční nasazení </w:t>
            </w:r>
          </w:p>
        </w:tc>
        <w:tc>
          <w:tcPr>
            <w:tcW w:w="5954" w:type="dxa"/>
          </w:tcPr>
          <w:p w14:paraId="7456A051" w14:textId="0C5FDF47" w:rsidR="00E53632" w:rsidRPr="009C3C65" w:rsidRDefault="00E53632" w:rsidP="00E5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C65">
              <w:t xml:space="preserve">Technologie dostupná zákazníkům </w:t>
            </w:r>
          </w:p>
        </w:tc>
      </w:tr>
    </w:tbl>
    <w:p w14:paraId="7430755D" w14:textId="7969E546" w:rsidR="006D4EAD" w:rsidRDefault="006D4EAD" w:rsidP="006D4EAD"/>
    <w:p w14:paraId="6E8DABB5" w14:textId="77777777" w:rsidR="00E53632" w:rsidRPr="006D4EAD" w:rsidRDefault="00E53632" w:rsidP="006D4EAD"/>
    <w:p w14:paraId="4BC32924" w14:textId="15F1106E" w:rsidR="00F124D1" w:rsidRDefault="006D4EAD" w:rsidP="00A1348A">
      <w:pPr>
        <w:pStyle w:val="Nadpis2"/>
        <w:rPr>
          <w:u w:val="none"/>
        </w:rPr>
      </w:pPr>
      <w:bookmarkStart w:id="9" w:name="_Toc474486714"/>
      <w:r>
        <w:rPr>
          <w:u w:val="none"/>
        </w:rPr>
        <w:lastRenderedPageBreak/>
        <w:t>6.</w:t>
      </w:r>
      <w:r w:rsidR="00D152C4" w:rsidRPr="00D152C4">
        <w:rPr>
          <w:u w:val="none"/>
        </w:rPr>
        <w:t xml:space="preserve"> PŘÍLOHY</w:t>
      </w:r>
      <w:bookmarkEnd w:id="9"/>
    </w:p>
    <w:p w14:paraId="32FA7A0B" w14:textId="7059D06F" w:rsidR="00BB63FB" w:rsidRDefault="00BB63FB" w:rsidP="0009510E">
      <w:r>
        <w:t xml:space="preserve">Příloha č. </w:t>
      </w:r>
      <w:r w:rsidR="0027426C">
        <w:t>6</w:t>
      </w:r>
      <w:r w:rsidR="00510CFA">
        <w:t>a</w:t>
      </w:r>
      <w:r>
        <w:t xml:space="preserve"> – Aplikační výklad MSP</w:t>
      </w:r>
    </w:p>
    <w:p w14:paraId="1BE4C63F" w14:textId="6881A027" w:rsidR="008E3663" w:rsidRPr="0009510E" w:rsidRDefault="008E3663" w:rsidP="0009510E">
      <w:r>
        <w:t xml:space="preserve">Příloha č. </w:t>
      </w:r>
      <w:r w:rsidR="0027426C">
        <w:t>6</w:t>
      </w:r>
      <w:r w:rsidR="00510CFA">
        <w:t xml:space="preserve">b </w:t>
      </w:r>
      <w:r>
        <w:t>- Uživatelská</w:t>
      </w:r>
      <w:r w:rsidRPr="008E3663">
        <w:t xml:space="preserve"> příručk</w:t>
      </w:r>
      <w:r>
        <w:t>a</w:t>
      </w:r>
      <w:r w:rsidRPr="008E3663">
        <w:t xml:space="preserve"> k definici </w:t>
      </w:r>
      <w:r w:rsidR="000E6E83">
        <w:t>MSP</w:t>
      </w:r>
    </w:p>
    <w:p w14:paraId="190E353A" w14:textId="77777777" w:rsidR="00F124D1" w:rsidRDefault="00F124D1" w:rsidP="00F124D1"/>
    <w:p w14:paraId="511CC22B" w14:textId="77777777" w:rsidR="006A1B59" w:rsidRPr="00F124D1" w:rsidRDefault="006A1B59" w:rsidP="00F124D1">
      <w:pPr>
        <w:jc w:val="center"/>
      </w:pPr>
    </w:p>
    <w:sectPr w:rsidR="006A1B59" w:rsidRPr="00F124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A045" w14:textId="77777777" w:rsidR="00DC79FA" w:rsidRDefault="00DC79FA" w:rsidP="00C527CC">
      <w:pPr>
        <w:spacing w:after="0" w:line="240" w:lineRule="auto"/>
      </w:pPr>
      <w:r>
        <w:separator/>
      </w:r>
    </w:p>
  </w:endnote>
  <w:endnote w:type="continuationSeparator" w:id="0">
    <w:p w14:paraId="503D4794" w14:textId="77777777" w:rsidR="00DC79FA" w:rsidRDefault="00DC79FA" w:rsidP="00C5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128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DA050C" w14:textId="1C31C33C" w:rsidR="001A0EF4" w:rsidRDefault="001A0EF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1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1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0EF31E" w14:textId="77777777" w:rsidR="001A0EF4" w:rsidRDefault="001A0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D28D" w14:textId="77777777" w:rsidR="00DC79FA" w:rsidRDefault="00DC79FA" w:rsidP="00C527CC">
      <w:pPr>
        <w:spacing w:after="0" w:line="240" w:lineRule="auto"/>
      </w:pPr>
      <w:r>
        <w:separator/>
      </w:r>
    </w:p>
  </w:footnote>
  <w:footnote w:type="continuationSeparator" w:id="0">
    <w:p w14:paraId="49C2413E" w14:textId="77777777" w:rsidR="00DC79FA" w:rsidRDefault="00DC79FA" w:rsidP="00C527CC">
      <w:pPr>
        <w:spacing w:after="0" w:line="240" w:lineRule="auto"/>
      </w:pPr>
      <w:r>
        <w:continuationSeparator/>
      </w:r>
    </w:p>
  </w:footnote>
  <w:footnote w:id="1">
    <w:p w14:paraId="33F455EF" w14:textId="77777777" w:rsidR="00941272" w:rsidRDefault="00941272" w:rsidP="0094127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5351F">
        <w:t xml:space="preserve">Úřední věstník EU, L 187, 26. 6. 2014, str. </w:t>
      </w:r>
      <w:proofErr w:type="gramStart"/>
      <w:r w:rsidRPr="0055351F">
        <w:t>1- 84</w:t>
      </w:r>
      <w:proofErr w:type="gramEnd"/>
      <w:r w:rsidRPr="0055351F">
        <w:t>.</w:t>
      </w:r>
    </w:p>
  </w:footnote>
  <w:footnote w:id="2">
    <w:p w14:paraId="4B23E766" w14:textId="07F1CBF0" w:rsidR="00941272" w:rsidRDefault="00941272" w:rsidP="0094127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5351F">
        <w:t>Úřední věstník EU, L 1</w:t>
      </w:r>
      <w:r>
        <w:t>24, 20</w:t>
      </w:r>
      <w:r w:rsidRPr="0055351F">
        <w:t xml:space="preserve">. </w:t>
      </w:r>
      <w:r>
        <w:t>5. 2003</w:t>
      </w:r>
      <w:r w:rsidRPr="0055351F">
        <w:t xml:space="preserve">, str. </w:t>
      </w:r>
      <w:proofErr w:type="gramStart"/>
      <w:r>
        <w:t>36 -41</w:t>
      </w:r>
      <w:proofErr w:type="gramEnd"/>
      <w:r w:rsidRPr="0055351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33D6" w14:textId="163ECC98" w:rsidR="004178B9" w:rsidRDefault="004178B9" w:rsidP="004178B9">
    <w:pPr>
      <w:pStyle w:val="Zhlav"/>
      <w:ind w:left="-142"/>
    </w:pPr>
    <w:r>
      <w:rPr>
        <w:noProof/>
        <w:lang w:eastAsia="cs-CZ"/>
      </w:rPr>
      <w:drawing>
        <wp:inline distT="0" distB="0" distL="0" distR="0" wp14:anchorId="470DA169" wp14:editId="70F61EF8">
          <wp:extent cx="1714500" cy="5359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83" cy="558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501E06">
      <w:rPr>
        <w:noProof/>
        <w:lang w:eastAsia="cs-CZ"/>
      </w:rPr>
      <w:tab/>
    </w:r>
    <w:r w:rsidR="00501E06">
      <w:rPr>
        <w:noProof/>
        <w:lang w:eastAsia="cs-CZ"/>
      </w:rPr>
      <w:tab/>
    </w:r>
    <w:r>
      <w:t xml:space="preserve">                                         </w:t>
    </w:r>
    <w:r>
      <w:rPr>
        <w:noProof/>
        <w:lang w:eastAsia="cs-CZ"/>
      </w:rPr>
      <w:drawing>
        <wp:inline distT="0" distB="0" distL="0" distR="0" wp14:anchorId="4F3C5AB5" wp14:editId="5970A140">
          <wp:extent cx="942975" cy="412283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76" cy="4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670BFFE7" w14:textId="47CC131E" w:rsidR="00C527CC" w:rsidRDefault="00F124D1" w:rsidP="00941272">
    <w:pPr>
      <w:pStyle w:val="Zhlav"/>
      <w:tabs>
        <w:tab w:val="clear" w:pos="9072"/>
        <w:tab w:val="left" w:pos="7050"/>
      </w:tabs>
      <w:ind w:left="-142"/>
    </w:pPr>
    <w:r>
      <w:t xml:space="preserve">                  </w:t>
    </w:r>
    <w:r w:rsidR="00803BE1">
      <w:t xml:space="preserve"> </w:t>
    </w:r>
    <w:r w:rsidR="00C527CC">
      <w:t xml:space="preserve">           </w:t>
    </w:r>
    <w:r w:rsidR="00803BE1">
      <w:t xml:space="preserve">         </w:t>
    </w:r>
    <w:r w:rsidR="00C527CC">
      <w:t xml:space="preserve">   </w:t>
    </w:r>
    <w:r>
      <w:t xml:space="preserve">   </w:t>
    </w:r>
    <w:r w:rsidR="00C527CC">
      <w:t xml:space="preserve"> </w:t>
    </w:r>
    <w:r>
      <w:t xml:space="preserve">      </w:t>
    </w:r>
    <w:r w:rsidR="00803BE1">
      <w:t xml:space="preserve"> </w:t>
    </w:r>
    <w:r>
      <w:t xml:space="preserve">    </w:t>
    </w:r>
    <w:r w:rsidR="00803BE1">
      <w:t xml:space="preserve"> </w:t>
    </w:r>
    <w:r w:rsidR="00223FCB">
      <w:t xml:space="preserve">  </w:t>
    </w:r>
    <w:r w:rsidR="00C527CC">
      <w:t xml:space="preserve">         </w:t>
    </w:r>
    <w:r w:rsidR="009412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54F"/>
    <w:multiLevelType w:val="hybridMultilevel"/>
    <w:tmpl w:val="8D100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6F66"/>
    <w:multiLevelType w:val="hybridMultilevel"/>
    <w:tmpl w:val="BE763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40"/>
    <w:multiLevelType w:val="hybridMultilevel"/>
    <w:tmpl w:val="E9867AE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D4E53"/>
    <w:multiLevelType w:val="hybridMultilevel"/>
    <w:tmpl w:val="9850C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7EE8"/>
    <w:multiLevelType w:val="hybridMultilevel"/>
    <w:tmpl w:val="5BD6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FD6"/>
    <w:multiLevelType w:val="hybridMultilevel"/>
    <w:tmpl w:val="BFF4A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712A"/>
    <w:multiLevelType w:val="hybridMultilevel"/>
    <w:tmpl w:val="2BC44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42A0"/>
    <w:multiLevelType w:val="hybridMultilevel"/>
    <w:tmpl w:val="531C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721C"/>
    <w:multiLevelType w:val="hybridMultilevel"/>
    <w:tmpl w:val="A10A8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3EE7"/>
    <w:multiLevelType w:val="hybridMultilevel"/>
    <w:tmpl w:val="BB3EE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4D58"/>
    <w:multiLevelType w:val="hybridMultilevel"/>
    <w:tmpl w:val="24007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3032A"/>
    <w:multiLevelType w:val="hybridMultilevel"/>
    <w:tmpl w:val="24007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38AC"/>
    <w:multiLevelType w:val="hybridMultilevel"/>
    <w:tmpl w:val="002E6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E665650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33F11"/>
    <w:multiLevelType w:val="hybridMultilevel"/>
    <w:tmpl w:val="01822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48230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581F"/>
    <w:multiLevelType w:val="hybridMultilevel"/>
    <w:tmpl w:val="A89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269B"/>
    <w:multiLevelType w:val="hybridMultilevel"/>
    <w:tmpl w:val="8EB2E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4B00"/>
    <w:multiLevelType w:val="hybridMultilevel"/>
    <w:tmpl w:val="01160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91102"/>
    <w:multiLevelType w:val="hybridMultilevel"/>
    <w:tmpl w:val="655E4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21919"/>
    <w:multiLevelType w:val="hybridMultilevel"/>
    <w:tmpl w:val="1DB04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0CA1"/>
    <w:multiLevelType w:val="hybridMultilevel"/>
    <w:tmpl w:val="67687A34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C"/>
    <w:rsid w:val="0009510E"/>
    <w:rsid w:val="000E6E83"/>
    <w:rsid w:val="00155A96"/>
    <w:rsid w:val="001A0EF4"/>
    <w:rsid w:val="001A1F5E"/>
    <w:rsid w:val="001B262C"/>
    <w:rsid w:val="001D4525"/>
    <w:rsid w:val="001E7314"/>
    <w:rsid w:val="00223FCB"/>
    <w:rsid w:val="00266992"/>
    <w:rsid w:val="00274215"/>
    <w:rsid w:val="0027426C"/>
    <w:rsid w:val="002D11BC"/>
    <w:rsid w:val="003335C5"/>
    <w:rsid w:val="00370D46"/>
    <w:rsid w:val="003F5E9B"/>
    <w:rsid w:val="004178B9"/>
    <w:rsid w:val="00450A4A"/>
    <w:rsid w:val="00501E06"/>
    <w:rsid w:val="00510CFA"/>
    <w:rsid w:val="00556504"/>
    <w:rsid w:val="00594CA0"/>
    <w:rsid w:val="005F6A71"/>
    <w:rsid w:val="00653998"/>
    <w:rsid w:val="00674DDB"/>
    <w:rsid w:val="00691478"/>
    <w:rsid w:val="006A1B59"/>
    <w:rsid w:val="006D4EAD"/>
    <w:rsid w:val="006E3A49"/>
    <w:rsid w:val="00755753"/>
    <w:rsid w:val="007A00BF"/>
    <w:rsid w:val="007A7FBF"/>
    <w:rsid w:val="007C4254"/>
    <w:rsid w:val="00803BE1"/>
    <w:rsid w:val="00822F5B"/>
    <w:rsid w:val="008441E7"/>
    <w:rsid w:val="008B50CB"/>
    <w:rsid w:val="008E3663"/>
    <w:rsid w:val="00941272"/>
    <w:rsid w:val="00965B59"/>
    <w:rsid w:val="009C3C65"/>
    <w:rsid w:val="009E6C6F"/>
    <w:rsid w:val="00A1348A"/>
    <w:rsid w:val="00A17CDA"/>
    <w:rsid w:val="00A64AE5"/>
    <w:rsid w:val="00A92590"/>
    <w:rsid w:val="00B411DC"/>
    <w:rsid w:val="00B5781E"/>
    <w:rsid w:val="00B9344B"/>
    <w:rsid w:val="00B93D83"/>
    <w:rsid w:val="00BB63FB"/>
    <w:rsid w:val="00BC4771"/>
    <w:rsid w:val="00BC6722"/>
    <w:rsid w:val="00C3617A"/>
    <w:rsid w:val="00C42B7E"/>
    <w:rsid w:val="00C527CC"/>
    <w:rsid w:val="00D152C4"/>
    <w:rsid w:val="00D66A25"/>
    <w:rsid w:val="00DA4D24"/>
    <w:rsid w:val="00DC1B61"/>
    <w:rsid w:val="00DC79FA"/>
    <w:rsid w:val="00DF0C7F"/>
    <w:rsid w:val="00E03320"/>
    <w:rsid w:val="00E53632"/>
    <w:rsid w:val="00F124D1"/>
    <w:rsid w:val="00F40D9C"/>
    <w:rsid w:val="00F46DA7"/>
    <w:rsid w:val="00F63A75"/>
    <w:rsid w:val="00F660F7"/>
    <w:rsid w:val="00FA372B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32060AC"/>
  <w15:chartTrackingRefBased/>
  <w15:docId w15:val="{C6B21D1D-B442-4CA1-ABB4-735B4283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EF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0EF4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7CC"/>
  </w:style>
  <w:style w:type="paragraph" w:styleId="Zpat">
    <w:name w:val="footer"/>
    <w:basedOn w:val="Normln"/>
    <w:link w:val="ZpatChar"/>
    <w:uiPriority w:val="99"/>
    <w:unhideWhenUsed/>
    <w:rsid w:val="00C5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7CC"/>
  </w:style>
  <w:style w:type="paragraph" w:styleId="Textbubliny">
    <w:name w:val="Balloon Text"/>
    <w:basedOn w:val="Normln"/>
    <w:link w:val="TextbublinyChar"/>
    <w:uiPriority w:val="99"/>
    <w:semiHidden/>
    <w:unhideWhenUsed/>
    <w:rsid w:val="00F1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4D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A0EF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411DC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A0EF4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6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992"/>
    <w:pPr>
      <w:spacing w:after="0" w:line="240" w:lineRule="auto"/>
      <w:jc w:val="both"/>
    </w:pPr>
    <w:rPr>
      <w:color w:val="00206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992"/>
    <w:rPr>
      <w:color w:val="002060"/>
      <w:sz w:val="20"/>
      <w:szCs w:val="20"/>
    </w:rPr>
  </w:style>
  <w:style w:type="paragraph" w:customStyle="1" w:styleId="Default">
    <w:name w:val="Default"/>
    <w:rsid w:val="00653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5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zvraznn5">
    <w:name w:val="Grid Table 2 Accent 5"/>
    <w:basedOn w:val="Normlntabulka"/>
    <w:uiPriority w:val="47"/>
    <w:rsid w:val="0065399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914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478"/>
    <w:rPr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6914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11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BC4771"/>
    <w:pPr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C47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7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77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771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17A"/>
    <w:pPr>
      <w:spacing w:after="160"/>
      <w:jc w:val="left"/>
    </w:pPr>
    <w:rPr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17A"/>
    <w:rPr>
      <w:b/>
      <w:bCs/>
      <w:color w:val="00206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1B61"/>
    <w:rPr>
      <w:color w:val="954F72" w:themeColor="followedHyperlink"/>
      <w:u w:val="single"/>
    </w:rPr>
  </w:style>
  <w:style w:type="table" w:styleId="Svtltabulkasmkou1zvraznn5">
    <w:name w:val="Grid Table 1 Light Accent 5"/>
    <w:basedOn w:val="Normlntabulka"/>
    <w:uiPriority w:val="46"/>
    <w:rsid w:val="006D4E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ura-api.org/metodika/ms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tura-api.org/metod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entura-api.org/wp-content/uploads/2016/06/Pp&#381;P-obecn&#225;-&#269;&#225;st_23.11.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hs.cz/cs/verejna-podpora/podpora-de-minimi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FF43-0679-4E5C-8678-B8F8544C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Sliacka Andrea</dc:creator>
  <cp:keywords/>
  <dc:description/>
  <cp:lastModifiedBy>Škáchová Markéta</cp:lastModifiedBy>
  <cp:revision>8</cp:revision>
  <cp:lastPrinted>2016-08-04T13:10:00Z</cp:lastPrinted>
  <dcterms:created xsi:type="dcterms:W3CDTF">2017-05-19T13:17:00Z</dcterms:created>
  <dcterms:modified xsi:type="dcterms:W3CDTF">2019-09-20T07:44:00Z</dcterms:modified>
</cp:coreProperties>
</file>