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B7073" w14:textId="77777777" w:rsidR="00F7406A" w:rsidRPr="00A7040B" w:rsidRDefault="00F7406A" w:rsidP="00F7406A">
      <w:pPr>
        <w:spacing w:after="0" w:line="276" w:lineRule="auto"/>
        <w:jc w:val="center"/>
        <w:rPr>
          <w:rFonts w:ascii="Calibri" w:eastAsia="Calibri" w:hAnsi="Calibri" w:cs="Calibri"/>
          <w:b/>
          <w:bCs/>
          <w:smallCaps/>
          <w:color w:val="auto"/>
          <w:sz w:val="28"/>
          <w:szCs w:val="32"/>
        </w:rPr>
      </w:pPr>
      <w:r w:rsidRPr="00A7040B">
        <w:rPr>
          <w:rFonts w:ascii="Calibri" w:eastAsia="Calibri" w:hAnsi="Calibri" w:cs="Calibri"/>
          <w:b/>
          <w:bCs/>
          <w:smallCaps/>
          <w:color w:val="auto"/>
          <w:sz w:val="28"/>
          <w:szCs w:val="32"/>
        </w:rPr>
        <w:t>Ministerstvo průmyslu a obchodu</w:t>
      </w:r>
    </w:p>
    <w:p w14:paraId="43F5D98C" w14:textId="77777777" w:rsidR="00F7406A" w:rsidRPr="00A7040B" w:rsidRDefault="00F7406A" w:rsidP="00F7406A">
      <w:pPr>
        <w:spacing w:after="0" w:line="276" w:lineRule="auto"/>
        <w:jc w:val="center"/>
        <w:rPr>
          <w:rFonts w:ascii="Calibri" w:eastAsia="Calibri" w:hAnsi="Calibri" w:cs="Calibri"/>
          <w:b/>
          <w:bCs/>
          <w:color w:val="auto"/>
          <w:sz w:val="28"/>
          <w:szCs w:val="32"/>
        </w:rPr>
      </w:pPr>
      <w:r w:rsidRPr="00A7040B">
        <w:rPr>
          <w:rFonts w:ascii="Calibri" w:eastAsia="Calibri" w:hAnsi="Calibri" w:cs="Calibri"/>
          <w:b/>
          <w:bCs/>
          <w:color w:val="auto"/>
          <w:sz w:val="28"/>
          <w:szCs w:val="32"/>
        </w:rPr>
        <w:t>Řídicí orgán</w:t>
      </w:r>
    </w:p>
    <w:p w14:paraId="49A7ADBF" w14:textId="77777777" w:rsidR="00F7406A" w:rsidRPr="009577BC" w:rsidRDefault="00F7406A" w:rsidP="009577BC">
      <w:pPr>
        <w:spacing w:after="120" w:line="240" w:lineRule="auto"/>
        <w:jc w:val="center"/>
        <w:rPr>
          <w:rStyle w:val="Siln"/>
          <w:bCs w:val="0"/>
          <w:smallCaps/>
          <w:color w:val="FF0000"/>
          <w:sz w:val="36"/>
        </w:rPr>
      </w:pPr>
      <w:r w:rsidRPr="009577BC">
        <w:rPr>
          <w:rStyle w:val="Siln"/>
          <w:bCs w:val="0"/>
          <w:smallCaps/>
          <w:color w:val="FF0000"/>
          <w:sz w:val="36"/>
        </w:rPr>
        <w:t>Operačního programu Podnikání a inovace pro konkurenceschopnost 2014 – 2020</w:t>
      </w:r>
    </w:p>
    <w:p w14:paraId="40C142B7" w14:textId="62275F25" w:rsidR="00F7406A" w:rsidRPr="009577BC" w:rsidRDefault="00F7406A" w:rsidP="009577BC">
      <w:pPr>
        <w:pStyle w:val="Nadpis1"/>
        <w:keepLines w:val="0"/>
        <w:tabs>
          <w:tab w:val="center" w:pos="4620"/>
          <w:tab w:val="left" w:pos="8522"/>
        </w:tabs>
        <w:autoSpaceDE w:val="0"/>
        <w:autoSpaceDN w:val="0"/>
        <w:adjustRightInd w:val="0"/>
        <w:spacing w:before="120" w:after="120" w:line="240" w:lineRule="auto"/>
        <w:jc w:val="center"/>
        <w:rPr>
          <w:rFonts w:ascii="Calibri" w:eastAsia="Times New Roman" w:hAnsi="Calibri" w:cs="Calibri"/>
          <w:color w:val="0070C0"/>
          <w:sz w:val="36"/>
          <w:szCs w:val="36"/>
        </w:rPr>
      </w:pPr>
      <w:bookmarkStart w:id="0" w:name="_Toc409425162"/>
      <w:bookmarkStart w:id="1" w:name="_Toc411947659"/>
      <w:r w:rsidRPr="009577BC">
        <w:rPr>
          <w:rFonts w:ascii="Calibri" w:eastAsia="Times New Roman" w:hAnsi="Calibri" w:cs="Calibri"/>
          <w:color w:val="0070C0"/>
          <w:sz w:val="36"/>
          <w:szCs w:val="36"/>
        </w:rPr>
        <w:t>„</w:t>
      </w:r>
      <w:bookmarkEnd w:id="0"/>
      <w:bookmarkEnd w:id="1"/>
      <w:r w:rsidR="009076C0" w:rsidRPr="009076C0">
        <w:rPr>
          <w:rFonts w:ascii="Calibri" w:eastAsia="Times New Roman" w:hAnsi="Calibri" w:cs="Calibri"/>
          <w:color w:val="0070C0"/>
          <w:sz w:val="36"/>
          <w:szCs w:val="36"/>
        </w:rPr>
        <w:t>Výzva II. programu podpory Technologie pro integrované územní investice</w:t>
      </w:r>
      <w:r w:rsidR="00E23BD1">
        <w:rPr>
          <w:rFonts w:ascii="Calibri" w:eastAsia="Times New Roman" w:hAnsi="Calibri" w:cs="Calibri"/>
          <w:color w:val="0070C0"/>
          <w:sz w:val="36"/>
          <w:szCs w:val="36"/>
        </w:rPr>
        <w:t xml:space="preserve"> Olomouc</w:t>
      </w:r>
      <w:r w:rsidRPr="009577BC">
        <w:rPr>
          <w:rFonts w:ascii="Calibri" w:eastAsia="Times New Roman" w:hAnsi="Calibri" w:cs="Calibri"/>
          <w:color w:val="0070C0"/>
          <w:sz w:val="36"/>
          <w:szCs w:val="36"/>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12"/>
        <w:gridCol w:w="4687"/>
      </w:tblGrid>
      <w:tr w:rsidR="00A7040B" w:rsidRPr="002E1D37" w14:paraId="754A4CC2" w14:textId="77777777" w:rsidTr="00DD4F38">
        <w:trPr>
          <w:trHeight w:val="236"/>
        </w:trPr>
        <w:tc>
          <w:tcPr>
            <w:tcW w:w="4512" w:type="dxa"/>
            <w:shd w:val="clear" w:color="auto" w:fill="D9D9D9"/>
          </w:tcPr>
          <w:p w14:paraId="51294783" w14:textId="77777777" w:rsidR="00F7406A" w:rsidRPr="00A7040B" w:rsidRDefault="00F7406A" w:rsidP="00DD4F38">
            <w:pPr>
              <w:spacing w:after="0" w:line="240" w:lineRule="auto"/>
              <w:rPr>
                <w:rFonts w:ascii="Calibri" w:eastAsia="Calibri" w:hAnsi="Calibri" w:cs="Calibri"/>
                <w:b/>
                <w:bCs/>
                <w:color w:val="auto"/>
              </w:rPr>
            </w:pPr>
            <w:r w:rsidRPr="00A7040B">
              <w:rPr>
                <w:rFonts w:ascii="Calibri" w:eastAsia="Calibri" w:hAnsi="Calibri" w:cs="Calibri"/>
                <w:b/>
                <w:bCs/>
                <w:color w:val="auto"/>
              </w:rPr>
              <w:t xml:space="preserve">Název programu podpory </w:t>
            </w:r>
          </w:p>
        </w:tc>
        <w:tc>
          <w:tcPr>
            <w:tcW w:w="4687" w:type="dxa"/>
          </w:tcPr>
          <w:p w14:paraId="37A94F0C" w14:textId="77777777" w:rsidR="00F7406A" w:rsidRPr="00A7040B" w:rsidRDefault="00F7406A" w:rsidP="00DD4F38">
            <w:pPr>
              <w:spacing w:after="0" w:line="240" w:lineRule="auto"/>
              <w:rPr>
                <w:rFonts w:ascii="Calibri" w:eastAsia="Calibri" w:hAnsi="Calibri" w:cs="Calibri"/>
                <w:color w:val="auto"/>
              </w:rPr>
            </w:pPr>
            <w:r w:rsidRPr="002E1D37">
              <w:rPr>
                <w:rFonts w:cs="Calibri"/>
                <w:color w:val="auto"/>
              </w:rPr>
              <w:t>Technologie</w:t>
            </w:r>
          </w:p>
        </w:tc>
      </w:tr>
      <w:tr w:rsidR="00A7040B" w:rsidRPr="002E1D37" w14:paraId="7BDDCFEF" w14:textId="77777777" w:rsidTr="00DD4F38">
        <w:trPr>
          <w:trHeight w:val="226"/>
        </w:trPr>
        <w:tc>
          <w:tcPr>
            <w:tcW w:w="4512" w:type="dxa"/>
            <w:shd w:val="clear" w:color="auto" w:fill="D9D9D9"/>
          </w:tcPr>
          <w:p w14:paraId="3E6FA0AB"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 xml:space="preserve">Prioritní osa operačního programu </w:t>
            </w:r>
          </w:p>
        </w:tc>
        <w:tc>
          <w:tcPr>
            <w:tcW w:w="4687" w:type="dxa"/>
          </w:tcPr>
          <w:p w14:paraId="5B739311" w14:textId="77777777" w:rsidR="00F7406A" w:rsidRPr="00A7040B" w:rsidRDefault="00F7406A" w:rsidP="00DD4F38">
            <w:pPr>
              <w:spacing w:after="0" w:line="240" w:lineRule="auto"/>
              <w:rPr>
                <w:rFonts w:ascii="Calibri" w:eastAsia="Calibri" w:hAnsi="Calibri" w:cs="Calibri"/>
                <w:color w:val="auto"/>
              </w:rPr>
            </w:pPr>
            <w:r w:rsidRPr="002E1D37">
              <w:rPr>
                <w:rFonts w:cs="Calibri"/>
                <w:color w:val="auto"/>
              </w:rPr>
              <w:t>PO-2 Rozvoj podnikání a konkurenceschopnosti malých a středních firem</w:t>
            </w:r>
          </w:p>
        </w:tc>
      </w:tr>
      <w:tr w:rsidR="00A7040B" w:rsidRPr="002E1D37" w14:paraId="712C843E" w14:textId="77777777" w:rsidTr="00DD4F38">
        <w:trPr>
          <w:trHeight w:val="423"/>
        </w:trPr>
        <w:tc>
          <w:tcPr>
            <w:tcW w:w="4512" w:type="dxa"/>
            <w:shd w:val="clear" w:color="auto" w:fill="D9D9D9"/>
          </w:tcPr>
          <w:p w14:paraId="077EFF16"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 xml:space="preserve">Investiční priorita </w:t>
            </w:r>
          </w:p>
          <w:p w14:paraId="2E0C9AD4" w14:textId="77777777" w:rsidR="00F7406A" w:rsidRPr="002E1D37" w:rsidRDefault="00F7406A" w:rsidP="00DD4F38">
            <w:pPr>
              <w:spacing w:after="0" w:line="240" w:lineRule="auto"/>
              <w:rPr>
                <w:rFonts w:ascii="Calibri" w:eastAsia="Calibri" w:hAnsi="Calibri" w:cs="Calibri"/>
                <w:b/>
                <w:bCs/>
                <w:color w:val="auto"/>
              </w:rPr>
            </w:pPr>
          </w:p>
        </w:tc>
        <w:tc>
          <w:tcPr>
            <w:tcW w:w="4687" w:type="dxa"/>
          </w:tcPr>
          <w:p w14:paraId="349C7475" w14:textId="77777777" w:rsidR="00F7406A" w:rsidRPr="00A7040B" w:rsidRDefault="00F7406A" w:rsidP="00DD4F38">
            <w:pPr>
              <w:spacing w:after="0" w:line="240" w:lineRule="auto"/>
              <w:rPr>
                <w:rFonts w:ascii="Calibri" w:eastAsia="Calibri" w:hAnsi="Calibri" w:cs="Calibri"/>
                <w:color w:val="auto"/>
              </w:rPr>
            </w:pPr>
            <w:r w:rsidRPr="002E1D37">
              <w:rPr>
                <w:rFonts w:cs="Calibri"/>
                <w:color w:val="auto"/>
              </w:rPr>
              <w:t xml:space="preserve">Investiční priorita 3a, </w:t>
            </w:r>
            <w:r w:rsidRPr="002E1D37">
              <w:rPr>
                <w:color w:val="auto"/>
              </w:rPr>
              <w:t>dle čl. 5 bodu 3a)</w:t>
            </w:r>
            <w:r w:rsidRPr="002E1D37">
              <w:rPr>
                <w:rFonts w:cs="Calibri"/>
                <w:color w:val="auto"/>
              </w:rPr>
              <w:t xml:space="preserve"> nařízení Evropského parlamentu a Rady (EU) č. 1301/2013</w:t>
            </w:r>
          </w:p>
        </w:tc>
      </w:tr>
      <w:tr w:rsidR="00A7040B" w:rsidRPr="002E1D37" w14:paraId="53359562" w14:textId="77777777" w:rsidTr="00DD4F38">
        <w:trPr>
          <w:trHeight w:val="210"/>
        </w:trPr>
        <w:tc>
          <w:tcPr>
            <w:tcW w:w="4512" w:type="dxa"/>
            <w:shd w:val="clear" w:color="auto" w:fill="D9D9D9"/>
          </w:tcPr>
          <w:p w14:paraId="53DA3343"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Specifický cíl operačního programu</w:t>
            </w:r>
          </w:p>
        </w:tc>
        <w:tc>
          <w:tcPr>
            <w:tcW w:w="4687" w:type="dxa"/>
          </w:tcPr>
          <w:p w14:paraId="74ED6B2D" w14:textId="77777777" w:rsidR="00F7406A" w:rsidRPr="00A7040B" w:rsidRDefault="00F7406A" w:rsidP="00DD4F38">
            <w:pPr>
              <w:spacing w:after="0" w:line="240" w:lineRule="auto"/>
              <w:rPr>
                <w:rFonts w:ascii="Calibri" w:eastAsia="Calibri" w:hAnsi="Calibri" w:cs="Calibri"/>
                <w:color w:val="auto"/>
              </w:rPr>
            </w:pPr>
            <w:r w:rsidRPr="002E1D37">
              <w:rPr>
                <w:rFonts w:cs="Calibri"/>
                <w:color w:val="auto"/>
              </w:rPr>
              <w:t>SC 2.1 Zvýšit konkurenceschopnost začínajících a rozvojových MSP</w:t>
            </w:r>
          </w:p>
        </w:tc>
      </w:tr>
      <w:tr w:rsidR="00F7406A" w:rsidRPr="002E1D37" w14:paraId="45952509" w14:textId="77777777" w:rsidTr="00DD4F38">
        <w:trPr>
          <w:trHeight w:val="200"/>
        </w:trPr>
        <w:tc>
          <w:tcPr>
            <w:tcW w:w="4512" w:type="dxa"/>
            <w:shd w:val="clear" w:color="auto" w:fill="D9D9D9"/>
          </w:tcPr>
          <w:p w14:paraId="49B0AA24"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Číslo výzvy dle MS2014+</w:t>
            </w:r>
          </w:p>
        </w:tc>
        <w:tc>
          <w:tcPr>
            <w:tcW w:w="4687" w:type="dxa"/>
          </w:tcPr>
          <w:p w14:paraId="197C033E" w14:textId="4C6E1649" w:rsidR="00F7406A" w:rsidRPr="002E1D37" w:rsidRDefault="009076C0" w:rsidP="00DD4F38">
            <w:pPr>
              <w:spacing w:after="0" w:line="240" w:lineRule="auto"/>
              <w:rPr>
                <w:rFonts w:ascii="Calibri" w:eastAsia="Calibri" w:hAnsi="Calibri" w:cs="Calibri"/>
                <w:color w:val="auto"/>
              </w:rPr>
            </w:pPr>
            <w:r w:rsidRPr="009076C0">
              <w:rPr>
                <w:rFonts w:ascii="Calibri" w:eastAsia="Calibri" w:hAnsi="Calibri" w:cs="Calibri"/>
                <w:color w:val="auto"/>
              </w:rPr>
              <w:t>01_19_249</w:t>
            </w:r>
          </w:p>
        </w:tc>
      </w:tr>
      <w:tr w:rsidR="00A7040B" w:rsidRPr="002E1D37" w14:paraId="3B49AFFE" w14:textId="77777777" w:rsidTr="00DD4F38">
        <w:trPr>
          <w:trHeight w:val="176"/>
        </w:trPr>
        <w:tc>
          <w:tcPr>
            <w:tcW w:w="4512" w:type="dxa"/>
            <w:shd w:val="clear" w:color="auto" w:fill="D9D9D9"/>
          </w:tcPr>
          <w:p w14:paraId="05BA9700" w14:textId="77777777" w:rsidR="00F7406A" w:rsidRPr="00A7040B" w:rsidRDefault="00F7406A" w:rsidP="00DD4F38">
            <w:pPr>
              <w:spacing w:after="0" w:line="240" w:lineRule="auto"/>
              <w:rPr>
                <w:rFonts w:ascii="Calibri" w:eastAsia="Calibri" w:hAnsi="Calibri" w:cs="Calibri"/>
                <w:b/>
                <w:bCs/>
                <w:color w:val="auto"/>
              </w:rPr>
            </w:pPr>
            <w:r w:rsidRPr="00A7040B">
              <w:rPr>
                <w:rFonts w:ascii="Calibri" w:eastAsia="Calibri" w:hAnsi="Calibri" w:cs="Calibri"/>
                <w:b/>
                <w:bCs/>
                <w:color w:val="auto"/>
              </w:rPr>
              <w:t xml:space="preserve">Druh výzvy </w:t>
            </w:r>
          </w:p>
        </w:tc>
        <w:tc>
          <w:tcPr>
            <w:tcW w:w="4687" w:type="dxa"/>
          </w:tcPr>
          <w:p w14:paraId="623F8E79" w14:textId="7808DD2F" w:rsidR="00F7406A" w:rsidRPr="00A7040B" w:rsidRDefault="00E23BD1" w:rsidP="00DD4F38">
            <w:pPr>
              <w:spacing w:after="0" w:line="240" w:lineRule="auto"/>
              <w:rPr>
                <w:rFonts w:ascii="Calibri" w:eastAsia="Calibri" w:hAnsi="Calibri" w:cs="Calibri"/>
                <w:color w:val="auto"/>
              </w:rPr>
            </w:pPr>
            <w:r>
              <w:rPr>
                <w:rFonts w:cs="Calibri"/>
                <w:color w:val="auto"/>
              </w:rPr>
              <w:t>průběžná</w:t>
            </w:r>
          </w:p>
        </w:tc>
      </w:tr>
      <w:tr w:rsidR="00A7040B" w:rsidRPr="002E1D37" w14:paraId="64CAB64C" w14:textId="77777777" w:rsidTr="00DD4F38">
        <w:trPr>
          <w:trHeight w:val="275"/>
        </w:trPr>
        <w:tc>
          <w:tcPr>
            <w:tcW w:w="4512" w:type="dxa"/>
            <w:shd w:val="clear" w:color="auto" w:fill="D9D9D9"/>
          </w:tcPr>
          <w:p w14:paraId="14F17CAA"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Synergické vazby výzvy</w:t>
            </w:r>
          </w:p>
        </w:tc>
        <w:tc>
          <w:tcPr>
            <w:tcW w:w="4687" w:type="dxa"/>
          </w:tcPr>
          <w:p w14:paraId="0F4853FC" w14:textId="77777777" w:rsidR="00F7406A" w:rsidRPr="00A7040B" w:rsidRDefault="00F7406A" w:rsidP="00DD4F38">
            <w:pPr>
              <w:spacing w:after="0" w:line="240" w:lineRule="auto"/>
              <w:rPr>
                <w:rFonts w:ascii="Calibri" w:eastAsia="Calibri" w:hAnsi="Calibri" w:cs="Calibri"/>
                <w:color w:val="auto"/>
              </w:rPr>
            </w:pPr>
            <w:r w:rsidRPr="002E1D37">
              <w:rPr>
                <w:rFonts w:cs="Calibri"/>
                <w:color w:val="auto"/>
              </w:rPr>
              <w:t>Tato výzva OP PIK nezakládá synergické vazby s výzvami jiných operačních programů. Výzva je komplementární s Programem rozvoje venkova Operačním programem Rybářství (vazba Podpora podnikání MSP).</w:t>
            </w:r>
          </w:p>
        </w:tc>
      </w:tr>
      <w:tr w:rsidR="00A7040B" w:rsidRPr="002E1D37" w14:paraId="4D1E836A" w14:textId="77777777" w:rsidTr="00DD4F38">
        <w:trPr>
          <w:trHeight w:val="221"/>
        </w:trPr>
        <w:tc>
          <w:tcPr>
            <w:tcW w:w="4512" w:type="dxa"/>
            <w:shd w:val="clear" w:color="auto" w:fill="D9D9D9"/>
          </w:tcPr>
          <w:p w14:paraId="4FC073F3"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 xml:space="preserve">Model hodnocení </w:t>
            </w:r>
          </w:p>
        </w:tc>
        <w:tc>
          <w:tcPr>
            <w:tcW w:w="4687" w:type="dxa"/>
          </w:tcPr>
          <w:p w14:paraId="252D1229" w14:textId="77777777" w:rsidR="00F7406A" w:rsidRPr="00A7040B" w:rsidRDefault="00F7406A" w:rsidP="00DD4F38">
            <w:pPr>
              <w:spacing w:after="0" w:line="240" w:lineRule="auto"/>
              <w:rPr>
                <w:rFonts w:ascii="Calibri" w:eastAsia="Calibri" w:hAnsi="Calibri" w:cs="Calibri"/>
                <w:color w:val="auto"/>
              </w:rPr>
            </w:pPr>
            <w:r w:rsidRPr="002E1D37">
              <w:rPr>
                <w:rFonts w:cs="Calibri"/>
                <w:color w:val="auto"/>
              </w:rPr>
              <w:t>Jednokolový</w:t>
            </w:r>
          </w:p>
        </w:tc>
      </w:tr>
      <w:tr w:rsidR="002E1D37" w:rsidRPr="002E1D37" w14:paraId="1E29D8FC" w14:textId="77777777" w:rsidTr="00DD4F38">
        <w:trPr>
          <w:trHeight w:val="449"/>
        </w:trPr>
        <w:tc>
          <w:tcPr>
            <w:tcW w:w="4512" w:type="dxa"/>
            <w:shd w:val="clear" w:color="auto" w:fill="D9D9D9"/>
          </w:tcPr>
          <w:p w14:paraId="26A44F27"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Datum vyhlášení výzvy</w:t>
            </w:r>
          </w:p>
          <w:p w14:paraId="087D5640"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Datum zpřístupnění žádosti o podporu v MS</w:t>
            </w:r>
          </w:p>
        </w:tc>
        <w:tc>
          <w:tcPr>
            <w:tcW w:w="4687" w:type="dxa"/>
          </w:tcPr>
          <w:p w14:paraId="4B6288E0" w14:textId="0D6957A6" w:rsidR="00F7406A" w:rsidRPr="00A7040B" w:rsidRDefault="006A067E" w:rsidP="007647A0">
            <w:pPr>
              <w:spacing w:after="0" w:line="240" w:lineRule="auto"/>
              <w:rPr>
                <w:rFonts w:ascii="Calibri" w:eastAsia="Calibri" w:hAnsi="Calibri" w:cs="Calibri"/>
                <w:color w:val="auto"/>
              </w:rPr>
            </w:pPr>
            <w:r>
              <w:rPr>
                <w:rFonts w:ascii="Calibri" w:eastAsia="Calibri" w:hAnsi="Calibri" w:cs="Calibri"/>
                <w:color w:val="auto"/>
              </w:rPr>
              <w:t>22</w:t>
            </w:r>
            <w:r w:rsidR="009076C0">
              <w:rPr>
                <w:rFonts w:ascii="Calibri" w:eastAsia="Calibri" w:hAnsi="Calibri" w:cs="Calibri"/>
                <w:color w:val="auto"/>
              </w:rPr>
              <w:t>. 7</w:t>
            </w:r>
            <w:r w:rsidR="007647A0" w:rsidRPr="002E1D37">
              <w:rPr>
                <w:rFonts w:ascii="Calibri" w:eastAsia="Calibri" w:hAnsi="Calibri" w:cs="Calibri"/>
                <w:color w:val="auto"/>
              </w:rPr>
              <w:t>.</w:t>
            </w:r>
            <w:r w:rsidR="009076C0">
              <w:rPr>
                <w:rFonts w:ascii="Calibri" w:eastAsia="Calibri" w:hAnsi="Calibri" w:cs="Calibri"/>
                <w:color w:val="auto"/>
              </w:rPr>
              <w:t xml:space="preserve"> 2019</w:t>
            </w:r>
            <w:r w:rsidR="00E23BD1">
              <w:rPr>
                <w:rFonts w:ascii="Calibri" w:eastAsia="Calibri" w:hAnsi="Calibri" w:cs="Calibri"/>
                <w:color w:val="auto"/>
              </w:rPr>
              <w:t xml:space="preserve"> </w:t>
            </w:r>
            <w:r w:rsidR="00E23BD1" w:rsidRPr="002E1D37">
              <w:rPr>
                <w:rFonts w:ascii="Calibri" w:eastAsia="Calibri" w:hAnsi="Calibri" w:cs="Calibri"/>
                <w:color w:val="auto"/>
              </w:rPr>
              <w:t>v 10:00</w:t>
            </w:r>
            <w:r>
              <w:rPr>
                <w:rFonts w:ascii="Calibri" w:eastAsia="Calibri" w:hAnsi="Calibri" w:cs="Calibri"/>
                <w:color w:val="auto"/>
              </w:rPr>
              <w:br/>
              <w:t>22.</w:t>
            </w:r>
            <w:r w:rsidR="009076C0">
              <w:rPr>
                <w:rFonts w:ascii="Calibri" w:eastAsia="Calibri" w:hAnsi="Calibri" w:cs="Calibri"/>
                <w:color w:val="auto"/>
              </w:rPr>
              <w:t xml:space="preserve"> 7</w:t>
            </w:r>
            <w:r w:rsidR="009076C0" w:rsidRPr="002E1D37">
              <w:rPr>
                <w:rFonts w:ascii="Calibri" w:eastAsia="Calibri" w:hAnsi="Calibri" w:cs="Calibri"/>
                <w:color w:val="auto"/>
              </w:rPr>
              <w:t>.</w:t>
            </w:r>
            <w:r w:rsidR="009076C0">
              <w:rPr>
                <w:rFonts w:ascii="Calibri" w:eastAsia="Calibri" w:hAnsi="Calibri" w:cs="Calibri"/>
                <w:color w:val="auto"/>
              </w:rPr>
              <w:t xml:space="preserve"> 2019</w:t>
            </w:r>
            <w:r w:rsidR="009076C0" w:rsidRPr="00A7040B">
              <w:rPr>
                <w:rFonts w:ascii="Calibri" w:eastAsia="Calibri" w:hAnsi="Calibri" w:cs="Calibri"/>
                <w:color w:val="auto"/>
              </w:rPr>
              <w:t xml:space="preserve"> </w:t>
            </w:r>
            <w:r w:rsidR="00E23BD1" w:rsidRPr="002E1D37">
              <w:rPr>
                <w:rFonts w:ascii="Calibri" w:eastAsia="Calibri" w:hAnsi="Calibri" w:cs="Calibri"/>
                <w:color w:val="auto"/>
              </w:rPr>
              <w:t>v 10:00</w:t>
            </w:r>
          </w:p>
        </w:tc>
      </w:tr>
      <w:tr w:rsidR="002E1D37" w:rsidRPr="002E1D37" w14:paraId="424A734A" w14:textId="77777777" w:rsidTr="00DD4F38">
        <w:trPr>
          <w:trHeight w:val="454"/>
        </w:trPr>
        <w:tc>
          <w:tcPr>
            <w:tcW w:w="4512" w:type="dxa"/>
            <w:shd w:val="clear" w:color="auto" w:fill="D9D9D9"/>
          </w:tcPr>
          <w:p w14:paraId="46760CB2" w14:textId="77777777" w:rsidR="00F7406A" w:rsidRPr="00A7040B" w:rsidRDefault="00F7406A" w:rsidP="00DD4F38">
            <w:pPr>
              <w:spacing w:after="0" w:line="240" w:lineRule="auto"/>
              <w:rPr>
                <w:rFonts w:ascii="Calibri" w:eastAsia="Calibri" w:hAnsi="Calibri" w:cs="Calibri"/>
                <w:b/>
                <w:bCs/>
                <w:color w:val="auto"/>
              </w:rPr>
            </w:pPr>
            <w:r w:rsidRPr="00A7040B">
              <w:rPr>
                <w:rFonts w:ascii="Calibri" w:eastAsia="Calibri" w:hAnsi="Calibri" w:cs="Calibri"/>
                <w:b/>
                <w:bCs/>
                <w:color w:val="auto"/>
              </w:rPr>
              <w:t xml:space="preserve">Datum zahájení příjmu žádostí o podporu </w:t>
            </w:r>
          </w:p>
        </w:tc>
        <w:tc>
          <w:tcPr>
            <w:tcW w:w="4687" w:type="dxa"/>
          </w:tcPr>
          <w:p w14:paraId="39D1D7A4" w14:textId="43316DB5" w:rsidR="00F7406A" w:rsidRPr="00A7040B" w:rsidRDefault="006A067E" w:rsidP="003079B4">
            <w:pPr>
              <w:spacing w:after="0" w:line="240" w:lineRule="auto"/>
              <w:rPr>
                <w:rFonts w:ascii="Calibri" w:eastAsia="Calibri" w:hAnsi="Calibri" w:cs="Calibri"/>
                <w:color w:val="auto"/>
              </w:rPr>
            </w:pPr>
            <w:r>
              <w:rPr>
                <w:rFonts w:ascii="Calibri" w:eastAsia="Calibri" w:hAnsi="Calibri" w:cs="Calibri"/>
                <w:color w:val="auto"/>
              </w:rPr>
              <w:t>22</w:t>
            </w:r>
            <w:r w:rsidR="00777926">
              <w:rPr>
                <w:rFonts w:ascii="Calibri" w:eastAsia="Calibri" w:hAnsi="Calibri" w:cs="Calibri"/>
                <w:color w:val="auto"/>
              </w:rPr>
              <w:t>. 10. 2019</w:t>
            </w:r>
            <w:r w:rsidR="005B5209" w:rsidRPr="002E1D37">
              <w:rPr>
                <w:rFonts w:ascii="Calibri" w:eastAsia="Calibri" w:hAnsi="Calibri" w:cs="Calibri"/>
                <w:color w:val="auto"/>
              </w:rPr>
              <w:t xml:space="preserve"> </w:t>
            </w:r>
            <w:r w:rsidR="00F7406A" w:rsidRPr="002E1D37">
              <w:rPr>
                <w:rFonts w:ascii="Calibri" w:eastAsia="Calibri" w:hAnsi="Calibri" w:cs="Calibri"/>
                <w:color w:val="auto"/>
              </w:rPr>
              <w:t>v 10:00</w:t>
            </w:r>
            <w:r w:rsidR="00F7406A" w:rsidRPr="00A7040B">
              <w:rPr>
                <w:rFonts w:ascii="Calibri" w:eastAsia="Calibri" w:hAnsi="Calibri" w:cs="Calibri"/>
                <w:color w:val="auto"/>
              </w:rPr>
              <w:t xml:space="preserve"> </w:t>
            </w:r>
          </w:p>
        </w:tc>
      </w:tr>
      <w:tr w:rsidR="002E1D37" w:rsidRPr="002E1D37" w14:paraId="39C37CFF" w14:textId="77777777" w:rsidTr="00DD4F38">
        <w:trPr>
          <w:trHeight w:val="454"/>
        </w:trPr>
        <w:tc>
          <w:tcPr>
            <w:tcW w:w="4512" w:type="dxa"/>
            <w:shd w:val="clear" w:color="auto" w:fill="D9D9D9"/>
          </w:tcPr>
          <w:p w14:paraId="3D35A703" w14:textId="77777777" w:rsidR="00F7406A" w:rsidRPr="00A7040B" w:rsidRDefault="00F7406A" w:rsidP="00DD4F38">
            <w:pPr>
              <w:spacing w:after="0" w:line="240" w:lineRule="auto"/>
              <w:rPr>
                <w:rFonts w:ascii="Calibri" w:eastAsia="Calibri" w:hAnsi="Calibri" w:cs="Calibri"/>
                <w:b/>
                <w:bCs/>
                <w:color w:val="auto"/>
              </w:rPr>
            </w:pPr>
            <w:r w:rsidRPr="00A7040B">
              <w:rPr>
                <w:rFonts w:ascii="Calibri" w:eastAsia="Calibri" w:hAnsi="Calibri" w:cs="Calibri"/>
                <w:b/>
                <w:bCs/>
                <w:color w:val="auto"/>
              </w:rPr>
              <w:t>Datum ukončení příjmu žádostí o podporu</w:t>
            </w:r>
          </w:p>
        </w:tc>
        <w:tc>
          <w:tcPr>
            <w:tcW w:w="4687" w:type="dxa"/>
          </w:tcPr>
          <w:p w14:paraId="4E5502B8" w14:textId="772382B4" w:rsidR="00F7406A" w:rsidRPr="002E1D37" w:rsidRDefault="006A067E" w:rsidP="00DD4F38">
            <w:pPr>
              <w:spacing w:after="0" w:line="240" w:lineRule="auto"/>
              <w:rPr>
                <w:rFonts w:ascii="Calibri" w:eastAsia="Calibri" w:hAnsi="Calibri" w:cs="Calibri"/>
                <w:color w:val="auto"/>
              </w:rPr>
            </w:pPr>
            <w:r>
              <w:rPr>
                <w:rFonts w:ascii="Calibri" w:eastAsia="Calibri" w:hAnsi="Calibri" w:cs="Calibri"/>
                <w:color w:val="auto"/>
              </w:rPr>
              <w:t>22</w:t>
            </w:r>
            <w:r w:rsidR="00777926">
              <w:rPr>
                <w:rFonts w:ascii="Calibri" w:eastAsia="Calibri" w:hAnsi="Calibri" w:cs="Calibri"/>
                <w:color w:val="auto"/>
              </w:rPr>
              <w:t>. 10. 2020</w:t>
            </w:r>
            <w:r w:rsidR="00F7406A" w:rsidRPr="002E1D37">
              <w:rPr>
                <w:rFonts w:ascii="Calibri" w:eastAsia="Calibri" w:hAnsi="Calibri" w:cs="Calibri"/>
                <w:color w:val="auto"/>
              </w:rPr>
              <w:t xml:space="preserve"> v 10:00</w:t>
            </w:r>
          </w:p>
          <w:p w14:paraId="2E562483" w14:textId="77777777" w:rsidR="00F7406A" w:rsidRPr="00A7040B" w:rsidRDefault="00F7406A" w:rsidP="00DD4F38">
            <w:pPr>
              <w:spacing w:after="0" w:line="240" w:lineRule="auto"/>
              <w:rPr>
                <w:rFonts w:ascii="Calibri" w:eastAsia="Calibri" w:hAnsi="Calibri" w:cs="Calibri"/>
                <w:color w:val="auto"/>
              </w:rPr>
            </w:pPr>
          </w:p>
        </w:tc>
      </w:tr>
      <w:tr w:rsidR="00A7040B" w:rsidRPr="002E1D37" w14:paraId="7361E6DD" w14:textId="77777777" w:rsidTr="00DD4F38">
        <w:trPr>
          <w:trHeight w:val="454"/>
        </w:trPr>
        <w:tc>
          <w:tcPr>
            <w:tcW w:w="4512" w:type="dxa"/>
            <w:shd w:val="clear" w:color="auto" w:fill="D9D9D9"/>
          </w:tcPr>
          <w:p w14:paraId="1B9F2073" w14:textId="77777777" w:rsidR="00F7406A" w:rsidRPr="00A7040B" w:rsidRDefault="00F7406A" w:rsidP="00DD4F38">
            <w:pPr>
              <w:spacing w:after="0" w:line="240" w:lineRule="auto"/>
              <w:rPr>
                <w:rFonts w:ascii="Calibri" w:eastAsia="Calibri" w:hAnsi="Calibri" w:cs="Calibri"/>
                <w:b/>
                <w:bCs/>
                <w:color w:val="auto"/>
              </w:rPr>
            </w:pPr>
            <w:r w:rsidRPr="00A7040B">
              <w:rPr>
                <w:rFonts w:ascii="Calibri" w:eastAsia="Calibri" w:hAnsi="Calibri" w:cs="Calibri"/>
                <w:b/>
                <w:bCs/>
                <w:color w:val="auto"/>
              </w:rPr>
              <w:t>Nejzazší datum pro ukončení fyzické realizace operace</w:t>
            </w:r>
          </w:p>
        </w:tc>
        <w:tc>
          <w:tcPr>
            <w:tcW w:w="4687" w:type="dxa"/>
          </w:tcPr>
          <w:p w14:paraId="42AC9F23" w14:textId="7A4631ED" w:rsidR="00F7406A" w:rsidRPr="00A7040B" w:rsidRDefault="00F7406A" w:rsidP="002E1D37">
            <w:pPr>
              <w:spacing w:after="0" w:line="240" w:lineRule="auto"/>
              <w:rPr>
                <w:rFonts w:ascii="Calibri" w:eastAsia="Calibri" w:hAnsi="Calibri" w:cs="Calibri"/>
                <w:color w:val="auto"/>
              </w:rPr>
            </w:pPr>
            <w:r w:rsidRPr="002E1D37">
              <w:rPr>
                <w:rFonts w:cs="Calibri"/>
                <w:color w:val="auto"/>
              </w:rPr>
              <w:t>Nejzazším termínem pro ukončení projektu je</w:t>
            </w:r>
            <w:r w:rsidR="002E1D37">
              <w:rPr>
                <w:rFonts w:cs="Calibri"/>
                <w:color w:val="auto"/>
              </w:rPr>
              <w:t xml:space="preserve"> </w:t>
            </w:r>
            <w:r w:rsidR="00D67F5C">
              <w:rPr>
                <w:rFonts w:cs="Calibri"/>
                <w:color w:val="auto"/>
              </w:rPr>
              <w:t>31</w:t>
            </w:r>
            <w:r w:rsidR="002E1D37">
              <w:rPr>
                <w:rFonts w:cs="Calibri"/>
                <w:color w:val="auto"/>
              </w:rPr>
              <w:t>. </w:t>
            </w:r>
            <w:r w:rsidR="00D67F5C">
              <w:rPr>
                <w:rFonts w:cs="Calibri"/>
                <w:color w:val="auto"/>
              </w:rPr>
              <w:t>12</w:t>
            </w:r>
            <w:r w:rsidR="002E1D37" w:rsidRPr="00B90D16">
              <w:rPr>
                <w:rFonts w:cs="Calibri"/>
                <w:color w:val="auto"/>
              </w:rPr>
              <w:t>.</w:t>
            </w:r>
            <w:r w:rsidR="009076C0">
              <w:rPr>
                <w:rFonts w:cs="Calibri"/>
                <w:color w:val="auto"/>
              </w:rPr>
              <w:t> 2022</w:t>
            </w:r>
            <w:r w:rsidRPr="002E1D37">
              <w:rPr>
                <w:rFonts w:cs="Calibri"/>
                <w:color w:val="auto"/>
              </w:rPr>
              <w:t xml:space="preserve">, nerozhodne-li poskytovatel jinak. </w:t>
            </w:r>
          </w:p>
        </w:tc>
      </w:tr>
      <w:tr w:rsidR="00F7406A" w:rsidRPr="002E1D37" w14:paraId="1274223D" w14:textId="77777777" w:rsidTr="00DD4F38">
        <w:trPr>
          <w:trHeight w:val="3072"/>
        </w:trPr>
        <w:tc>
          <w:tcPr>
            <w:tcW w:w="4512" w:type="dxa"/>
            <w:shd w:val="clear" w:color="auto" w:fill="D9D9D9"/>
          </w:tcPr>
          <w:p w14:paraId="0DE2B4BC"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Plánovaná alokace výzvy</w:t>
            </w:r>
          </w:p>
        </w:tc>
        <w:tc>
          <w:tcPr>
            <w:tcW w:w="4687" w:type="dxa"/>
          </w:tcPr>
          <w:p w14:paraId="4D3C3AEE" w14:textId="4087110B" w:rsidR="00F7406A" w:rsidRPr="00A7040B" w:rsidRDefault="009076C0" w:rsidP="00DD4F38">
            <w:pPr>
              <w:spacing w:after="0" w:line="240" w:lineRule="auto"/>
              <w:rPr>
                <w:rFonts w:cs="Calibri"/>
                <w:color w:val="auto"/>
              </w:rPr>
            </w:pPr>
            <w:r w:rsidRPr="009076C0">
              <w:rPr>
                <w:rFonts w:cs="Calibri"/>
                <w:color w:val="auto"/>
              </w:rPr>
              <w:t>63 000 000 Kč</w:t>
            </w:r>
          </w:p>
          <w:p w14:paraId="1AADA3DD" w14:textId="2E3C4371" w:rsidR="00F7406A" w:rsidRPr="002E1D37" w:rsidRDefault="00F7406A" w:rsidP="0080085F">
            <w:pPr>
              <w:pStyle w:val="Textkomente"/>
              <w:rPr>
                <w:color w:val="auto"/>
              </w:rPr>
            </w:pPr>
            <w:r w:rsidRPr="002E1D37">
              <w:rPr>
                <w:rFonts w:cs="Calibri"/>
                <w:color w:val="auto"/>
                <w:sz w:val="22"/>
                <w:szCs w:val="22"/>
              </w:rPr>
              <w:t>V případě výraznějšího převisu kvalitních projektů může Řídicí orgán OP PIK alokaci na tuto výzvu adekvátně navýšit.</w:t>
            </w:r>
            <w:r w:rsidRPr="002E1D37">
              <w:rPr>
                <w:color w:val="auto"/>
                <w:sz w:val="22"/>
                <w:szCs w:val="22"/>
              </w:rPr>
              <w:t xml:space="preserve"> </w:t>
            </w:r>
            <w:r w:rsidRPr="002E1D37">
              <w:rPr>
                <w:rFonts w:cs="Calibri"/>
                <w:color w:val="auto"/>
                <w:sz w:val="22"/>
                <w:szCs w:val="22"/>
              </w:rPr>
              <w:t>Řídicí orgán může zastavit příjem žádostí o podporu při dosažení dvojnásobku požadované dotace v přijatých žádostech o pod</w:t>
            </w:r>
            <w:r w:rsidR="0080085F">
              <w:rPr>
                <w:rFonts w:cs="Calibri"/>
                <w:color w:val="auto"/>
                <w:sz w:val="22"/>
                <w:szCs w:val="22"/>
              </w:rPr>
              <w:t xml:space="preserve">poru, nejdříve však po 14 dnech </w:t>
            </w:r>
            <w:r w:rsidRPr="002E1D37">
              <w:rPr>
                <w:rFonts w:cs="Calibri"/>
                <w:color w:val="auto"/>
                <w:sz w:val="22"/>
                <w:szCs w:val="22"/>
              </w:rPr>
              <w:t>od zahájení příjmu žádostí o podporu.</w:t>
            </w:r>
            <w:r w:rsidRPr="002E1D37">
              <w:rPr>
                <w:rFonts w:cs="Calibri"/>
                <w:color w:val="auto"/>
              </w:rPr>
              <w:t xml:space="preserve"> </w:t>
            </w:r>
          </w:p>
        </w:tc>
      </w:tr>
      <w:tr w:rsidR="00A7040B" w:rsidRPr="002E1D37" w14:paraId="175D445A" w14:textId="77777777" w:rsidTr="00DD4F38">
        <w:trPr>
          <w:trHeight w:val="454"/>
        </w:trPr>
        <w:tc>
          <w:tcPr>
            <w:tcW w:w="4512" w:type="dxa"/>
            <w:shd w:val="clear" w:color="auto" w:fill="D9D9D9"/>
          </w:tcPr>
          <w:p w14:paraId="0C52468B" w14:textId="77777777" w:rsidR="00F7406A" w:rsidRPr="00A7040B" w:rsidRDefault="00F7406A" w:rsidP="00DD4F38">
            <w:pPr>
              <w:spacing w:after="0" w:line="240" w:lineRule="auto"/>
              <w:rPr>
                <w:rFonts w:ascii="Calibri" w:eastAsia="Calibri" w:hAnsi="Calibri" w:cs="Calibri"/>
                <w:b/>
                <w:bCs/>
                <w:color w:val="auto"/>
              </w:rPr>
            </w:pPr>
            <w:r w:rsidRPr="00A7040B">
              <w:rPr>
                <w:rFonts w:ascii="Calibri" w:eastAsia="Calibri" w:hAnsi="Calibri" w:cs="Calibri"/>
                <w:b/>
                <w:bCs/>
                <w:color w:val="auto"/>
              </w:rPr>
              <w:t xml:space="preserve">Typ podporovaných operací </w:t>
            </w:r>
          </w:p>
        </w:tc>
        <w:tc>
          <w:tcPr>
            <w:tcW w:w="4687" w:type="dxa"/>
          </w:tcPr>
          <w:p w14:paraId="4B6907CE" w14:textId="2EB8C36F" w:rsidR="00F7406A" w:rsidRPr="00A7040B" w:rsidRDefault="00FE3194" w:rsidP="00DD4F38">
            <w:pPr>
              <w:spacing w:after="0" w:line="240" w:lineRule="auto"/>
              <w:rPr>
                <w:rFonts w:ascii="Calibri" w:eastAsia="Calibri" w:hAnsi="Calibri" w:cs="Calibri"/>
                <w:color w:val="auto"/>
              </w:rPr>
            </w:pPr>
            <w:r>
              <w:rPr>
                <w:rFonts w:cs="Calibri"/>
                <w:color w:val="auto"/>
              </w:rPr>
              <w:t>Integrovaný</w:t>
            </w:r>
            <w:r w:rsidR="00F7406A" w:rsidRPr="002E1D37">
              <w:rPr>
                <w:rFonts w:cs="Calibri"/>
                <w:color w:val="auto"/>
              </w:rPr>
              <w:t xml:space="preserve"> projekt</w:t>
            </w:r>
          </w:p>
        </w:tc>
      </w:tr>
      <w:tr w:rsidR="00F7406A" w:rsidRPr="002E1D37" w14:paraId="79807BFF" w14:textId="77777777" w:rsidTr="00DD4F38">
        <w:trPr>
          <w:trHeight w:val="454"/>
        </w:trPr>
        <w:tc>
          <w:tcPr>
            <w:tcW w:w="4512" w:type="dxa"/>
            <w:shd w:val="clear" w:color="auto" w:fill="D9D9D9"/>
          </w:tcPr>
          <w:p w14:paraId="7013F45A" w14:textId="77777777" w:rsidR="00F7406A" w:rsidRPr="002E1D37" w:rsidRDefault="00F7406A" w:rsidP="00DD4F38">
            <w:pPr>
              <w:spacing w:after="0" w:line="240" w:lineRule="auto"/>
              <w:rPr>
                <w:rFonts w:ascii="Calibri" w:eastAsia="Calibri" w:hAnsi="Calibri" w:cs="Calibri"/>
                <w:b/>
                <w:bCs/>
                <w:color w:val="auto"/>
              </w:rPr>
            </w:pPr>
            <w:r w:rsidRPr="002E1D37">
              <w:rPr>
                <w:rFonts w:ascii="Calibri" w:eastAsia="Calibri" w:hAnsi="Calibri" w:cs="Calibri"/>
                <w:b/>
                <w:bCs/>
                <w:color w:val="auto"/>
              </w:rPr>
              <w:t>Režim podpory</w:t>
            </w:r>
          </w:p>
        </w:tc>
        <w:tc>
          <w:tcPr>
            <w:tcW w:w="4687" w:type="dxa"/>
          </w:tcPr>
          <w:p w14:paraId="489221B9" w14:textId="7E29EB2F" w:rsidR="00F7406A" w:rsidRPr="002E1D37" w:rsidRDefault="00F7406A" w:rsidP="00DD4F38">
            <w:pPr>
              <w:spacing w:after="0" w:line="240" w:lineRule="auto"/>
              <w:rPr>
                <w:rFonts w:cs="Calibri"/>
                <w:color w:val="auto"/>
              </w:rPr>
            </w:pPr>
            <w:r w:rsidRPr="002E1D37">
              <w:rPr>
                <w:rFonts w:cs="Calibri"/>
                <w:color w:val="auto"/>
              </w:rPr>
              <w:t>Článek 14</w:t>
            </w:r>
            <w:r w:rsidR="00E43244" w:rsidRPr="002E1D37">
              <w:rPr>
                <w:rFonts w:cs="Calibri"/>
                <w:color w:val="auto"/>
              </w:rPr>
              <w:t xml:space="preserve"> </w:t>
            </w:r>
            <w:r w:rsidRPr="002E1D37">
              <w:rPr>
                <w:rFonts w:cs="Calibri"/>
                <w:color w:val="auto"/>
              </w:rPr>
              <w:t>N</w:t>
            </w:r>
            <w:r w:rsidR="006E37B9">
              <w:rPr>
                <w:rFonts w:cs="Calibri"/>
                <w:color w:val="auto"/>
              </w:rPr>
              <w:t>ařízení Komise (EU) č. 651/2014</w:t>
            </w:r>
          </w:p>
          <w:p w14:paraId="292487F5" w14:textId="77777777" w:rsidR="00F7406A" w:rsidRPr="00A7040B" w:rsidRDefault="00F7406A" w:rsidP="00DD4F38">
            <w:pPr>
              <w:spacing w:after="0" w:line="240" w:lineRule="auto"/>
              <w:rPr>
                <w:rFonts w:ascii="Calibri" w:eastAsia="Calibri" w:hAnsi="Calibri" w:cs="Calibri"/>
                <w:color w:val="auto"/>
              </w:rPr>
            </w:pPr>
          </w:p>
        </w:tc>
      </w:tr>
    </w:tbl>
    <w:p w14:paraId="5121D61A" w14:textId="77777777" w:rsidR="00F7406A" w:rsidRPr="002E1D37" w:rsidRDefault="00F7406A" w:rsidP="00F7406A">
      <w:pPr>
        <w:rPr>
          <w:b/>
          <w:bCs/>
          <w:color w:val="auto"/>
        </w:rPr>
      </w:pPr>
    </w:p>
    <w:p w14:paraId="1A1F9603" w14:textId="77777777" w:rsidR="00F7406A" w:rsidRPr="00F21137" w:rsidRDefault="00F7406A" w:rsidP="00F7406A">
      <w:pPr>
        <w:pStyle w:val="Nadpisobsahu"/>
        <w:rPr>
          <w:color w:val="0070C0"/>
        </w:rPr>
      </w:pPr>
      <w:r w:rsidRPr="00F21137">
        <w:rPr>
          <w:color w:val="0070C0"/>
        </w:rPr>
        <w:lastRenderedPageBreak/>
        <w:t>1. Úvod</w:t>
      </w:r>
    </w:p>
    <w:p w14:paraId="48CAC083" w14:textId="3949507A" w:rsidR="00F7406A" w:rsidRPr="002E1D37" w:rsidRDefault="00F7406A" w:rsidP="00F7406A">
      <w:pPr>
        <w:spacing w:after="120"/>
        <w:rPr>
          <w:color w:val="auto"/>
        </w:rPr>
      </w:pPr>
      <w:r w:rsidRPr="002E1D37">
        <w:rPr>
          <w:color w:val="auto"/>
        </w:rPr>
        <w:t xml:space="preserve">Tato Výzva k programu podpory </w:t>
      </w:r>
      <w:r w:rsidRPr="002E1D37">
        <w:rPr>
          <w:rFonts w:cs="Calibri"/>
          <w:color w:val="auto"/>
        </w:rPr>
        <w:t>„Technologie“</w:t>
      </w:r>
      <w:r w:rsidRPr="002E1D37">
        <w:rPr>
          <w:color w:val="auto"/>
        </w:rPr>
        <w:t xml:space="preserve"> (dále jen „Výzva“ a „program“) je vyhlášena v rámci implementace Operačního programu Podnikání a inovace pro konkurenceschopnost 2014–2020 („OP PIK“) a v případě podpory malých a středních podniků podle zákona č. </w:t>
      </w:r>
      <w:r w:rsidR="00FA3BA4">
        <w:rPr>
          <w:color w:val="auto"/>
        </w:rPr>
        <w:t>47/2002 Sb., o podpoře malého a </w:t>
      </w:r>
      <w:r w:rsidRPr="002E1D37">
        <w:rPr>
          <w:color w:val="auto"/>
        </w:rPr>
        <w:t>středního podnikání, ve znění pozdějších předpisů.</w:t>
      </w:r>
      <w:r w:rsidR="006213FD">
        <w:rPr>
          <w:color w:val="auto"/>
        </w:rPr>
        <w:t xml:space="preserve"> </w:t>
      </w:r>
      <w:r w:rsidR="006213FD" w:rsidRPr="006213FD">
        <w:rPr>
          <w:color w:val="auto"/>
        </w:rPr>
        <w:t>Výzva je zaměřena na podporu integrovaných projektů naplňujících integrované územní investice (dále také „ITI“). Na tuto výzvu Řídicího orgánu OP PIK navazuje výzva nositele ITI k předkládání projektových záměrů (blíže viz kap. 12 Výzvy).</w:t>
      </w:r>
    </w:p>
    <w:p w14:paraId="2548501C" w14:textId="77777777" w:rsidR="00F7406A" w:rsidRPr="00F21137" w:rsidRDefault="00F7406A" w:rsidP="00F7406A">
      <w:pPr>
        <w:pStyle w:val="Nadpisobsahu"/>
        <w:rPr>
          <w:color w:val="0070C0"/>
        </w:rPr>
      </w:pPr>
      <w:r w:rsidRPr="00F21137">
        <w:rPr>
          <w:color w:val="0070C0"/>
        </w:rPr>
        <w:t>2. Cíl Výzvy</w:t>
      </w:r>
    </w:p>
    <w:p w14:paraId="623618F0" w14:textId="2B961CC9" w:rsidR="00F7406A" w:rsidRPr="002E1D37" w:rsidRDefault="00F7406A" w:rsidP="00F7406A">
      <w:pPr>
        <w:spacing w:after="0"/>
        <w:rPr>
          <w:rFonts w:cs="Calibri"/>
          <w:color w:val="auto"/>
        </w:rPr>
      </w:pPr>
      <w:r w:rsidRPr="002E1D37">
        <w:rPr>
          <w:rFonts w:cs="Calibri"/>
          <w:color w:val="auto"/>
        </w:rPr>
        <w:t>Cí</w:t>
      </w:r>
      <w:r w:rsidRPr="002E1D37">
        <w:rPr>
          <w:rFonts w:cs="Calibri"/>
          <w:color w:val="auto"/>
          <w:spacing w:val="-1"/>
        </w:rPr>
        <w:t>l</w:t>
      </w:r>
      <w:r w:rsidRPr="002E1D37">
        <w:rPr>
          <w:rFonts w:cs="Calibri"/>
          <w:color w:val="auto"/>
        </w:rPr>
        <w:t>em</w:t>
      </w:r>
      <w:r w:rsidRPr="002E1D37">
        <w:rPr>
          <w:rFonts w:cs="Calibri"/>
          <w:color w:val="auto"/>
          <w:spacing w:val="2"/>
        </w:rPr>
        <w:t xml:space="preserve"> </w:t>
      </w:r>
      <w:r w:rsidRPr="002E1D37">
        <w:rPr>
          <w:rFonts w:cs="Calibri"/>
          <w:color w:val="auto"/>
          <w:spacing w:val="1"/>
        </w:rPr>
        <w:t>vý</w:t>
      </w:r>
      <w:r w:rsidRPr="002E1D37">
        <w:rPr>
          <w:rFonts w:cs="Calibri"/>
          <w:color w:val="auto"/>
          <w:spacing w:val="-3"/>
        </w:rPr>
        <w:t>z</w:t>
      </w:r>
      <w:r w:rsidRPr="002E1D37">
        <w:rPr>
          <w:rFonts w:cs="Calibri"/>
          <w:color w:val="auto"/>
          <w:spacing w:val="1"/>
        </w:rPr>
        <w:t>v</w:t>
      </w:r>
      <w:r w:rsidRPr="002E1D37">
        <w:rPr>
          <w:rFonts w:cs="Calibri"/>
          <w:color w:val="auto"/>
        </w:rPr>
        <w:t>y</w:t>
      </w:r>
      <w:r w:rsidRPr="002E1D37">
        <w:rPr>
          <w:rFonts w:cs="Calibri"/>
          <w:color w:val="auto"/>
          <w:spacing w:val="4"/>
        </w:rPr>
        <w:t xml:space="preserve"> </w:t>
      </w:r>
      <w:r w:rsidRPr="002E1D37">
        <w:rPr>
          <w:rFonts w:cs="Calibri"/>
          <w:color w:val="auto"/>
          <w:spacing w:val="-1"/>
        </w:rPr>
        <w:t>p</w:t>
      </w:r>
      <w:r w:rsidRPr="002E1D37">
        <w:rPr>
          <w:rFonts w:cs="Calibri"/>
          <w:color w:val="auto"/>
          <w:spacing w:val="-3"/>
        </w:rPr>
        <w:t>r</w:t>
      </w:r>
      <w:r w:rsidRPr="002E1D37">
        <w:rPr>
          <w:rFonts w:cs="Calibri"/>
          <w:color w:val="auto"/>
          <w:spacing w:val="1"/>
        </w:rPr>
        <w:t>o</w:t>
      </w:r>
      <w:r w:rsidRPr="002E1D37">
        <w:rPr>
          <w:rFonts w:cs="Calibri"/>
          <w:color w:val="auto"/>
          <w:spacing w:val="-1"/>
        </w:rPr>
        <w:t>g</w:t>
      </w:r>
      <w:r w:rsidRPr="002E1D37">
        <w:rPr>
          <w:rFonts w:cs="Calibri"/>
          <w:color w:val="auto"/>
        </w:rPr>
        <w:t>ramu T</w:t>
      </w:r>
      <w:r w:rsidRPr="002E1D37">
        <w:rPr>
          <w:rFonts w:cs="Calibri"/>
          <w:color w:val="auto"/>
          <w:spacing w:val="1"/>
        </w:rPr>
        <w:t>e</w:t>
      </w:r>
      <w:r w:rsidRPr="002E1D37">
        <w:rPr>
          <w:rFonts w:cs="Calibri"/>
          <w:color w:val="auto"/>
          <w:spacing w:val="-2"/>
        </w:rPr>
        <w:t>c</w:t>
      </w:r>
      <w:r w:rsidRPr="002E1D37">
        <w:rPr>
          <w:rFonts w:cs="Calibri"/>
          <w:color w:val="auto"/>
          <w:spacing w:val="-1"/>
        </w:rPr>
        <w:t>hn</w:t>
      </w:r>
      <w:r w:rsidRPr="002E1D37">
        <w:rPr>
          <w:rFonts w:cs="Calibri"/>
          <w:color w:val="auto"/>
          <w:spacing w:val="1"/>
        </w:rPr>
        <w:t>o</w:t>
      </w:r>
      <w:r w:rsidRPr="002E1D37">
        <w:rPr>
          <w:rFonts w:cs="Calibri"/>
          <w:color w:val="auto"/>
        </w:rPr>
        <w:t>l</w:t>
      </w:r>
      <w:r w:rsidRPr="002E1D37">
        <w:rPr>
          <w:rFonts w:cs="Calibri"/>
          <w:color w:val="auto"/>
          <w:spacing w:val="1"/>
        </w:rPr>
        <w:t>o</w:t>
      </w:r>
      <w:r w:rsidRPr="002E1D37">
        <w:rPr>
          <w:rFonts w:cs="Calibri"/>
          <w:color w:val="auto"/>
          <w:spacing w:val="-1"/>
        </w:rPr>
        <w:t>g</w:t>
      </w:r>
      <w:r w:rsidRPr="002E1D37">
        <w:rPr>
          <w:rFonts w:cs="Calibri"/>
          <w:color w:val="auto"/>
        </w:rPr>
        <w:t>ie je</w:t>
      </w:r>
      <w:r w:rsidRPr="002E1D37">
        <w:rPr>
          <w:rFonts w:cs="Calibri"/>
          <w:color w:val="auto"/>
          <w:spacing w:val="3"/>
        </w:rPr>
        <w:t xml:space="preserve"> </w:t>
      </w:r>
      <w:r w:rsidRPr="002E1D37">
        <w:rPr>
          <w:rFonts w:cs="Calibri"/>
          <w:color w:val="auto"/>
          <w:spacing w:val="-3"/>
        </w:rPr>
        <w:t>p</w:t>
      </w:r>
      <w:r w:rsidRPr="002E1D37">
        <w:rPr>
          <w:rFonts w:cs="Calibri"/>
          <w:color w:val="auto"/>
          <w:spacing w:val="1"/>
        </w:rPr>
        <w:t>o</w:t>
      </w:r>
      <w:r w:rsidRPr="002E1D37">
        <w:rPr>
          <w:rFonts w:cs="Calibri"/>
          <w:color w:val="auto"/>
          <w:spacing w:val="-1"/>
        </w:rPr>
        <w:t>dp</w:t>
      </w:r>
      <w:r w:rsidRPr="002E1D37">
        <w:rPr>
          <w:rFonts w:cs="Calibri"/>
          <w:color w:val="auto"/>
          <w:spacing w:val="1"/>
        </w:rPr>
        <w:t>o</w:t>
      </w:r>
      <w:r w:rsidRPr="002E1D37">
        <w:rPr>
          <w:rFonts w:cs="Calibri"/>
          <w:color w:val="auto"/>
          <w:spacing w:val="-3"/>
        </w:rPr>
        <w:t>rovat</w:t>
      </w:r>
      <w:r w:rsidRPr="002E1D37">
        <w:rPr>
          <w:rFonts w:cs="Calibri"/>
          <w:color w:val="auto"/>
        </w:rPr>
        <w:t xml:space="preserve"> růst a posilování konkurenceschopnosti malých a středních podniků </w:t>
      </w:r>
      <w:r w:rsidR="0008352C">
        <w:rPr>
          <w:rFonts w:cs="Calibri"/>
          <w:color w:val="auto"/>
        </w:rPr>
        <w:t xml:space="preserve">v souladu se strategií společnosti </w:t>
      </w:r>
      <w:r w:rsidRPr="002E1D37">
        <w:rPr>
          <w:rFonts w:cs="Calibri"/>
          <w:color w:val="auto"/>
        </w:rPr>
        <w:t>digitální transformace, a přispívat tak k r</w:t>
      </w:r>
      <w:r w:rsidRPr="002E1D37">
        <w:rPr>
          <w:rFonts w:cs="Calibri"/>
          <w:color w:val="auto"/>
          <w:spacing w:val="1"/>
        </w:rPr>
        <w:t>o</w:t>
      </w:r>
      <w:r w:rsidRPr="002E1D37">
        <w:rPr>
          <w:rFonts w:cs="Calibri"/>
          <w:color w:val="auto"/>
          <w:spacing w:val="-3"/>
        </w:rPr>
        <w:t>z</w:t>
      </w:r>
      <w:r w:rsidRPr="002E1D37">
        <w:rPr>
          <w:rFonts w:cs="Calibri"/>
          <w:color w:val="auto"/>
          <w:spacing w:val="1"/>
        </w:rPr>
        <w:t>v</w:t>
      </w:r>
      <w:r w:rsidRPr="002E1D37">
        <w:rPr>
          <w:rFonts w:cs="Calibri"/>
          <w:color w:val="auto"/>
          <w:spacing w:val="-1"/>
        </w:rPr>
        <w:t>o</w:t>
      </w:r>
      <w:r w:rsidRPr="002E1D37">
        <w:rPr>
          <w:rFonts w:cs="Calibri"/>
          <w:color w:val="auto"/>
        </w:rPr>
        <w:t>ji reg</w:t>
      </w:r>
      <w:r w:rsidRPr="002E1D37">
        <w:rPr>
          <w:rFonts w:cs="Calibri"/>
          <w:color w:val="auto"/>
          <w:spacing w:val="-1"/>
        </w:rPr>
        <w:t>i</w:t>
      </w:r>
      <w:r w:rsidRPr="002E1D37">
        <w:rPr>
          <w:rFonts w:cs="Calibri"/>
          <w:color w:val="auto"/>
          <w:spacing w:val="1"/>
        </w:rPr>
        <w:t>o</w:t>
      </w:r>
      <w:r w:rsidRPr="002E1D37">
        <w:rPr>
          <w:rFonts w:cs="Calibri"/>
          <w:color w:val="auto"/>
          <w:spacing w:val="-1"/>
        </w:rPr>
        <w:t>n</w:t>
      </w:r>
      <w:r w:rsidRPr="002E1D37">
        <w:rPr>
          <w:rFonts w:cs="Calibri"/>
          <w:color w:val="auto"/>
        </w:rPr>
        <w:t>ů.</w:t>
      </w:r>
    </w:p>
    <w:p w14:paraId="50679610" w14:textId="77777777" w:rsidR="00F7406A" w:rsidRPr="002E1D37" w:rsidRDefault="00F7406A" w:rsidP="00F7406A">
      <w:pPr>
        <w:spacing w:before="240" w:after="0"/>
        <w:rPr>
          <w:b/>
          <w:bCs/>
          <w:color w:val="auto"/>
        </w:rPr>
      </w:pPr>
      <w:r w:rsidRPr="002E1D37">
        <w:rPr>
          <w:b/>
          <w:bCs/>
          <w:color w:val="auto"/>
        </w:rPr>
        <w:t>2.1 Základní ustanovení</w:t>
      </w:r>
    </w:p>
    <w:p w14:paraId="30F4CCB7" w14:textId="77777777" w:rsidR="00F7406A" w:rsidRPr="002E1D37" w:rsidRDefault="00F7406A" w:rsidP="00A7040B">
      <w:pPr>
        <w:spacing w:before="240" w:after="0"/>
        <w:rPr>
          <w:bCs/>
          <w:color w:val="auto"/>
        </w:rPr>
      </w:pPr>
      <w:r w:rsidRPr="002E1D37">
        <w:rPr>
          <w:b/>
          <w:bCs/>
          <w:color w:val="auto"/>
        </w:rPr>
        <w:t xml:space="preserve">Název poskytovatele podpory: </w:t>
      </w:r>
      <w:r w:rsidRPr="002E1D37">
        <w:rPr>
          <w:bCs/>
          <w:color w:val="auto"/>
        </w:rPr>
        <w:t xml:space="preserve">Ministerstvo průmyslu a obchodu ČR, </w:t>
      </w:r>
      <w:r w:rsidR="00D87A2A" w:rsidRPr="002E1D37">
        <w:rPr>
          <w:bCs/>
          <w:color w:val="auto"/>
        </w:rPr>
        <w:t>se sídlem</w:t>
      </w:r>
      <w:r w:rsidR="002E1D37">
        <w:rPr>
          <w:bCs/>
          <w:color w:val="auto"/>
        </w:rPr>
        <w:t xml:space="preserve"> </w:t>
      </w:r>
      <w:r w:rsidRPr="002E1D37">
        <w:rPr>
          <w:bCs/>
          <w:color w:val="auto"/>
        </w:rPr>
        <w:t>Na Františku 32, 110</w:t>
      </w:r>
      <w:r w:rsidR="002E1D37">
        <w:rPr>
          <w:bCs/>
          <w:color w:val="auto"/>
        </w:rPr>
        <w:t> </w:t>
      </w:r>
      <w:r w:rsidRPr="002E1D37">
        <w:rPr>
          <w:bCs/>
          <w:color w:val="auto"/>
        </w:rPr>
        <w:t>15</w:t>
      </w:r>
      <w:r w:rsidR="002E1D37">
        <w:rPr>
          <w:bCs/>
          <w:color w:val="auto"/>
        </w:rPr>
        <w:t> </w:t>
      </w:r>
      <w:r w:rsidRPr="002E1D37">
        <w:rPr>
          <w:bCs/>
          <w:color w:val="auto"/>
        </w:rPr>
        <w:t>Praha</w:t>
      </w:r>
      <w:r w:rsidR="00D87A2A" w:rsidRPr="002E1D37">
        <w:rPr>
          <w:bCs/>
          <w:color w:val="auto"/>
        </w:rPr>
        <w:t> </w:t>
      </w:r>
      <w:r w:rsidRPr="002E1D37">
        <w:rPr>
          <w:bCs/>
          <w:color w:val="auto"/>
        </w:rPr>
        <w:t>1</w:t>
      </w:r>
      <w:r w:rsidR="00D87A2A" w:rsidRPr="002E1D37">
        <w:rPr>
          <w:bCs/>
          <w:color w:val="auto"/>
        </w:rPr>
        <w:t xml:space="preserve"> </w:t>
      </w:r>
      <w:r w:rsidRPr="002E1D37">
        <w:rPr>
          <w:bCs/>
          <w:color w:val="auto"/>
        </w:rPr>
        <w:t>- Staré Město (dále jen „MPO“), www.mpo.cz, Řídicí orgán OP PIK, správce programu.</w:t>
      </w:r>
    </w:p>
    <w:p w14:paraId="2F63C29A" w14:textId="1756C9A6" w:rsidR="006213FD" w:rsidRPr="006213FD" w:rsidRDefault="006213FD" w:rsidP="006213FD">
      <w:pPr>
        <w:spacing w:after="120" w:line="276" w:lineRule="auto"/>
        <w:rPr>
          <w:rFonts w:ascii="Calibri" w:eastAsia="Calibri" w:hAnsi="Calibri" w:cs="Times New Roman"/>
          <w:color w:val="auto"/>
        </w:rPr>
      </w:pPr>
      <w:r w:rsidRPr="006213FD">
        <w:rPr>
          <w:rFonts w:ascii="Calibri" w:eastAsia="Calibri" w:hAnsi="Calibri" w:cs="Calibri"/>
          <w:b/>
          <w:color w:val="auto"/>
        </w:rPr>
        <w:t>Název subjektu, který přijímá žádosti o podporu:</w:t>
      </w:r>
      <w:r w:rsidRPr="006213FD" w:rsidDel="00381A87">
        <w:rPr>
          <w:rFonts w:ascii="Calibri" w:eastAsia="Calibri" w:hAnsi="Calibri" w:cs="Calibri"/>
          <w:b/>
          <w:color w:val="auto"/>
        </w:rPr>
        <w:t xml:space="preserve"> </w:t>
      </w:r>
      <w:r w:rsidRPr="006213FD">
        <w:rPr>
          <w:rFonts w:ascii="Calibri" w:eastAsia="Calibri" w:hAnsi="Calibri" w:cs="Times New Roman"/>
          <w:color w:val="auto"/>
        </w:rPr>
        <w:t>Zpros</w:t>
      </w:r>
      <w:r w:rsidR="00AD5322">
        <w:rPr>
          <w:rFonts w:ascii="Calibri" w:eastAsia="Calibri" w:hAnsi="Calibri" w:cs="Times New Roman"/>
          <w:color w:val="auto"/>
        </w:rPr>
        <w:t>tředkující subjekt ITI o</w:t>
      </w:r>
      <w:r w:rsidRPr="006213FD">
        <w:rPr>
          <w:rFonts w:ascii="Calibri" w:eastAsia="Calibri" w:hAnsi="Calibri" w:cs="Times New Roman"/>
          <w:color w:val="auto"/>
        </w:rPr>
        <w:t>lomoucké ag</w:t>
      </w:r>
      <w:r w:rsidR="00AD5322">
        <w:rPr>
          <w:rFonts w:ascii="Calibri" w:eastAsia="Calibri" w:hAnsi="Calibri" w:cs="Times New Roman"/>
          <w:color w:val="auto"/>
        </w:rPr>
        <w:t>lomerace, Palackého 14, 779 11</w:t>
      </w:r>
      <w:r w:rsidR="002C7AB8">
        <w:rPr>
          <w:rFonts w:ascii="Calibri" w:eastAsia="Calibri" w:hAnsi="Calibri" w:cs="Times New Roman"/>
          <w:color w:val="auto"/>
        </w:rPr>
        <w:t xml:space="preserve"> O</w:t>
      </w:r>
      <w:r w:rsidRPr="006213FD">
        <w:rPr>
          <w:rFonts w:ascii="Calibri" w:eastAsia="Calibri" w:hAnsi="Calibri" w:cs="Times New Roman"/>
          <w:color w:val="auto"/>
        </w:rPr>
        <w:t>lomouc.</w:t>
      </w:r>
    </w:p>
    <w:p w14:paraId="212D4AA4" w14:textId="4A9A73FE" w:rsidR="006213FD" w:rsidRPr="006213FD" w:rsidRDefault="006213FD" w:rsidP="006213FD">
      <w:pPr>
        <w:spacing w:after="0" w:line="276" w:lineRule="auto"/>
        <w:rPr>
          <w:rFonts w:ascii="Calibri" w:eastAsia="Calibri" w:hAnsi="Calibri" w:cs="Calibri"/>
          <w:color w:val="auto"/>
          <w:vertAlign w:val="superscript"/>
        </w:rPr>
      </w:pPr>
      <w:r w:rsidRPr="006213FD">
        <w:rPr>
          <w:rFonts w:ascii="Calibri" w:eastAsia="Calibri" w:hAnsi="Calibri" w:cs="Calibri"/>
          <w:b/>
          <w:color w:val="auto"/>
        </w:rPr>
        <w:t xml:space="preserve">Název subjektu, který provádí hodnocení a výběr projektů: </w:t>
      </w:r>
      <w:r w:rsidR="0055634B">
        <w:rPr>
          <w:rFonts w:ascii="Calibri" w:eastAsia="Calibri" w:hAnsi="Calibri" w:cs="Calibri"/>
          <w:color w:val="auto"/>
        </w:rPr>
        <w:t>Výše uvedený</w:t>
      </w:r>
      <w:r w:rsidRPr="006213FD">
        <w:rPr>
          <w:rFonts w:ascii="Calibri" w:eastAsia="Calibri" w:hAnsi="Calibri" w:cs="Calibri"/>
          <w:color w:val="auto"/>
        </w:rPr>
        <w:t xml:space="preserve"> zprostředkující subjekt ITI a</w:t>
      </w:r>
      <w:r w:rsidR="00FA3BA4">
        <w:rPr>
          <w:rFonts w:ascii="Calibri" w:eastAsia="Calibri" w:hAnsi="Calibri" w:cs="Times New Roman"/>
          <w:color w:val="auto"/>
        </w:rPr>
        <w:t> </w:t>
      </w:r>
      <w:r w:rsidRPr="006213FD">
        <w:rPr>
          <w:rFonts w:ascii="Calibri" w:eastAsia="Calibri" w:hAnsi="Calibri" w:cs="Times New Roman"/>
          <w:color w:val="auto"/>
        </w:rPr>
        <w:t>Ministerstvo průmyslu a obchodu</w:t>
      </w:r>
      <w:r w:rsidRPr="006213FD">
        <w:rPr>
          <w:rFonts w:ascii="Calibri" w:eastAsia="Calibri" w:hAnsi="Calibri" w:cs="Calibri"/>
          <w:color w:val="auto"/>
        </w:rPr>
        <w:t>. Blíže viz Příloha</w:t>
      </w:r>
      <w:r w:rsidRPr="006213FD">
        <w:rPr>
          <w:rFonts w:ascii="Calibri" w:eastAsia="Calibri" w:hAnsi="Calibri" w:cs="Times New Roman"/>
          <w:color w:val="auto"/>
        </w:rPr>
        <w:t xml:space="preserve"> č. 4 Výzvy.</w:t>
      </w:r>
    </w:p>
    <w:p w14:paraId="61952DFF" w14:textId="77777777" w:rsidR="006213FD" w:rsidRDefault="006213FD" w:rsidP="00F21137">
      <w:pPr>
        <w:pStyle w:val="Nadpisobsahu"/>
        <w:rPr>
          <w:bCs/>
          <w:color w:val="auto"/>
        </w:rPr>
      </w:pPr>
    </w:p>
    <w:p w14:paraId="1202B4CF" w14:textId="77777777" w:rsidR="00F7406A" w:rsidRPr="00F21137" w:rsidRDefault="00F7406A" w:rsidP="00F21137">
      <w:pPr>
        <w:pStyle w:val="Nadpisobsahu"/>
        <w:rPr>
          <w:color w:val="0070C0"/>
        </w:rPr>
      </w:pPr>
      <w:r w:rsidRPr="00F21137">
        <w:rPr>
          <w:color w:val="0070C0"/>
        </w:rPr>
        <w:t>3. Věcné zaměření výzvy</w:t>
      </w:r>
    </w:p>
    <w:p w14:paraId="0CDF1CAE" w14:textId="77777777" w:rsidR="00F7406A" w:rsidRDefault="00F7406A" w:rsidP="00F7406A">
      <w:pPr>
        <w:spacing w:after="0"/>
        <w:rPr>
          <w:b/>
          <w:bCs/>
          <w:color w:val="auto"/>
        </w:rPr>
      </w:pPr>
      <w:r w:rsidRPr="002E1D37">
        <w:rPr>
          <w:b/>
          <w:bCs/>
          <w:color w:val="auto"/>
        </w:rPr>
        <w:t>3.1 Podporovanými aktivitami jsou:</w:t>
      </w:r>
    </w:p>
    <w:p w14:paraId="0C38B767" w14:textId="2439B063" w:rsidR="00BE0AFE" w:rsidRDefault="00FD2DC5" w:rsidP="00BE0AFE">
      <w:pPr>
        <w:spacing w:after="0"/>
        <w:rPr>
          <w:color w:val="auto"/>
        </w:rPr>
      </w:pPr>
      <w:r>
        <w:rPr>
          <w:color w:val="auto"/>
        </w:rPr>
        <w:t>Podporovány budou podnikatelské</w:t>
      </w:r>
      <w:r w:rsidR="00BE0AFE" w:rsidRPr="00A7040B">
        <w:rPr>
          <w:color w:val="auto"/>
        </w:rPr>
        <w:t xml:space="preserve"> </w:t>
      </w:r>
      <w:r>
        <w:rPr>
          <w:color w:val="auto"/>
        </w:rPr>
        <w:t>aktivity vymezené</w:t>
      </w:r>
      <w:r w:rsidR="00BE0AFE" w:rsidRPr="00A7040B">
        <w:rPr>
          <w:color w:val="auto"/>
        </w:rPr>
        <w:t xml:space="preserve"> seznamem podporovaných ekonomických činnost</w:t>
      </w:r>
      <w:r w:rsidR="00BE0AFE" w:rsidRPr="002E1D37">
        <w:rPr>
          <w:color w:val="auto"/>
        </w:rPr>
        <w:t xml:space="preserve">í podle CZ-NACE, který je uveden v Příloze č. </w:t>
      </w:r>
      <w:r w:rsidR="0080085F">
        <w:rPr>
          <w:color w:val="auto"/>
        </w:rPr>
        <w:t>3</w:t>
      </w:r>
      <w:r w:rsidR="00BE0AFE" w:rsidRPr="002E1D37">
        <w:rPr>
          <w:color w:val="auto"/>
        </w:rPr>
        <w:t xml:space="preserve"> Výzvy (dále jen „podporovaná ekonomická činnost“).</w:t>
      </w:r>
    </w:p>
    <w:p w14:paraId="6C4662D2" w14:textId="77777777" w:rsidR="00B77DE7" w:rsidRPr="002E1D37" w:rsidRDefault="00B77DE7" w:rsidP="00F7406A">
      <w:pPr>
        <w:spacing w:after="0"/>
        <w:rPr>
          <w:b/>
          <w:bCs/>
          <w:color w:val="auto"/>
        </w:rPr>
      </w:pPr>
    </w:p>
    <w:p w14:paraId="1EAEBBEA" w14:textId="7D79125B" w:rsidR="00F92CBA" w:rsidRDefault="00F92CBA" w:rsidP="00F92CBA">
      <w:pPr>
        <w:spacing w:after="0"/>
        <w:rPr>
          <w:rFonts w:cs="Calibri"/>
        </w:rPr>
      </w:pPr>
      <w:r w:rsidRPr="006213FD">
        <w:rPr>
          <w:rFonts w:cs="Calibri"/>
          <w:color w:val="auto"/>
          <w:spacing w:val="1"/>
        </w:rPr>
        <w:t xml:space="preserve">Podporovány budou projekty, které </w:t>
      </w:r>
      <w:r w:rsidR="0080085F">
        <w:rPr>
          <w:rFonts w:cs="Calibri"/>
          <w:color w:val="auto"/>
          <w:spacing w:val="1"/>
        </w:rPr>
        <w:t>předloží</w:t>
      </w:r>
      <w:r w:rsidRPr="006213FD">
        <w:rPr>
          <w:rFonts w:cs="Calibri"/>
          <w:color w:val="auto"/>
          <w:spacing w:val="1"/>
        </w:rPr>
        <w:t xml:space="preserve"> stra</w:t>
      </w:r>
      <w:r>
        <w:rPr>
          <w:rFonts w:cs="Calibri"/>
          <w:color w:val="auto"/>
          <w:spacing w:val="1"/>
        </w:rPr>
        <w:t xml:space="preserve">tegii dalšího rozvoje v oblasti </w:t>
      </w:r>
      <w:r w:rsidRPr="002E1D37">
        <w:rPr>
          <w:rFonts w:cs="Calibri"/>
          <w:color w:val="auto"/>
        </w:rPr>
        <w:t>digitální transformace</w:t>
      </w:r>
      <w:r>
        <w:rPr>
          <w:rFonts w:cs="Calibri"/>
          <w:color w:val="auto"/>
        </w:rPr>
        <w:t xml:space="preserve"> společnosti </w:t>
      </w:r>
      <w:r>
        <w:rPr>
          <w:rFonts w:cs="Calibri"/>
          <w:color w:val="auto"/>
          <w:spacing w:val="1"/>
        </w:rPr>
        <w:t>prostřednictvím</w:t>
      </w:r>
      <w:r w:rsidRPr="002E1D37">
        <w:rPr>
          <w:rFonts w:cs="Calibri"/>
          <w:color w:val="auto"/>
        </w:rPr>
        <w:t xml:space="preserve"> pořízení nových technologických zařízení a </w:t>
      </w:r>
      <w:r w:rsidRPr="002B5133">
        <w:rPr>
          <w:rFonts w:cs="Calibri"/>
          <w:color w:val="auto"/>
        </w:rPr>
        <w:t>vyb</w:t>
      </w:r>
      <w:r w:rsidRPr="002E1D37">
        <w:rPr>
          <w:rFonts w:cs="Calibri"/>
          <w:color w:val="auto"/>
        </w:rPr>
        <w:t>a</w:t>
      </w:r>
      <w:r w:rsidRPr="002B5133">
        <w:rPr>
          <w:rFonts w:cs="Calibri"/>
          <w:color w:val="auto"/>
        </w:rPr>
        <w:t>v</w:t>
      </w:r>
      <w:r w:rsidRPr="002E1D37">
        <w:rPr>
          <w:rFonts w:cs="Calibri"/>
          <w:color w:val="auto"/>
        </w:rPr>
        <w:t>en</w:t>
      </w:r>
      <w:r w:rsidRPr="002B5133">
        <w:rPr>
          <w:rFonts w:cs="Calibri"/>
          <w:color w:val="auto"/>
        </w:rPr>
        <w:t>í</w:t>
      </w:r>
      <w:r>
        <w:rPr>
          <w:rFonts w:cs="Calibri"/>
          <w:color w:val="auto"/>
        </w:rPr>
        <w:t>, která musí být</w:t>
      </w:r>
      <w:r w:rsidRPr="002E1D37">
        <w:rPr>
          <w:rFonts w:cs="Calibri"/>
          <w:color w:val="auto"/>
        </w:rPr>
        <w:t xml:space="preserve"> </w:t>
      </w:r>
      <w:r w:rsidRPr="00390826">
        <w:rPr>
          <w:rFonts w:cs="Calibri"/>
          <w:color w:val="auto"/>
        </w:rPr>
        <w:t>propojen</w:t>
      </w:r>
      <w:r>
        <w:rPr>
          <w:rFonts w:cs="Calibri"/>
          <w:color w:val="auto"/>
        </w:rPr>
        <w:t xml:space="preserve">a se stávajícími nebo nově pořizovanými technologiemi </w:t>
      </w:r>
      <w:r w:rsidRPr="002B5133">
        <w:rPr>
          <w:rFonts w:cs="Calibri"/>
          <w:color w:val="auto"/>
        </w:rPr>
        <w:t>podnikov</w:t>
      </w:r>
      <w:r>
        <w:rPr>
          <w:rFonts w:cs="Calibri"/>
          <w:color w:val="auto"/>
        </w:rPr>
        <w:t>ým</w:t>
      </w:r>
      <w:r w:rsidRPr="00D53B15">
        <w:rPr>
          <w:rFonts w:cs="Calibri"/>
          <w:color w:val="auto"/>
        </w:rPr>
        <w:t xml:space="preserve"> informačním</w:t>
      </w:r>
      <w:r w:rsidRPr="002B5133">
        <w:rPr>
          <w:rFonts w:cs="Calibri"/>
          <w:color w:val="auto"/>
        </w:rPr>
        <w:t xml:space="preserve"> systém</w:t>
      </w:r>
      <w:r w:rsidRPr="00A7462E">
        <w:rPr>
          <w:rFonts w:cs="Calibri"/>
          <w:color w:val="auto"/>
        </w:rPr>
        <w:t>em</w:t>
      </w:r>
      <w:r w:rsidRPr="002B5133">
        <w:rPr>
          <w:rFonts w:cs="Calibri"/>
          <w:color w:val="auto"/>
        </w:rPr>
        <w:t xml:space="preserve"> </w:t>
      </w:r>
      <w:r w:rsidRPr="00B845E2">
        <w:rPr>
          <w:rFonts w:cs="Calibri"/>
          <w:color w:val="auto"/>
        </w:rPr>
        <w:t>(</w:t>
      </w:r>
      <w:r w:rsidRPr="00673335">
        <w:rPr>
          <w:rFonts w:cs="Calibri"/>
          <w:color w:val="auto"/>
        </w:rPr>
        <w:t>IS</w:t>
      </w:r>
      <w:r w:rsidRPr="00B845E2">
        <w:rPr>
          <w:rFonts w:cs="Calibri"/>
          <w:color w:val="auto"/>
        </w:rPr>
        <w:t xml:space="preserve"> či ERP</w:t>
      </w:r>
      <w:r>
        <w:rPr>
          <w:rFonts w:cs="Calibri"/>
          <w:color w:val="auto"/>
        </w:rPr>
        <w:t>, MES, MIS</w:t>
      </w:r>
      <w:r w:rsidRPr="00673335">
        <w:rPr>
          <w:rFonts w:cs="Calibri"/>
          <w:color w:val="auto"/>
        </w:rPr>
        <w:t>) a jeho dalšími implementovanými moduly integrující všechny nebo většinu oblastí</w:t>
      </w:r>
      <w:r w:rsidRPr="002B5133">
        <w:rPr>
          <w:rFonts w:cs="Calibri"/>
          <w:color w:val="auto"/>
        </w:rPr>
        <w:t xml:space="preserve"> podnikové činnosti, jako jsou plánování, zásoby, nákup, prodej, marketing, finance, personalistika atd.</w:t>
      </w:r>
      <w:r w:rsidRPr="002B5133">
        <w:rPr>
          <w:rFonts w:cs="Calibri"/>
        </w:rPr>
        <w:t xml:space="preserve"> </w:t>
      </w:r>
      <w:r w:rsidRPr="002B5133">
        <w:rPr>
          <w:rFonts w:cs="Calibri"/>
        </w:rPr>
        <w:footnoteReference w:id="1"/>
      </w:r>
    </w:p>
    <w:p w14:paraId="306BBC2D" w14:textId="77777777" w:rsidR="00F92CBA" w:rsidRDefault="00F92CBA" w:rsidP="00F92CBA">
      <w:pPr>
        <w:spacing w:after="0"/>
        <w:rPr>
          <w:rFonts w:cs="Calibri"/>
        </w:rPr>
      </w:pPr>
      <w:r>
        <w:rPr>
          <w:rFonts w:cs="Calibri"/>
        </w:rPr>
        <w:t xml:space="preserve">V případě, že společnost žadatele nedisponuje obdobným informačním systémem, je povinna takový systém pořídit a implementovat v rámci realizace předkládaného projektu. </w:t>
      </w:r>
    </w:p>
    <w:p w14:paraId="08077BF9" w14:textId="77777777" w:rsidR="00A642BC" w:rsidRDefault="00A642BC" w:rsidP="00B77DE7">
      <w:pPr>
        <w:spacing w:after="0"/>
        <w:rPr>
          <w:rFonts w:cs="Calibri"/>
          <w:color w:val="auto"/>
        </w:rPr>
      </w:pPr>
    </w:p>
    <w:p w14:paraId="0C27E8BE" w14:textId="7FDCCC78" w:rsidR="009002C5" w:rsidRDefault="00BD6093" w:rsidP="00B77DE7">
      <w:pPr>
        <w:spacing w:after="0"/>
        <w:rPr>
          <w:rFonts w:cs="Calibri"/>
          <w:color w:val="auto"/>
        </w:rPr>
      </w:pPr>
      <w:r>
        <w:rPr>
          <w:rFonts w:cs="Calibri"/>
          <w:color w:val="auto"/>
        </w:rPr>
        <w:t>Součástí podané žá</w:t>
      </w:r>
      <w:r w:rsidR="00C749CA">
        <w:rPr>
          <w:rFonts w:cs="Calibri"/>
          <w:color w:val="auto"/>
        </w:rPr>
        <w:t xml:space="preserve">dosti </w:t>
      </w:r>
      <w:r w:rsidR="00C52549">
        <w:rPr>
          <w:rFonts w:cs="Calibri"/>
          <w:color w:val="auto"/>
        </w:rPr>
        <w:t xml:space="preserve">o podporu </w:t>
      </w:r>
      <w:r w:rsidR="00C749CA">
        <w:rPr>
          <w:rFonts w:cs="Calibri"/>
          <w:color w:val="auto"/>
        </w:rPr>
        <w:t xml:space="preserve">bude </w:t>
      </w:r>
      <w:r w:rsidR="0004193F">
        <w:rPr>
          <w:rFonts w:cs="Calibri"/>
          <w:color w:val="auto"/>
        </w:rPr>
        <w:t>vypracov</w:t>
      </w:r>
      <w:r w:rsidR="0055634B">
        <w:rPr>
          <w:rFonts w:cs="Calibri"/>
          <w:color w:val="auto"/>
        </w:rPr>
        <w:t>a</w:t>
      </w:r>
      <w:r w:rsidR="00F92CBA">
        <w:rPr>
          <w:rFonts w:cs="Calibri"/>
          <w:color w:val="auto"/>
        </w:rPr>
        <w:t>n</w:t>
      </w:r>
      <w:r w:rsidR="0055634B">
        <w:rPr>
          <w:rFonts w:cs="Calibri"/>
          <w:color w:val="auto"/>
        </w:rPr>
        <w:t>ý</w:t>
      </w:r>
      <w:r w:rsidR="00F92CBA">
        <w:rPr>
          <w:rFonts w:cs="Calibri"/>
          <w:color w:val="auto"/>
        </w:rPr>
        <w:t xml:space="preserve"> plán digitální transformace </w:t>
      </w:r>
      <w:r w:rsidR="00C3190B">
        <w:rPr>
          <w:rFonts w:cs="Calibri"/>
          <w:color w:val="auto"/>
        </w:rPr>
        <w:t xml:space="preserve">části nebo celé </w:t>
      </w:r>
      <w:r w:rsidR="00F92CBA">
        <w:rPr>
          <w:rFonts w:cs="Calibri"/>
          <w:color w:val="auto"/>
        </w:rPr>
        <w:t>společnosti</w:t>
      </w:r>
      <w:r w:rsidR="00936734">
        <w:rPr>
          <w:rFonts w:cs="Calibri"/>
          <w:color w:val="auto"/>
        </w:rPr>
        <w:t xml:space="preserve"> dle O</w:t>
      </w:r>
      <w:r w:rsidR="00C3190B">
        <w:rPr>
          <w:rFonts w:cs="Calibri"/>
          <w:color w:val="auto"/>
        </w:rPr>
        <w:t>snovy</w:t>
      </w:r>
      <w:r w:rsidR="00936734">
        <w:rPr>
          <w:rFonts w:cs="Calibri"/>
          <w:color w:val="auto"/>
        </w:rPr>
        <w:t xml:space="preserve"> - </w:t>
      </w:r>
      <w:r w:rsidR="00C3190B">
        <w:rPr>
          <w:rFonts w:cs="Calibri"/>
          <w:color w:val="auto"/>
        </w:rPr>
        <w:t xml:space="preserve">příloha výzvy č. </w:t>
      </w:r>
      <w:r w:rsidR="00936734">
        <w:rPr>
          <w:rFonts w:cs="Calibri"/>
          <w:color w:val="auto"/>
        </w:rPr>
        <w:t>6</w:t>
      </w:r>
      <w:r w:rsidR="009002C5">
        <w:rPr>
          <w:rFonts w:cs="Calibri"/>
          <w:color w:val="auto"/>
        </w:rPr>
        <w:t>:</w:t>
      </w:r>
    </w:p>
    <w:p w14:paraId="139855FA" w14:textId="77777777" w:rsidR="00B77DE7" w:rsidRDefault="00B77DE7" w:rsidP="00B77DE7">
      <w:pPr>
        <w:spacing w:after="0"/>
        <w:rPr>
          <w:color w:val="auto"/>
        </w:rPr>
      </w:pPr>
    </w:p>
    <w:p w14:paraId="5627053A" w14:textId="77E36CFA" w:rsidR="00B77DE7" w:rsidRDefault="00936734" w:rsidP="00AD6130">
      <w:pPr>
        <w:spacing w:after="0"/>
        <w:rPr>
          <w:rFonts w:cs="Calibri"/>
          <w:color w:val="auto"/>
          <w:spacing w:val="1"/>
        </w:rPr>
      </w:pPr>
      <w:r>
        <w:rPr>
          <w:rFonts w:cs="Calibri"/>
          <w:color w:val="auto"/>
          <w:spacing w:val="1"/>
        </w:rPr>
        <w:lastRenderedPageBreak/>
        <w:t>Plán digitální transformace</w:t>
      </w:r>
      <w:r w:rsidR="007461F1">
        <w:rPr>
          <w:rFonts w:cs="Calibri"/>
          <w:color w:val="auto"/>
          <w:spacing w:val="1"/>
        </w:rPr>
        <w:t xml:space="preserve"> (PDT)</w:t>
      </w:r>
      <w:r>
        <w:rPr>
          <w:rFonts w:cs="Calibri"/>
          <w:color w:val="auto"/>
          <w:spacing w:val="1"/>
        </w:rPr>
        <w:t xml:space="preserve"> </w:t>
      </w:r>
      <w:r w:rsidR="0055634B">
        <w:rPr>
          <w:rFonts w:cs="Calibri"/>
          <w:color w:val="auto"/>
          <w:spacing w:val="1"/>
        </w:rPr>
        <w:t>může být vypracován</w:t>
      </w:r>
      <w:r w:rsidR="00DF0B64">
        <w:rPr>
          <w:rFonts w:cs="Calibri"/>
          <w:color w:val="auto"/>
          <w:spacing w:val="1"/>
        </w:rPr>
        <w:t xml:space="preserve"> vlastní aktivací nebo poradenskou služ</w:t>
      </w:r>
      <w:r w:rsidR="00CC3C90">
        <w:rPr>
          <w:rFonts w:cs="Calibri"/>
          <w:color w:val="auto"/>
          <w:spacing w:val="1"/>
        </w:rPr>
        <w:t>b</w:t>
      </w:r>
      <w:r w:rsidR="00DF0B64">
        <w:rPr>
          <w:rFonts w:cs="Calibri"/>
          <w:color w:val="auto"/>
          <w:spacing w:val="1"/>
        </w:rPr>
        <w:t>ou</w:t>
      </w:r>
      <w:r w:rsidR="00AD6130">
        <w:rPr>
          <w:rFonts w:cs="Calibri"/>
          <w:color w:val="auto"/>
          <w:spacing w:val="1"/>
        </w:rPr>
        <w:t>, výdaje na je</w:t>
      </w:r>
      <w:r w:rsidR="0055634B">
        <w:rPr>
          <w:rFonts w:cs="Calibri"/>
          <w:color w:val="auto"/>
          <w:spacing w:val="1"/>
        </w:rPr>
        <w:t>ho</w:t>
      </w:r>
      <w:r w:rsidR="00AD6130">
        <w:rPr>
          <w:rFonts w:cs="Calibri"/>
          <w:color w:val="auto"/>
          <w:spacing w:val="1"/>
        </w:rPr>
        <w:t xml:space="preserve"> zpracování nejsou v rám</w:t>
      </w:r>
      <w:r w:rsidR="00113638">
        <w:rPr>
          <w:rFonts w:cs="Calibri"/>
          <w:color w:val="auto"/>
          <w:spacing w:val="1"/>
        </w:rPr>
        <w:t>ci této výzvy způsobilé. V</w:t>
      </w:r>
      <w:r w:rsidR="00AD6130">
        <w:rPr>
          <w:rFonts w:cs="Calibri"/>
          <w:color w:val="auto"/>
          <w:spacing w:val="1"/>
        </w:rPr>
        <w:t> případě</w:t>
      </w:r>
      <w:r w:rsidR="00CC3C90">
        <w:rPr>
          <w:rFonts w:cs="Calibri"/>
          <w:color w:val="auto"/>
          <w:spacing w:val="1"/>
        </w:rPr>
        <w:t xml:space="preserve"> vypracování studie</w:t>
      </w:r>
      <w:r w:rsidR="00AD6130">
        <w:rPr>
          <w:rFonts w:cs="Calibri"/>
          <w:color w:val="auto"/>
          <w:spacing w:val="1"/>
        </w:rPr>
        <w:t xml:space="preserve"> poradenskou službou, </w:t>
      </w:r>
      <w:r w:rsidR="00CC3C90">
        <w:rPr>
          <w:rFonts w:cs="Calibri"/>
          <w:color w:val="auto"/>
          <w:spacing w:val="1"/>
        </w:rPr>
        <w:t>lze</w:t>
      </w:r>
      <w:r w:rsidR="00113638">
        <w:rPr>
          <w:rFonts w:cs="Calibri"/>
          <w:color w:val="auto"/>
          <w:spacing w:val="1"/>
        </w:rPr>
        <w:t xml:space="preserve"> </w:t>
      </w:r>
      <w:r w:rsidR="00CC3C90">
        <w:rPr>
          <w:rFonts w:cs="Calibri"/>
          <w:color w:val="auto"/>
          <w:spacing w:val="1"/>
        </w:rPr>
        <w:t xml:space="preserve">tyto </w:t>
      </w:r>
      <w:r w:rsidR="00113638">
        <w:rPr>
          <w:rFonts w:cs="Calibri"/>
          <w:color w:val="auto"/>
          <w:spacing w:val="1"/>
        </w:rPr>
        <w:t xml:space="preserve">výdaje </w:t>
      </w:r>
      <w:r w:rsidR="00B77DE7" w:rsidRPr="00B77DE7">
        <w:rPr>
          <w:rFonts w:cs="Calibri"/>
          <w:color w:val="auto"/>
          <w:spacing w:val="1"/>
        </w:rPr>
        <w:t>uplatnit v rámci podané žádosti o podporu do programu Poradenství OPPIK, a to v souladu s podmínkami vyhlašované výzvy</w:t>
      </w:r>
      <w:r w:rsidR="00CC3C90">
        <w:rPr>
          <w:rFonts w:cs="Calibri"/>
          <w:color w:val="auto"/>
          <w:spacing w:val="1"/>
        </w:rPr>
        <w:t xml:space="preserve"> (kvalifikační předpoklady dodavatele služby).</w:t>
      </w:r>
    </w:p>
    <w:p w14:paraId="36D93F61" w14:textId="7E11347D" w:rsidR="00DA6674" w:rsidRPr="00777926" w:rsidRDefault="000B17F3" w:rsidP="00AD6130">
      <w:pPr>
        <w:spacing w:after="0"/>
        <w:rPr>
          <w:rFonts w:cs="Calibri"/>
          <w:color w:val="auto"/>
          <w:spacing w:val="1"/>
        </w:rPr>
      </w:pPr>
      <w:r>
        <w:rPr>
          <w:rFonts w:cs="Calibri"/>
          <w:color w:val="auto"/>
          <w:spacing w:val="1"/>
        </w:rPr>
        <w:t xml:space="preserve">Součástí </w:t>
      </w:r>
      <w:r w:rsidR="007461F1">
        <w:rPr>
          <w:rFonts w:cs="Calibri"/>
          <w:color w:val="auto"/>
          <w:spacing w:val="1"/>
        </w:rPr>
        <w:t xml:space="preserve">PDT </w:t>
      </w:r>
      <w:r w:rsidR="00677A44">
        <w:rPr>
          <w:rFonts w:cs="Calibri"/>
          <w:color w:val="auto"/>
          <w:spacing w:val="1"/>
        </w:rPr>
        <w:t xml:space="preserve">bude </w:t>
      </w:r>
      <w:r w:rsidR="0001269B">
        <w:rPr>
          <w:rFonts w:cs="Calibri"/>
          <w:color w:val="auto"/>
          <w:spacing w:val="1"/>
        </w:rPr>
        <w:t xml:space="preserve">vyplněný </w:t>
      </w:r>
      <w:r w:rsidR="00677A44">
        <w:rPr>
          <w:rFonts w:cs="Calibri"/>
          <w:color w:val="auto"/>
          <w:spacing w:val="1"/>
        </w:rPr>
        <w:t xml:space="preserve">pracovní formulář, příloha </w:t>
      </w:r>
      <w:r w:rsidR="00747A1E">
        <w:rPr>
          <w:rFonts w:cs="Calibri"/>
          <w:color w:val="auto"/>
          <w:spacing w:val="1"/>
        </w:rPr>
        <w:t>Osnovy PDT</w:t>
      </w:r>
      <w:r w:rsidR="00677A44">
        <w:rPr>
          <w:rFonts w:cs="Calibri"/>
          <w:color w:val="auto"/>
          <w:spacing w:val="1"/>
        </w:rPr>
        <w:t xml:space="preserve"> č. </w:t>
      </w:r>
      <w:r w:rsidR="00747A1E">
        <w:rPr>
          <w:rFonts w:cs="Calibri"/>
          <w:color w:val="auto"/>
          <w:spacing w:val="1"/>
        </w:rPr>
        <w:t>1</w:t>
      </w:r>
      <w:r w:rsidR="00677A44">
        <w:rPr>
          <w:rFonts w:cs="Calibri"/>
          <w:color w:val="auto"/>
          <w:spacing w:val="1"/>
        </w:rPr>
        <w:t xml:space="preserve">, </w:t>
      </w:r>
      <w:r w:rsidR="00AA5366">
        <w:rPr>
          <w:rFonts w:cs="Calibri"/>
          <w:color w:val="auto"/>
          <w:spacing w:val="1"/>
        </w:rPr>
        <w:t>dle kterého žadatel vyhodnotí</w:t>
      </w:r>
      <w:r w:rsidR="00AA5366" w:rsidRPr="0055634B">
        <w:rPr>
          <w:rFonts w:cs="Calibri"/>
          <w:color w:val="auto"/>
          <w:spacing w:val="1"/>
        </w:rPr>
        <w:t xml:space="preserve"> současný a plánovaný stav digitální úrovně</w:t>
      </w:r>
      <w:r w:rsidR="00043744" w:rsidRPr="0055634B">
        <w:rPr>
          <w:rFonts w:cs="Calibri"/>
          <w:color w:val="auto"/>
          <w:spacing w:val="1"/>
        </w:rPr>
        <w:t xml:space="preserve"> včetně zdůvodňujícího</w:t>
      </w:r>
      <w:r w:rsidR="00DA6674" w:rsidRPr="0055634B">
        <w:rPr>
          <w:rFonts w:cs="Calibri"/>
          <w:color w:val="auto"/>
          <w:spacing w:val="1"/>
        </w:rPr>
        <w:t xml:space="preserve"> komentář</w:t>
      </w:r>
      <w:r w:rsidR="00043744" w:rsidRPr="0055634B">
        <w:rPr>
          <w:rFonts w:cs="Calibri"/>
          <w:color w:val="auto"/>
          <w:spacing w:val="1"/>
        </w:rPr>
        <w:t xml:space="preserve">e a jehož výstupem bude </w:t>
      </w:r>
      <w:r w:rsidR="00901CE6" w:rsidRPr="0055634B">
        <w:rPr>
          <w:rFonts w:cs="Calibri"/>
          <w:color w:val="auto"/>
          <w:spacing w:val="1"/>
        </w:rPr>
        <w:t xml:space="preserve">bodové stanovení </w:t>
      </w:r>
      <w:r w:rsidR="00747A1E" w:rsidRPr="0055634B">
        <w:rPr>
          <w:rFonts w:cs="Calibri"/>
          <w:color w:val="auto"/>
          <w:spacing w:val="1"/>
        </w:rPr>
        <w:t xml:space="preserve">současné úrovně ve výši min. 13 bodů a </w:t>
      </w:r>
      <w:r w:rsidR="00043744" w:rsidRPr="0055634B">
        <w:rPr>
          <w:rFonts w:cs="Calibri"/>
          <w:color w:val="auto"/>
          <w:spacing w:val="1"/>
        </w:rPr>
        <w:t>pokroku v oblasti digitální transformace</w:t>
      </w:r>
      <w:r w:rsidR="00E8406C" w:rsidRPr="0055634B">
        <w:rPr>
          <w:rFonts w:cs="Calibri"/>
          <w:color w:val="auto"/>
          <w:spacing w:val="1"/>
        </w:rPr>
        <w:t xml:space="preserve"> ve výši min. </w:t>
      </w:r>
      <w:r w:rsidR="00747A1E" w:rsidRPr="0055634B">
        <w:rPr>
          <w:rFonts w:cs="Calibri"/>
          <w:color w:val="auto"/>
          <w:spacing w:val="1"/>
        </w:rPr>
        <w:t>24</w:t>
      </w:r>
      <w:r w:rsidR="00E8406C" w:rsidRPr="0055634B">
        <w:rPr>
          <w:rFonts w:cs="Calibri"/>
          <w:color w:val="auto"/>
          <w:spacing w:val="1"/>
        </w:rPr>
        <w:t xml:space="preserve"> bodů</w:t>
      </w:r>
      <w:r w:rsidR="002B2A3A" w:rsidRPr="0055634B">
        <w:rPr>
          <w:rFonts w:cs="Calibri"/>
          <w:color w:val="auto"/>
          <w:spacing w:val="1"/>
        </w:rPr>
        <w:t>.</w:t>
      </w:r>
    </w:p>
    <w:p w14:paraId="6F40C9B4" w14:textId="77777777" w:rsidR="00F7406A" w:rsidRPr="002E1D37" w:rsidRDefault="00F7406A" w:rsidP="00F7406A">
      <w:pPr>
        <w:spacing w:before="240" w:after="0"/>
        <w:rPr>
          <w:b/>
          <w:bCs/>
          <w:color w:val="auto"/>
        </w:rPr>
      </w:pPr>
      <w:r w:rsidRPr="002E1D37">
        <w:rPr>
          <w:b/>
          <w:bCs/>
          <w:color w:val="auto"/>
        </w:rPr>
        <w:t>3.2 Podporovanými aktivitami nejsou:</w:t>
      </w:r>
    </w:p>
    <w:p w14:paraId="2386F2FB" w14:textId="77777777" w:rsidR="00F7406A" w:rsidRPr="00A7040B" w:rsidRDefault="00F7406A" w:rsidP="007853A7">
      <w:pPr>
        <w:pStyle w:val="Bezmezer"/>
        <w:numPr>
          <w:ilvl w:val="0"/>
          <w:numId w:val="32"/>
        </w:numPr>
        <w:spacing w:line="276" w:lineRule="auto"/>
        <w:ind w:left="1134" w:hanging="425"/>
        <w:jc w:val="both"/>
      </w:pPr>
      <w:r w:rsidRPr="00A7040B">
        <w:t xml:space="preserve">prostá obnova majetku, </w:t>
      </w:r>
    </w:p>
    <w:p w14:paraId="0B2452F1" w14:textId="77777777" w:rsidR="00F7406A" w:rsidRPr="002E1D37" w:rsidRDefault="00F7406A" w:rsidP="007853A7">
      <w:pPr>
        <w:pStyle w:val="Bezmezer"/>
        <w:numPr>
          <w:ilvl w:val="0"/>
          <w:numId w:val="32"/>
        </w:numPr>
        <w:spacing w:line="276" w:lineRule="auto"/>
        <w:ind w:left="1134" w:hanging="425"/>
        <w:jc w:val="both"/>
        <w:rPr>
          <w:rFonts w:cs="Calibri"/>
        </w:rPr>
      </w:pPr>
      <w:r w:rsidRPr="002E1D37">
        <w:rPr>
          <w:rFonts w:cs="Calibri"/>
        </w:rPr>
        <w:t>aktivity spojené s podporou vývozu do členských států Evropské unie a třetích zemí a to podporou přímo vázanou na množství vývozu nebo spojenou se založením a fungováním distribuční sítě nebo jinými běžnými výdaji souvisejícími s vývozními aktivitami,</w:t>
      </w:r>
    </w:p>
    <w:p w14:paraId="0B8E8D2B" w14:textId="0C2E2CD5" w:rsidR="00F7406A" w:rsidRPr="002E1D37" w:rsidRDefault="00F7406A" w:rsidP="007853A7">
      <w:pPr>
        <w:pStyle w:val="Bezmezer"/>
        <w:numPr>
          <w:ilvl w:val="0"/>
          <w:numId w:val="32"/>
        </w:numPr>
        <w:spacing w:line="276" w:lineRule="auto"/>
        <w:ind w:left="1134" w:hanging="425"/>
        <w:jc w:val="both"/>
        <w:rPr>
          <w:rFonts w:cs="Calibri"/>
        </w:rPr>
      </w:pPr>
      <w:r w:rsidRPr="002E1D37">
        <w:rPr>
          <w:rFonts w:cs="Calibri"/>
        </w:rPr>
        <w:t xml:space="preserve">aktivity spojené s podporou přednostního užití domácího zboží </w:t>
      </w:r>
      <w:r w:rsidR="00E43AF6">
        <w:rPr>
          <w:rFonts w:cs="Calibri"/>
        </w:rPr>
        <w:t xml:space="preserve">či služeb </w:t>
      </w:r>
      <w:r w:rsidRPr="002E1D37">
        <w:rPr>
          <w:rFonts w:cs="Calibri"/>
        </w:rPr>
        <w:t>před dováženým,</w:t>
      </w:r>
    </w:p>
    <w:p w14:paraId="76CA6523" w14:textId="77777777" w:rsidR="00F7406A" w:rsidRPr="002E1D37" w:rsidRDefault="00F7406A" w:rsidP="007853A7">
      <w:pPr>
        <w:pStyle w:val="Bezmezer"/>
        <w:numPr>
          <w:ilvl w:val="0"/>
          <w:numId w:val="32"/>
        </w:numPr>
        <w:spacing w:line="276" w:lineRule="auto"/>
        <w:ind w:left="1134" w:hanging="425"/>
        <w:jc w:val="both"/>
      </w:pPr>
      <w:r w:rsidRPr="002E1D37">
        <w:rPr>
          <w:rFonts w:cs="Calibri"/>
        </w:rPr>
        <w:t>aktivace.</w:t>
      </w:r>
    </w:p>
    <w:p w14:paraId="4D96EA99" w14:textId="77777777" w:rsidR="00F7406A" w:rsidRPr="002E1D37" w:rsidRDefault="00F7406A" w:rsidP="00F7406A">
      <w:pPr>
        <w:spacing w:before="240" w:after="0"/>
        <w:rPr>
          <w:b/>
          <w:bCs/>
          <w:color w:val="auto"/>
        </w:rPr>
      </w:pPr>
      <w:r w:rsidRPr="002E1D37">
        <w:rPr>
          <w:b/>
          <w:bCs/>
          <w:color w:val="auto"/>
        </w:rPr>
        <w:t>3.3 Indikátory</w:t>
      </w:r>
    </w:p>
    <w:p w14:paraId="31B2C53A" w14:textId="77777777" w:rsidR="00F7406A" w:rsidRPr="002E1D37" w:rsidRDefault="00F7406A" w:rsidP="00F7406A">
      <w:pPr>
        <w:spacing w:after="0"/>
        <w:rPr>
          <w:bCs/>
          <w:color w:val="auto"/>
        </w:rPr>
      </w:pPr>
      <w:r w:rsidRPr="002E1D37">
        <w:rPr>
          <w:bCs/>
          <w:color w:val="auto"/>
        </w:rPr>
        <w:t>Z úrovně projektů budou příjemcem podpory povinně vykazovány a naplňovány všechny následující</w:t>
      </w:r>
    </w:p>
    <w:p w14:paraId="32450D26" w14:textId="77777777" w:rsidR="00F7406A" w:rsidRPr="002E1D37" w:rsidRDefault="00F7406A" w:rsidP="00F7406A">
      <w:pPr>
        <w:spacing w:after="0"/>
        <w:rPr>
          <w:bCs/>
          <w:color w:val="auto"/>
        </w:rPr>
      </w:pPr>
      <w:r w:rsidRPr="002E1D37">
        <w:rPr>
          <w:bCs/>
          <w:color w:val="auto"/>
        </w:rPr>
        <w:t>indikátory</w:t>
      </w:r>
      <w:r w:rsidRPr="002E1D37">
        <w:rPr>
          <w:rStyle w:val="Znakapoznpodarou"/>
          <w:bCs/>
          <w:color w:val="auto"/>
        </w:rPr>
        <w:footnoteReference w:id="2"/>
      </w:r>
      <w:r w:rsidRPr="002E1D37">
        <w:rPr>
          <w:bCs/>
          <w:color w:val="auto"/>
        </w:rPr>
        <w:t>:</w:t>
      </w:r>
    </w:p>
    <w:p w14:paraId="1E1644CC" w14:textId="77777777" w:rsidR="00F7406A" w:rsidRPr="002E1D37" w:rsidRDefault="00F7406A" w:rsidP="00F7406A">
      <w:pPr>
        <w:pStyle w:val="Odstavecseseznamem"/>
        <w:numPr>
          <w:ilvl w:val="0"/>
          <w:numId w:val="9"/>
        </w:numPr>
        <w:spacing w:after="0"/>
        <w:rPr>
          <w:bCs/>
          <w:color w:val="auto"/>
        </w:rPr>
      </w:pPr>
      <w:r w:rsidRPr="002E1D37">
        <w:rPr>
          <w:bCs/>
          <w:color w:val="auto"/>
        </w:rPr>
        <w:t xml:space="preserve">povinné k výběru: </w:t>
      </w:r>
    </w:p>
    <w:p w14:paraId="5759FF5A" w14:textId="77777777" w:rsidR="00F7406A" w:rsidRPr="002E1D37" w:rsidRDefault="00F7406A" w:rsidP="007853A7">
      <w:pPr>
        <w:pStyle w:val="Odstavecseseznamem"/>
        <w:numPr>
          <w:ilvl w:val="1"/>
          <w:numId w:val="33"/>
        </w:numPr>
        <w:overflowPunct w:val="0"/>
        <w:autoSpaceDE w:val="0"/>
        <w:autoSpaceDN w:val="0"/>
        <w:adjustRightInd w:val="0"/>
        <w:spacing w:line="276" w:lineRule="auto"/>
        <w:textAlignment w:val="baseline"/>
        <w:rPr>
          <w:rFonts w:cs="Calibri"/>
          <w:color w:val="auto"/>
        </w:rPr>
      </w:pPr>
      <w:r w:rsidRPr="002E1D37">
        <w:rPr>
          <w:rFonts w:cs="Calibri"/>
          <w:color w:val="auto"/>
        </w:rPr>
        <w:t xml:space="preserve">10700 Přidaná hodnota MSP </w:t>
      </w:r>
    </w:p>
    <w:p w14:paraId="32A61735" w14:textId="77777777" w:rsidR="00F7406A" w:rsidRPr="002E1D37" w:rsidRDefault="00F7406A" w:rsidP="007853A7">
      <w:pPr>
        <w:pStyle w:val="Odstavecseseznamem"/>
        <w:numPr>
          <w:ilvl w:val="1"/>
          <w:numId w:val="33"/>
        </w:numPr>
        <w:overflowPunct w:val="0"/>
        <w:autoSpaceDE w:val="0"/>
        <w:autoSpaceDN w:val="0"/>
        <w:adjustRightInd w:val="0"/>
        <w:spacing w:line="276" w:lineRule="auto"/>
        <w:textAlignment w:val="baseline"/>
        <w:rPr>
          <w:rFonts w:cs="Calibri"/>
          <w:color w:val="auto"/>
        </w:rPr>
      </w:pPr>
      <w:r w:rsidRPr="002E1D37">
        <w:rPr>
          <w:rFonts w:cs="Calibri"/>
          <w:color w:val="auto"/>
        </w:rPr>
        <w:t>10400 Zvýšení zaměstnanosti v podporovaných podnicích</w:t>
      </w:r>
    </w:p>
    <w:p w14:paraId="28D51B3B" w14:textId="77777777" w:rsidR="00F7406A" w:rsidRPr="002E1D37" w:rsidRDefault="00F7406A" w:rsidP="007853A7">
      <w:pPr>
        <w:pStyle w:val="Odstavecseseznamem"/>
        <w:numPr>
          <w:ilvl w:val="1"/>
          <w:numId w:val="33"/>
        </w:numPr>
        <w:overflowPunct w:val="0"/>
        <w:autoSpaceDE w:val="0"/>
        <w:autoSpaceDN w:val="0"/>
        <w:adjustRightInd w:val="0"/>
        <w:spacing w:line="276" w:lineRule="auto"/>
        <w:textAlignment w:val="baseline"/>
        <w:rPr>
          <w:rFonts w:cs="Calibri"/>
          <w:color w:val="auto"/>
        </w:rPr>
      </w:pPr>
      <w:r w:rsidRPr="002E1D37">
        <w:rPr>
          <w:rFonts w:cs="Calibri"/>
          <w:color w:val="auto"/>
        </w:rPr>
        <w:t>10402 Počet nově vytvořených pracovních míst – ženy</w:t>
      </w:r>
    </w:p>
    <w:p w14:paraId="12826B25" w14:textId="77777777" w:rsidR="00F7406A" w:rsidRPr="002E1D37" w:rsidRDefault="00F7406A" w:rsidP="00F7406A">
      <w:pPr>
        <w:pStyle w:val="Odstavecseseznamem"/>
        <w:spacing w:after="0"/>
        <w:rPr>
          <w:bCs/>
          <w:color w:val="auto"/>
        </w:rPr>
      </w:pPr>
    </w:p>
    <w:p w14:paraId="30553393" w14:textId="77777777" w:rsidR="00F7406A" w:rsidRPr="002E1D37" w:rsidRDefault="00F7406A" w:rsidP="00F7406A">
      <w:pPr>
        <w:pStyle w:val="Odstavecseseznamem"/>
        <w:numPr>
          <w:ilvl w:val="0"/>
          <w:numId w:val="9"/>
        </w:numPr>
        <w:rPr>
          <w:bCs/>
          <w:color w:val="auto"/>
        </w:rPr>
      </w:pPr>
      <w:r w:rsidRPr="002E1D37">
        <w:rPr>
          <w:bCs/>
          <w:color w:val="auto"/>
        </w:rPr>
        <w:t xml:space="preserve">povinné k naplnění: </w:t>
      </w:r>
    </w:p>
    <w:p w14:paraId="4FA84CAB" w14:textId="77777777" w:rsidR="00F7406A" w:rsidRPr="002E1D37" w:rsidRDefault="00F7406A" w:rsidP="007853A7">
      <w:pPr>
        <w:pStyle w:val="Odstavecseseznamem"/>
        <w:numPr>
          <w:ilvl w:val="1"/>
          <w:numId w:val="33"/>
        </w:numPr>
        <w:overflowPunct w:val="0"/>
        <w:autoSpaceDE w:val="0"/>
        <w:autoSpaceDN w:val="0"/>
        <w:adjustRightInd w:val="0"/>
        <w:spacing w:line="276" w:lineRule="auto"/>
        <w:textAlignment w:val="baseline"/>
        <w:rPr>
          <w:color w:val="auto"/>
        </w:rPr>
      </w:pPr>
      <w:r w:rsidRPr="002E1D37">
        <w:rPr>
          <w:rFonts w:cs="Calibri"/>
          <w:color w:val="auto"/>
        </w:rPr>
        <w:t>24301 Počet instalovaných technologií</w:t>
      </w:r>
    </w:p>
    <w:p w14:paraId="069213CB" w14:textId="77777777" w:rsidR="002E1D37" w:rsidRPr="002E1D37" w:rsidRDefault="008837A9" w:rsidP="002E1D37">
      <w:pPr>
        <w:overflowPunct w:val="0"/>
        <w:autoSpaceDE w:val="0"/>
        <w:autoSpaceDN w:val="0"/>
        <w:adjustRightInd w:val="0"/>
        <w:spacing w:line="276" w:lineRule="auto"/>
        <w:textAlignment w:val="baseline"/>
        <w:rPr>
          <w:bCs/>
          <w:color w:val="auto"/>
        </w:rPr>
      </w:pPr>
      <w:r w:rsidRPr="002E1D37">
        <w:rPr>
          <w:rFonts w:cs="Calibri"/>
          <w:color w:val="auto"/>
        </w:rPr>
        <w:t>Žadatel má povinnost naplnit indikátor 24301 k datu ukončení realizace projektu a dále</w:t>
      </w:r>
      <w:r w:rsidRPr="00A7040B">
        <w:rPr>
          <w:color w:val="auto"/>
        </w:rPr>
        <w:t xml:space="preserve"> ho naplňovat po celou dobu udržitelnosti projektu</w:t>
      </w:r>
      <w:r w:rsidR="0017223C" w:rsidRPr="002E1D37">
        <w:rPr>
          <w:color w:val="auto"/>
        </w:rPr>
        <w:t>.</w:t>
      </w:r>
      <w:r w:rsidRPr="002E1D37">
        <w:rPr>
          <w:rFonts w:cs="Calibri"/>
          <w:color w:val="auto"/>
        </w:rPr>
        <w:t xml:space="preserve"> </w:t>
      </w:r>
    </w:p>
    <w:p w14:paraId="2D0DF3CA" w14:textId="77777777" w:rsidR="00F7406A" w:rsidRPr="002E1D37" w:rsidRDefault="00F7406A" w:rsidP="00F7406A">
      <w:pPr>
        <w:spacing w:after="0"/>
        <w:rPr>
          <w:b/>
          <w:bCs/>
          <w:color w:val="auto"/>
        </w:rPr>
      </w:pPr>
      <w:r w:rsidRPr="002E1D37">
        <w:rPr>
          <w:b/>
          <w:bCs/>
          <w:color w:val="auto"/>
        </w:rPr>
        <w:t>3.4 Cílová skupina</w:t>
      </w:r>
    </w:p>
    <w:p w14:paraId="0B4E6A32" w14:textId="6A865E67" w:rsidR="0017223C" w:rsidRPr="002E1D37" w:rsidRDefault="00E23BD1" w:rsidP="0017223C">
      <w:pPr>
        <w:tabs>
          <w:tab w:val="left" w:pos="567"/>
        </w:tabs>
        <w:spacing w:before="240" w:after="0"/>
        <w:rPr>
          <w:rFonts w:cs="Calibri"/>
          <w:color w:val="auto"/>
        </w:rPr>
      </w:pPr>
      <w:r w:rsidRPr="00E23BD1">
        <w:rPr>
          <w:color w:val="auto"/>
        </w:rPr>
        <w:t>Cílovou skupinou jsou malé a střední podniky (dále také „MSP“).</w:t>
      </w:r>
    </w:p>
    <w:p w14:paraId="5A4CC386" w14:textId="77777777" w:rsidR="00F7406A" w:rsidRPr="00F21137" w:rsidRDefault="00F7406A" w:rsidP="00F7406A">
      <w:pPr>
        <w:pStyle w:val="Nadpisobsahu"/>
        <w:rPr>
          <w:color w:val="0070C0"/>
        </w:rPr>
      </w:pPr>
      <w:r w:rsidRPr="00F21137">
        <w:rPr>
          <w:color w:val="0070C0"/>
        </w:rPr>
        <w:t>4. Vymezení žadatelů a příjemců podpory</w:t>
      </w:r>
    </w:p>
    <w:p w14:paraId="4DF5D0D5" w14:textId="0D1E35A9" w:rsidR="00F7406A" w:rsidRPr="002E1D37" w:rsidRDefault="00F7406A" w:rsidP="00F7406A">
      <w:pPr>
        <w:rPr>
          <w:b/>
          <w:bCs/>
          <w:color w:val="auto"/>
        </w:rPr>
      </w:pPr>
      <w:r w:rsidRPr="002E1D37">
        <w:rPr>
          <w:b/>
          <w:bCs/>
          <w:color w:val="auto"/>
        </w:rPr>
        <w:t>4.1 Žadatel/příjemce podpory</w:t>
      </w:r>
      <w:r w:rsidR="00E23BD1">
        <w:rPr>
          <w:rStyle w:val="Znakapoznpodarou"/>
          <w:b/>
          <w:bCs/>
          <w:color w:val="auto"/>
        </w:rPr>
        <w:footnoteReference w:id="3"/>
      </w:r>
      <w:r w:rsidRPr="002E1D37">
        <w:rPr>
          <w:b/>
          <w:bCs/>
          <w:color w:val="auto"/>
        </w:rPr>
        <w:t xml:space="preserve"> musí k datu podání </w:t>
      </w:r>
      <w:r w:rsidR="00E76E31">
        <w:rPr>
          <w:b/>
          <w:bCs/>
          <w:color w:val="auto"/>
        </w:rPr>
        <w:t>Ž</w:t>
      </w:r>
      <w:r w:rsidRPr="002E1D37">
        <w:rPr>
          <w:b/>
          <w:bCs/>
          <w:color w:val="auto"/>
        </w:rPr>
        <w:t xml:space="preserve">ádosti </w:t>
      </w:r>
      <w:r w:rsidR="00E76E31">
        <w:rPr>
          <w:b/>
          <w:bCs/>
          <w:color w:val="auto"/>
        </w:rPr>
        <w:t xml:space="preserve">o podporu </w:t>
      </w:r>
      <w:r w:rsidRPr="002E1D37">
        <w:rPr>
          <w:b/>
          <w:bCs/>
          <w:color w:val="auto"/>
        </w:rPr>
        <w:t>splňovat následující podmínky:</w:t>
      </w:r>
    </w:p>
    <w:p w14:paraId="6A595D75" w14:textId="117421BA" w:rsidR="00F7406A" w:rsidRPr="002E1D37" w:rsidRDefault="006E37B9" w:rsidP="00F7406A">
      <w:pPr>
        <w:pStyle w:val="Odstavecseseznamem"/>
        <w:numPr>
          <w:ilvl w:val="0"/>
          <w:numId w:val="11"/>
        </w:numPr>
        <w:ind w:left="284" w:hanging="284"/>
        <w:rPr>
          <w:bCs/>
          <w:color w:val="auto"/>
        </w:rPr>
      </w:pPr>
      <w:r w:rsidRPr="006C1701">
        <w:t>je malým a středním podnikem podle definice v Příloze I Nařízení Komise (EU) č. 651/2014,</w:t>
      </w:r>
      <w:r w:rsidR="0039339A">
        <w:t xml:space="preserve"> který </w:t>
      </w:r>
      <w:r w:rsidRPr="006C1701">
        <w:t xml:space="preserve">dle podmínek programu </w:t>
      </w:r>
      <w:r w:rsidR="0039339A">
        <w:t>bude:</w:t>
      </w:r>
      <w:r w:rsidR="00F7406A" w:rsidRPr="002E1D37">
        <w:rPr>
          <w:bCs/>
          <w:color w:val="auto"/>
        </w:rPr>
        <w:t xml:space="preserve"> </w:t>
      </w:r>
    </w:p>
    <w:p w14:paraId="016348CB" w14:textId="77777777" w:rsidR="00F7406A" w:rsidRPr="00A7040B" w:rsidRDefault="00F7406A" w:rsidP="007853A7">
      <w:pPr>
        <w:pStyle w:val="Odstavecseseznamem"/>
        <w:numPr>
          <w:ilvl w:val="0"/>
          <w:numId w:val="28"/>
        </w:numPr>
        <w:rPr>
          <w:color w:val="auto"/>
        </w:rPr>
      </w:pPr>
      <w:r w:rsidRPr="00A7040B">
        <w:rPr>
          <w:color w:val="auto"/>
        </w:rPr>
        <w:t>vést účetnictví nebo daňovou evidenci rozšířenou o zvláštní požadavky, nebo</w:t>
      </w:r>
    </w:p>
    <w:p w14:paraId="58EC4DD0" w14:textId="77777777" w:rsidR="00F7406A" w:rsidRPr="002E1D37" w:rsidRDefault="00F7406A" w:rsidP="007853A7">
      <w:pPr>
        <w:pStyle w:val="Odstavecseseznamem"/>
        <w:numPr>
          <w:ilvl w:val="0"/>
          <w:numId w:val="28"/>
        </w:numPr>
        <w:rPr>
          <w:color w:val="auto"/>
        </w:rPr>
      </w:pPr>
      <w:r w:rsidRPr="002E1D37">
        <w:rPr>
          <w:color w:val="auto"/>
        </w:rPr>
        <w:t>vést oddělené účetnictví u projektu</w:t>
      </w:r>
    </w:p>
    <w:p w14:paraId="7C721BFF" w14:textId="5121B59C" w:rsidR="00DD008B" w:rsidRPr="002E1D37" w:rsidRDefault="00DD008B" w:rsidP="00DD008B">
      <w:pPr>
        <w:pStyle w:val="Odstavecseseznamem"/>
        <w:numPr>
          <w:ilvl w:val="0"/>
          <w:numId w:val="11"/>
        </w:numPr>
        <w:ind w:left="357" w:hanging="357"/>
        <w:rPr>
          <w:color w:val="auto"/>
        </w:rPr>
      </w:pPr>
      <w:r w:rsidRPr="002E1D37">
        <w:rPr>
          <w:rFonts w:cs="Calibri"/>
          <w:color w:val="auto"/>
        </w:rPr>
        <w:lastRenderedPageBreak/>
        <w:t xml:space="preserve">příjemce musí mít ke dni podání žádosti o podporu uzavřena minimálně poslední </w:t>
      </w:r>
      <w:r w:rsidR="00A4417A">
        <w:rPr>
          <w:rFonts w:cs="Calibri"/>
          <w:color w:val="auto"/>
        </w:rPr>
        <w:t>dvě</w:t>
      </w:r>
      <w:r w:rsidR="00A4417A" w:rsidRPr="002E1D37">
        <w:rPr>
          <w:rFonts w:cs="Calibri"/>
          <w:color w:val="auto"/>
        </w:rPr>
        <w:t xml:space="preserve"> </w:t>
      </w:r>
      <w:r w:rsidRPr="002E1D37">
        <w:rPr>
          <w:rFonts w:cs="Calibri"/>
          <w:color w:val="auto"/>
        </w:rPr>
        <w:t>po sobě jdoucí zdaňovací období,</w:t>
      </w:r>
    </w:p>
    <w:p w14:paraId="40A8FF78" w14:textId="77777777" w:rsidR="00F7406A" w:rsidRPr="002E1D37" w:rsidRDefault="00F7406A" w:rsidP="00F7406A">
      <w:pPr>
        <w:pStyle w:val="Odstavecseseznamem"/>
        <w:numPr>
          <w:ilvl w:val="0"/>
          <w:numId w:val="11"/>
        </w:numPr>
        <w:ind w:left="284" w:hanging="284"/>
        <w:rPr>
          <w:bCs/>
          <w:color w:val="auto"/>
        </w:rPr>
      </w:pPr>
      <w:r w:rsidRPr="002E1D37">
        <w:rPr>
          <w:bCs/>
          <w:color w:val="auto"/>
        </w:rPr>
        <w:t>je oprávněn k podnikání odpovídajícímu podporované ekonomické činnosti, k jejímuž uskutečňování je realizován projekt</w:t>
      </w:r>
      <w:r w:rsidRPr="002E1D37">
        <w:rPr>
          <w:bCs/>
          <w:color w:val="auto"/>
          <w:vertAlign w:val="superscript"/>
        </w:rPr>
        <w:footnoteReference w:id="4"/>
      </w:r>
      <w:r w:rsidRPr="002E1D37">
        <w:rPr>
          <w:bCs/>
          <w:color w:val="auto"/>
        </w:rPr>
        <w:t>,</w:t>
      </w:r>
    </w:p>
    <w:p w14:paraId="2E5D85EC" w14:textId="77777777" w:rsidR="00F7406A" w:rsidRPr="002E1D37" w:rsidRDefault="00F7406A" w:rsidP="00F7406A">
      <w:pPr>
        <w:pStyle w:val="Odstavecseseznamem"/>
        <w:numPr>
          <w:ilvl w:val="0"/>
          <w:numId w:val="11"/>
        </w:numPr>
        <w:ind w:left="284" w:hanging="284"/>
        <w:rPr>
          <w:bCs/>
          <w:color w:val="auto"/>
        </w:rPr>
      </w:pPr>
      <w:r w:rsidRPr="002E1D37">
        <w:rPr>
          <w:bCs/>
          <w:color w:val="auto"/>
        </w:rPr>
        <w:t xml:space="preserve">je podle svého čestného prohlášení registrován jako poplatník daně z příjmů v některém z členských států EU, a to nepřetržitě nejméně po dobu </w:t>
      </w:r>
      <w:r w:rsidR="005D2754" w:rsidRPr="002E1D37">
        <w:rPr>
          <w:bCs/>
          <w:color w:val="auto"/>
        </w:rPr>
        <w:t>tří</w:t>
      </w:r>
      <w:r w:rsidRPr="002E1D37">
        <w:rPr>
          <w:bCs/>
          <w:color w:val="auto"/>
        </w:rPr>
        <w:t xml:space="preserve"> uzavřených daňových období předcházejících datu podání žádosti o podporu; žadatel bere na vědomí, že v okamžiku vyplacení podpory bude muset mít v České republice založenou provozovnu nebo odštěpný závod. Žadatel musí mít pobočku zapsanou k první žádosti o platbu ve výpisu Registru živnostenského podnikání,</w:t>
      </w:r>
    </w:p>
    <w:p w14:paraId="54E774B7" w14:textId="77777777" w:rsidR="00F7406A" w:rsidRPr="002E1D37" w:rsidRDefault="00F7406A" w:rsidP="00F7406A">
      <w:pPr>
        <w:pStyle w:val="Odstavecseseznamem"/>
        <w:numPr>
          <w:ilvl w:val="0"/>
          <w:numId w:val="11"/>
        </w:numPr>
        <w:ind w:left="284" w:hanging="284"/>
        <w:rPr>
          <w:bCs/>
          <w:color w:val="auto"/>
        </w:rPr>
      </w:pPr>
      <w:r w:rsidRPr="002E1D37">
        <w:rPr>
          <w:bCs/>
          <w:color w:val="auto"/>
        </w:rPr>
        <w:t>nemá podle svého čestného prohlášení žádné nedoplatky vůči vybraným institucím</w:t>
      </w:r>
      <w:r w:rsidRPr="002E1D37">
        <w:rPr>
          <w:color w:val="auto"/>
          <w:vertAlign w:val="superscript"/>
        </w:rPr>
        <w:footnoteReference w:id="5"/>
      </w:r>
      <w:r w:rsidRPr="002E1D37">
        <w:rPr>
          <w:bCs/>
          <w:color w:val="auto"/>
        </w:rPr>
        <w:t xml:space="preserve"> v zemi svého sídla, popř. v zemi sídla své pobočky a vůči poskytovatelům podpory z projektů spolufinancovaných z rozpočtu Evropské unie. Posečkání s úhradou nedoplatků nebo dohoda o úhradě nedoplatků se považují za vypořádané nedoplatky,</w:t>
      </w:r>
    </w:p>
    <w:p w14:paraId="4E758358" w14:textId="77777777" w:rsidR="00F7406A" w:rsidRPr="002E1D37" w:rsidRDefault="00F7406A" w:rsidP="00F7406A">
      <w:pPr>
        <w:pStyle w:val="Odstavecseseznamem"/>
        <w:numPr>
          <w:ilvl w:val="0"/>
          <w:numId w:val="11"/>
        </w:numPr>
        <w:ind w:left="284" w:hanging="284"/>
        <w:rPr>
          <w:bCs/>
          <w:color w:val="auto"/>
        </w:rPr>
      </w:pPr>
      <w:r w:rsidRPr="002E1D37">
        <w:rPr>
          <w:bCs/>
          <w:color w:val="auto"/>
        </w:rPr>
        <w:t>nemá podle svého čestného prohlášení nedoplatky z titulu mzdových nároků jeho zaměstnanců,</w:t>
      </w:r>
    </w:p>
    <w:p w14:paraId="0D3CB245" w14:textId="77777777" w:rsidR="00F7406A" w:rsidRPr="002E1D37" w:rsidRDefault="00F7406A" w:rsidP="00F7406A">
      <w:pPr>
        <w:pStyle w:val="Odstavecseseznamem"/>
        <w:numPr>
          <w:ilvl w:val="0"/>
          <w:numId w:val="11"/>
        </w:numPr>
        <w:spacing w:before="120" w:after="120" w:line="276" w:lineRule="auto"/>
        <w:ind w:left="284" w:hanging="284"/>
        <w:contextualSpacing w:val="0"/>
        <w:rPr>
          <w:color w:val="auto"/>
        </w:rPr>
      </w:pPr>
      <w:r w:rsidRPr="00A7040B">
        <w:rPr>
          <w:bCs/>
          <w:color w:val="auto"/>
        </w:rPr>
        <w:t>Příjemce potvrdí, že neprovedl přemístění</w:t>
      </w:r>
      <w:r w:rsidRPr="00A7040B">
        <w:rPr>
          <w:rStyle w:val="Znakapoznpodarou"/>
          <w:bCs/>
          <w:color w:val="auto"/>
        </w:rPr>
        <w:footnoteReference w:id="6"/>
      </w:r>
      <w:r w:rsidRPr="00A7040B">
        <w:rPr>
          <w:bCs/>
          <w:color w:val="auto"/>
        </w:rPr>
        <w:t xml:space="preserve"> do provozovny, do které se má počáteční investice, na niž se podpora požaduje, uskutečnit během dvou let předcházejících žádosti o podporu a zaváže se, že tak neučiní až do doby dvou let po dokončení počáteční investice, na niž se podpora požaduje,</w:t>
      </w:r>
    </w:p>
    <w:p w14:paraId="6C8FB8BC" w14:textId="0CBD0D0A" w:rsidR="00F7406A" w:rsidRPr="00A7040B" w:rsidRDefault="00F7406A" w:rsidP="00F7406A">
      <w:pPr>
        <w:pStyle w:val="Odstavecseseznamem"/>
        <w:widowControl w:val="0"/>
        <w:numPr>
          <w:ilvl w:val="0"/>
          <w:numId w:val="11"/>
        </w:numPr>
        <w:autoSpaceDE w:val="0"/>
        <w:autoSpaceDN w:val="0"/>
        <w:adjustRightInd w:val="0"/>
        <w:spacing w:after="0"/>
        <w:ind w:left="284" w:right="57" w:hanging="284"/>
        <w:rPr>
          <w:color w:val="auto"/>
        </w:rPr>
      </w:pPr>
      <w:r w:rsidRPr="002E1D37">
        <w:rPr>
          <w:color w:val="auto"/>
          <w:u w:val="single"/>
        </w:rPr>
        <w:t>Demonstrativní výčet typů podporovaných právních f</w:t>
      </w:r>
      <w:r w:rsidRPr="00E23BD1">
        <w:rPr>
          <w:color w:val="auto"/>
        </w:rPr>
        <w:t>orem</w:t>
      </w:r>
      <w:r w:rsidR="00E23BD1" w:rsidRPr="00E23BD1">
        <w:rPr>
          <w:color w:val="auto"/>
        </w:rPr>
        <w:t xml:space="preserve"> </w:t>
      </w:r>
      <w:r w:rsidRPr="00E23BD1">
        <w:rPr>
          <w:rStyle w:val="Znakapoznpodarou"/>
          <w:color w:val="auto"/>
        </w:rPr>
        <w:footnoteReference w:id="7"/>
      </w:r>
      <w:r w:rsidR="00E23BD1" w:rsidRPr="00E23BD1">
        <w:rPr>
          <w:color w:val="auto"/>
          <w:vertAlign w:val="superscript"/>
        </w:rPr>
        <w:t>,</w:t>
      </w:r>
      <w:r w:rsidR="00E23BD1" w:rsidRPr="00E23BD1">
        <w:rPr>
          <w:color w:val="auto"/>
        </w:rPr>
        <w:t xml:space="preserve"> </w:t>
      </w:r>
      <w:r w:rsidR="00015146" w:rsidRPr="00E23BD1">
        <w:rPr>
          <w:rStyle w:val="Znakapoznpodarou"/>
          <w:bCs/>
          <w:color w:val="auto"/>
        </w:rPr>
        <w:footnoteReference w:id="8"/>
      </w:r>
    </w:p>
    <w:p w14:paraId="60AF02ED" w14:textId="175F773D" w:rsidR="00F7406A" w:rsidRPr="002E1D37" w:rsidRDefault="00F7406A" w:rsidP="007853A7">
      <w:pPr>
        <w:numPr>
          <w:ilvl w:val="0"/>
          <w:numId w:val="34"/>
        </w:numPr>
        <w:tabs>
          <w:tab w:val="left" w:pos="1418"/>
          <w:tab w:val="left" w:pos="1843"/>
          <w:tab w:val="left" w:pos="1985"/>
          <w:tab w:val="left" w:pos="2268"/>
        </w:tabs>
        <w:overflowPunct w:val="0"/>
        <w:autoSpaceDE w:val="0"/>
        <w:autoSpaceDN w:val="0"/>
        <w:adjustRightInd w:val="0"/>
        <w:spacing w:after="0" w:line="276" w:lineRule="auto"/>
        <w:contextualSpacing/>
        <w:textAlignment w:val="baseline"/>
        <w:rPr>
          <w:color w:val="auto"/>
        </w:rPr>
      </w:pPr>
      <w:r w:rsidRPr="002E1D37">
        <w:rPr>
          <w:color w:val="auto"/>
        </w:rPr>
        <w:t>101</w:t>
      </w:r>
      <w:r w:rsidRPr="002E1D37">
        <w:rPr>
          <w:color w:val="auto"/>
        </w:rPr>
        <w:tab/>
        <w:t xml:space="preserve">Fyzické osoby podnikající dle živnostenského zákona zapsané v obchodním </w:t>
      </w:r>
      <w:r w:rsidRPr="002E1D37">
        <w:rPr>
          <w:color w:val="auto"/>
        </w:rPr>
        <w:tab/>
        <w:t>rejstříku</w:t>
      </w:r>
    </w:p>
    <w:p w14:paraId="3510170A" w14:textId="00A00EAB" w:rsidR="00F7406A" w:rsidRPr="002E1D37" w:rsidRDefault="00F7406A" w:rsidP="007853A7">
      <w:pPr>
        <w:numPr>
          <w:ilvl w:val="0"/>
          <w:numId w:val="34"/>
        </w:numPr>
        <w:tabs>
          <w:tab w:val="left" w:pos="1418"/>
          <w:tab w:val="left" w:pos="1843"/>
          <w:tab w:val="left" w:pos="1985"/>
          <w:tab w:val="left" w:pos="2127"/>
        </w:tabs>
        <w:overflowPunct w:val="0"/>
        <w:autoSpaceDE w:val="0"/>
        <w:autoSpaceDN w:val="0"/>
        <w:adjustRightInd w:val="0"/>
        <w:spacing w:after="0" w:line="276" w:lineRule="auto"/>
        <w:contextualSpacing/>
        <w:textAlignment w:val="baseline"/>
        <w:rPr>
          <w:color w:val="auto"/>
        </w:rPr>
      </w:pPr>
      <w:r w:rsidRPr="002E1D37">
        <w:rPr>
          <w:color w:val="auto"/>
        </w:rPr>
        <w:t>102</w:t>
      </w:r>
      <w:r w:rsidRPr="002E1D37">
        <w:rPr>
          <w:color w:val="auto"/>
        </w:rPr>
        <w:tab/>
        <w:t xml:space="preserve">Fyzické osoby podnikající dle živnostenského zákona nezapsané v obchodním </w:t>
      </w:r>
      <w:r w:rsidRPr="002E1D37">
        <w:rPr>
          <w:color w:val="auto"/>
        </w:rPr>
        <w:tab/>
        <w:t>rejstříku</w:t>
      </w:r>
    </w:p>
    <w:p w14:paraId="4550A569" w14:textId="77777777" w:rsidR="00F7406A" w:rsidRPr="002E1D37" w:rsidRDefault="00F7406A" w:rsidP="007853A7">
      <w:pPr>
        <w:numPr>
          <w:ilvl w:val="0"/>
          <w:numId w:val="34"/>
        </w:numPr>
        <w:tabs>
          <w:tab w:val="left" w:pos="1418"/>
          <w:tab w:val="left" w:pos="1843"/>
          <w:tab w:val="left" w:pos="1985"/>
          <w:tab w:val="left" w:pos="2127"/>
        </w:tabs>
        <w:overflowPunct w:val="0"/>
        <w:autoSpaceDE w:val="0"/>
        <w:autoSpaceDN w:val="0"/>
        <w:adjustRightInd w:val="0"/>
        <w:spacing w:after="0" w:line="276" w:lineRule="auto"/>
        <w:contextualSpacing/>
        <w:textAlignment w:val="baseline"/>
        <w:rPr>
          <w:color w:val="auto"/>
        </w:rPr>
      </w:pPr>
      <w:r w:rsidRPr="002E1D37">
        <w:rPr>
          <w:color w:val="auto"/>
        </w:rPr>
        <w:t>111</w:t>
      </w:r>
      <w:r w:rsidRPr="002E1D37">
        <w:rPr>
          <w:color w:val="auto"/>
        </w:rPr>
        <w:tab/>
        <w:t>Veřejná obchodní společnost – v.o.s.</w:t>
      </w:r>
    </w:p>
    <w:p w14:paraId="41E691A0" w14:textId="77777777" w:rsidR="00F7406A" w:rsidRPr="002E1D37" w:rsidRDefault="00F7406A" w:rsidP="007853A7">
      <w:pPr>
        <w:numPr>
          <w:ilvl w:val="0"/>
          <w:numId w:val="34"/>
        </w:numPr>
        <w:tabs>
          <w:tab w:val="left" w:pos="1418"/>
          <w:tab w:val="left" w:pos="1843"/>
          <w:tab w:val="left" w:pos="1985"/>
          <w:tab w:val="left" w:pos="2127"/>
        </w:tabs>
        <w:overflowPunct w:val="0"/>
        <w:autoSpaceDE w:val="0"/>
        <w:autoSpaceDN w:val="0"/>
        <w:adjustRightInd w:val="0"/>
        <w:spacing w:after="0" w:line="276" w:lineRule="auto"/>
        <w:contextualSpacing/>
        <w:textAlignment w:val="baseline"/>
        <w:rPr>
          <w:color w:val="auto"/>
        </w:rPr>
      </w:pPr>
      <w:r w:rsidRPr="002E1D37">
        <w:rPr>
          <w:color w:val="auto"/>
        </w:rPr>
        <w:t>112</w:t>
      </w:r>
      <w:r w:rsidRPr="002E1D37">
        <w:rPr>
          <w:color w:val="auto"/>
        </w:rPr>
        <w:tab/>
        <w:t>Společnost s ručením omezeným – s.r.o.</w:t>
      </w:r>
    </w:p>
    <w:p w14:paraId="456D70DB" w14:textId="77777777" w:rsidR="00F7406A" w:rsidRPr="002E1D37" w:rsidRDefault="00F7406A" w:rsidP="007853A7">
      <w:pPr>
        <w:numPr>
          <w:ilvl w:val="0"/>
          <w:numId w:val="34"/>
        </w:numPr>
        <w:tabs>
          <w:tab w:val="left" w:pos="1418"/>
          <w:tab w:val="left" w:pos="1843"/>
          <w:tab w:val="left" w:pos="1985"/>
          <w:tab w:val="left" w:pos="2127"/>
        </w:tabs>
        <w:overflowPunct w:val="0"/>
        <w:autoSpaceDE w:val="0"/>
        <w:autoSpaceDN w:val="0"/>
        <w:adjustRightInd w:val="0"/>
        <w:spacing w:after="0" w:line="276" w:lineRule="auto"/>
        <w:contextualSpacing/>
        <w:textAlignment w:val="baseline"/>
        <w:rPr>
          <w:color w:val="auto"/>
        </w:rPr>
      </w:pPr>
      <w:r w:rsidRPr="002E1D37">
        <w:rPr>
          <w:color w:val="auto"/>
        </w:rPr>
        <w:t>113</w:t>
      </w:r>
      <w:r w:rsidRPr="002E1D37">
        <w:rPr>
          <w:color w:val="auto"/>
        </w:rPr>
        <w:tab/>
        <w:t>Komanditní společnost – k.s.</w:t>
      </w:r>
    </w:p>
    <w:p w14:paraId="128F5136" w14:textId="77777777" w:rsidR="00F7406A" w:rsidRPr="002E1D37" w:rsidRDefault="00F7406A" w:rsidP="007853A7">
      <w:pPr>
        <w:numPr>
          <w:ilvl w:val="0"/>
          <w:numId w:val="34"/>
        </w:numPr>
        <w:tabs>
          <w:tab w:val="left" w:pos="1418"/>
          <w:tab w:val="left" w:pos="1843"/>
          <w:tab w:val="left" w:pos="1985"/>
        </w:tabs>
        <w:overflowPunct w:val="0"/>
        <w:autoSpaceDE w:val="0"/>
        <w:autoSpaceDN w:val="0"/>
        <w:adjustRightInd w:val="0"/>
        <w:spacing w:after="0" w:line="276" w:lineRule="auto"/>
        <w:contextualSpacing/>
        <w:textAlignment w:val="baseline"/>
        <w:rPr>
          <w:color w:val="auto"/>
        </w:rPr>
      </w:pPr>
      <w:r w:rsidRPr="002E1D37">
        <w:rPr>
          <w:color w:val="auto"/>
        </w:rPr>
        <w:t>121</w:t>
      </w:r>
      <w:r w:rsidRPr="002E1D37">
        <w:rPr>
          <w:color w:val="auto"/>
        </w:rPr>
        <w:tab/>
        <w:t>Akciová společnost – a.s.</w:t>
      </w:r>
    </w:p>
    <w:p w14:paraId="1F2B3B51" w14:textId="77777777" w:rsidR="00F7406A" w:rsidRPr="002E1D37" w:rsidRDefault="00F7406A" w:rsidP="007853A7">
      <w:pPr>
        <w:numPr>
          <w:ilvl w:val="0"/>
          <w:numId w:val="34"/>
        </w:numPr>
        <w:tabs>
          <w:tab w:val="left" w:pos="1418"/>
          <w:tab w:val="left" w:pos="1843"/>
          <w:tab w:val="left" w:pos="1985"/>
        </w:tabs>
        <w:overflowPunct w:val="0"/>
        <w:autoSpaceDE w:val="0"/>
        <w:autoSpaceDN w:val="0"/>
        <w:adjustRightInd w:val="0"/>
        <w:spacing w:after="0" w:line="276" w:lineRule="auto"/>
        <w:contextualSpacing/>
        <w:textAlignment w:val="baseline"/>
        <w:rPr>
          <w:color w:val="auto"/>
        </w:rPr>
      </w:pPr>
      <w:r w:rsidRPr="002E1D37">
        <w:rPr>
          <w:color w:val="auto"/>
        </w:rPr>
        <w:t>205</w:t>
      </w:r>
      <w:r w:rsidRPr="002E1D37">
        <w:rPr>
          <w:color w:val="auto"/>
        </w:rPr>
        <w:tab/>
        <w:t>Družstvo (vyjma Bytového družstva)</w:t>
      </w:r>
    </w:p>
    <w:p w14:paraId="588F5CD4" w14:textId="77777777" w:rsidR="00F7406A" w:rsidRPr="002E1D37" w:rsidRDefault="00F7406A" w:rsidP="007853A7">
      <w:pPr>
        <w:numPr>
          <w:ilvl w:val="0"/>
          <w:numId w:val="34"/>
        </w:numPr>
        <w:tabs>
          <w:tab w:val="left" w:pos="1418"/>
          <w:tab w:val="left" w:pos="1843"/>
          <w:tab w:val="left" w:pos="1985"/>
        </w:tabs>
        <w:overflowPunct w:val="0"/>
        <w:autoSpaceDE w:val="0"/>
        <w:autoSpaceDN w:val="0"/>
        <w:adjustRightInd w:val="0"/>
        <w:spacing w:after="0" w:line="276" w:lineRule="auto"/>
        <w:contextualSpacing/>
        <w:textAlignment w:val="baseline"/>
        <w:rPr>
          <w:color w:val="auto"/>
        </w:rPr>
      </w:pPr>
      <w:r w:rsidRPr="002E1D37">
        <w:rPr>
          <w:color w:val="auto"/>
        </w:rPr>
        <w:t>932</w:t>
      </w:r>
      <w:r w:rsidRPr="002E1D37">
        <w:rPr>
          <w:color w:val="auto"/>
        </w:rPr>
        <w:tab/>
        <w:t>Evropská společnost</w:t>
      </w:r>
    </w:p>
    <w:p w14:paraId="0EE91905" w14:textId="77777777" w:rsidR="00F7406A" w:rsidRDefault="00F7406A" w:rsidP="00F7406A">
      <w:pPr>
        <w:numPr>
          <w:ilvl w:val="0"/>
          <w:numId w:val="34"/>
        </w:numPr>
        <w:tabs>
          <w:tab w:val="left" w:pos="1418"/>
          <w:tab w:val="left" w:pos="1843"/>
          <w:tab w:val="left" w:pos="1985"/>
        </w:tabs>
        <w:overflowPunct w:val="0"/>
        <w:autoSpaceDE w:val="0"/>
        <w:autoSpaceDN w:val="0"/>
        <w:adjustRightInd w:val="0"/>
        <w:spacing w:after="0" w:line="276" w:lineRule="auto"/>
        <w:contextualSpacing/>
        <w:textAlignment w:val="baseline"/>
        <w:rPr>
          <w:color w:val="auto"/>
        </w:rPr>
      </w:pPr>
      <w:r w:rsidRPr="002E1D37">
        <w:rPr>
          <w:color w:val="auto"/>
        </w:rPr>
        <w:t>933</w:t>
      </w:r>
      <w:r w:rsidRPr="002E1D37">
        <w:rPr>
          <w:color w:val="auto"/>
        </w:rPr>
        <w:tab/>
        <w:t>Evropská družstevní společnost</w:t>
      </w:r>
    </w:p>
    <w:p w14:paraId="2B0D05FD" w14:textId="6A3B1BEC" w:rsidR="00DE0076" w:rsidRDefault="00DE0076" w:rsidP="00F7406A">
      <w:pPr>
        <w:numPr>
          <w:ilvl w:val="0"/>
          <w:numId w:val="34"/>
        </w:numPr>
        <w:tabs>
          <w:tab w:val="left" w:pos="1418"/>
          <w:tab w:val="left" w:pos="1843"/>
          <w:tab w:val="left" w:pos="1985"/>
        </w:tabs>
        <w:overflowPunct w:val="0"/>
        <w:autoSpaceDE w:val="0"/>
        <w:autoSpaceDN w:val="0"/>
        <w:adjustRightInd w:val="0"/>
        <w:spacing w:after="0" w:line="276" w:lineRule="auto"/>
        <w:contextualSpacing/>
        <w:textAlignment w:val="baseline"/>
        <w:rPr>
          <w:color w:val="auto"/>
        </w:rPr>
      </w:pPr>
      <w:r w:rsidRPr="004B0FBC">
        <w:rPr>
          <w:color w:val="auto"/>
        </w:rPr>
        <w:t>Analogická zahraniční právní forma k výše uvedeným, pokud je žadatelem zahraniční subjekt</w:t>
      </w:r>
    </w:p>
    <w:p w14:paraId="6232EF28" w14:textId="77777777" w:rsidR="00F7406A" w:rsidRPr="002E1D37" w:rsidRDefault="00F7406A" w:rsidP="007853A7">
      <w:pPr>
        <w:pStyle w:val="Odstavecseseznamem"/>
        <w:numPr>
          <w:ilvl w:val="1"/>
          <w:numId w:val="29"/>
        </w:numPr>
        <w:rPr>
          <w:b/>
          <w:bCs/>
          <w:color w:val="auto"/>
        </w:rPr>
      </w:pPr>
      <w:bookmarkStart w:id="2" w:name="_Toc405547079"/>
      <w:bookmarkStart w:id="3" w:name="_Toc411947668"/>
      <w:r w:rsidRPr="002E1D37">
        <w:rPr>
          <w:b/>
          <w:bCs/>
          <w:color w:val="auto"/>
        </w:rPr>
        <w:lastRenderedPageBreak/>
        <w:t>Žadatelem / příjemcem nemůže být subjekt, pokud k datu podání žádosti o podporu podle svého čestného prohlášení</w:t>
      </w:r>
      <w:bookmarkEnd w:id="2"/>
      <w:r w:rsidRPr="002E1D37">
        <w:rPr>
          <w:b/>
          <w:bCs/>
          <w:color w:val="auto"/>
        </w:rPr>
        <w:t xml:space="preserve"> a ostatních příloh:</w:t>
      </w:r>
      <w:bookmarkEnd w:id="3"/>
    </w:p>
    <w:p w14:paraId="570DC033" w14:textId="2F3E8DA7" w:rsidR="00F7406A" w:rsidRPr="00073DDF" w:rsidRDefault="00F7406A" w:rsidP="00F7406A">
      <w:pPr>
        <w:pStyle w:val="Odstavecseseznamem"/>
        <w:ind w:left="360"/>
        <w:rPr>
          <w:bCs/>
          <w:color w:val="auto"/>
        </w:rPr>
      </w:pPr>
    </w:p>
    <w:p w14:paraId="4593493B" w14:textId="6CE0E63F" w:rsidR="00F7406A" w:rsidRPr="002E1D37" w:rsidRDefault="00F7406A" w:rsidP="007853A7">
      <w:pPr>
        <w:pStyle w:val="Odstavecseseznamem"/>
        <w:numPr>
          <w:ilvl w:val="0"/>
          <w:numId w:val="30"/>
        </w:numPr>
        <w:rPr>
          <w:b/>
          <w:bCs/>
          <w:color w:val="auto"/>
        </w:rPr>
      </w:pPr>
      <w:r w:rsidRPr="002E1D37">
        <w:rPr>
          <w:bCs/>
          <w:color w:val="auto"/>
        </w:rPr>
        <w:t>Má vlastníky v jurisdikcích nespolupracujících v daňové oblasti, tzv. daňových rájích, a to z více než 25</w:t>
      </w:r>
      <w:r w:rsidR="00FA3BA4">
        <w:rPr>
          <w:bCs/>
          <w:color w:val="auto"/>
        </w:rPr>
        <w:t xml:space="preserve"> </w:t>
      </w:r>
      <w:r w:rsidRPr="002E1D37">
        <w:rPr>
          <w:bCs/>
          <w:color w:val="auto"/>
        </w:rPr>
        <w:t xml:space="preserve">% z celkového podílu na vlastnické struktuře. Seznam daňových rájů dle závěrů Rady pro hospodářské a finanční věci (ECOFIN) je součástí přílohy této výzvy. </w:t>
      </w:r>
    </w:p>
    <w:p w14:paraId="3E6D3B12" w14:textId="1ADC9749" w:rsidR="00F7406A" w:rsidRPr="002E1D37" w:rsidRDefault="00F7406A" w:rsidP="007853A7">
      <w:pPr>
        <w:pStyle w:val="Odstavecseseznamem"/>
        <w:numPr>
          <w:ilvl w:val="0"/>
          <w:numId w:val="30"/>
        </w:numPr>
        <w:spacing w:before="120" w:after="120" w:line="276" w:lineRule="auto"/>
        <w:contextualSpacing w:val="0"/>
        <w:rPr>
          <w:color w:val="auto"/>
        </w:rPr>
      </w:pPr>
      <w:r w:rsidRPr="002E1D37">
        <w:rPr>
          <w:color w:val="auto"/>
        </w:rPr>
        <w:t>Neuvedl v Prohlášení k žádosti o podporu údaje pro určení statusu MSP. Poskytovatel je oprávněn vyžádat od žadatele relevantní oficiální dokumenty k doložení sledovaných údajů (aktiva, obrat, počet zaměstnanců) a vlastnické struktury</w:t>
      </w:r>
      <w:r w:rsidR="009B5AC9">
        <w:rPr>
          <w:color w:val="auto"/>
        </w:rPr>
        <w:t>.</w:t>
      </w:r>
    </w:p>
    <w:p w14:paraId="7F7FE4D2" w14:textId="26D19618" w:rsidR="00F7406A" w:rsidRPr="004B0FBC" w:rsidRDefault="00F7406A" w:rsidP="00E76E31">
      <w:pPr>
        <w:pStyle w:val="Odstavecseseznamem"/>
        <w:numPr>
          <w:ilvl w:val="0"/>
          <w:numId w:val="30"/>
        </w:numPr>
        <w:spacing w:before="120" w:after="120" w:line="276" w:lineRule="auto"/>
        <w:contextualSpacing w:val="0"/>
        <w:rPr>
          <w:color w:val="auto"/>
        </w:rPr>
      </w:pPr>
      <w:r w:rsidRPr="002E1D37">
        <w:rPr>
          <w:color w:val="auto"/>
        </w:rPr>
        <w:t>Neuvedl v Prohlášení k žádosti o podporu údaje v rozsahu požadovaném dle § 14, odst. 3, písm. e) zákona č. 218/2000Sb., o rozpočtových pravidlech</w:t>
      </w:r>
      <w:r w:rsidR="00E76E31">
        <w:rPr>
          <w:color w:val="auto"/>
        </w:rPr>
        <w:t xml:space="preserve"> </w:t>
      </w:r>
      <w:r w:rsidR="00E76E31">
        <w:t>a o změně některých souvisejících zákonů, ve znění pozdějších předpisů</w:t>
      </w:r>
      <w:r w:rsidR="00E76E31" w:rsidRPr="002E1D37">
        <w:rPr>
          <w:color w:val="auto"/>
        </w:rPr>
        <w:t>.</w:t>
      </w:r>
    </w:p>
    <w:p w14:paraId="687A50D6" w14:textId="0802DC9B" w:rsidR="00F7406A" w:rsidRPr="002E1D37" w:rsidRDefault="00F7406A" w:rsidP="007853A7">
      <w:pPr>
        <w:pStyle w:val="Odstavecseseznamem"/>
        <w:numPr>
          <w:ilvl w:val="0"/>
          <w:numId w:val="30"/>
        </w:numPr>
        <w:spacing w:before="120" w:after="120" w:line="276" w:lineRule="auto"/>
        <w:contextualSpacing w:val="0"/>
        <w:rPr>
          <w:color w:val="auto"/>
        </w:rPr>
      </w:pPr>
      <w:r w:rsidRPr="002E1D37">
        <w:rPr>
          <w:bCs/>
          <w:color w:val="auto"/>
        </w:rPr>
        <w:t>Dle ustanovení § 136 zákona č. 182/2006 Sb., o úpadku a způsobech jeho řešení (insolvenční zákon)</w:t>
      </w:r>
      <w:r w:rsidR="00E76E31">
        <w:rPr>
          <w:bCs/>
          <w:color w:val="auto"/>
        </w:rPr>
        <w:t>,</w:t>
      </w:r>
      <w:r w:rsidRPr="002E1D37">
        <w:rPr>
          <w:bCs/>
          <w:color w:val="auto"/>
        </w:rPr>
        <w:t xml:space="preserve"> </w:t>
      </w:r>
      <w:r w:rsidR="00E76E31">
        <w:rPr>
          <w:bCs/>
        </w:rPr>
        <w:t>ve znění pozdějších předpisů,</w:t>
      </w:r>
      <w:r w:rsidR="00E76E31" w:rsidRPr="002E1D37">
        <w:rPr>
          <w:bCs/>
          <w:color w:val="auto"/>
        </w:rPr>
        <w:t xml:space="preserve"> </w:t>
      </w:r>
      <w:r w:rsidRPr="002E1D37">
        <w:rPr>
          <w:bCs/>
          <w:color w:val="auto"/>
        </w:rPr>
        <w:t>bylo rozhodnuto o jeho úpadku (pokud je soudem povolena reorganizace, která je podnikem splněna</w:t>
      </w:r>
      <w:r w:rsidRPr="002E1D37">
        <w:rPr>
          <w:rStyle w:val="Znakapoznpodarou"/>
          <w:bCs/>
          <w:color w:val="auto"/>
        </w:rPr>
        <w:footnoteReference w:id="9"/>
      </w:r>
      <w:r w:rsidRPr="002E1D37">
        <w:rPr>
          <w:bCs/>
          <w:color w:val="auto"/>
        </w:rPr>
        <w:t>, nenahlíží se na p</w:t>
      </w:r>
      <w:r w:rsidR="00FA3BA4">
        <w:rPr>
          <w:bCs/>
          <w:color w:val="auto"/>
        </w:rPr>
        <w:t>odnik jako na podnik v úpadku a </w:t>
      </w:r>
      <w:r w:rsidRPr="002E1D37">
        <w:rPr>
          <w:bCs/>
          <w:color w:val="auto"/>
        </w:rPr>
        <w:t>podmínka pro poskytnutí dotace je tak splněna),</w:t>
      </w:r>
    </w:p>
    <w:p w14:paraId="377C0805" w14:textId="77777777" w:rsidR="00F7406A" w:rsidRPr="002E1D37" w:rsidRDefault="00F7406A" w:rsidP="007853A7">
      <w:pPr>
        <w:pStyle w:val="Odstavecseseznamem"/>
        <w:numPr>
          <w:ilvl w:val="0"/>
          <w:numId w:val="30"/>
        </w:numPr>
        <w:spacing w:before="120" w:after="120" w:line="276" w:lineRule="auto"/>
        <w:contextualSpacing w:val="0"/>
        <w:rPr>
          <w:color w:val="auto"/>
        </w:rPr>
      </w:pPr>
      <w:r w:rsidRPr="002E1D37">
        <w:rPr>
          <w:bCs/>
          <w:color w:val="auto"/>
        </w:rPr>
        <w:t>Je v likvidaci.</w:t>
      </w:r>
    </w:p>
    <w:p w14:paraId="2C4C7F56" w14:textId="77777777" w:rsidR="00F7406A" w:rsidRPr="002E1D37" w:rsidRDefault="00F7406A" w:rsidP="00E76E31">
      <w:pPr>
        <w:pStyle w:val="Odstavecseseznamem"/>
        <w:numPr>
          <w:ilvl w:val="0"/>
          <w:numId w:val="30"/>
        </w:numPr>
        <w:spacing w:before="120" w:after="120" w:line="276" w:lineRule="auto"/>
        <w:contextualSpacing w:val="0"/>
        <w:rPr>
          <w:color w:val="auto"/>
        </w:rPr>
      </w:pPr>
      <w:r w:rsidRPr="002E1D37">
        <w:rPr>
          <w:bCs/>
          <w:color w:val="auto"/>
        </w:rPr>
        <w:t>Byl mu soudem nebo správním orgánem uložen zákaz činnosti, týkající se provozování živnosti.</w:t>
      </w:r>
    </w:p>
    <w:p w14:paraId="61419E71" w14:textId="77777777" w:rsidR="00E23BD1" w:rsidRPr="009B2EC7" w:rsidRDefault="00E23BD1" w:rsidP="00E23BD1">
      <w:pPr>
        <w:pStyle w:val="Odstavecseseznamem"/>
        <w:numPr>
          <w:ilvl w:val="0"/>
          <w:numId w:val="30"/>
        </w:numPr>
        <w:spacing w:before="120" w:after="120" w:line="276" w:lineRule="auto"/>
        <w:contextualSpacing w:val="0"/>
      </w:pPr>
      <w:r>
        <w:t>Neplní povinnosti dle zákona č. 563/1991 Sb., zákona o účetnictví, ve znění pozdějších předpisů, zejména povinnost zveřejnit účetní závěrku v příslušném rejstříku ve smyslu zákona č. 304/2013 Sb., o veřejných rejstřících právnick</w:t>
      </w:r>
      <w:r w:rsidRPr="009B2EC7">
        <w:t xml:space="preserve">ých a fyzických osob. Tento odstavec se týká jen těch subjektů, které takové povinnosti mají uloženy. </w:t>
      </w:r>
      <w:r w:rsidRPr="00FE4D96">
        <w:rPr>
          <w:iCs/>
        </w:rPr>
        <w:t>Poskytovatel provede kontrolu dodržování této povinnosti za poslední dvě uzavřená účetní období, tedy období, za které žadatel podal daňová přiznání.</w:t>
      </w:r>
      <w:r w:rsidRPr="009B2EC7">
        <w:t xml:space="preserve"> V případě subjektů, které nemají tuto povinnost stanovenou zákonem za celé toto období, bude její plnění kontrolováno za období, za které mají tuto povinnost stanovenou. Příjemce je povinen tuto povinnost plnit po celou dobu realizace projektu.</w:t>
      </w:r>
    </w:p>
    <w:p w14:paraId="2D684EE3" w14:textId="77777777" w:rsidR="00E23BD1" w:rsidRPr="00FE4D96" w:rsidRDefault="00E23BD1" w:rsidP="00E23BD1">
      <w:pPr>
        <w:ind w:left="709"/>
        <w:rPr>
          <w:iCs/>
          <w:color w:val="auto"/>
        </w:rPr>
      </w:pPr>
      <w:r w:rsidRPr="00FE4D96">
        <w:rPr>
          <w:iCs/>
        </w:rPr>
        <w:t>Pokud žadatel před podáním Žádosti o podporu bude mít podané daňové přiznání za bezprostředně předcházející účetní období, je povinen pro účely Žádosti o podporu učinit podání účetní závěrky do Obchodního rejstříku i za toto období, a to dříve, než bude Žádost o podporu podána.</w:t>
      </w:r>
    </w:p>
    <w:p w14:paraId="15A71B48" w14:textId="77777777" w:rsidR="00E23BD1" w:rsidRDefault="00E23BD1" w:rsidP="00E23BD1">
      <w:pPr>
        <w:ind w:left="709"/>
      </w:pPr>
      <w:r w:rsidRPr="009B2EC7">
        <w:rPr>
          <w:color w:val="auto"/>
        </w:rPr>
        <w:t>Za splnění povinnosti se považuje, pokud bylo před podáním žádosti učiněno podání do Obchodního rejstříku</w:t>
      </w:r>
      <w:r w:rsidRPr="00FE4D96">
        <w:rPr>
          <w:iCs/>
        </w:rPr>
        <w:t>, které vedlo k úspěšnému zveřejnění účetní závěrky splňující všechny náležitosti</w:t>
      </w:r>
      <w:r w:rsidRPr="009B2EC7">
        <w:t>.</w:t>
      </w:r>
      <w:r w:rsidRPr="00E23BD1">
        <w:rPr>
          <w:color w:val="auto"/>
        </w:rPr>
        <w:t xml:space="preserve"> </w:t>
      </w:r>
      <w:r w:rsidRPr="002D6EBE">
        <w:rPr>
          <w:color w:val="auto"/>
        </w:rPr>
        <w:t>Podání bude doloženo potvrzením elektronické podatelny Obchodního rejstříku, kopií samotného podání a dokumenty určenými k zveřejnění.</w:t>
      </w:r>
    </w:p>
    <w:p w14:paraId="46CE5134" w14:textId="77777777" w:rsidR="00E23BD1" w:rsidRPr="009F0953" w:rsidRDefault="00E23BD1" w:rsidP="00E23BD1">
      <w:pPr>
        <w:pStyle w:val="Odstavecseseznamem"/>
        <w:spacing w:before="120" w:after="120" w:line="276" w:lineRule="auto"/>
        <w:contextualSpacing w:val="0"/>
      </w:pPr>
      <w:r w:rsidRPr="009F0953">
        <w:rPr>
          <w:color w:val="auto"/>
        </w:rPr>
        <w:t>Zpětné splnění této povinnosti až po podání žádosti není možné.</w:t>
      </w:r>
    </w:p>
    <w:p w14:paraId="740E0CA2" w14:textId="77777777" w:rsidR="00E23BD1" w:rsidRPr="002D6EBE" w:rsidRDefault="00E23BD1" w:rsidP="00E23BD1">
      <w:pPr>
        <w:pStyle w:val="Odstavecseseznamem"/>
        <w:numPr>
          <w:ilvl w:val="0"/>
          <w:numId w:val="30"/>
        </w:numPr>
        <w:spacing w:before="120" w:after="120" w:line="276" w:lineRule="auto"/>
        <w:contextualSpacing w:val="0"/>
      </w:pPr>
      <w:r>
        <w:rPr>
          <w:color w:val="auto"/>
        </w:rPr>
        <w:lastRenderedPageBreak/>
        <w:t>N</w:t>
      </w:r>
      <w:r w:rsidRPr="009F0953">
        <w:rPr>
          <w:color w:val="auto"/>
        </w:rPr>
        <w:t>emá zapsány skutečné majitele dle §4 odst. 4 zákona č. 253/2008 Sb., o některých opatřeních proti legalizaci výnosů z trestné činnosti a financování terorismu v </w:t>
      </w:r>
      <w:r>
        <w:rPr>
          <w:color w:val="auto"/>
        </w:rPr>
        <w:t>evidenci</w:t>
      </w:r>
      <w:r w:rsidRPr="009F0953">
        <w:rPr>
          <w:color w:val="auto"/>
        </w:rPr>
        <w:t xml:space="preserve"> skutečných majitelů dle § 118b odst. 1 zákona č. 304/2013 Sb., o veřejných rejstřících právnických a fyzických osob</w:t>
      </w:r>
      <w:r>
        <w:rPr>
          <w:color w:val="auto"/>
        </w:rPr>
        <w:t xml:space="preserve">. </w:t>
      </w:r>
    </w:p>
    <w:p w14:paraId="4668DFE2" w14:textId="14067A4A" w:rsidR="001813D1" w:rsidRDefault="00E23BD1" w:rsidP="00E23BD1">
      <w:pPr>
        <w:pStyle w:val="Odstavecseseznamem"/>
        <w:rPr>
          <w:iCs/>
        </w:rPr>
      </w:pPr>
      <w:r w:rsidRPr="002D6EBE">
        <w:rPr>
          <w:iCs/>
        </w:rPr>
        <w:t>Zápis musí být proveden před podáním Žádosti o podporu. Zápis skutečných majitelů dle uvedeného není nutné dokládat. Kontrolu zápisu v příslušné evidenci provede poskytovatel.</w:t>
      </w:r>
    </w:p>
    <w:p w14:paraId="1220D6B7" w14:textId="77777777" w:rsidR="001813D1" w:rsidRPr="00E00666" w:rsidRDefault="001813D1" w:rsidP="00E23BD1">
      <w:pPr>
        <w:pStyle w:val="Odstavecseseznamem"/>
        <w:rPr>
          <w:iCs/>
        </w:rPr>
      </w:pPr>
    </w:p>
    <w:p w14:paraId="4EE23F9E" w14:textId="4061C38F" w:rsidR="0039339A" w:rsidRDefault="001813D1" w:rsidP="001813D1">
      <w:pPr>
        <w:pStyle w:val="Odstavecseseznamem"/>
        <w:ind w:left="567" w:hanging="141"/>
      </w:pPr>
      <w:r>
        <w:t xml:space="preserve">i) </w:t>
      </w:r>
      <w:r w:rsidR="00E23BD1" w:rsidRPr="00685770">
        <w:t>M</w:t>
      </w:r>
      <w:r w:rsidR="00E23BD1">
        <w:t xml:space="preserve">á formu společnosti s ručením omezeným, kde je k podílu (podílům) společníka (společníků) vydán kmenový list podle § 137 zákona č. 90/2012 Sb., o obchodních společnostech a družstvech (zákon o obchodních korporacích), </w:t>
      </w:r>
      <w:r w:rsidR="00E23BD1">
        <w:rPr>
          <w:bCs/>
        </w:rPr>
        <w:t>ve znění pozdějších předpisů.</w:t>
      </w:r>
    </w:p>
    <w:p w14:paraId="3D53B792" w14:textId="77777777" w:rsidR="00F7406A" w:rsidRPr="00F21137" w:rsidRDefault="00F7406A" w:rsidP="00F7406A">
      <w:pPr>
        <w:pStyle w:val="Nadpisobsahu"/>
        <w:rPr>
          <w:color w:val="0070C0"/>
        </w:rPr>
      </w:pPr>
      <w:r w:rsidRPr="00F21137">
        <w:rPr>
          <w:color w:val="0070C0"/>
        </w:rPr>
        <w:t>5</w:t>
      </w:r>
      <w:r w:rsidR="00F21137">
        <w:rPr>
          <w:color w:val="0070C0"/>
        </w:rPr>
        <w:t xml:space="preserve">. </w:t>
      </w:r>
      <w:r w:rsidRPr="00F21137">
        <w:rPr>
          <w:color w:val="0070C0"/>
        </w:rPr>
        <w:t>Informace o způsobilosti výdajů</w:t>
      </w:r>
    </w:p>
    <w:p w14:paraId="4FB63B6C" w14:textId="77777777" w:rsidR="00F7406A" w:rsidRPr="002E1D37" w:rsidRDefault="00F7406A" w:rsidP="00F7406A">
      <w:pPr>
        <w:rPr>
          <w:b/>
          <w:bCs/>
          <w:color w:val="auto"/>
        </w:rPr>
      </w:pPr>
      <w:r w:rsidRPr="002E1D37">
        <w:rPr>
          <w:b/>
          <w:bCs/>
          <w:color w:val="auto"/>
        </w:rPr>
        <w:t>5.1 Podmínky způsobilosti výdajů</w:t>
      </w:r>
    </w:p>
    <w:p w14:paraId="1D1280D8" w14:textId="77777777" w:rsidR="00F7406A" w:rsidRPr="002E1D37" w:rsidRDefault="00F7406A" w:rsidP="00F7406A">
      <w:pPr>
        <w:rPr>
          <w:bCs/>
          <w:color w:val="auto"/>
        </w:rPr>
      </w:pPr>
      <w:r w:rsidRPr="002E1D37">
        <w:rPr>
          <w:bCs/>
          <w:color w:val="auto"/>
        </w:rPr>
        <w:t>Způsobilé výdaje musí splňovat následující podmínky:</w:t>
      </w:r>
    </w:p>
    <w:p w14:paraId="69E59371" w14:textId="0411C3BB" w:rsidR="00F7406A" w:rsidRPr="002E1D37" w:rsidRDefault="000820EF" w:rsidP="00F7406A">
      <w:pPr>
        <w:pStyle w:val="Odstavecseseznamem"/>
        <w:numPr>
          <w:ilvl w:val="0"/>
          <w:numId w:val="20"/>
        </w:numPr>
        <w:ind w:left="284" w:hanging="284"/>
        <w:rPr>
          <w:bCs/>
          <w:color w:val="auto"/>
        </w:rPr>
      </w:pPr>
      <w:r>
        <w:rPr>
          <w:bCs/>
          <w:color w:val="auto"/>
        </w:rPr>
        <w:t>M</w:t>
      </w:r>
      <w:r w:rsidR="00F7406A" w:rsidRPr="002E1D37">
        <w:rPr>
          <w:bCs/>
          <w:color w:val="auto"/>
        </w:rPr>
        <w:t>usí splňovat obecné principy způsobilosti výdajů z hlediska času, umístění a účelu a musí být vynaloženy v souladu se zásadami hospodárnosti, efektivnosti a účelnosti, poskytovatel podpory bude při kontrole hospodárnosti žádosti o podporu kontrolovat ceny obvyklé všech způsobilých výdajů projektu. Výdaje nad obvyklé ceny těchto kontrolovaných kategorií výdajů nebudou uznány jako způsobilé výdaje projektu;</w:t>
      </w:r>
    </w:p>
    <w:p w14:paraId="27564000" w14:textId="388E9B20" w:rsidR="00F7406A" w:rsidRPr="002E1D37" w:rsidRDefault="000820EF" w:rsidP="00F7406A">
      <w:pPr>
        <w:pStyle w:val="Odstavecseseznamem"/>
        <w:numPr>
          <w:ilvl w:val="0"/>
          <w:numId w:val="20"/>
        </w:numPr>
        <w:ind w:left="284" w:hanging="284"/>
        <w:rPr>
          <w:bCs/>
          <w:color w:val="auto"/>
        </w:rPr>
      </w:pPr>
      <w:r>
        <w:rPr>
          <w:bCs/>
          <w:color w:val="auto"/>
        </w:rPr>
        <w:t>M</w:t>
      </w:r>
      <w:r w:rsidR="00F7406A" w:rsidRPr="002E1D37">
        <w:rPr>
          <w:bCs/>
          <w:color w:val="auto"/>
        </w:rPr>
        <w:t>usí být vynaloženy v souladu s cíli programu a Výzvy a musí bezprostředně souviset s realizací projektu (musí být uvedeny v podnikatelském záměru schváleném poskytovatelem podpory, případně v jeho aktualizaci, kterou schválil poskytovatel podpory ve změnovém řízení)</w:t>
      </w:r>
      <w:r w:rsidR="00594217" w:rsidRPr="002E1D37">
        <w:rPr>
          <w:bCs/>
          <w:color w:val="auto"/>
        </w:rPr>
        <w:t>;</w:t>
      </w:r>
    </w:p>
    <w:p w14:paraId="32E213B2" w14:textId="51E1EB52" w:rsidR="00D439C7" w:rsidRPr="002E1D37" w:rsidRDefault="000820EF" w:rsidP="00F7406A">
      <w:pPr>
        <w:pStyle w:val="Odstavecseseznamem"/>
        <w:numPr>
          <w:ilvl w:val="0"/>
          <w:numId w:val="20"/>
        </w:numPr>
        <w:ind w:left="284" w:hanging="284"/>
        <w:rPr>
          <w:bCs/>
          <w:color w:val="auto"/>
        </w:rPr>
      </w:pPr>
      <w:r>
        <w:rPr>
          <w:bCs/>
          <w:color w:val="auto"/>
        </w:rPr>
        <w:t>M</w:t>
      </w:r>
      <w:r w:rsidR="00F7406A" w:rsidRPr="002E1D37">
        <w:rPr>
          <w:bCs/>
          <w:color w:val="auto"/>
        </w:rPr>
        <w:t>usí vzniknout nejdříve v den přijatelnosti projektu - tj. den podání žádosti o podporu</w:t>
      </w:r>
      <w:r w:rsidR="00594217" w:rsidRPr="002E1D37">
        <w:rPr>
          <w:bCs/>
          <w:color w:val="auto"/>
        </w:rPr>
        <w:t>;</w:t>
      </w:r>
      <w:r w:rsidR="00F7406A" w:rsidRPr="002E1D37">
        <w:rPr>
          <w:bCs/>
          <w:color w:val="auto"/>
        </w:rPr>
        <w:t xml:space="preserve"> </w:t>
      </w:r>
    </w:p>
    <w:p w14:paraId="261A6962" w14:textId="1BF3E2A6" w:rsidR="00F7406A" w:rsidRPr="002E1D37" w:rsidRDefault="000820EF" w:rsidP="00F7406A">
      <w:pPr>
        <w:pStyle w:val="Odstavecseseznamem"/>
        <w:numPr>
          <w:ilvl w:val="0"/>
          <w:numId w:val="20"/>
        </w:numPr>
        <w:ind w:left="284" w:hanging="284"/>
        <w:rPr>
          <w:bCs/>
          <w:color w:val="auto"/>
        </w:rPr>
      </w:pPr>
      <w:r>
        <w:rPr>
          <w:bCs/>
          <w:color w:val="auto"/>
        </w:rPr>
        <w:t>M</w:t>
      </w:r>
      <w:r w:rsidR="00F7406A" w:rsidRPr="002E1D37">
        <w:rPr>
          <w:bCs/>
          <w:color w:val="auto"/>
        </w:rPr>
        <w:t xml:space="preserve">usí být před proplacením z </w:t>
      </w:r>
      <w:r w:rsidRPr="00790D1D">
        <w:t>Evropského fondu pro regionální rozvoj</w:t>
      </w:r>
      <w:r w:rsidRPr="008D4E41">
        <w:rPr>
          <w:bCs/>
        </w:rPr>
        <w:t xml:space="preserve"> </w:t>
      </w:r>
      <w:r>
        <w:rPr>
          <w:bCs/>
        </w:rPr>
        <w:t>(„</w:t>
      </w:r>
      <w:r w:rsidRPr="008D4E41">
        <w:rPr>
          <w:bCs/>
        </w:rPr>
        <w:t>ERDF</w:t>
      </w:r>
      <w:r>
        <w:rPr>
          <w:bCs/>
        </w:rPr>
        <w:t xml:space="preserve">“) </w:t>
      </w:r>
      <w:r w:rsidR="00F7406A" w:rsidRPr="002E1D37">
        <w:rPr>
          <w:bCs/>
          <w:color w:val="auto"/>
        </w:rPr>
        <w:t xml:space="preserve">prokazatelně zaplaceny příjemcem (dodavatelům, zaměstnancům </w:t>
      </w:r>
      <w:r w:rsidR="00594217" w:rsidRPr="002E1D37">
        <w:rPr>
          <w:bCs/>
          <w:color w:val="auto"/>
        </w:rPr>
        <w:t>apod.), není-li stanoveno jinak;</w:t>
      </w:r>
    </w:p>
    <w:p w14:paraId="5E49A6A6" w14:textId="764AC12F" w:rsidR="00594217" w:rsidRPr="002E1D37" w:rsidRDefault="000820EF" w:rsidP="00594217">
      <w:pPr>
        <w:pStyle w:val="Odstavecseseznamem"/>
        <w:numPr>
          <w:ilvl w:val="0"/>
          <w:numId w:val="20"/>
        </w:numPr>
        <w:spacing w:after="0" w:line="276" w:lineRule="auto"/>
        <w:ind w:left="357" w:hanging="357"/>
        <w:rPr>
          <w:rFonts w:cs="Calibri"/>
          <w:color w:val="auto"/>
          <w:position w:val="1"/>
        </w:rPr>
      </w:pPr>
      <w:r>
        <w:rPr>
          <w:rFonts w:cs="Calibri"/>
          <w:color w:val="auto"/>
          <w:position w:val="1"/>
        </w:rPr>
        <w:t>M</w:t>
      </w:r>
      <w:r w:rsidR="00594217" w:rsidRPr="002E1D37">
        <w:rPr>
          <w:rFonts w:cs="Calibri"/>
          <w:color w:val="auto"/>
          <w:position w:val="1"/>
        </w:rPr>
        <w:t>ajetek nelze pořizovat vlastní činností příjemce (aktivací);</w:t>
      </w:r>
    </w:p>
    <w:p w14:paraId="4A8B042C" w14:textId="7B11D87F" w:rsidR="00092D9D" w:rsidRPr="002E1D37" w:rsidRDefault="000820EF" w:rsidP="00092D9D">
      <w:pPr>
        <w:pStyle w:val="Odstavecseseznamem"/>
        <w:numPr>
          <w:ilvl w:val="0"/>
          <w:numId w:val="20"/>
        </w:numPr>
        <w:spacing w:after="0" w:line="276" w:lineRule="auto"/>
        <w:ind w:left="357" w:hanging="357"/>
        <w:rPr>
          <w:rFonts w:cs="Calibri"/>
          <w:color w:val="auto"/>
          <w:position w:val="1"/>
        </w:rPr>
      </w:pPr>
      <w:r>
        <w:rPr>
          <w:bCs/>
          <w:color w:val="auto"/>
        </w:rPr>
        <w:t>M</w:t>
      </w:r>
      <w:r w:rsidR="00F7406A" w:rsidRPr="002E1D37">
        <w:rPr>
          <w:bCs/>
          <w:color w:val="auto"/>
        </w:rPr>
        <w:t>usí být doloženy průkaznými účetními doklady</w:t>
      </w:r>
      <w:r w:rsidR="00594217" w:rsidRPr="002E1D37">
        <w:rPr>
          <w:rFonts w:cs="Calibri"/>
          <w:color w:val="auto"/>
          <w:position w:val="1"/>
        </w:rPr>
        <w:t>;</w:t>
      </w:r>
    </w:p>
    <w:p w14:paraId="522BEBF7" w14:textId="4E23655B" w:rsidR="00F7406A" w:rsidRPr="00A7040B" w:rsidRDefault="000820EF" w:rsidP="00F7406A">
      <w:pPr>
        <w:pStyle w:val="Odstavecseseznamem"/>
        <w:numPr>
          <w:ilvl w:val="0"/>
          <w:numId w:val="20"/>
        </w:numPr>
        <w:ind w:left="284" w:hanging="284"/>
        <w:rPr>
          <w:bCs/>
          <w:color w:val="auto"/>
        </w:rPr>
      </w:pPr>
      <w:r>
        <w:rPr>
          <w:bCs/>
          <w:color w:val="auto"/>
        </w:rPr>
        <w:t>P</w:t>
      </w:r>
      <w:r w:rsidR="00F7406A" w:rsidRPr="00A7040B">
        <w:rPr>
          <w:bCs/>
          <w:color w:val="auto"/>
        </w:rPr>
        <w:t>odpora dle čl. 14 Nařízení Komise (EU) č. 651/2014 musí splňovat definici počáteční investice</w:t>
      </w:r>
      <w:r w:rsidR="00644FC0">
        <w:rPr>
          <w:rStyle w:val="Znakapoznpodarou"/>
          <w:bCs/>
          <w:color w:val="auto"/>
        </w:rPr>
        <w:footnoteReference w:id="10"/>
      </w:r>
      <w:r w:rsidR="006E37B9">
        <w:rPr>
          <w:bCs/>
          <w:color w:val="auto"/>
        </w:rPr>
        <w:t xml:space="preserve"> </w:t>
      </w:r>
      <w:r w:rsidR="00F7406A" w:rsidRPr="00A7040B">
        <w:rPr>
          <w:bCs/>
          <w:color w:val="auto"/>
        </w:rPr>
        <w:t xml:space="preserve">dle tohoto nařízení. </w:t>
      </w:r>
    </w:p>
    <w:p w14:paraId="7A0856B7" w14:textId="425B5C78" w:rsidR="0088730A" w:rsidRPr="002E1D37" w:rsidRDefault="000820EF" w:rsidP="00F7406A">
      <w:pPr>
        <w:pStyle w:val="Odstavecseseznamem"/>
        <w:numPr>
          <w:ilvl w:val="0"/>
          <w:numId w:val="20"/>
        </w:numPr>
        <w:ind w:left="284" w:hanging="284"/>
        <w:rPr>
          <w:bCs/>
          <w:color w:val="auto"/>
        </w:rPr>
      </w:pPr>
      <w:r>
        <w:rPr>
          <w:bCs/>
          <w:color w:val="auto"/>
        </w:rPr>
        <w:t>V</w:t>
      </w:r>
      <w:r w:rsidR="0088730A" w:rsidRPr="002E1D37">
        <w:rPr>
          <w:bCs/>
          <w:color w:val="auto"/>
        </w:rPr>
        <w:t xml:space="preserve"> případě pořízení majetku provozovny ve smyslu čl. 2 bodu 49</w:t>
      </w:r>
      <w:r w:rsidR="00FA3BA4">
        <w:rPr>
          <w:bCs/>
          <w:color w:val="auto"/>
        </w:rPr>
        <w:t xml:space="preserve"> čl. 14 Nařízení Komise (EU) č. </w:t>
      </w:r>
      <w:r w:rsidR="007934C1" w:rsidRPr="002E1D37">
        <w:rPr>
          <w:bCs/>
          <w:color w:val="auto"/>
        </w:rPr>
        <w:t>651/2014</w:t>
      </w:r>
      <w:r w:rsidR="0088730A" w:rsidRPr="002E1D37">
        <w:rPr>
          <w:bCs/>
          <w:color w:val="auto"/>
        </w:rPr>
        <w:t xml:space="preserve">  se zohlední pouze náklady na nákup majetku od třetích</w:t>
      </w:r>
      <w:r w:rsidR="00FA3BA4">
        <w:rPr>
          <w:bCs/>
          <w:color w:val="auto"/>
        </w:rPr>
        <w:t xml:space="preserve"> osob, které nejsou spřízněny s </w:t>
      </w:r>
      <w:r w:rsidR="0088730A" w:rsidRPr="002E1D37">
        <w:rPr>
          <w:bCs/>
          <w:color w:val="auto"/>
        </w:rPr>
        <w:t xml:space="preserve">kupujícím.  Tato transakce se musí uskutečnit za tržních podmínek. Pokud již byla poskytnuta podpora na pořízení majetku před jeho nákupem, pak se náklady na tento majetek odečítají od způsobilých nákladů na pořízení provozovny. Jestliže se malý podnik převádí na rodinného příslušníka původního vlastníka nebo na zaměstnance, podmínka, že majetek musí být koupen </w:t>
      </w:r>
      <w:r w:rsidR="00FA3BA4">
        <w:rPr>
          <w:bCs/>
          <w:color w:val="auto"/>
        </w:rPr>
        <w:t>od třetích osob nespřízněných s </w:t>
      </w:r>
      <w:r w:rsidR="0088730A" w:rsidRPr="002E1D37">
        <w:rPr>
          <w:bCs/>
          <w:color w:val="auto"/>
        </w:rPr>
        <w:t>kupujícím, se nepoužije. Nabytí podílů se ne</w:t>
      </w:r>
      <w:r w:rsidR="00E23BD1">
        <w:rPr>
          <w:bCs/>
          <w:color w:val="auto"/>
        </w:rPr>
        <w:t>považuje za počáteční investici.</w:t>
      </w:r>
    </w:p>
    <w:p w14:paraId="2CF3B194" w14:textId="3F37F571" w:rsidR="00092D9D" w:rsidRPr="002E1D37" w:rsidRDefault="000820EF" w:rsidP="00F7406A">
      <w:pPr>
        <w:pStyle w:val="Odstavecseseznamem"/>
        <w:numPr>
          <w:ilvl w:val="0"/>
          <w:numId w:val="20"/>
        </w:numPr>
        <w:spacing w:after="0" w:line="276" w:lineRule="auto"/>
        <w:ind w:left="357" w:hanging="357"/>
        <w:rPr>
          <w:bCs/>
          <w:color w:val="auto"/>
        </w:rPr>
      </w:pPr>
      <w:r>
        <w:rPr>
          <w:bCs/>
          <w:color w:val="auto"/>
        </w:rPr>
        <w:t>M</w:t>
      </w:r>
      <w:r w:rsidR="00E57DC6" w:rsidRPr="002E1D37">
        <w:rPr>
          <w:bCs/>
          <w:color w:val="auto"/>
        </w:rPr>
        <w:t xml:space="preserve">usí se jednat o odepisovatelná aktiva zařazená do majetku příjemce a evidovaná po dobu </w:t>
      </w:r>
      <w:r w:rsidR="0086110D">
        <w:rPr>
          <w:bCs/>
          <w:color w:val="auto"/>
        </w:rPr>
        <w:t>5</w:t>
      </w:r>
      <w:r w:rsidR="00E57DC6" w:rsidRPr="002E1D37">
        <w:rPr>
          <w:bCs/>
          <w:color w:val="auto"/>
        </w:rPr>
        <w:t> let</w:t>
      </w:r>
      <w:r w:rsidR="007934C1" w:rsidRPr="002E1D37">
        <w:rPr>
          <w:bCs/>
          <w:color w:val="auto"/>
        </w:rPr>
        <w:t xml:space="preserve"> od </w:t>
      </w:r>
      <w:r w:rsidR="00E57DC6" w:rsidRPr="002E1D37">
        <w:rPr>
          <w:bCs/>
          <w:color w:val="auto"/>
        </w:rPr>
        <w:t>přechodu projektu do centrálního stavu MS2014+ „Projekt finančně ukončen ze strany ŘO“</w:t>
      </w:r>
      <w:r w:rsidR="00594217" w:rsidRPr="002E1D37">
        <w:rPr>
          <w:bCs/>
          <w:color w:val="auto"/>
        </w:rPr>
        <w:t>;</w:t>
      </w:r>
    </w:p>
    <w:p w14:paraId="637440F5" w14:textId="756267CD" w:rsidR="00644FC0" w:rsidRPr="00644FC0" w:rsidRDefault="000820EF" w:rsidP="00644FC0">
      <w:pPr>
        <w:pStyle w:val="Odstavecseseznamem"/>
        <w:numPr>
          <w:ilvl w:val="0"/>
          <w:numId w:val="20"/>
        </w:numPr>
        <w:spacing w:after="0" w:line="276" w:lineRule="auto"/>
        <w:ind w:left="357" w:hanging="357"/>
        <w:rPr>
          <w:rFonts w:cs="Calibri"/>
          <w:color w:val="auto"/>
          <w:position w:val="1"/>
        </w:rPr>
      </w:pPr>
      <w:r>
        <w:rPr>
          <w:rFonts w:cs="Calibri"/>
          <w:color w:val="auto"/>
          <w:position w:val="1"/>
        </w:rPr>
        <w:lastRenderedPageBreak/>
        <w:t>P</w:t>
      </w:r>
      <w:r w:rsidR="00F7406A" w:rsidRPr="002E1D37">
        <w:rPr>
          <w:rFonts w:cs="Calibri"/>
          <w:color w:val="auto"/>
          <w:position w:val="1"/>
        </w:rPr>
        <w:t>ro účely výpočtu intenzity podpory a způsobilých výdajů se všechny použité číselné údaje uvádějí před srážkou daně</w:t>
      </w:r>
      <w:r w:rsidR="00F7406A" w:rsidRPr="002E1D37">
        <w:rPr>
          <w:rStyle w:val="Znakapoznpodarou"/>
          <w:rFonts w:cs="Calibri"/>
          <w:color w:val="auto"/>
          <w:position w:val="1"/>
        </w:rPr>
        <w:footnoteReference w:id="11"/>
      </w:r>
      <w:r w:rsidR="00F7406A" w:rsidRPr="002E1D37">
        <w:rPr>
          <w:rFonts w:cs="Calibri"/>
          <w:color w:val="auto"/>
          <w:position w:val="1"/>
        </w:rPr>
        <w:t xml:space="preserve"> nebo jiných poplatků. Způsobilé výdaje musí být doloženy písemnými doklady, které musí být jasné, konkrétní a aktuální.</w:t>
      </w:r>
    </w:p>
    <w:p w14:paraId="6B0AB116" w14:textId="77777777" w:rsidR="00F7406A" w:rsidRPr="002E1D37" w:rsidRDefault="00F7406A" w:rsidP="00F7406A">
      <w:pPr>
        <w:rPr>
          <w:bCs/>
          <w:color w:val="auto"/>
        </w:rPr>
      </w:pPr>
    </w:p>
    <w:p w14:paraId="14388591" w14:textId="77777777" w:rsidR="00F7406A" w:rsidRPr="002E1D37" w:rsidRDefault="00F7406A" w:rsidP="00F7406A">
      <w:pPr>
        <w:pStyle w:val="Odstavecseseznamem"/>
        <w:numPr>
          <w:ilvl w:val="1"/>
          <w:numId w:val="10"/>
        </w:numPr>
        <w:rPr>
          <w:b/>
          <w:bCs/>
          <w:color w:val="auto"/>
        </w:rPr>
      </w:pPr>
      <w:bookmarkStart w:id="4" w:name="_Toc411947676"/>
      <w:r w:rsidRPr="002E1D37">
        <w:rPr>
          <w:b/>
          <w:bCs/>
          <w:color w:val="auto"/>
        </w:rPr>
        <w:t>Vymezení způsobilých výdajů</w:t>
      </w:r>
      <w:bookmarkEnd w:id="4"/>
    </w:p>
    <w:p w14:paraId="5768C6CB" w14:textId="77777777" w:rsidR="00F7406A" w:rsidRPr="002E1D37" w:rsidRDefault="00F7406A" w:rsidP="00FA3BA4">
      <w:pPr>
        <w:rPr>
          <w:bCs/>
          <w:color w:val="auto"/>
        </w:rPr>
      </w:pPr>
      <w:r w:rsidRPr="002E1D37">
        <w:rPr>
          <w:bCs/>
          <w:color w:val="auto"/>
        </w:rPr>
        <w:t xml:space="preserve">Způsobilé výdaje jsou přesně vymezeny </w:t>
      </w:r>
      <w:r w:rsidRPr="002E1D37">
        <w:rPr>
          <w:rFonts w:cs="Calibri"/>
          <w:color w:val="auto"/>
        </w:rPr>
        <w:t>v</w:t>
      </w:r>
      <w:r w:rsidR="00FA05FC" w:rsidRPr="002E1D37">
        <w:rPr>
          <w:rFonts w:cs="Calibri"/>
          <w:color w:val="auto"/>
        </w:rPr>
        <w:t xml:space="preserve"> této kapitole a </w:t>
      </w:r>
      <w:r w:rsidRPr="002E1D37">
        <w:rPr>
          <w:rFonts w:cs="Calibri"/>
          <w:color w:val="auto"/>
        </w:rPr>
        <w:t>příloze Pravidla způsobilosti a publicity – obecná část</w:t>
      </w:r>
      <w:r w:rsidRPr="002E1D37">
        <w:rPr>
          <w:rStyle w:val="Odkaznakoment"/>
          <w:color w:val="auto"/>
        </w:rPr>
        <w:t xml:space="preserve">. </w:t>
      </w:r>
      <w:r w:rsidRPr="002E1D37">
        <w:rPr>
          <w:rFonts w:cs="Calibri"/>
          <w:color w:val="auto"/>
        </w:rPr>
        <w:t xml:space="preserve"> </w:t>
      </w:r>
    </w:p>
    <w:p w14:paraId="699F3FA5" w14:textId="4B7D3D4C" w:rsidR="00F7406A" w:rsidRDefault="00F7406A" w:rsidP="00F7406A">
      <w:pPr>
        <w:rPr>
          <w:bCs/>
          <w:color w:val="auto"/>
        </w:rPr>
      </w:pPr>
      <w:r w:rsidRPr="002E1D37">
        <w:rPr>
          <w:bCs/>
          <w:color w:val="auto"/>
        </w:rPr>
        <w:t>Způsobilými výdaji jsou:</w:t>
      </w:r>
    </w:p>
    <w:p w14:paraId="1D599E58" w14:textId="77777777" w:rsidR="00F7406A" w:rsidRPr="002E1D37" w:rsidRDefault="00F7406A" w:rsidP="007853A7">
      <w:pPr>
        <w:pStyle w:val="Odstavecseseznamem"/>
        <w:numPr>
          <w:ilvl w:val="0"/>
          <w:numId w:val="35"/>
        </w:numPr>
        <w:spacing w:after="120" w:line="276" w:lineRule="auto"/>
        <w:ind w:left="426" w:hanging="426"/>
        <w:rPr>
          <w:color w:val="auto"/>
        </w:rPr>
      </w:pPr>
      <w:r w:rsidRPr="002E1D37">
        <w:rPr>
          <w:b/>
          <w:color w:val="auto"/>
        </w:rPr>
        <w:t>Dlouhodobý hmotný majetek</w:t>
      </w:r>
      <w:r w:rsidR="00EA472B" w:rsidRPr="002E1D37">
        <w:rPr>
          <w:rStyle w:val="Znakapoznpodarou"/>
          <w:color w:val="auto"/>
        </w:rPr>
        <w:footnoteReference w:id="12"/>
      </w:r>
      <w:r w:rsidRPr="002E1D37">
        <w:rPr>
          <w:color w:val="auto"/>
        </w:rPr>
        <w:t xml:space="preserve"> (hmotný majetek u příjemců podpory vedoucích daňovou evidenci)</w:t>
      </w:r>
    </w:p>
    <w:p w14:paraId="121C640C" w14:textId="00DF0002" w:rsidR="00F7406A" w:rsidRPr="002E1D37" w:rsidRDefault="00F7406A" w:rsidP="00F7406A">
      <w:pPr>
        <w:ind w:left="426"/>
        <w:rPr>
          <w:color w:val="auto"/>
        </w:rPr>
      </w:pPr>
      <w:r w:rsidRPr="002E1D37">
        <w:rPr>
          <w:color w:val="auto"/>
        </w:rPr>
        <w:t>Výdaje na pořízení</w:t>
      </w:r>
      <w:r w:rsidR="007E3929">
        <w:rPr>
          <w:color w:val="auto"/>
        </w:rPr>
        <w:t xml:space="preserve"> </w:t>
      </w:r>
      <w:r w:rsidR="00E16A03" w:rsidRPr="002E1D37">
        <w:rPr>
          <w:color w:val="auto"/>
        </w:rPr>
        <w:t>technologií</w:t>
      </w:r>
      <w:r w:rsidR="003E21BD" w:rsidRPr="002E1D37">
        <w:rPr>
          <w:color w:val="auto"/>
        </w:rPr>
        <w:t xml:space="preserve">, </w:t>
      </w:r>
      <w:r w:rsidR="005E55B9">
        <w:rPr>
          <w:color w:val="auto"/>
        </w:rPr>
        <w:t xml:space="preserve">strojů, </w:t>
      </w:r>
      <w:r w:rsidR="003E21BD" w:rsidRPr="002E1D37">
        <w:rPr>
          <w:color w:val="auto"/>
        </w:rPr>
        <w:t>zařízení</w:t>
      </w:r>
      <w:r w:rsidRPr="002E1D37">
        <w:rPr>
          <w:color w:val="auto"/>
        </w:rPr>
        <w:t xml:space="preserve"> </w:t>
      </w:r>
      <w:r w:rsidR="00E16A03" w:rsidRPr="002E1D37">
        <w:rPr>
          <w:color w:val="auto"/>
        </w:rPr>
        <w:t>a provozních souborů</w:t>
      </w:r>
      <w:r w:rsidR="005E55B9">
        <w:rPr>
          <w:color w:val="auto"/>
        </w:rPr>
        <w:t xml:space="preserve">, </w:t>
      </w:r>
      <w:r w:rsidR="005E55B9" w:rsidRPr="009E3D94">
        <w:rPr>
          <w:bCs/>
          <w:color w:val="auto"/>
        </w:rPr>
        <w:t xml:space="preserve">které nebyly </w:t>
      </w:r>
      <w:r w:rsidR="00341188" w:rsidRPr="002E1D37">
        <w:rPr>
          <w:color w:val="auto"/>
        </w:rPr>
        <w:t>před realizací projektu</w:t>
      </w:r>
      <w:r w:rsidR="00341188" w:rsidRPr="009E3D94">
        <w:rPr>
          <w:bCs/>
          <w:color w:val="auto"/>
        </w:rPr>
        <w:t xml:space="preserve"> </w:t>
      </w:r>
      <w:r w:rsidR="005E55B9" w:rsidRPr="009E3D94">
        <w:rPr>
          <w:bCs/>
          <w:color w:val="auto"/>
        </w:rPr>
        <w:t>předmětem odpisu</w:t>
      </w:r>
      <w:r w:rsidRPr="002E1D37">
        <w:rPr>
          <w:color w:val="auto"/>
        </w:rPr>
        <w:t>. Dále výdaje na pořízení hardwarového vybavení a lokálních sítí včetně souvisejícího software</w:t>
      </w:r>
      <w:r w:rsidR="003E21BD" w:rsidRPr="002E1D37">
        <w:rPr>
          <w:color w:val="auto"/>
        </w:rPr>
        <w:t>.</w:t>
      </w:r>
      <w:r w:rsidRPr="002E1D37">
        <w:rPr>
          <w:color w:val="auto"/>
        </w:rPr>
        <w:t xml:space="preserve"> Do této rozpočtové položky mohou být zahrnuty výdaje a dodávky související s instalací technologií a budováním sítí v případě, že tyto výdaje budou zaúčtovány k příslušné technologii či hardware.</w:t>
      </w:r>
      <w:r w:rsidR="000A0922" w:rsidRPr="002E1D37">
        <w:rPr>
          <w:color w:val="auto"/>
        </w:rPr>
        <w:t xml:space="preserve"> </w:t>
      </w:r>
    </w:p>
    <w:p w14:paraId="6636DE2C" w14:textId="77777777" w:rsidR="00F7406A" w:rsidRPr="002E1D37" w:rsidRDefault="00F7406A" w:rsidP="00F7406A">
      <w:pPr>
        <w:pStyle w:val="Odstavecseseznamem"/>
        <w:ind w:left="425"/>
        <w:contextualSpacing w:val="0"/>
        <w:rPr>
          <w:rFonts w:cs="Calibri"/>
          <w:color w:val="auto"/>
        </w:rPr>
      </w:pPr>
      <w:r w:rsidRPr="002E1D37">
        <w:rPr>
          <w:color w:val="auto"/>
        </w:rPr>
        <w:t xml:space="preserve">Provozním souborem je souhrn strojů a zařízení včetně jejich montáží a inventáře investičního charakteru, který slouží k zajištění dílčího samostatného </w:t>
      </w:r>
      <w:r w:rsidRPr="002E1D37">
        <w:rPr>
          <w:rFonts w:cs="Calibri"/>
          <w:color w:val="auto"/>
        </w:rPr>
        <w:t>procesu a je uváděn do provozu v souvislém čase.</w:t>
      </w:r>
    </w:p>
    <w:p w14:paraId="4F41CF59" w14:textId="77777777" w:rsidR="00F7406A" w:rsidRPr="002E1D37" w:rsidRDefault="00F7406A" w:rsidP="00F7406A">
      <w:pPr>
        <w:pStyle w:val="Odstavecseseznamem"/>
        <w:spacing w:before="120"/>
        <w:ind w:left="425"/>
        <w:contextualSpacing w:val="0"/>
        <w:rPr>
          <w:rFonts w:cs="Calibri"/>
          <w:color w:val="auto"/>
          <w:u w:val="single"/>
        </w:rPr>
      </w:pPr>
      <w:r w:rsidRPr="002E1D37">
        <w:rPr>
          <w:rFonts w:cs="Calibri"/>
          <w:color w:val="auto"/>
          <w:u w:val="single"/>
        </w:rPr>
        <w:t>Příklady:</w:t>
      </w:r>
    </w:p>
    <w:p w14:paraId="2ABC6E1D" w14:textId="77777777" w:rsidR="00F7406A" w:rsidRPr="002E1D37" w:rsidRDefault="00F7406A" w:rsidP="007853A7">
      <w:pPr>
        <w:pStyle w:val="Odstavecseseznamem"/>
        <w:numPr>
          <w:ilvl w:val="0"/>
          <w:numId w:val="36"/>
        </w:numPr>
        <w:spacing w:after="120" w:line="276" w:lineRule="auto"/>
        <w:ind w:left="709" w:hanging="283"/>
        <w:rPr>
          <w:color w:val="auto"/>
        </w:rPr>
      </w:pPr>
      <w:r w:rsidRPr="002E1D37">
        <w:rPr>
          <w:color w:val="auto"/>
        </w:rPr>
        <w:t>3D měřící stroj</w:t>
      </w:r>
    </w:p>
    <w:p w14:paraId="19D90DC7" w14:textId="77777777" w:rsidR="00E856E7" w:rsidRPr="002E1D37" w:rsidRDefault="007934C1" w:rsidP="007853A7">
      <w:pPr>
        <w:pStyle w:val="Odstavecseseznamem"/>
        <w:numPr>
          <w:ilvl w:val="0"/>
          <w:numId w:val="36"/>
        </w:numPr>
        <w:spacing w:after="120" w:line="276" w:lineRule="auto"/>
        <w:ind w:left="709" w:hanging="283"/>
        <w:rPr>
          <w:color w:val="auto"/>
        </w:rPr>
      </w:pPr>
      <w:r w:rsidRPr="002E1D37">
        <w:rPr>
          <w:color w:val="auto"/>
        </w:rPr>
        <w:t>R</w:t>
      </w:r>
      <w:r w:rsidR="008C1564" w:rsidRPr="002E1D37">
        <w:rPr>
          <w:color w:val="auto"/>
        </w:rPr>
        <w:t>obot</w:t>
      </w:r>
      <w:r w:rsidR="00A7040B" w:rsidRPr="002E1D37">
        <w:rPr>
          <w:color w:val="auto"/>
        </w:rPr>
        <w:t>y</w:t>
      </w:r>
      <w:r w:rsidR="007E3929">
        <w:rPr>
          <w:color w:val="auto"/>
        </w:rPr>
        <w:t xml:space="preserve"> a další manipulační prostředky vybavené obousměrnou komunikací</w:t>
      </w:r>
    </w:p>
    <w:p w14:paraId="36F24A75" w14:textId="02B2A7D4" w:rsidR="00F7406A" w:rsidRPr="002E1D37" w:rsidRDefault="00F7406A" w:rsidP="007853A7">
      <w:pPr>
        <w:pStyle w:val="Odstavecseseznamem"/>
        <w:numPr>
          <w:ilvl w:val="0"/>
          <w:numId w:val="36"/>
        </w:numPr>
        <w:spacing w:after="120" w:line="276" w:lineRule="auto"/>
        <w:ind w:left="709" w:hanging="283"/>
        <w:rPr>
          <w:color w:val="auto"/>
        </w:rPr>
      </w:pPr>
      <w:r w:rsidRPr="002E1D37">
        <w:rPr>
          <w:color w:val="auto"/>
        </w:rPr>
        <w:t xml:space="preserve">Servery, PC stanice, tiskárny, </w:t>
      </w:r>
      <w:r w:rsidR="00E039FE">
        <w:rPr>
          <w:color w:val="auto"/>
        </w:rPr>
        <w:t xml:space="preserve">kalibry, </w:t>
      </w:r>
      <w:r w:rsidRPr="002E1D37">
        <w:rPr>
          <w:color w:val="auto"/>
        </w:rPr>
        <w:t>scannery,</w:t>
      </w:r>
      <w:r w:rsidR="00E039FE" w:rsidRPr="00E039FE">
        <w:rPr>
          <w:color w:val="auto"/>
        </w:rPr>
        <w:t xml:space="preserve"> </w:t>
      </w:r>
      <w:r w:rsidR="00E039FE" w:rsidRPr="002E1D37">
        <w:rPr>
          <w:color w:val="auto"/>
        </w:rPr>
        <w:t>čtečky kódů, čipy, čtečky čipů</w:t>
      </w:r>
      <w:r w:rsidR="00E039FE">
        <w:rPr>
          <w:color w:val="auto"/>
        </w:rPr>
        <w:t>, senzory, sondy,</w:t>
      </w:r>
      <w:r w:rsidRPr="002E1D37">
        <w:rPr>
          <w:color w:val="auto"/>
        </w:rPr>
        <w:t xml:space="preserve"> datové rozvody, switch</w:t>
      </w:r>
      <w:r w:rsidR="00710AE3">
        <w:rPr>
          <w:color w:val="auto"/>
        </w:rPr>
        <w:t>e</w:t>
      </w:r>
      <w:r w:rsidRPr="002E1D37">
        <w:rPr>
          <w:color w:val="auto"/>
        </w:rPr>
        <w:t>, router</w:t>
      </w:r>
      <w:r w:rsidR="00710AE3">
        <w:rPr>
          <w:color w:val="auto"/>
        </w:rPr>
        <w:t>y</w:t>
      </w:r>
      <w:r w:rsidRPr="002E1D37">
        <w:rPr>
          <w:color w:val="auto"/>
        </w:rPr>
        <w:t>, patch panely apod.</w:t>
      </w:r>
    </w:p>
    <w:p w14:paraId="081F4911" w14:textId="77777777" w:rsidR="007E3929" w:rsidRDefault="00F7406A" w:rsidP="003B3F38">
      <w:pPr>
        <w:pStyle w:val="Odstavecseseznamem"/>
        <w:numPr>
          <w:ilvl w:val="0"/>
          <w:numId w:val="36"/>
        </w:numPr>
        <w:spacing w:after="120" w:line="276" w:lineRule="auto"/>
        <w:ind w:left="709" w:hanging="284"/>
        <w:contextualSpacing w:val="0"/>
        <w:rPr>
          <w:color w:val="auto"/>
        </w:rPr>
      </w:pPr>
      <w:r w:rsidRPr="002E1D37">
        <w:rPr>
          <w:color w:val="auto"/>
        </w:rPr>
        <w:t>Regálový systém pro CZ NACE 46, 47</w:t>
      </w:r>
    </w:p>
    <w:p w14:paraId="682A3598" w14:textId="3656F2FE" w:rsidR="00E039FE" w:rsidRDefault="00E039FE" w:rsidP="00E039FE">
      <w:pPr>
        <w:pStyle w:val="Odstavecseseznamem"/>
        <w:numPr>
          <w:ilvl w:val="0"/>
          <w:numId w:val="36"/>
        </w:numPr>
        <w:spacing w:after="0"/>
        <w:rPr>
          <w:rFonts w:cs="Calibri"/>
          <w:color w:val="auto"/>
          <w:spacing w:val="1"/>
        </w:rPr>
      </w:pPr>
      <w:r w:rsidRPr="002E1D37">
        <w:rPr>
          <w:rFonts w:cs="Calibri"/>
          <w:color w:val="auto"/>
          <w:spacing w:val="1"/>
        </w:rPr>
        <w:t xml:space="preserve">obráběcí, tvářecí, dělící stroje, vstřikolisy, ohraňovací stroje, reakční tanky, destilační kolony, kalicí a žíhací pece, tanky na stárnutí, fermentaci, pasterizaci, zpracovávací, plnicí a balicí linky atd. </w:t>
      </w:r>
    </w:p>
    <w:p w14:paraId="75795194" w14:textId="77777777" w:rsidR="00F7406A" w:rsidRPr="002E1D37" w:rsidRDefault="00F7406A" w:rsidP="007853A7">
      <w:pPr>
        <w:pStyle w:val="Odstavecseseznamem"/>
        <w:numPr>
          <w:ilvl w:val="0"/>
          <w:numId w:val="35"/>
        </w:numPr>
        <w:spacing w:after="120" w:line="276" w:lineRule="auto"/>
        <w:ind w:left="425" w:hanging="425"/>
        <w:contextualSpacing w:val="0"/>
        <w:rPr>
          <w:rFonts w:cs="Calibri"/>
          <w:color w:val="auto"/>
        </w:rPr>
      </w:pPr>
      <w:r w:rsidRPr="002E1D37">
        <w:rPr>
          <w:b/>
          <w:color w:val="auto"/>
        </w:rPr>
        <w:t>Dlouhodobý nehmotný majetek</w:t>
      </w:r>
      <w:r w:rsidR="001E2792" w:rsidRPr="002E1D37">
        <w:rPr>
          <w:rStyle w:val="Znakapoznpodarou"/>
          <w:color w:val="auto"/>
        </w:rPr>
        <w:footnoteReference w:id="13"/>
      </w:r>
      <w:r w:rsidRPr="002E1D37">
        <w:rPr>
          <w:color w:val="auto"/>
        </w:rPr>
        <w:t xml:space="preserve"> </w:t>
      </w:r>
      <w:r w:rsidR="001F6731" w:rsidRPr="002E1D37">
        <w:rPr>
          <w:rFonts w:cs="Calibri"/>
          <w:color w:val="auto"/>
          <w:spacing w:val="1"/>
        </w:rPr>
        <w:t xml:space="preserve"> –</w:t>
      </w:r>
      <w:r w:rsidRPr="002E1D37">
        <w:rPr>
          <w:color w:val="auto"/>
        </w:rPr>
        <w:t xml:space="preserve"> náklady na pořízení patentových licencí </w:t>
      </w:r>
      <w:r w:rsidRPr="002E1D37">
        <w:rPr>
          <w:rFonts w:cs="Calibri"/>
          <w:color w:val="auto"/>
        </w:rPr>
        <w:t>nezbytných pro řádný provoz strojů a zařízení</w:t>
      </w:r>
      <w:r w:rsidRPr="002E1D37">
        <w:rPr>
          <w:color w:val="auto"/>
        </w:rPr>
        <w:t xml:space="preserve"> a SW </w:t>
      </w:r>
      <w:r w:rsidRPr="002E1D37">
        <w:rPr>
          <w:rFonts w:cs="Calibri"/>
          <w:color w:val="auto"/>
        </w:rPr>
        <w:t xml:space="preserve">s vazbou na </w:t>
      </w:r>
      <w:r w:rsidR="00D7631E" w:rsidRPr="002E1D37">
        <w:rPr>
          <w:rFonts w:cs="Calibri"/>
          <w:color w:val="auto"/>
        </w:rPr>
        <w:t>technologie</w:t>
      </w:r>
      <w:r w:rsidRPr="002E1D37">
        <w:rPr>
          <w:rFonts w:cs="Calibri"/>
          <w:color w:val="auto"/>
        </w:rPr>
        <w:t xml:space="preserve"> a zařízení</w:t>
      </w:r>
      <w:r w:rsidRPr="002E1D37">
        <w:rPr>
          <w:color w:val="auto"/>
        </w:rPr>
        <w:t xml:space="preserve"> a výstupy pořízené v rámci </w:t>
      </w:r>
      <w:r w:rsidRPr="002E1D37">
        <w:rPr>
          <w:rFonts w:cs="Calibri"/>
          <w:color w:val="auto"/>
        </w:rPr>
        <w:t xml:space="preserve">předmětného projektu. </w:t>
      </w:r>
    </w:p>
    <w:p w14:paraId="4A3B7EA5" w14:textId="77777777" w:rsidR="00F7406A" w:rsidRPr="002E1D37" w:rsidRDefault="00F7406A" w:rsidP="00F7406A">
      <w:pPr>
        <w:pStyle w:val="Odstavecseseznamem"/>
        <w:ind w:left="425"/>
        <w:contextualSpacing w:val="0"/>
        <w:rPr>
          <w:rFonts w:cs="Calibri"/>
          <w:color w:val="auto"/>
          <w:u w:val="single"/>
        </w:rPr>
      </w:pPr>
      <w:r w:rsidRPr="002E1D37">
        <w:rPr>
          <w:rFonts w:cs="Calibri"/>
          <w:color w:val="auto"/>
          <w:u w:val="single"/>
        </w:rPr>
        <w:t>Příklady:</w:t>
      </w:r>
    </w:p>
    <w:p w14:paraId="67765EB9" w14:textId="77777777" w:rsidR="00F7406A" w:rsidRPr="002E1D37" w:rsidRDefault="00F7406A" w:rsidP="007853A7">
      <w:pPr>
        <w:pStyle w:val="Odstavecseseznamem"/>
        <w:numPr>
          <w:ilvl w:val="0"/>
          <w:numId w:val="36"/>
        </w:numPr>
        <w:spacing w:after="120" w:line="276" w:lineRule="auto"/>
        <w:ind w:left="709" w:hanging="283"/>
        <w:rPr>
          <w:color w:val="auto"/>
        </w:rPr>
      </w:pPr>
      <w:r w:rsidRPr="002E1D37">
        <w:rPr>
          <w:color w:val="auto"/>
        </w:rPr>
        <w:t>Software k nově pořizovaným PC</w:t>
      </w:r>
    </w:p>
    <w:p w14:paraId="431CD6CB" w14:textId="77777777" w:rsidR="00F7406A" w:rsidRPr="002E1D37" w:rsidRDefault="00F7406A" w:rsidP="007853A7">
      <w:pPr>
        <w:pStyle w:val="Odstavecseseznamem"/>
        <w:numPr>
          <w:ilvl w:val="0"/>
          <w:numId w:val="36"/>
        </w:numPr>
        <w:spacing w:after="120" w:line="276" w:lineRule="auto"/>
        <w:ind w:left="709" w:hanging="283"/>
        <w:rPr>
          <w:color w:val="auto"/>
        </w:rPr>
      </w:pPr>
      <w:r w:rsidRPr="002E1D37">
        <w:rPr>
          <w:color w:val="auto"/>
        </w:rPr>
        <w:t xml:space="preserve">MS Office, PDF Creator apod. </w:t>
      </w:r>
    </w:p>
    <w:p w14:paraId="4468FFB0" w14:textId="77777777" w:rsidR="00F7406A" w:rsidRPr="002E1D37" w:rsidRDefault="00F7406A" w:rsidP="007853A7">
      <w:pPr>
        <w:pStyle w:val="Odstavecseseznamem"/>
        <w:numPr>
          <w:ilvl w:val="0"/>
          <w:numId w:val="36"/>
        </w:numPr>
        <w:spacing w:after="120" w:line="276" w:lineRule="auto"/>
        <w:ind w:left="709" w:hanging="283"/>
        <w:rPr>
          <w:color w:val="auto"/>
        </w:rPr>
      </w:pPr>
      <w:r w:rsidRPr="002E1D37">
        <w:rPr>
          <w:color w:val="auto"/>
        </w:rPr>
        <w:t>CAD/CAM systémy</w:t>
      </w:r>
    </w:p>
    <w:p w14:paraId="0B25E9E4" w14:textId="77777777" w:rsidR="00F7406A" w:rsidRPr="002E1D37" w:rsidRDefault="00F7406A" w:rsidP="007853A7">
      <w:pPr>
        <w:pStyle w:val="Odstavecseseznamem"/>
        <w:numPr>
          <w:ilvl w:val="0"/>
          <w:numId w:val="36"/>
        </w:numPr>
        <w:spacing w:after="120" w:line="276" w:lineRule="auto"/>
        <w:ind w:left="709" w:hanging="283"/>
        <w:rPr>
          <w:color w:val="auto"/>
        </w:rPr>
      </w:pPr>
      <w:r w:rsidRPr="002E1D37">
        <w:rPr>
          <w:color w:val="auto"/>
        </w:rPr>
        <w:lastRenderedPageBreak/>
        <w:t>Další specifický software nutný pro optimální fungování projektu</w:t>
      </w:r>
    </w:p>
    <w:p w14:paraId="488A9955" w14:textId="77777777" w:rsidR="00F7406A" w:rsidRPr="002E1D37" w:rsidRDefault="00F7406A" w:rsidP="007853A7">
      <w:pPr>
        <w:pStyle w:val="Odstavecseseznamem"/>
        <w:numPr>
          <w:ilvl w:val="0"/>
          <w:numId w:val="36"/>
        </w:numPr>
        <w:spacing w:after="120" w:line="276" w:lineRule="auto"/>
        <w:ind w:left="709" w:hanging="283"/>
        <w:rPr>
          <w:color w:val="auto"/>
        </w:rPr>
      </w:pPr>
      <w:r w:rsidRPr="002E1D37">
        <w:rPr>
          <w:color w:val="auto"/>
        </w:rPr>
        <w:t xml:space="preserve">ERP systémy včetně CRM apod. </w:t>
      </w:r>
    </w:p>
    <w:p w14:paraId="082932FD" w14:textId="77777777" w:rsidR="00F7406A" w:rsidRDefault="00F7406A" w:rsidP="007853A7">
      <w:pPr>
        <w:pStyle w:val="Odstavecseseznamem"/>
        <w:numPr>
          <w:ilvl w:val="0"/>
          <w:numId w:val="36"/>
        </w:numPr>
        <w:spacing w:after="120" w:line="276" w:lineRule="auto"/>
        <w:ind w:left="709" w:hanging="284"/>
        <w:contextualSpacing w:val="0"/>
        <w:rPr>
          <w:color w:val="auto"/>
        </w:rPr>
      </w:pPr>
      <w:r w:rsidRPr="002E1D37">
        <w:rPr>
          <w:color w:val="auto"/>
        </w:rPr>
        <w:t>Licence k využívání patentu, užitného vzoru, know-how</w:t>
      </w:r>
    </w:p>
    <w:p w14:paraId="6124D7FC" w14:textId="77777777" w:rsidR="00242317" w:rsidRDefault="00242317" w:rsidP="00777926">
      <w:pPr>
        <w:spacing w:after="120" w:line="276" w:lineRule="auto"/>
        <w:rPr>
          <w:color w:val="auto"/>
        </w:rPr>
      </w:pPr>
    </w:p>
    <w:p w14:paraId="5DBEB109" w14:textId="5158EE2B" w:rsidR="00242317" w:rsidRDefault="00242317" w:rsidP="00777926">
      <w:pPr>
        <w:spacing w:after="120" w:line="276" w:lineRule="auto"/>
        <w:rPr>
          <w:color w:val="auto"/>
        </w:rPr>
      </w:pPr>
      <w:r>
        <w:rPr>
          <w:color w:val="auto"/>
        </w:rPr>
        <w:t>Podmínkou pro pořízení technologií a vybavení v rámci projektu je</w:t>
      </w:r>
      <w:r w:rsidR="00C42381">
        <w:rPr>
          <w:color w:val="auto"/>
        </w:rPr>
        <w:t xml:space="preserve"> jejich propojení se stávajícím nebo nově pořizovaným podnikovým informačním systémem (ERP).</w:t>
      </w:r>
    </w:p>
    <w:p w14:paraId="16AC3087" w14:textId="66CE5F7E" w:rsidR="00644FC0" w:rsidRDefault="00644FC0" w:rsidP="00777926">
      <w:pPr>
        <w:spacing w:after="120" w:line="276" w:lineRule="auto"/>
        <w:rPr>
          <w:color w:val="auto"/>
        </w:rPr>
      </w:pPr>
      <w:r>
        <w:t>Počáteční investice, kterou tentýž příjemce (na úrovni skupiny, tj. propojených podniků) zahájí během tří let ode dne, kdy byly zahájeny práce na jiné podpořené investici v témže regionu NUTS 3, se považuje za součást jediného investičního projektu. V případě, že tento jediný investiční projekt je velkým investičním projektem, není možné ho v rámci programu podpořit.</w:t>
      </w:r>
    </w:p>
    <w:p w14:paraId="50E9F287" w14:textId="3A0A1416" w:rsidR="00BE0AFE" w:rsidRPr="00777926" w:rsidRDefault="00BE0AFE" w:rsidP="00777926">
      <w:pPr>
        <w:spacing w:after="120" w:line="276" w:lineRule="auto"/>
        <w:rPr>
          <w:color w:val="auto"/>
        </w:rPr>
      </w:pPr>
      <w:r w:rsidRPr="002E1D37">
        <w:rPr>
          <w:rFonts w:cs="Calibri"/>
          <w:color w:val="auto"/>
        </w:rPr>
        <w:t>Podporu</w:t>
      </w:r>
      <w:r w:rsidRPr="00F54003">
        <w:rPr>
          <w:rFonts w:cs="Calibri"/>
          <w:color w:val="auto"/>
        </w:rPr>
        <w:t xml:space="preserve"> </w:t>
      </w:r>
      <w:r w:rsidRPr="00390826">
        <w:rPr>
          <w:rFonts w:cs="Calibri"/>
          <w:color w:val="auto"/>
        </w:rPr>
        <w:t>nelze poskytnout na prostou obnovu stávajícího strojního zařízení s nu</w:t>
      </w:r>
      <w:r w:rsidRPr="002E1D37">
        <w:rPr>
          <w:color w:val="auto"/>
        </w:rPr>
        <w:t>lovým stupněm inovace.</w:t>
      </w:r>
    </w:p>
    <w:p w14:paraId="2F95D6F9" w14:textId="77777777" w:rsidR="00F7406A" w:rsidRPr="002E1D37" w:rsidRDefault="00F7406A" w:rsidP="00F7406A">
      <w:pPr>
        <w:autoSpaceDE w:val="0"/>
        <w:autoSpaceDN w:val="0"/>
        <w:adjustRightInd w:val="0"/>
        <w:spacing w:before="60" w:after="60" w:line="240" w:lineRule="auto"/>
        <w:rPr>
          <w:rFonts w:ascii="Calibri" w:hAnsi="Calibri" w:cs="Times New Roman"/>
          <w:color w:val="auto"/>
        </w:rPr>
      </w:pPr>
      <w:r w:rsidRPr="002E1D37">
        <w:rPr>
          <w:rFonts w:ascii="Calibri" w:hAnsi="Calibri" w:cs="Times New Roman"/>
          <w:color w:val="auto"/>
        </w:rPr>
        <w:t xml:space="preserve">Investice musí být v přijímající oblasti zachována po dokončení investice po dobu alespoň </w:t>
      </w:r>
      <w:r w:rsidR="00D049DC">
        <w:rPr>
          <w:rFonts w:ascii="Calibri" w:hAnsi="Calibri" w:cs="Times New Roman"/>
          <w:color w:val="auto"/>
        </w:rPr>
        <w:t xml:space="preserve">pěti </w:t>
      </w:r>
      <w:r w:rsidRPr="002E1D37">
        <w:rPr>
          <w:rFonts w:ascii="Calibri" w:hAnsi="Calibri" w:cs="Times New Roman"/>
          <w:color w:val="auto"/>
        </w:rPr>
        <w:t>let. Toto nebrání reprodukci zařízení nebo vybavení, které během tohoto období zastará nebo se porouchá, za podmínky, že dotyčná hospodářská činnost zůstane v dané oblasti zachována po relevantní minimální dobu.</w:t>
      </w:r>
    </w:p>
    <w:p w14:paraId="2264D7BD" w14:textId="77777777" w:rsidR="00CF160D" w:rsidRPr="002E1D37" w:rsidRDefault="00CF160D" w:rsidP="00CF160D">
      <w:pPr>
        <w:rPr>
          <w:b/>
          <w:bCs/>
          <w:color w:val="auto"/>
        </w:rPr>
      </w:pPr>
    </w:p>
    <w:p w14:paraId="7079A2B5" w14:textId="77777777" w:rsidR="00CF160D" w:rsidRPr="002E1D37" w:rsidRDefault="00CF160D" w:rsidP="00F7406A">
      <w:pPr>
        <w:autoSpaceDE w:val="0"/>
        <w:autoSpaceDN w:val="0"/>
        <w:adjustRightInd w:val="0"/>
        <w:spacing w:before="60" w:after="60" w:line="240" w:lineRule="auto"/>
        <w:rPr>
          <w:rFonts w:ascii="Times New Roman" w:hAnsi="Times New Roman" w:cs="Times New Roman"/>
          <w:color w:val="auto"/>
          <w:sz w:val="19"/>
          <w:szCs w:val="19"/>
        </w:rPr>
      </w:pPr>
    </w:p>
    <w:p w14:paraId="0563E847" w14:textId="77777777" w:rsidR="00F7406A" w:rsidRPr="002E1D37" w:rsidRDefault="00F7406A" w:rsidP="00F7406A">
      <w:pPr>
        <w:pStyle w:val="Odstavecseseznamem"/>
        <w:numPr>
          <w:ilvl w:val="1"/>
          <w:numId w:val="10"/>
        </w:numPr>
        <w:rPr>
          <w:b/>
          <w:bCs/>
          <w:color w:val="auto"/>
        </w:rPr>
      </w:pPr>
      <w:r w:rsidRPr="002E1D37">
        <w:rPr>
          <w:b/>
          <w:bCs/>
          <w:color w:val="auto"/>
        </w:rPr>
        <w:t>Položky nezařaditelné mezi způsobilé výdaje</w:t>
      </w:r>
    </w:p>
    <w:p w14:paraId="64D29C45" w14:textId="77777777" w:rsidR="00F7406A" w:rsidRPr="002E1D37" w:rsidRDefault="00F7406A" w:rsidP="001C3F8F">
      <w:pPr>
        <w:pStyle w:val="Odstavecseseznamem"/>
        <w:numPr>
          <w:ilvl w:val="0"/>
          <w:numId w:val="21"/>
        </w:numPr>
        <w:spacing w:after="0"/>
        <w:ind w:left="624" w:hanging="294"/>
        <w:rPr>
          <w:bCs/>
          <w:color w:val="auto"/>
        </w:rPr>
      </w:pPr>
      <w:r w:rsidRPr="002E1D37">
        <w:rPr>
          <w:bCs/>
          <w:color w:val="auto"/>
        </w:rPr>
        <w:t>DPH, pokud lze uplatnit nárok na její odpočet;</w:t>
      </w:r>
    </w:p>
    <w:p w14:paraId="7EC1F0E8" w14:textId="77777777" w:rsidR="00F7406A" w:rsidRPr="002E1D37" w:rsidRDefault="00F7406A" w:rsidP="001C3F8F">
      <w:pPr>
        <w:pStyle w:val="Odstavecseseznamem"/>
        <w:numPr>
          <w:ilvl w:val="0"/>
          <w:numId w:val="21"/>
        </w:numPr>
        <w:spacing w:after="0"/>
        <w:ind w:left="624" w:hanging="284"/>
        <w:rPr>
          <w:bCs/>
          <w:color w:val="auto"/>
        </w:rPr>
      </w:pPr>
      <w:r w:rsidRPr="002E1D37">
        <w:rPr>
          <w:bCs/>
          <w:color w:val="auto"/>
        </w:rPr>
        <w:t>výdaje vzniklé nebo uhrazené před datem přijatelnosti projektu</w:t>
      </w:r>
      <w:r w:rsidR="007934C1" w:rsidRPr="002E1D37">
        <w:rPr>
          <w:bCs/>
          <w:color w:val="auto"/>
        </w:rPr>
        <w:t>;</w:t>
      </w:r>
    </w:p>
    <w:p w14:paraId="7143FF6C" w14:textId="77777777" w:rsidR="00F7406A" w:rsidRPr="002E1D37" w:rsidRDefault="00F7406A" w:rsidP="001C3F8F">
      <w:pPr>
        <w:pStyle w:val="Odstavecseseznamem"/>
        <w:numPr>
          <w:ilvl w:val="0"/>
          <w:numId w:val="21"/>
        </w:numPr>
        <w:spacing w:after="0"/>
        <w:ind w:left="624" w:hanging="284"/>
        <w:rPr>
          <w:bCs/>
          <w:color w:val="auto"/>
        </w:rPr>
      </w:pPr>
      <w:r w:rsidRPr="002E1D37">
        <w:rPr>
          <w:bCs/>
          <w:color w:val="auto"/>
        </w:rPr>
        <w:t>splátky půjček a úvěrů;</w:t>
      </w:r>
    </w:p>
    <w:p w14:paraId="58AAB7E9" w14:textId="77777777" w:rsidR="00F7406A" w:rsidRPr="002E1D37" w:rsidRDefault="00F7406A" w:rsidP="001C3F8F">
      <w:pPr>
        <w:pStyle w:val="Odstavecseseznamem"/>
        <w:numPr>
          <w:ilvl w:val="0"/>
          <w:numId w:val="21"/>
        </w:numPr>
        <w:spacing w:after="0"/>
        <w:ind w:left="624" w:hanging="284"/>
        <w:rPr>
          <w:bCs/>
          <w:color w:val="auto"/>
        </w:rPr>
      </w:pPr>
      <w:r w:rsidRPr="002E1D37">
        <w:rPr>
          <w:bCs/>
          <w:color w:val="auto"/>
        </w:rPr>
        <w:t>pokuty a penále;</w:t>
      </w:r>
    </w:p>
    <w:p w14:paraId="285E5238" w14:textId="77777777" w:rsidR="00F7406A" w:rsidRPr="002E1D37" w:rsidRDefault="00F7406A" w:rsidP="001C3F8F">
      <w:pPr>
        <w:pStyle w:val="Odstavecseseznamem"/>
        <w:numPr>
          <w:ilvl w:val="0"/>
          <w:numId w:val="21"/>
        </w:numPr>
        <w:spacing w:after="0"/>
        <w:ind w:left="624" w:hanging="284"/>
        <w:rPr>
          <w:bCs/>
          <w:color w:val="auto"/>
        </w:rPr>
      </w:pPr>
      <w:r w:rsidRPr="002E1D37">
        <w:rPr>
          <w:bCs/>
          <w:color w:val="auto"/>
        </w:rPr>
        <w:t>výdaje na záruky, pojištění, úroky, bankovní poplatky, kursové ztráty, celní a správní poplatky;</w:t>
      </w:r>
    </w:p>
    <w:p w14:paraId="4584E963" w14:textId="77777777" w:rsidR="00F7406A" w:rsidRPr="002E1D37" w:rsidRDefault="00F7406A" w:rsidP="001C3F8F">
      <w:pPr>
        <w:pStyle w:val="Odstavecseseznamem"/>
        <w:numPr>
          <w:ilvl w:val="0"/>
          <w:numId w:val="21"/>
        </w:numPr>
        <w:spacing w:after="0"/>
        <w:ind w:left="624" w:hanging="284"/>
        <w:rPr>
          <w:bCs/>
          <w:color w:val="auto"/>
        </w:rPr>
      </w:pPr>
      <w:r w:rsidRPr="002E1D37">
        <w:rPr>
          <w:bCs/>
          <w:color w:val="auto"/>
        </w:rPr>
        <w:t>leasing, pokud Pravidla způsobilosti výdajů – obecná část nestanoví jinak;</w:t>
      </w:r>
    </w:p>
    <w:p w14:paraId="16FA59E7" w14:textId="77777777" w:rsidR="00F7406A" w:rsidRPr="002E1D37" w:rsidRDefault="00F7406A" w:rsidP="001C3F8F">
      <w:pPr>
        <w:pStyle w:val="Odstavecseseznamem"/>
        <w:numPr>
          <w:ilvl w:val="0"/>
          <w:numId w:val="21"/>
        </w:numPr>
        <w:spacing w:after="0"/>
        <w:ind w:left="624" w:hanging="284"/>
        <w:rPr>
          <w:bCs/>
          <w:color w:val="auto"/>
        </w:rPr>
      </w:pPr>
      <w:r w:rsidRPr="002E1D37">
        <w:rPr>
          <w:bCs/>
          <w:color w:val="auto"/>
        </w:rPr>
        <w:t>výdaje, které nejsou v souladu s českou nebo evropskou legislativou;</w:t>
      </w:r>
    </w:p>
    <w:p w14:paraId="1D57ABB7" w14:textId="637A9537" w:rsidR="00F7406A" w:rsidRPr="002E1D37" w:rsidRDefault="00F7406A" w:rsidP="001C3F8F">
      <w:pPr>
        <w:pStyle w:val="Odstavecseseznamem"/>
        <w:numPr>
          <w:ilvl w:val="0"/>
          <w:numId w:val="21"/>
        </w:numPr>
        <w:spacing w:after="0"/>
        <w:ind w:left="624" w:hanging="284"/>
        <w:rPr>
          <w:bCs/>
          <w:color w:val="auto"/>
        </w:rPr>
      </w:pPr>
      <w:r w:rsidRPr="002E1D37">
        <w:rPr>
          <w:bCs/>
          <w:color w:val="auto"/>
        </w:rPr>
        <w:t>pořízení dlouhodobého hmotného</w:t>
      </w:r>
      <w:r w:rsidR="00FE3194">
        <w:rPr>
          <w:bCs/>
          <w:color w:val="auto"/>
        </w:rPr>
        <w:t xml:space="preserve"> a nehmotného majetku aktivací;</w:t>
      </w:r>
    </w:p>
    <w:p w14:paraId="4763592E" w14:textId="3145F0BA" w:rsidR="00F7406A" w:rsidRPr="002E1D37" w:rsidRDefault="00F7406A" w:rsidP="001C3F8F">
      <w:pPr>
        <w:pStyle w:val="Odstavecseseznamem"/>
        <w:numPr>
          <w:ilvl w:val="0"/>
          <w:numId w:val="21"/>
        </w:numPr>
        <w:spacing w:after="0"/>
        <w:ind w:left="624" w:hanging="284"/>
        <w:rPr>
          <w:bCs/>
          <w:color w:val="auto"/>
        </w:rPr>
      </w:pPr>
      <w:r w:rsidRPr="002E1D37">
        <w:rPr>
          <w:bCs/>
          <w:color w:val="auto"/>
        </w:rPr>
        <w:t>výdaje spojené s administrací projektu</w:t>
      </w:r>
      <w:r w:rsidR="00FE3194">
        <w:rPr>
          <w:bCs/>
          <w:color w:val="auto"/>
        </w:rPr>
        <w:t>;</w:t>
      </w:r>
    </w:p>
    <w:p w14:paraId="49612169" w14:textId="77777777" w:rsidR="00F7406A" w:rsidRPr="002E1D37" w:rsidRDefault="00F7406A" w:rsidP="001C3F8F">
      <w:pPr>
        <w:pStyle w:val="Odstavecseseznamem"/>
        <w:numPr>
          <w:ilvl w:val="0"/>
          <w:numId w:val="21"/>
        </w:numPr>
        <w:spacing w:after="0"/>
        <w:ind w:left="624" w:hanging="284"/>
        <w:rPr>
          <w:bCs/>
          <w:color w:val="auto"/>
        </w:rPr>
      </w:pPr>
      <w:r w:rsidRPr="002E1D37">
        <w:rPr>
          <w:bCs/>
          <w:color w:val="auto"/>
        </w:rPr>
        <w:t>výdaje, na které již byla poskytnuta jiná veřejná podpora a podpora de minimis</w:t>
      </w:r>
      <w:r w:rsidR="007934C1" w:rsidRPr="002E1D37">
        <w:rPr>
          <w:bCs/>
          <w:color w:val="auto"/>
        </w:rPr>
        <w:t>;</w:t>
      </w:r>
    </w:p>
    <w:p w14:paraId="2E4BA1F8" w14:textId="77777777" w:rsidR="00F7406A" w:rsidRPr="002E1D37" w:rsidRDefault="00F7406A" w:rsidP="00C375D6">
      <w:pPr>
        <w:pStyle w:val="Odstavecseseznamem"/>
        <w:numPr>
          <w:ilvl w:val="0"/>
          <w:numId w:val="21"/>
        </w:numPr>
        <w:spacing w:after="0"/>
        <w:ind w:left="624" w:hanging="284"/>
        <w:rPr>
          <w:bCs/>
          <w:color w:val="auto"/>
        </w:rPr>
      </w:pPr>
      <w:r w:rsidRPr="002E1D37">
        <w:rPr>
          <w:bCs/>
          <w:color w:val="auto"/>
        </w:rPr>
        <w:t>kancelářský nábytek a vybavení, jejichž pořízení bezprostředně nepřispívá k naplnění cílů stanovených v žádosti o podporu</w:t>
      </w:r>
      <w:r w:rsidR="007934C1" w:rsidRPr="002E1D37">
        <w:rPr>
          <w:bCs/>
          <w:color w:val="auto"/>
        </w:rPr>
        <w:t>;</w:t>
      </w:r>
    </w:p>
    <w:p w14:paraId="2691855B" w14:textId="77777777" w:rsidR="00F7406A" w:rsidRPr="002E1D37" w:rsidRDefault="00F7406A" w:rsidP="00C375D6">
      <w:pPr>
        <w:pStyle w:val="Odstavecseseznamem"/>
        <w:numPr>
          <w:ilvl w:val="0"/>
          <w:numId w:val="21"/>
        </w:numPr>
        <w:spacing w:after="0"/>
        <w:ind w:left="624" w:hanging="284"/>
        <w:rPr>
          <w:bCs/>
          <w:color w:val="auto"/>
        </w:rPr>
      </w:pPr>
      <w:r w:rsidRPr="002E1D37">
        <w:rPr>
          <w:bCs/>
          <w:color w:val="auto"/>
        </w:rPr>
        <w:t>náklady na pořízení</w:t>
      </w:r>
      <w:r w:rsidR="002C41F0">
        <w:rPr>
          <w:bCs/>
          <w:color w:val="auto"/>
        </w:rPr>
        <w:t xml:space="preserve"> strojů, vybavení a zařízení </w:t>
      </w:r>
      <w:r w:rsidR="008528BC">
        <w:rPr>
          <w:bCs/>
          <w:color w:val="auto"/>
        </w:rPr>
        <w:t>registrovaných</w:t>
      </w:r>
      <w:r w:rsidR="002C41F0" w:rsidRPr="002E1D37">
        <w:rPr>
          <w:bCs/>
          <w:color w:val="auto"/>
        </w:rPr>
        <w:t xml:space="preserve"> </w:t>
      </w:r>
      <w:r w:rsidRPr="002E1D37">
        <w:rPr>
          <w:bCs/>
          <w:color w:val="auto"/>
        </w:rPr>
        <w:t xml:space="preserve">k provozu na </w:t>
      </w:r>
      <w:r w:rsidR="008528BC">
        <w:rPr>
          <w:bCs/>
          <w:color w:val="auto"/>
        </w:rPr>
        <w:t xml:space="preserve">pozemních </w:t>
      </w:r>
      <w:r w:rsidRPr="002E1D37">
        <w:rPr>
          <w:bCs/>
          <w:color w:val="auto"/>
        </w:rPr>
        <w:t>komunikacích, vodních cestách a v letecké dopravě</w:t>
      </w:r>
      <w:r w:rsidR="007934C1" w:rsidRPr="002E1D37">
        <w:rPr>
          <w:bCs/>
          <w:color w:val="auto"/>
        </w:rPr>
        <w:t>;</w:t>
      </w:r>
    </w:p>
    <w:p w14:paraId="37B5BADE" w14:textId="77777777" w:rsidR="00F7406A" w:rsidRPr="002E1D37" w:rsidRDefault="00F7406A" w:rsidP="00C375D6">
      <w:pPr>
        <w:pStyle w:val="Odstavecseseznamem"/>
        <w:numPr>
          <w:ilvl w:val="0"/>
          <w:numId w:val="21"/>
        </w:numPr>
        <w:spacing w:after="0"/>
        <w:ind w:left="624" w:hanging="284"/>
        <w:rPr>
          <w:bCs/>
          <w:color w:val="auto"/>
        </w:rPr>
      </w:pPr>
      <w:r w:rsidRPr="002E1D37">
        <w:rPr>
          <w:bCs/>
          <w:color w:val="auto"/>
        </w:rPr>
        <w:t>provozní výdaje</w:t>
      </w:r>
      <w:r w:rsidR="007934C1" w:rsidRPr="002E1D37">
        <w:rPr>
          <w:bCs/>
          <w:color w:val="auto"/>
        </w:rPr>
        <w:t>;</w:t>
      </w:r>
    </w:p>
    <w:p w14:paraId="51CEA313" w14:textId="77777777" w:rsidR="001C3F8F" w:rsidRPr="002E1D37" w:rsidRDefault="00F7406A" w:rsidP="00C375D6">
      <w:pPr>
        <w:pStyle w:val="Odstavecseseznamem"/>
        <w:numPr>
          <w:ilvl w:val="0"/>
          <w:numId w:val="21"/>
        </w:numPr>
        <w:spacing w:after="0"/>
        <w:ind w:left="624" w:hanging="284"/>
        <w:rPr>
          <w:bCs/>
          <w:color w:val="auto"/>
        </w:rPr>
      </w:pPr>
      <w:r w:rsidRPr="002E1D37">
        <w:rPr>
          <w:bCs/>
          <w:color w:val="auto"/>
        </w:rPr>
        <w:t>repasované stroje a zařízení</w:t>
      </w:r>
      <w:r w:rsidR="007934C1" w:rsidRPr="002E1D37">
        <w:rPr>
          <w:bCs/>
          <w:color w:val="auto"/>
        </w:rPr>
        <w:t>;</w:t>
      </w:r>
      <w:r w:rsidR="001C3F8F" w:rsidRPr="002E1D37">
        <w:rPr>
          <w:bCs/>
          <w:color w:val="auto"/>
        </w:rPr>
        <w:t xml:space="preserve"> </w:t>
      </w:r>
    </w:p>
    <w:p w14:paraId="7F52F43A" w14:textId="77777777" w:rsidR="001C3F8F" w:rsidRDefault="00C76539" w:rsidP="00C375D6">
      <w:pPr>
        <w:pStyle w:val="Odstavecseseznamem"/>
        <w:numPr>
          <w:ilvl w:val="0"/>
          <w:numId w:val="21"/>
        </w:numPr>
        <w:spacing w:after="0"/>
        <w:ind w:left="624" w:hanging="284"/>
        <w:rPr>
          <w:bCs/>
          <w:color w:val="auto"/>
        </w:rPr>
      </w:pPr>
      <w:r w:rsidRPr="002E1D37">
        <w:rPr>
          <w:bCs/>
          <w:color w:val="auto"/>
        </w:rPr>
        <w:t>náklady na publicitu</w:t>
      </w:r>
      <w:r w:rsidR="007934C1" w:rsidRPr="002E1D37">
        <w:rPr>
          <w:bCs/>
          <w:color w:val="auto"/>
        </w:rPr>
        <w:t>;</w:t>
      </w:r>
    </w:p>
    <w:p w14:paraId="2C705D97" w14:textId="77777777" w:rsidR="00F7406A" w:rsidRPr="00F21137" w:rsidRDefault="00F7406A" w:rsidP="00F7406A">
      <w:pPr>
        <w:pStyle w:val="Nadpisobsahu"/>
        <w:rPr>
          <w:color w:val="0070C0"/>
        </w:rPr>
      </w:pPr>
      <w:r w:rsidRPr="00F21137">
        <w:rPr>
          <w:color w:val="0070C0"/>
        </w:rPr>
        <w:t>6. Žádost o podporu, způsob jejího předložení a vyřízení</w:t>
      </w:r>
    </w:p>
    <w:p w14:paraId="2134AAD7" w14:textId="77777777" w:rsidR="006939EC" w:rsidRDefault="00F7406A" w:rsidP="006939EC">
      <w:pPr>
        <w:spacing w:before="240"/>
        <w:rPr>
          <w:bCs/>
          <w:color w:val="auto"/>
        </w:rPr>
      </w:pPr>
      <w:r w:rsidRPr="002E1D37">
        <w:rPr>
          <w:bCs/>
          <w:color w:val="auto"/>
        </w:rPr>
        <w:t>Žádost o podporu podává žadatel prostřednictvím portálu IS KP14+ Aplikace MS2014+. Náležitosti žádosti o podporu vztahující se k žadateli jsou stanoveny v informačním systém IS KP14+, více viz Uživatelská příručka IS KP14+: Pokyny pro vyplnění formuláře žádosti o podporu. Žádost o podporu obsahuje informace o žadateli a o projektu. V žádosti o podporu musí být uvedeny minimálně tyto údaje (čl. 6 odst. 2 Nařízení Komise (EU) č. 651/2014): název a velikost podniku, popis projektu,</w:t>
      </w:r>
      <w:r w:rsidR="00FA3BA4">
        <w:rPr>
          <w:bCs/>
          <w:color w:val="auto"/>
        </w:rPr>
        <w:t xml:space="preserve"> včetně termínu jeho zahájení a </w:t>
      </w:r>
      <w:r w:rsidRPr="002E1D37">
        <w:rPr>
          <w:bCs/>
          <w:color w:val="auto"/>
        </w:rPr>
        <w:t xml:space="preserve">ukončení, umístění projektu, seznam výdajů projektu, druh podpory (dotace) a výše veřejného </w:t>
      </w:r>
      <w:r w:rsidRPr="002E1D37">
        <w:rPr>
          <w:bCs/>
          <w:color w:val="auto"/>
        </w:rPr>
        <w:lastRenderedPageBreak/>
        <w:t>financování, které je pro daný projekt zapotřebí. Žádost o podporu je hodnocena způsobem, který je popsán v dokumentu v Přílo</w:t>
      </w:r>
      <w:r w:rsidRPr="00A7040B">
        <w:rPr>
          <w:bCs/>
          <w:color w:val="auto"/>
        </w:rPr>
        <w:t xml:space="preserve">ze č. </w:t>
      </w:r>
      <w:r w:rsidR="0080085F">
        <w:rPr>
          <w:bCs/>
          <w:color w:val="auto"/>
        </w:rPr>
        <w:t>2</w:t>
      </w:r>
      <w:r w:rsidRPr="002E1D37">
        <w:rPr>
          <w:bCs/>
          <w:color w:val="auto"/>
        </w:rPr>
        <w:t xml:space="preserve"> této Výzvy. Dokument obsahuje vedle modelu hodnocení žádosti o podporu rovněž kritéria za účelem ověření formálních náležitostí a přijatelnosti žádosti a kritéria pro věcné hodnocení. </w:t>
      </w:r>
    </w:p>
    <w:p w14:paraId="76C3D870" w14:textId="7C8AAF9A" w:rsidR="00F7406A" w:rsidRPr="006939EC" w:rsidRDefault="00F7406A" w:rsidP="006939EC">
      <w:pPr>
        <w:spacing w:before="240"/>
        <w:rPr>
          <w:bCs/>
          <w:color w:val="auto"/>
        </w:rPr>
      </w:pPr>
      <w:r w:rsidRPr="002E1D37">
        <w:rPr>
          <w:b/>
          <w:bCs/>
          <w:color w:val="auto"/>
        </w:rPr>
        <w:t>6.1 Výběrová řízení</w:t>
      </w:r>
    </w:p>
    <w:p w14:paraId="52533068" w14:textId="202D945B" w:rsidR="00F7406A" w:rsidRDefault="00F7406A" w:rsidP="00F7406A">
      <w:pPr>
        <w:autoSpaceDE w:val="0"/>
        <w:autoSpaceDN w:val="0"/>
        <w:adjustRightInd w:val="0"/>
        <w:spacing w:after="0" w:line="340" w:lineRule="exact"/>
        <w:rPr>
          <w:rFonts w:cs="Calibri"/>
          <w:color w:val="auto"/>
        </w:rPr>
      </w:pPr>
      <w:r w:rsidRPr="002E1D37">
        <w:rPr>
          <w:rFonts w:cs="Calibri"/>
          <w:color w:val="auto"/>
        </w:rPr>
        <w:t>Výběrová řízení na dodavatele realizovaná příjemcem v rámci projektu musí být provedena v režimu zákona č. 134/2016 Sb., o zadávání veřejných zakázek</w:t>
      </w:r>
      <w:r w:rsidR="000820EF">
        <w:rPr>
          <w:rFonts w:cs="Calibri"/>
          <w:color w:val="auto"/>
        </w:rPr>
        <w:t xml:space="preserve"> </w:t>
      </w:r>
      <w:r w:rsidR="000820EF">
        <w:rPr>
          <w:bCs/>
        </w:rPr>
        <w:t>ve znění pozdějších předpisů</w:t>
      </w:r>
      <w:r w:rsidRPr="002E1D37">
        <w:rPr>
          <w:rFonts w:cs="Calibri"/>
          <w:color w:val="auto"/>
        </w:rPr>
        <w:t xml:space="preserve"> (dále jen „Zákon“), pokud je k tomu dle zákona žadatel/příjemce povinen. </w:t>
      </w:r>
    </w:p>
    <w:p w14:paraId="14FB3FDD" w14:textId="77777777" w:rsidR="00AF3EC6" w:rsidRPr="002E1D37" w:rsidRDefault="00AF3EC6" w:rsidP="00F7406A">
      <w:pPr>
        <w:autoSpaceDE w:val="0"/>
        <w:autoSpaceDN w:val="0"/>
        <w:adjustRightInd w:val="0"/>
        <w:spacing w:after="0" w:line="340" w:lineRule="exact"/>
        <w:rPr>
          <w:rFonts w:cs="Calibri"/>
          <w:color w:val="auto"/>
        </w:rPr>
      </w:pPr>
    </w:p>
    <w:p w14:paraId="05CDD00A" w14:textId="4C60ECC8" w:rsidR="00F7406A" w:rsidRPr="002E1D37" w:rsidRDefault="00F7406A" w:rsidP="00F7406A">
      <w:pPr>
        <w:numPr>
          <w:ilvl w:val="0"/>
          <w:numId w:val="14"/>
        </w:numPr>
        <w:overflowPunct w:val="0"/>
        <w:autoSpaceDE w:val="0"/>
        <w:autoSpaceDN w:val="0"/>
        <w:adjustRightInd w:val="0"/>
        <w:spacing w:line="340" w:lineRule="exact"/>
        <w:ind w:left="709" w:hanging="283"/>
        <w:contextualSpacing/>
        <w:rPr>
          <w:color w:val="auto"/>
        </w:rPr>
      </w:pPr>
      <w:r w:rsidRPr="002E1D37">
        <w:rPr>
          <w:color w:val="auto"/>
        </w:rPr>
        <w:t>U zakázek vyhlašovaných před vydáním Rozhodnutí o poskytnutí dotace, bez ohledu na hodnotu této zakázky, vloží zadavatel po ukončení zadávacího řízení</w:t>
      </w:r>
      <w:r w:rsidR="00FA3BA4">
        <w:rPr>
          <w:color w:val="auto"/>
        </w:rPr>
        <w:t xml:space="preserve"> do systému MS 2014+ oznámení o </w:t>
      </w:r>
      <w:r w:rsidRPr="002E1D37">
        <w:rPr>
          <w:color w:val="auto"/>
        </w:rPr>
        <w:t>zahájení zadávacího řízení, (dále jen „oznámení“), zadávací dokum</w:t>
      </w:r>
      <w:r w:rsidR="00FA3BA4">
        <w:rPr>
          <w:color w:val="auto"/>
        </w:rPr>
        <w:t>entaci, dokumenty související s </w:t>
      </w:r>
      <w:r w:rsidRPr="002E1D37">
        <w:rPr>
          <w:color w:val="auto"/>
        </w:rPr>
        <w:t>dodatečnými informacemi/dotazy k zadávací dokumentaci, protokol o otevírání nabídek a příp. zprávu o hodnocení nabídek, vítěznou nabídku, vyloučené nabídky, podepsanou smlouvu, a dokumenty vztahující se k zadávacímu řízení dle vzniklých potřeb souvisejících s průběhem zadávacího řízení. Uvedenou dokumentaci vloží zadavatel do systému MS 2014+ bez zbytečného odkladu před podáním žádosti o platbu, ve které budou nárokovány výdaje z příslušné zakázky. Zadavatel</w:t>
      </w:r>
      <w:r w:rsidRPr="002E1D37">
        <w:rPr>
          <w:rFonts w:cs="Calibri"/>
          <w:color w:val="auto"/>
        </w:rPr>
        <w:t xml:space="preserve"> rovněž do systému MS 2014+ vloží veškeré další dokumenty související se zadávacím řízením, o které bude ze strany ŘO OP PIK požádán.</w:t>
      </w:r>
    </w:p>
    <w:p w14:paraId="43B2BF70" w14:textId="77777777" w:rsidR="00F7406A" w:rsidRPr="002E1D37" w:rsidRDefault="00F7406A" w:rsidP="00F7406A">
      <w:pPr>
        <w:numPr>
          <w:ilvl w:val="0"/>
          <w:numId w:val="14"/>
        </w:numPr>
        <w:overflowPunct w:val="0"/>
        <w:autoSpaceDE w:val="0"/>
        <w:autoSpaceDN w:val="0"/>
        <w:adjustRightInd w:val="0"/>
        <w:spacing w:line="340" w:lineRule="exact"/>
        <w:ind w:left="709" w:hanging="284"/>
        <w:contextualSpacing/>
        <w:rPr>
          <w:color w:val="auto"/>
        </w:rPr>
      </w:pPr>
      <w:r w:rsidRPr="002E1D37">
        <w:rPr>
          <w:color w:val="auto"/>
        </w:rPr>
        <w:t>U zakázek vyhlašovaných po vydání Rozhodnutí o poskytnutí dotace vloží zadavatel do systému MS 2014+:</w:t>
      </w:r>
    </w:p>
    <w:p w14:paraId="3B67012E" w14:textId="346F5554" w:rsidR="00F7406A" w:rsidRPr="002E1D37" w:rsidRDefault="00F7406A" w:rsidP="00F7406A">
      <w:pPr>
        <w:spacing w:after="120" w:line="340" w:lineRule="exact"/>
        <w:ind w:left="720"/>
        <w:contextualSpacing/>
        <w:rPr>
          <w:color w:val="auto"/>
        </w:rPr>
      </w:pPr>
      <w:r w:rsidRPr="002E1D37">
        <w:rPr>
          <w:color w:val="auto"/>
        </w:rPr>
        <w:t>a) u zakázek, jejichž předpokládaná hodnota je rovna nebo vyšší finančnímu limitu pro nadlimitní veřejné zakázky dle nařízení vlády č. 172/2016 Sb., o stanovení finančních limitů a částek pro účely zákona o zadávání veřejných zakázek</w:t>
      </w:r>
      <w:r w:rsidR="000820EF">
        <w:rPr>
          <w:color w:val="auto"/>
        </w:rPr>
        <w:t>,</w:t>
      </w:r>
      <w:r w:rsidR="000820EF">
        <w:rPr>
          <w:rFonts w:cs="Calibri"/>
        </w:rPr>
        <w:t xml:space="preserve"> </w:t>
      </w:r>
      <w:r w:rsidR="000820EF">
        <w:rPr>
          <w:bCs/>
        </w:rPr>
        <w:t>ve znění pozdějších předpisů</w:t>
      </w:r>
      <w:r w:rsidRPr="002E1D37">
        <w:rPr>
          <w:color w:val="auto"/>
        </w:rPr>
        <w:t>:</w:t>
      </w:r>
      <w:r w:rsidRPr="002E1D37">
        <w:rPr>
          <w:rFonts w:ascii="Times New Roman" w:hAnsi="Times New Roman"/>
          <w:color w:val="auto"/>
          <w:vertAlign w:val="superscript"/>
        </w:rPr>
        <w:footnoteReference w:id="14"/>
      </w:r>
    </w:p>
    <w:p w14:paraId="79A52536" w14:textId="77777777" w:rsidR="00F7406A" w:rsidRPr="002E1D37" w:rsidRDefault="00F7406A" w:rsidP="00F7406A">
      <w:pPr>
        <w:numPr>
          <w:ilvl w:val="0"/>
          <w:numId w:val="13"/>
        </w:numPr>
        <w:overflowPunct w:val="0"/>
        <w:autoSpaceDE w:val="0"/>
        <w:autoSpaceDN w:val="0"/>
        <w:adjustRightInd w:val="0"/>
        <w:spacing w:line="340" w:lineRule="exact"/>
        <w:contextualSpacing/>
        <w:textAlignment w:val="baseline"/>
        <w:rPr>
          <w:color w:val="auto"/>
        </w:rPr>
      </w:pPr>
      <w:r w:rsidRPr="002E1D37">
        <w:rPr>
          <w:color w:val="auto"/>
        </w:rPr>
        <w:t>před vyhlášením zadávacího řízení návrh oznámení a návrh zadávací dokumentace. Odsouhlasení těchto dokumentů ze strany ŘO OP PIK je nutnou podmínkou pro možnost vyhlásit zadávací řízení.</w:t>
      </w:r>
    </w:p>
    <w:p w14:paraId="4F919136" w14:textId="77777777" w:rsidR="00F7406A" w:rsidRPr="002E1D37" w:rsidRDefault="00F7406A" w:rsidP="00F7406A">
      <w:pPr>
        <w:numPr>
          <w:ilvl w:val="0"/>
          <w:numId w:val="13"/>
        </w:numPr>
        <w:overflowPunct w:val="0"/>
        <w:autoSpaceDE w:val="0"/>
        <w:autoSpaceDN w:val="0"/>
        <w:adjustRightInd w:val="0"/>
        <w:spacing w:line="340" w:lineRule="exact"/>
        <w:contextualSpacing/>
        <w:textAlignment w:val="baseline"/>
        <w:rPr>
          <w:color w:val="auto"/>
        </w:rPr>
      </w:pPr>
      <w:r w:rsidRPr="002E1D37">
        <w:rPr>
          <w:color w:val="auto"/>
        </w:rPr>
        <w:t>před podpisem smlouvy s vybraným dodavatelem oznámení, zadávací dokumentaci, dokumenty související s dodatečnými informacemi/dotazy k zadávací dokumentaci, protokol o otevírání nabídek a příp. zprávu o hodnocení nabídek, vítěznou nabídku, vyloučené nabídky, návrh smlouvy s vybraným dodavatelem a další dokumenty vztahující se k zadávacímu řízení dle vzniklých potřeb souvisejících s průběhem zadávacího řízení. Odsouhlasení těchto dokumentů ze strany ŘO OP PIK je nutnou podmínkou pro možnost uzavřít smlouvu s vybraným dodavatelem.</w:t>
      </w:r>
    </w:p>
    <w:p w14:paraId="1E7CA38E" w14:textId="77777777" w:rsidR="00F7406A" w:rsidRPr="002E1D37" w:rsidRDefault="00F7406A" w:rsidP="00F7406A">
      <w:pPr>
        <w:numPr>
          <w:ilvl w:val="0"/>
          <w:numId w:val="13"/>
        </w:numPr>
        <w:overflowPunct w:val="0"/>
        <w:autoSpaceDE w:val="0"/>
        <w:autoSpaceDN w:val="0"/>
        <w:adjustRightInd w:val="0"/>
        <w:spacing w:line="340" w:lineRule="exact"/>
        <w:contextualSpacing/>
        <w:textAlignment w:val="baseline"/>
        <w:rPr>
          <w:color w:val="auto"/>
        </w:rPr>
      </w:pPr>
      <w:r w:rsidRPr="002E1D37">
        <w:rPr>
          <w:color w:val="auto"/>
        </w:rPr>
        <w:t xml:space="preserve">po podpisu smlouvy s vybraným dodavatelem podepsanou smlouvu a další dokumenty vztahující se k zadávacímu řízení dle vzniklých potřeb souvisejících s průběhem zadávacího řízení. </w:t>
      </w:r>
    </w:p>
    <w:p w14:paraId="2E9B3762" w14:textId="77777777" w:rsidR="00F7406A" w:rsidRPr="002E1D37" w:rsidRDefault="00F7406A" w:rsidP="00F7406A">
      <w:pPr>
        <w:numPr>
          <w:ilvl w:val="0"/>
          <w:numId w:val="13"/>
        </w:numPr>
        <w:overflowPunct w:val="0"/>
        <w:autoSpaceDE w:val="0"/>
        <w:autoSpaceDN w:val="0"/>
        <w:adjustRightInd w:val="0"/>
        <w:spacing w:line="340" w:lineRule="exact"/>
        <w:contextualSpacing/>
        <w:textAlignment w:val="baseline"/>
        <w:rPr>
          <w:color w:val="auto"/>
        </w:rPr>
      </w:pPr>
      <w:r w:rsidRPr="002E1D37">
        <w:rPr>
          <w:color w:val="auto"/>
        </w:rPr>
        <w:lastRenderedPageBreak/>
        <w:t>Zadavatel rovněž do systému MS 2014+ vloží veškeré další dokumenty související se zadávacím řízením, o které bude ze strany ŘO OP PIK požádán.</w:t>
      </w:r>
    </w:p>
    <w:p w14:paraId="06BB93D4" w14:textId="4AAADB4B" w:rsidR="00543777" w:rsidRPr="00C375D6" w:rsidRDefault="00C375D6" w:rsidP="00C375D6">
      <w:pPr>
        <w:overflowPunct w:val="0"/>
        <w:autoSpaceDE w:val="0"/>
        <w:autoSpaceDN w:val="0"/>
        <w:adjustRightInd w:val="0"/>
        <w:spacing w:line="340" w:lineRule="exact"/>
        <w:ind w:left="708"/>
        <w:textAlignment w:val="baseline"/>
        <w:rPr>
          <w:rFonts w:ascii="Times New Roman" w:hAnsi="Times New Roman"/>
          <w:color w:val="auto"/>
          <w:vertAlign w:val="superscript"/>
        </w:rPr>
      </w:pPr>
      <w:r>
        <w:rPr>
          <w:color w:val="auto"/>
        </w:rPr>
        <w:t xml:space="preserve">b) </w:t>
      </w:r>
      <w:r w:rsidR="00F7406A" w:rsidRPr="00C375D6">
        <w:rPr>
          <w:color w:val="auto"/>
        </w:rPr>
        <w:t>u zakázek, jejichž předpokládaná hodnota je nižší než finanční limit pro nadlimitní veřejné zakázky dle nařízení vlády č. 172/2016 Sb., o stanovení finančních limitů a částek pro účely zákona o zadávání veřejných zakázek:</w:t>
      </w:r>
      <w:r w:rsidR="00F7406A" w:rsidRPr="00C375D6">
        <w:rPr>
          <w:rFonts w:ascii="Times New Roman" w:hAnsi="Times New Roman"/>
          <w:color w:val="auto"/>
          <w:vertAlign w:val="superscript"/>
        </w:rPr>
        <w:t>7</w:t>
      </w:r>
    </w:p>
    <w:p w14:paraId="13A8784E" w14:textId="6522D7B2" w:rsidR="00F7406A" w:rsidRPr="004B0FBC" w:rsidRDefault="00F7406A" w:rsidP="004B0FBC">
      <w:pPr>
        <w:numPr>
          <w:ilvl w:val="0"/>
          <w:numId w:val="12"/>
        </w:numPr>
        <w:overflowPunct w:val="0"/>
        <w:autoSpaceDE w:val="0"/>
        <w:autoSpaceDN w:val="0"/>
        <w:adjustRightInd w:val="0"/>
        <w:spacing w:line="340" w:lineRule="exact"/>
        <w:ind w:left="1423" w:hanging="357"/>
        <w:contextualSpacing/>
        <w:textAlignment w:val="baseline"/>
        <w:rPr>
          <w:color w:val="auto"/>
        </w:rPr>
      </w:pPr>
      <w:r w:rsidRPr="004B0FBC">
        <w:rPr>
          <w:color w:val="auto"/>
        </w:rPr>
        <w:t xml:space="preserve">po podpisu smlouvy s vybraným dodavatelem podepsanou smlouvu, a další dokumenty vztahující se k zadávacímu řízení dle vzniklých potřeb souvisejících s průběhem zadávacího řízení. </w:t>
      </w:r>
    </w:p>
    <w:p w14:paraId="411C09AC" w14:textId="77777777" w:rsidR="00F7406A" w:rsidRDefault="00F7406A" w:rsidP="00F7406A">
      <w:pPr>
        <w:numPr>
          <w:ilvl w:val="0"/>
          <w:numId w:val="12"/>
        </w:numPr>
        <w:overflowPunct w:val="0"/>
        <w:autoSpaceDE w:val="0"/>
        <w:autoSpaceDN w:val="0"/>
        <w:adjustRightInd w:val="0"/>
        <w:spacing w:line="340" w:lineRule="exact"/>
        <w:ind w:left="1423" w:hanging="357"/>
        <w:contextualSpacing/>
        <w:textAlignment w:val="baseline"/>
        <w:rPr>
          <w:color w:val="auto"/>
        </w:rPr>
      </w:pPr>
      <w:r w:rsidRPr="002E1D37">
        <w:rPr>
          <w:color w:val="auto"/>
        </w:rPr>
        <w:t>Zadavatel rovněž do systému MS 2014+ vloží veškeré další dokumenty související se zadávacím řízením, o které bude ze strany ŘO OP PIK požádán.</w:t>
      </w:r>
    </w:p>
    <w:p w14:paraId="4345211C" w14:textId="77777777" w:rsidR="00543777" w:rsidRPr="004B0FBC" w:rsidRDefault="00543777" w:rsidP="004B0FBC">
      <w:pPr>
        <w:spacing w:after="120" w:line="340" w:lineRule="exact"/>
        <w:rPr>
          <w:rFonts w:cs="Calibri"/>
          <w:color w:val="auto"/>
        </w:rPr>
      </w:pPr>
      <w:r w:rsidRPr="004B0FBC">
        <w:rPr>
          <w:rFonts w:cs="Calibri"/>
          <w:color w:val="auto"/>
        </w:rPr>
        <w:t>V případech kdy se neaplikuje Zákon, je příjemce povinen postupovat dle Pravidel pro výběr dodavatelů Řídicího orgánu OP PIK (dále také jako „PpVD“ nebo „Pravidla“). U výběrových řízení, kde postupuje příjemce jako zadavatel dle Pravidel, se musí řídit Pravidly platnými v den vyhlášení zakázky. Rozhodné datum pro určení data platnosti Pravidel u dané zakázky je datum zveřejnění oznámení o zahájení výběrového řízení na profilu zadavatele. Pravidla tvoří součást obecné dokumentace k výzvám OP PIK zveřejněné na webu Řídicího orgánu OP PIK (</w:t>
      </w:r>
      <w:hyperlink r:id="rId8" w:history="1">
        <w:r w:rsidRPr="004B0FBC">
          <w:rPr>
            <w:rFonts w:cs="Calibri"/>
            <w:color w:val="auto"/>
            <w:u w:val="single"/>
          </w:rPr>
          <w:t>http://www.mpo.cz/cz/podnikani/dotace-a-podpora-podnikani/oppik-2014-2020/</w:t>
        </w:r>
      </w:hyperlink>
      <w:r w:rsidRPr="004B0FBC">
        <w:rPr>
          <w:rFonts w:cs="Calibri"/>
          <w:color w:val="auto"/>
        </w:rPr>
        <w:t xml:space="preserve">). </w:t>
      </w:r>
    </w:p>
    <w:p w14:paraId="4E1407D0" w14:textId="77777777" w:rsidR="00543777" w:rsidRPr="004B0FBC" w:rsidRDefault="00543777" w:rsidP="004B0FBC">
      <w:pPr>
        <w:autoSpaceDE w:val="0"/>
        <w:autoSpaceDN w:val="0"/>
        <w:adjustRightInd w:val="0"/>
        <w:spacing w:after="120" w:line="340" w:lineRule="exact"/>
        <w:rPr>
          <w:rFonts w:cs="Calibri"/>
          <w:color w:val="auto"/>
        </w:rPr>
      </w:pPr>
      <w:r w:rsidRPr="004B0FBC">
        <w:rPr>
          <w:rFonts w:cs="Calibri"/>
          <w:color w:val="auto"/>
        </w:rPr>
        <w:t xml:space="preserve">Pokud projekt neobsahuje povinnost zrealizovat výběrové řízení v režimu Zákona, ani podle Pravidel, je tento postup nerelevantní. </w:t>
      </w:r>
    </w:p>
    <w:p w14:paraId="5C444CDA" w14:textId="31B45D3F" w:rsidR="00543777" w:rsidRPr="00C375D6" w:rsidRDefault="00543777" w:rsidP="00C375D6">
      <w:pPr>
        <w:autoSpaceDE w:val="0"/>
        <w:autoSpaceDN w:val="0"/>
        <w:adjustRightInd w:val="0"/>
        <w:spacing w:after="120" w:line="340" w:lineRule="exact"/>
        <w:rPr>
          <w:rFonts w:cs="Calibri"/>
          <w:color w:val="auto"/>
        </w:rPr>
      </w:pPr>
      <w:r w:rsidRPr="004B0FBC">
        <w:rPr>
          <w:rFonts w:cs="Calibri"/>
          <w:color w:val="auto"/>
        </w:rPr>
        <w:t>Řídicí orgán si do budoucna vyhrazuje právo změnit nebo doplnit Pravidla podle platných postupů a aktuální situace.</w:t>
      </w:r>
    </w:p>
    <w:p w14:paraId="6BABF44F" w14:textId="77777777" w:rsidR="00215DBC" w:rsidRPr="00A7040B" w:rsidRDefault="00807BDD" w:rsidP="00807BDD">
      <w:pPr>
        <w:pStyle w:val="Nadpis3"/>
        <w:keepLines w:val="0"/>
        <w:autoSpaceDE w:val="0"/>
        <w:autoSpaceDN w:val="0"/>
        <w:adjustRightInd w:val="0"/>
        <w:spacing w:before="240" w:after="120" w:line="240" w:lineRule="auto"/>
        <w:jc w:val="left"/>
        <w:rPr>
          <w:rFonts w:asciiTheme="minorHAnsi" w:hAnsiTheme="minorHAnsi" w:cs="Calibri"/>
          <w:color w:val="auto"/>
          <w:sz w:val="22"/>
          <w:szCs w:val="22"/>
        </w:rPr>
      </w:pPr>
      <w:r w:rsidRPr="00A7040B">
        <w:rPr>
          <w:rFonts w:asciiTheme="minorHAnsi" w:hAnsiTheme="minorHAnsi" w:cs="Calibri"/>
          <w:color w:val="auto"/>
          <w:sz w:val="22"/>
          <w:szCs w:val="22"/>
        </w:rPr>
        <w:t xml:space="preserve">6.2 </w:t>
      </w:r>
      <w:r w:rsidR="00215DBC" w:rsidRPr="00A7040B">
        <w:rPr>
          <w:rFonts w:asciiTheme="minorHAnsi" w:hAnsiTheme="minorHAnsi" w:cs="Calibri"/>
          <w:color w:val="auto"/>
          <w:sz w:val="22"/>
          <w:szCs w:val="22"/>
        </w:rPr>
        <w:t>Etapizace projektu</w:t>
      </w:r>
    </w:p>
    <w:p w14:paraId="3EC858F6" w14:textId="7231CD26" w:rsidR="00215DBC" w:rsidRPr="002E1D37" w:rsidRDefault="00215DBC" w:rsidP="00215DBC">
      <w:pPr>
        <w:spacing w:after="120"/>
        <w:rPr>
          <w:rFonts w:cs="Calibri"/>
          <w:color w:val="auto"/>
        </w:rPr>
      </w:pPr>
      <w:r w:rsidRPr="002E1D37">
        <w:rPr>
          <w:rFonts w:cs="Calibri"/>
          <w:color w:val="auto"/>
        </w:rPr>
        <w:t>Příjemce podpory může rozdělit realizaci projektu na jednotlivé etapy pro</w:t>
      </w:r>
      <w:r w:rsidR="00FA3BA4">
        <w:rPr>
          <w:rFonts w:cs="Calibri"/>
          <w:color w:val="auto"/>
        </w:rPr>
        <w:t>jektu v harmonogramu projektu a </w:t>
      </w:r>
      <w:r w:rsidRPr="002E1D37">
        <w:rPr>
          <w:rFonts w:cs="Calibri"/>
          <w:color w:val="auto"/>
        </w:rPr>
        <w:t xml:space="preserve">zároveň finančního plánu projektu pro budoucí podávání Žádostí o platbu (nárokování proplacení dotace na základě již prokázaných způsobilých výdajů. </w:t>
      </w:r>
    </w:p>
    <w:p w14:paraId="27099C53" w14:textId="131C3280" w:rsidR="00215DBC" w:rsidRPr="002E1D37" w:rsidRDefault="00215DBC" w:rsidP="00215DBC">
      <w:pPr>
        <w:spacing w:after="0"/>
        <w:rPr>
          <w:rFonts w:cs="Calibri"/>
          <w:color w:val="auto"/>
        </w:rPr>
      </w:pPr>
      <w:r w:rsidRPr="002E1D37">
        <w:rPr>
          <w:rFonts w:cs="Calibri"/>
          <w:color w:val="auto"/>
        </w:rPr>
        <w:t>Etapové projekty budou akceptovány, pokud se žadatel bude řídit Pravidl</w:t>
      </w:r>
      <w:r w:rsidR="00FA3BA4">
        <w:rPr>
          <w:rFonts w:cs="Calibri"/>
          <w:color w:val="auto"/>
        </w:rPr>
        <w:t>y pro stanovení etap projektu a </w:t>
      </w:r>
      <w:r w:rsidRPr="002E1D37">
        <w:rPr>
          <w:rFonts w:cs="Calibri"/>
          <w:color w:val="auto"/>
        </w:rPr>
        <w:t xml:space="preserve">finančního plánu: </w:t>
      </w:r>
    </w:p>
    <w:p w14:paraId="36BEF684" w14:textId="77777777" w:rsidR="00215DBC" w:rsidRPr="002E1D37" w:rsidRDefault="00215DBC" w:rsidP="007853A7">
      <w:pPr>
        <w:pStyle w:val="Odstavecseseznamem"/>
        <w:numPr>
          <w:ilvl w:val="1"/>
          <w:numId w:val="38"/>
        </w:numPr>
        <w:spacing w:after="0" w:line="276" w:lineRule="auto"/>
        <w:ind w:left="851"/>
        <w:rPr>
          <w:rFonts w:cs="Calibri"/>
          <w:color w:val="auto"/>
        </w:rPr>
      </w:pPr>
      <w:r w:rsidRPr="002E1D37">
        <w:rPr>
          <w:rFonts w:cs="Calibri"/>
          <w:color w:val="auto"/>
        </w:rPr>
        <w:t>Jsou uzavřeným logickým celkem.</w:t>
      </w:r>
    </w:p>
    <w:p w14:paraId="5704020A" w14:textId="77777777" w:rsidR="00215DBC" w:rsidRPr="002E1D37" w:rsidRDefault="00215DBC" w:rsidP="007853A7">
      <w:pPr>
        <w:pStyle w:val="Odstavecseseznamem"/>
        <w:numPr>
          <w:ilvl w:val="1"/>
          <w:numId w:val="38"/>
        </w:numPr>
        <w:spacing w:after="0" w:line="276" w:lineRule="auto"/>
        <w:ind w:left="851"/>
        <w:rPr>
          <w:rFonts w:cs="Calibri"/>
          <w:color w:val="auto"/>
        </w:rPr>
      </w:pPr>
      <w:r w:rsidRPr="002E1D37">
        <w:rPr>
          <w:rFonts w:cs="Calibri"/>
          <w:color w:val="auto"/>
        </w:rPr>
        <w:t>Jsou ukončené konsolidovaným výstupem.</w:t>
      </w:r>
    </w:p>
    <w:p w14:paraId="4FCF1C8A" w14:textId="52767944" w:rsidR="00215DBC" w:rsidRPr="002E1D37" w:rsidRDefault="00215DBC" w:rsidP="007853A7">
      <w:pPr>
        <w:pStyle w:val="Odstavecseseznamem"/>
        <w:numPr>
          <w:ilvl w:val="1"/>
          <w:numId w:val="38"/>
        </w:numPr>
        <w:spacing w:after="0" w:line="276" w:lineRule="auto"/>
        <w:ind w:left="851"/>
        <w:rPr>
          <w:rFonts w:cs="Calibri"/>
          <w:color w:val="auto"/>
        </w:rPr>
      </w:pPr>
      <w:r w:rsidRPr="002E1D37">
        <w:rPr>
          <w:rFonts w:cs="Calibri"/>
          <w:color w:val="auto"/>
        </w:rPr>
        <w:t>Jsou kontrolovatelné, tak, aby bylo možno při kontrole na místě ov</w:t>
      </w:r>
      <w:r w:rsidR="00FA3BA4">
        <w:rPr>
          <w:rFonts w:cs="Calibri"/>
          <w:color w:val="auto"/>
        </w:rPr>
        <w:t>ěřit jejich splnění v souladu s </w:t>
      </w:r>
      <w:r w:rsidRPr="002E1D37">
        <w:rPr>
          <w:rFonts w:cs="Calibri"/>
          <w:color w:val="auto"/>
        </w:rPr>
        <w:t xml:space="preserve">výstupem, stanoveným v Žádosti o poskytnutí podpory a termíny plnění. </w:t>
      </w:r>
    </w:p>
    <w:p w14:paraId="5786AAFB" w14:textId="77777777" w:rsidR="00215DBC" w:rsidRPr="002E1D37" w:rsidRDefault="00215DBC" w:rsidP="007853A7">
      <w:pPr>
        <w:pStyle w:val="Odstavecseseznamem"/>
        <w:numPr>
          <w:ilvl w:val="1"/>
          <w:numId w:val="38"/>
        </w:numPr>
        <w:spacing w:after="0" w:line="276" w:lineRule="auto"/>
        <w:ind w:left="851"/>
        <w:rPr>
          <w:rFonts w:cs="Calibri"/>
          <w:color w:val="auto"/>
        </w:rPr>
      </w:pPr>
      <w:r w:rsidRPr="002E1D37">
        <w:rPr>
          <w:rFonts w:cs="Calibri"/>
          <w:color w:val="auto"/>
        </w:rPr>
        <w:t xml:space="preserve">Počet etap projektu určuje počet položek ve finančním plánu. Platí pravidlo, že 1 etapa = 1 žádost o platbu. </w:t>
      </w:r>
    </w:p>
    <w:p w14:paraId="645A38A5" w14:textId="77777777" w:rsidR="00215DBC" w:rsidRPr="002E1D37" w:rsidRDefault="00215DBC" w:rsidP="007853A7">
      <w:pPr>
        <w:pStyle w:val="Odstavecseseznamem"/>
        <w:numPr>
          <w:ilvl w:val="1"/>
          <w:numId w:val="38"/>
        </w:numPr>
        <w:spacing w:after="0" w:line="276" w:lineRule="auto"/>
        <w:ind w:left="851"/>
        <w:rPr>
          <w:rFonts w:cs="Calibri"/>
          <w:color w:val="auto"/>
        </w:rPr>
      </w:pPr>
      <w:r w:rsidRPr="002E1D37">
        <w:rPr>
          <w:rFonts w:cs="Calibri"/>
          <w:color w:val="auto"/>
        </w:rPr>
        <w:t xml:space="preserve">Etapy jsou navrhovány žadatelem v žádosti o poskytnutí podpory. Termín ukončení poslední etapy je závazný. </w:t>
      </w:r>
    </w:p>
    <w:p w14:paraId="743C0D7F" w14:textId="77777777" w:rsidR="00215DBC" w:rsidRPr="002E1D37" w:rsidRDefault="00215DBC" w:rsidP="007853A7">
      <w:pPr>
        <w:pStyle w:val="Odstavecseseznamem"/>
        <w:numPr>
          <w:ilvl w:val="1"/>
          <w:numId w:val="38"/>
        </w:numPr>
        <w:spacing w:after="0" w:line="276" w:lineRule="auto"/>
        <w:ind w:left="851"/>
        <w:rPr>
          <w:rFonts w:cs="Calibri"/>
          <w:color w:val="auto"/>
        </w:rPr>
      </w:pPr>
      <w:r w:rsidRPr="002E1D37">
        <w:rPr>
          <w:rFonts w:cs="Calibri"/>
          <w:color w:val="auto"/>
        </w:rPr>
        <w:t xml:space="preserve">Minimální výše plánované dotace na etapu je 500 000 Kč. </w:t>
      </w:r>
    </w:p>
    <w:p w14:paraId="3EDEAF22" w14:textId="6AC690EE" w:rsidR="00215DBC" w:rsidRPr="002E1D37" w:rsidRDefault="00215DBC" w:rsidP="007853A7">
      <w:pPr>
        <w:pStyle w:val="Odstavecseseznamem"/>
        <w:numPr>
          <w:ilvl w:val="1"/>
          <w:numId w:val="38"/>
        </w:numPr>
        <w:spacing w:after="0" w:line="276" w:lineRule="auto"/>
        <w:ind w:left="851"/>
        <w:rPr>
          <w:rFonts w:cs="Calibri"/>
          <w:color w:val="auto"/>
        </w:rPr>
      </w:pPr>
      <w:r w:rsidRPr="002E1D37">
        <w:rPr>
          <w:rFonts w:cs="Calibri"/>
          <w:color w:val="auto"/>
        </w:rPr>
        <w:t xml:space="preserve">Plánovaná doba trvání jedné etapy nesmí být kratší než </w:t>
      </w:r>
      <w:r w:rsidR="0039339A">
        <w:rPr>
          <w:rFonts w:cs="Calibri"/>
          <w:color w:val="auto"/>
        </w:rPr>
        <w:t>6</w:t>
      </w:r>
      <w:r w:rsidRPr="002E1D37">
        <w:rPr>
          <w:rFonts w:cs="Calibri"/>
          <w:color w:val="auto"/>
        </w:rPr>
        <w:t xml:space="preserve"> měsíc</w:t>
      </w:r>
      <w:r w:rsidR="0039339A">
        <w:rPr>
          <w:rFonts w:cs="Calibri"/>
          <w:color w:val="auto"/>
        </w:rPr>
        <w:t>ů</w:t>
      </w:r>
      <w:r w:rsidRPr="002E1D37">
        <w:rPr>
          <w:rFonts w:cs="Calibri"/>
          <w:color w:val="auto"/>
        </w:rPr>
        <w:t xml:space="preserve">. </w:t>
      </w:r>
    </w:p>
    <w:p w14:paraId="7FF177B3" w14:textId="77777777" w:rsidR="00215DBC" w:rsidRPr="002E1D37" w:rsidRDefault="00215DBC" w:rsidP="007853A7">
      <w:pPr>
        <w:pStyle w:val="Odstavecseseznamem"/>
        <w:numPr>
          <w:ilvl w:val="1"/>
          <w:numId w:val="38"/>
        </w:numPr>
        <w:spacing w:after="0" w:line="276" w:lineRule="auto"/>
        <w:ind w:left="851"/>
        <w:rPr>
          <w:rFonts w:cs="Calibri"/>
          <w:color w:val="auto"/>
        </w:rPr>
      </w:pPr>
      <w:r w:rsidRPr="002E1D37">
        <w:rPr>
          <w:rFonts w:cs="Calibri"/>
          <w:color w:val="auto"/>
        </w:rPr>
        <w:t xml:space="preserve">Nelze rozdělit na etapy projekt s plánovanou dobou realizace kratší než je 6 měsíců. </w:t>
      </w:r>
    </w:p>
    <w:p w14:paraId="6D8A11C0" w14:textId="77777777" w:rsidR="00215DBC" w:rsidRDefault="00215DBC" w:rsidP="00C24445">
      <w:pPr>
        <w:pStyle w:val="Odstavecseseznamem"/>
        <w:numPr>
          <w:ilvl w:val="1"/>
          <w:numId w:val="38"/>
        </w:numPr>
        <w:spacing w:after="0" w:line="276" w:lineRule="auto"/>
        <w:ind w:left="851"/>
        <w:rPr>
          <w:rFonts w:cs="Calibri"/>
          <w:color w:val="auto"/>
        </w:rPr>
      </w:pPr>
      <w:r w:rsidRPr="002E1D37">
        <w:rPr>
          <w:rFonts w:cs="Calibri"/>
          <w:color w:val="auto"/>
        </w:rPr>
        <w:t xml:space="preserve">Příjemce dotace může požádat poskytovatele podpory o změnu etap projektu a změnu finančního plánu prostřednictvím žádosti o změnové řízení. </w:t>
      </w:r>
    </w:p>
    <w:p w14:paraId="64D7D92D" w14:textId="77777777" w:rsidR="00F7406A" w:rsidRPr="00F21137" w:rsidRDefault="00F7406A" w:rsidP="00F7406A">
      <w:pPr>
        <w:pStyle w:val="Nadpisobsahu"/>
        <w:rPr>
          <w:color w:val="0070C0"/>
        </w:rPr>
      </w:pPr>
      <w:r w:rsidRPr="00F21137">
        <w:rPr>
          <w:color w:val="0070C0"/>
        </w:rPr>
        <w:lastRenderedPageBreak/>
        <w:t>7. Forma a výše podpory</w:t>
      </w:r>
    </w:p>
    <w:p w14:paraId="47B378E0" w14:textId="77777777" w:rsidR="00F7406A" w:rsidRPr="002E1D37" w:rsidRDefault="00F7406A" w:rsidP="00F7406A">
      <w:pPr>
        <w:rPr>
          <w:bCs/>
          <w:color w:val="auto"/>
        </w:rPr>
      </w:pPr>
      <w:r w:rsidRPr="002E1D37">
        <w:rPr>
          <w:bCs/>
          <w:color w:val="auto"/>
        </w:rPr>
        <w:t>Podpora je poskytována formou dotace.</w:t>
      </w:r>
    </w:p>
    <w:p w14:paraId="4B3107EF" w14:textId="2DD5AF55" w:rsidR="00F7406A" w:rsidRPr="002E1D37" w:rsidRDefault="00F7406A" w:rsidP="00F7406A">
      <w:pPr>
        <w:rPr>
          <w:color w:val="auto"/>
        </w:rPr>
      </w:pPr>
      <w:r w:rsidRPr="002E1D37">
        <w:rPr>
          <w:color w:val="auto"/>
        </w:rPr>
        <w:t>Podpora bude poskytnuta v souladu s „Pravidly spolufinancování Evropských strukturálních a investičních fondů v programovém období 2014 – 2020</w:t>
      </w:r>
      <w:r w:rsidRPr="002E1D37">
        <w:rPr>
          <w:color w:val="auto"/>
          <w:vertAlign w:val="superscript"/>
        </w:rPr>
        <w:footnoteReference w:id="15"/>
      </w:r>
      <w:r w:rsidRPr="002E1D37">
        <w:rPr>
          <w:color w:val="auto"/>
        </w:rPr>
        <w:t>“ a bude proplácena ex-post na základě dokladů předložených příjemcem v žádosti o platbu. Předpokladem je počáteční plné předfinancování výdajů projektu (nebo ucelené etapy - fáze projektu) z</w:t>
      </w:r>
      <w:r w:rsidR="00543777">
        <w:rPr>
          <w:color w:val="auto"/>
        </w:rPr>
        <w:t>e soukromých</w:t>
      </w:r>
      <w:r w:rsidRPr="002E1D37">
        <w:rPr>
          <w:color w:val="auto"/>
        </w:rPr>
        <w:t xml:space="preserve"> zdrojů příjemce. </w:t>
      </w:r>
    </w:p>
    <w:p w14:paraId="330A3E82" w14:textId="77777777" w:rsidR="00F7406A" w:rsidRPr="002E1D37" w:rsidRDefault="00F7406A" w:rsidP="00FA3BA4">
      <w:pPr>
        <w:spacing w:after="240"/>
        <w:rPr>
          <w:rFonts w:cs="Calibri"/>
          <w:color w:val="auto"/>
        </w:rPr>
      </w:pPr>
      <w:r w:rsidRPr="002E1D37">
        <w:rPr>
          <w:rFonts w:cs="Calibri"/>
          <w:color w:val="auto"/>
        </w:rPr>
        <w:t>V Případě podpory poskytnuté podle Nařízení Komise (EU) č. 651/2014, jejíž výše přesáhne 500 000 EUR, poskytovatel podpory zveřejní informace o jednotlivé podpoře v souladu s čl. 9 odst. 1 písm. c) a Přílohou III. Nařízení Komise (EU) č. 651/2014 na souhrnné internetové stránce věnované veřejné podpoře.</w:t>
      </w:r>
    </w:p>
    <w:p w14:paraId="22C20073" w14:textId="77777777" w:rsidR="00F7406A" w:rsidRPr="002E1D37" w:rsidRDefault="00F7406A" w:rsidP="00F7406A">
      <w:pPr>
        <w:rPr>
          <w:color w:val="auto"/>
        </w:rPr>
      </w:pPr>
      <w:r w:rsidRPr="002E1D37">
        <w:rPr>
          <w:b/>
          <w:bCs/>
          <w:color w:val="auto"/>
        </w:rPr>
        <w:t>7.1 Míra podpory – rozpad zdrojů financování</w:t>
      </w:r>
    </w:p>
    <w:p w14:paraId="07980FDA" w14:textId="77777777" w:rsidR="00E43244" w:rsidRPr="002E1D37" w:rsidRDefault="00E43244" w:rsidP="00FA3BA4">
      <w:pPr>
        <w:spacing w:after="240"/>
        <w:rPr>
          <w:color w:val="auto"/>
        </w:rPr>
      </w:pPr>
      <w:r w:rsidRPr="00A7040B">
        <w:rPr>
          <w:color w:val="auto"/>
        </w:rPr>
        <w:t xml:space="preserve">V žádosti </w:t>
      </w:r>
      <w:r w:rsidR="00555116">
        <w:rPr>
          <w:color w:val="auto"/>
        </w:rPr>
        <w:t xml:space="preserve">o podporu </w:t>
      </w:r>
      <w:r w:rsidRPr="00A7040B">
        <w:rPr>
          <w:color w:val="auto"/>
        </w:rPr>
        <w:t>bude dotace vždy uvedena jako částka rovnající se maximálně 35</w:t>
      </w:r>
      <w:r w:rsidRPr="002E1D37">
        <w:rPr>
          <w:color w:val="auto"/>
        </w:rPr>
        <w:t xml:space="preserve"> % (střední podnik) nebo maximálně 45 % (malý podnik) způsobilých výdajů.</w:t>
      </w:r>
    </w:p>
    <w:p w14:paraId="1FE7525A" w14:textId="77777777" w:rsidR="00F7406A" w:rsidRPr="002E1D37" w:rsidRDefault="00F7406A" w:rsidP="00F7406A">
      <w:pPr>
        <w:rPr>
          <w:b/>
          <w:bCs/>
          <w:color w:val="auto"/>
        </w:rPr>
      </w:pPr>
      <w:r w:rsidRPr="002E1D37">
        <w:rPr>
          <w:b/>
          <w:bCs/>
          <w:color w:val="auto"/>
        </w:rPr>
        <w:t>7.2 Maximální a minimální výše dotace</w:t>
      </w:r>
    </w:p>
    <w:p w14:paraId="084EF814" w14:textId="69B0D6A0" w:rsidR="00F7406A" w:rsidRPr="00A7040B" w:rsidRDefault="00F7406A" w:rsidP="00F7406A">
      <w:pPr>
        <w:rPr>
          <w:color w:val="auto"/>
        </w:rPr>
      </w:pPr>
      <w:r w:rsidRPr="00A7040B">
        <w:rPr>
          <w:color w:val="auto"/>
        </w:rPr>
        <w:t xml:space="preserve">Dotace na projekt je poskytována </w:t>
      </w:r>
      <w:r w:rsidRPr="002E1D37">
        <w:rPr>
          <w:color w:val="auto"/>
        </w:rPr>
        <w:t xml:space="preserve">minimálně ve výši </w:t>
      </w:r>
      <w:r w:rsidR="008C1564" w:rsidRPr="002E1D37">
        <w:rPr>
          <w:color w:val="auto"/>
        </w:rPr>
        <w:t>1</w:t>
      </w:r>
      <w:r w:rsidR="00A13591" w:rsidRPr="002E1D37">
        <w:rPr>
          <w:color w:val="auto"/>
        </w:rPr>
        <w:t xml:space="preserve"> </w:t>
      </w:r>
      <w:r w:rsidRPr="002E1D37">
        <w:rPr>
          <w:color w:val="auto"/>
        </w:rPr>
        <w:t xml:space="preserve">mil. Kč a maximálně do výše </w:t>
      </w:r>
      <w:r w:rsidR="009E3D94">
        <w:rPr>
          <w:bCs/>
          <w:color w:val="auto"/>
        </w:rPr>
        <w:t>1</w:t>
      </w:r>
      <w:r w:rsidR="009E3D94" w:rsidRPr="002E1D37">
        <w:rPr>
          <w:bCs/>
          <w:color w:val="auto"/>
        </w:rPr>
        <w:t>0</w:t>
      </w:r>
      <w:r w:rsidR="009E3D94" w:rsidRPr="002E1D37">
        <w:rPr>
          <w:color w:val="auto"/>
        </w:rPr>
        <w:t xml:space="preserve"> </w:t>
      </w:r>
      <w:r w:rsidRPr="002E1D37">
        <w:rPr>
          <w:color w:val="auto"/>
        </w:rPr>
        <w:t>mil. Kč.</w:t>
      </w:r>
    </w:p>
    <w:p w14:paraId="588FBF47" w14:textId="77777777" w:rsidR="004F65E5" w:rsidRDefault="004F65E5" w:rsidP="00FA3BA4">
      <w:pPr>
        <w:spacing w:after="240"/>
        <w:rPr>
          <w:color w:val="auto"/>
        </w:rPr>
      </w:pPr>
      <w:r w:rsidRPr="002E1D37">
        <w:rPr>
          <w:color w:val="auto"/>
        </w:rPr>
        <w:t>Příjemce je povinen poskytnout finanční příspěvek ve výši minimálně 25</w:t>
      </w:r>
      <w:r w:rsidR="00410A9F" w:rsidRPr="002E1D37">
        <w:rPr>
          <w:color w:val="auto"/>
        </w:rPr>
        <w:t xml:space="preserve"> </w:t>
      </w:r>
      <w:r w:rsidRPr="002E1D37">
        <w:rPr>
          <w:color w:val="auto"/>
        </w:rPr>
        <w:t>% způsobilých výdajů, buď z vlastních zdrojů, nebo prostřednictvím externího financování, a to ve formě, která neobsahuje žádnou veřejnou podporu ve smyslu čl. 107 odst. 1 Smlouvy o fungování EU.</w:t>
      </w:r>
    </w:p>
    <w:p w14:paraId="715EB249" w14:textId="77777777" w:rsidR="00F7406A" w:rsidRPr="002E1D37" w:rsidRDefault="00F7406A" w:rsidP="00F7406A">
      <w:pPr>
        <w:rPr>
          <w:b/>
          <w:bCs/>
          <w:color w:val="auto"/>
        </w:rPr>
      </w:pPr>
      <w:r w:rsidRPr="002E1D37">
        <w:rPr>
          <w:b/>
          <w:bCs/>
          <w:color w:val="auto"/>
        </w:rPr>
        <w:t>7.3 Informace o podmínkách veřejné podpory</w:t>
      </w:r>
    </w:p>
    <w:p w14:paraId="58EA8E5C" w14:textId="3AB0661A" w:rsidR="00F7406A" w:rsidRPr="002E1D37" w:rsidRDefault="00F7406A" w:rsidP="00F7406A">
      <w:pPr>
        <w:rPr>
          <w:rFonts w:cs="Calibri"/>
          <w:color w:val="auto"/>
        </w:rPr>
      </w:pPr>
      <w:r w:rsidRPr="002E1D37">
        <w:rPr>
          <w:rFonts w:cs="Calibri"/>
          <w:color w:val="auto"/>
        </w:rPr>
        <w:t xml:space="preserve">Podpora je poskytována v souladu s článkem </w:t>
      </w:r>
      <w:r w:rsidR="00E43244" w:rsidRPr="002E1D37">
        <w:rPr>
          <w:bCs/>
          <w:color w:val="auto"/>
        </w:rPr>
        <w:t>14</w:t>
      </w:r>
      <w:r w:rsidRPr="002E1D37">
        <w:rPr>
          <w:rFonts w:cs="Calibri"/>
          <w:color w:val="auto"/>
        </w:rPr>
        <w:t xml:space="preserve"> Nařízení Komise (EU) č. 651/2014</w:t>
      </w:r>
      <w:r w:rsidR="00E52712">
        <w:rPr>
          <w:rFonts w:ascii="Calibri" w:hAnsi="Calibri"/>
          <w:color w:val="auto"/>
        </w:rPr>
        <w:t xml:space="preserve"> </w:t>
      </w:r>
      <w:r w:rsidRPr="002E1D37">
        <w:rPr>
          <w:rFonts w:cs="Calibri"/>
          <w:color w:val="auto"/>
        </w:rPr>
        <w:t xml:space="preserve">a může být proto slučitelná s vnitřním trhem ve smyslu čl. 107 odst. 3 Smlouvy o fungování EU a je vyňata z oznamovací povinnosti dle čl. 108 odst. 3 Smlouvy o fungování EU. </w:t>
      </w:r>
    </w:p>
    <w:p w14:paraId="3964325E" w14:textId="77777777" w:rsidR="00F7406A" w:rsidRPr="002E1D37" w:rsidRDefault="00F7406A" w:rsidP="00FA3BA4">
      <w:pPr>
        <w:spacing w:after="240"/>
        <w:rPr>
          <w:rFonts w:cs="Calibri"/>
          <w:color w:val="auto"/>
        </w:rPr>
      </w:pPr>
      <w:r w:rsidRPr="002E1D37">
        <w:rPr>
          <w:rFonts w:cs="Calibri"/>
          <w:color w:val="auto"/>
        </w:rPr>
        <w:t xml:space="preserve">Projekty požadující dle míry podpory dotaci (a plánují dle toho úměrně nízké celkové způsobilé výdaje) nižší než minimální absolutní, jsou nepřijatelné a nebudou přijaty do hodnotícího procesu. Uvedené omezení platí pro žádost o podporu. Maximální absolutní dotace je nepřekročitelná. </w:t>
      </w:r>
    </w:p>
    <w:p w14:paraId="4A7AEB8A" w14:textId="77777777" w:rsidR="00F7406A" w:rsidRPr="002E1D37" w:rsidRDefault="00F7406A" w:rsidP="00F7406A">
      <w:pPr>
        <w:spacing w:after="0"/>
        <w:rPr>
          <w:b/>
          <w:bCs/>
          <w:color w:val="auto"/>
        </w:rPr>
      </w:pPr>
      <w:r w:rsidRPr="002E1D37">
        <w:rPr>
          <w:b/>
          <w:bCs/>
          <w:color w:val="auto"/>
        </w:rPr>
        <w:t>7.4 Informace o křížovém financování</w:t>
      </w:r>
    </w:p>
    <w:p w14:paraId="68AADF41" w14:textId="77777777" w:rsidR="00F7406A" w:rsidRPr="002E1D37" w:rsidRDefault="00F7406A" w:rsidP="00F7406A">
      <w:pPr>
        <w:rPr>
          <w:color w:val="auto"/>
        </w:rPr>
      </w:pPr>
      <w:r w:rsidRPr="002E1D37">
        <w:rPr>
          <w:rFonts w:cs="Calibri"/>
          <w:color w:val="auto"/>
        </w:rPr>
        <w:t>Pro výzvu programu podpory „Technologie“ není křížové financování relevantní.</w:t>
      </w:r>
    </w:p>
    <w:p w14:paraId="7E439D72" w14:textId="77777777" w:rsidR="00F7406A" w:rsidRPr="00F21137" w:rsidRDefault="00F7406A" w:rsidP="00F7406A">
      <w:pPr>
        <w:pStyle w:val="Nadpisobsahu"/>
        <w:rPr>
          <w:color w:val="0070C0"/>
        </w:rPr>
      </w:pPr>
      <w:r w:rsidRPr="00F21137">
        <w:rPr>
          <w:color w:val="0070C0"/>
        </w:rPr>
        <w:t>8. Územní dimenze</w:t>
      </w:r>
    </w:p>
    <w:p w14:paraId="12E5BE79" w14:textId="5A935A6E" w:rsidR="009E3D94" w:rsidRPr="002E1D37" w:rsidRDefault="009E3D94" w:rsidP="00F7406A">
      <w:pPr>
        <w:pStyle w:val="Odstavecseseznamem"/>
        <w:numPr>
          <w:ilvl w:val="1"/>
          <w:numId w:val="19"/>
        </w:numPr>
        <w:ind w:left="426"/>
        <w:rPr>
          <w:color w:val="auto"/>
        </w:rPr>
      </w:pPr>
      <w:r w:rsidRPr="009E3D94">
        <w:rPr>
          <w:b/>
          <w:bCs/>
          <w:color w:val="auto"/>
        </w:rPr>
        <w:t>Cílové úze</w:t>
      </w:r>
      <w:r w:rsidR="00AD5322">
        <w:rPr>
          <w:b/>
          <w:bCs/>
          <w:color w:val="auto"/>
        </w:rPr>
        <w:t>mí: Území ITI o</w:t>
      </w:r>
      <w:r w:rsidRPr="009E3D94">
        <w:rPr>
          <w:b/>
          <w:bCs/>
          <w:color w:val="auto"/>
        </w:rPr>
        <w:t>lomoucké aglomera</w:t>
      </w:r>
      <w:r>
        <w:rPr>
          <w:b/>
          <w:bCs/>
          <w:color w:val="auto"/>
        </w:rPr>
        <w:t>ce dle Přílohy č. 1 Seznam obcí</w:t>
      </w:r>
    </w:p>
    <w:p w14:paraId="1D7D01BB" w14:textId="786D67A4" w:rsidR="00FA3BA4" w:rsidRDefault="00F7406A" w:rsidP="00777926">
      <w:pPr>
        <w:pStyle w:val="Odstavecseseznamem"/>
        <w:numPr>
          <w:ilvl w:val="1"/>
          <w:numId w:val="19"/>
        </w:numPr>
        <w:ind w:left="426"/>
        <w:rPr>
          <w:color w:val="auto"/>
        </w:rPr>
      </w:pPr>
      <w:r w:rsidRPr="00777926">
        <w:rPr>
          <w:color w:val="auto"/>
        </w:rPr>
        <w:t xml:space="preserve">Rozhodující pro </w:t>
      </w:r>
      <w:r w:rsidRPr="00777926">
        <w:rPr>
          <w:b/>
          <w:bCs/>
          <w:color w:val="auto"/>
        </w:rPr>
        <w:t xml:space="preserve">posouzení místní přijatelnosti </w:t>
      </w:r>
      <w:r w:rsidRPr="00777926">
        <w:rPr>
          <w:color w:val="auto"/>
        </w:rPr>
        <w:t>není sídlo žadatele (příjemce), nýbrž skutečné místo realizace projektu = realizace výdajů, tedy skutečné místo dopadu realizovaného projektu z hlediska jeho přínosů do příslušné</w:t>
      </w:r>
      <w:r w:rsidR="009E3D94" w:rsidRPr="00777926">
        <w:rPr>
          <w:color w:val="auto"/>
        </w:rPr>
        <w:t xml:space="preserve"> aglomerace</w:t>
      </w:r>
      <w:r w:rsidR="00777926">
        <w:rPr>
          <w:color w:val="auto"/>
        </w:rPr>
        <w:t>.</w:t>
      </w:r>
      <w:r w:rsidR="009E3D94" w:rsidRPr="00777926">
        <w:rPr>
          <w:color w:val="auto"/>
        </w:rPr>
        <w:t xml:space="preserve"> </w:t>
      </w:r>
    </w:p>
    <w:p w14:paraId="182E0800" w14:textId="77777777" w:rsidR="00FA3BA4" w:rsidRDefault="00FA3BA4">
      <w:pPr>
        <w:spacing w:after="0" w:line="240" w:lineRule="auto"/>
        <w:jc w:val="left"/>
        <w:rPr>
          <w:color w:val="auto"/>
        </w:rPr>
      </w:pPr>
      <w:r>
        <w:rPr>
          <w:color w:val="auto"/>
        </w:rPr>
        <w:br w:type="page"/>
      </w:r>
    </w:p>
    <w:p w14:paraId="5FB827B8" w14:textId="77777777" w:rsidR="00F7406A" w:rsidRPr="002E1D37" w:rsidRDefault="00F7406A" w:rsidP="00FA3BA4">
      <w:pPr>
        <w:pStyle w:val="Nadpisobsahu"/>
        <w:spacing w:after="240"/>
        <w:rPr>
          <w:color w:val="auto"/>
        </w:rPr>
      </w:pPr>
      <w:r w:rsidRPr="00F21137">
        <w:rPr>
          <w:color w:val="0070C0"/>
        </w:rPr>
        <w:lastRenderedPageBreak/>
        <w:t>9. Specifické podmínky programu</w:t>
      </w:r>
    </w:p>
    <w:p w14:paraId="36D8A4F2" w14:textId="77777777" w:rsidR="00F7406A" w:rsidRPr="002E1D37" w:rsidRDefault="00F7406A" w:rsidP="00F7406A">
      <w:pPr>
        <w:rPr>
          <w:b/>
          <w:bCs/>
          <w:color w:val="auto"/>
        </w:rPr>
      </w:pPr>
      <w:r w:rsidRPr="002E1D37">
        <w:rPr>
          <w:b/>
          <w:bCs/>
          <w:color w:val="auto"/>
        </w:rPr>
        <w:t>9.1 Formální podmínky přijatelnosti projektu</w:t>
      </w:r>
    </w:p>
    <w:p w14:paraId="303CAF5B" w14:textId="77777777" w:rsidR="00F7406A" w:rsidRPr="002E1D37" w:rsidRDefault="00F7406A" w:rsidP="00F7406A">
      <w:pPr>
        <w:spacing w:after="0"/>
        <w:rPr>
          <w:b/>
          <w:bCs/>
          <w:color w:val="auto"/>
        </w:rPr>
      </w:pPr>
      <w:r w:rsidRPr="002E1D37">
        <w:rPr>
          <w:b/>
          <w:bCs/>
          <w:color w:val="auto"/>
        </w:rPr>
        <w:t>Formální podmínky přijatelnosti projektu:</w:t>
      </w:r>
    </w:p>
    <w:p w14:paraId="23200EED" w14:textId="581861D2" w:rsidR="00F7406A" w:rsidRPr="002E1D37" w:rsidRDefault="009E3D94" w:rsidP="00F7406A">
      <w:pPr>
        <w:pStyle w:val="Odstavecseseznamem"/>
        <w:numPr>
          <w:ilvl w:val="0"/>
          <w:numId w:val="22"/>
        </w:numPr>
        <w:spacing w:after="0"/>
        <w:ind w:left="284" w:hanging="294"/>
        <w:rPr>
          <w:bCs/>
          <w:color w:val="auto"/>
        </w:rPr>
      </w:pPr>
      <w:r w:rsidRPr="009E3D94">
        <w:rPr>
          <w:bCs/>
          <w:color w:val="auto"/>
        </w:rPr>
        <w:t>Skutečné místo realizace projektu musí být n</w:t>
      </w:r>
      <w:r>
        <w:rPr>
          <w:bCs/>
          <w:color w:val="auto"/>
        </w:rPr>
        <w:t>a území dle kap. 8 Výzvy, bodu a</w:t>
      </w:r>
      <w:r w:rsidRPr="009E3D94">
        <w:rPr>
          <w:bCs/>
          <w:color w:val="auto"/>
        </w:rPr>
        <w:t>.</w:t>
      </w:r>
    </w:p>
    <w:p w14:paraId="1FE95DE9" w14:textId="219329BF" w:rsidR="00F7406A" w:rsidRPr="002E1D37" w:rsidRDefault="008B060D" w:rsidP="008B060D">
      <w:pPr>
        <w:pStyle w:val="Odstavecseseznamem"/>
        <w:numPr>
          <w:ilvl w:val="0"/>
          <w:numId w:val="22"/>
        </w:numPr>
        <w:rPr>
          <w:bCs/>
          <w:color w:val="auto"/>
        </w:rPr>
      </w:pPr>
      <w:r w:rsidRPr="008B060D">
        <w:rPr>
          <w:bCs/>
          <w:color w:val="auto"/>
        </w:rPr>
        <w:t>Žadatel musí mít nabytá vlastnická nebo jiná práva k nemovitostem a pozemkům, kde bude projekt realizován a na vyzvání je povinen tato práva doložit.</w:t>
      </w:r>
    </w:p>
    <w:p w14:paraId="56C475E1" w14:textId="77777777" w:rsidR="00F7406A" w:rsidRPr="002E1D37" w:rsidRDefault="00F7406A" w:rsidP="00F7406A">
      <w:pPr>
        <w:pStyle w:val="Odstavecseseznamem"/>
        <w:numPr>
          <w:ilvl w:val="0"/>
          <w:numId w:val="22"/>
        </w:numPr>
        <w:ind w:left="284" w:hanging="284"/>
        <w:rPr>
          <w:bCs/>
          <w:color w:val="auto"/>
        </w:rPr>
      </w:pPr>
      <w:r w:rsidRPr="002E1D37">
        <w:rPr>
          <w:bCs/>
          <w:color w:val="auto"/>
        </w:rPr>
        <w:t>Projekt musí obsahovat všechny povinné součásti uvedené ve Výzvě k jeho předložení.</w:t>
      </w:r>
    </w:p>
    <w:p w14:paraId="49EB2875" w14:textId="77777777" w:rsidR="00E009DF" w:rsidRPr="002E1D37" w:rsidRDefault="00E009DF" w:rsidP="00E009DF">
      <w:pPr>
        <w:pStyle w:val="Odstavecseseznamem"/>
        <w:numPr>
          <w:ilvl w:val="0"/>
          <w:numId w:val="22"/>
        </w:numPr>
        <w:spacing w:after="0" w:line="276" w:lineRule="auto"/>
        <w:ind w:left="357" w:hanging="357"/>
        <w:rPr>
          <w:color w:val="auto"/>
        </w:rPr>
      </w:pPr>
      <w:r w:rsidRPr="002E1D37">
        <w:rPr>
          <w:rFonts w:cs="Calibri"/>
          <w:color w:val="auto"/>
        </w:rPr>
        <w:t>Žádost o podporu a její přílohy musí být předloženy v českém jazyce.</w:t>
      </w:r>
    </w:p>
    <w:p w14:paraId="5D7BE3AC" w14:textId="76F45F6B" w:rsidR="00F7406A" w:rsidRPr="002E1D37" w:rsidRDefault="00F7406A" w:rsidP="00F7406A">
      <w:pPr>
        <w:pStyle w:val="Odstavecseseznamem"/>
        <w:numPr>
          <w:ilvl w:val="0"/>
          <w:numId w:val="22"/>
        </w:numPr>
        <w:ind w:left="284" w:hanging="284"/>
        <w:rPr>
          <w:bCs/>
          <w:color w:val="auto"/>
        </w:rPr>
      </w:pPr>
      <w:r w:rsidRPr="002E1D37">
        <w:rPr>
          <w:bCs/>
          <w:color w:val="auto"/>
        </w:rPr>
        <w:t>Projekt nepředpokládá podporu na činnosti spojené s vyváženým množstvím (vývozní subvence), podporu na zřízení a provoz distribuční sítě v zahraničí, nebo na jiné běžné výdaje spojené s vývozní činností (cla, pojištění atd.), ani podporu podmiňující použití domácího zboží na úkor dováženého zboží</w:t>
      </w:r>
      <w:r w:rsidR="00B75967">
        <w:rPr>
          <w:bCs/>
          <w:color w:val="auto"/>
        </w:rPr>
        <w:t xml:space="preserve"> </w:t>
      </w:r>
      <w:r w:rsidR="00B75967" w:rsidRPr="00683CAE">
        <w:t>a/nebo podmiňující použití domácích služeb</w:t>
      </w:r>
      <w:r w:rsidRPr="002E1D37">
        <w:rPr>
          <w:bCs/>
          <w:color w:val="auto"/>
        </w:rPr>
        <w:t>.</w:t>
      </w:r>
    </w:p>
    <w:p w14:paraId="74DA2F26" w14:textId="77777777" w:rsidR="00F7406A" w:rsidRPr="002E1D37" w:rsidRDefault="00F7406A" w:rsidP="00F7406A">
      <w:pPr>
        <w:pStyle w:val="Odstavecseseznamem"/>
        <w:numPr>
          <w:ilvl w:val="0"/>
          <w:numId w:val="22"/>
        </w:numPr>
        <w:ind w:left="284" w:hanging="284"/>
        <w:rPr>
          <w:bCs/>
          <w:color w:val="auto"/>
        </w:rPr>
      </w:pPr>
      <w:r w:rsidRPr="002E1D37">
        <w:rPr>
          <w:bCs/>
          <w:color w:val="auto"/>
        </w:rPr>
        <w:t>Projekt nebyl zahájen před datem podání žádosti o podporu</w:t>
      </w:r>
      <w:r w:rsidRPr="002E1D37">
        <w:rPr>
          <w:bCs/>
          <w:color w:val="auto"/>
          <w:vertAlign w:val="superscript"/>
        </w:rPr>
        <w:footnoteReference w:id="16"/>
      </w:r>
      <w:r w:rsidRPr="002E1D37">
        <w:rPr>
          <w:bCs/>
          <w:color w:val="auto"/>
        </w:rPr>
        <w:t>.</w:t>
      </w:r>
    </w:p>
    <w:p w14:paraId="714FB3B2" w14:textId="77777777" w:rsidR="00F7406A" w:rsidRPr="002E1D37" w:rsidRDefault="00F7406A" w:rsidP="00F7406A">
      <w:pPr>
        <w:pStyle w:val="Odstavecseseznamem"/>
        <w:numPr>
          <w:ilvl w:val="0"/>
          <w:numId w:val="22"/>
        </w:numPr>
        <w:ind w:left="284" w:hanging="284"/>
        <w:rPr>
          <w:bCs/>
          <w:color w:val="auto"/>
        </w:rPr>
      </w:pPr>
      <w:r w:rsidRPr="002E1D37">
        <w:rPr>
          <w:bCs/>
          <w:color w:val="auto"/>
        </w:rPr>
        <w:t>Projekt nesmí porušovat horizontální politiky EU a jejich základní principy, zejména:</w:t>
      </w:r>
    </w:p>
    <w:p w14:paraId="19ADAD46" w14:textId="77777777" w:rsidR="00F7406A" w:rsidRPr="002E1D37" w:rsidRDefault="00F7406A" w:rsidP="00F7406A">
      <w:pPr>
        <w:pStyle w:val="Odstavecseseznamem"/>
        <w:numPr>
          <w:ilvl w:val="0"/>
          <w:numId w:val="15"/>
        </w:numPr>
        <w:spacing w:after="0" w:line="276" w:lineRule="auto"/>
        <w:ind w:left="709"/>
        <w:rPr>
          <w:color w:val="auto"/>
        </w:rPr>
      </w:pPr>
      <w:r w:rsidRPr="002E1D37">
        <w:rPr>
          <w:color w:val="auto"/>
        </w:rPr>
        <w:t>rovné příležitosti mezi muži a ženami (rovnost mužů a žen, odstraňování diskriminace na základě pohlaví, rasy, etnického původu, náboženského vyznání, světového názoru, zdravotního postižení, věku nebo sexuální orientace),</w:t>
      </w:r>
    </w:p>
    <w:p w14:paraId="36DD28C7" w14:textId="77777777" w:rsidR="00F7406A" w:rsidRPr="002E1D37" w:rsidRDefault="00F7406A" w:rsidP="00F7406A">
      <w:pPr>
        <w:pStyle w:val="Odstavecseseznamem"/>
        <w:numPr>
          <w:ilvl w:val="0"/>
          <w:numId w:val="15"/>
        </w:numPr>
        <w:spacing w:after="0" w:line="276" w:lineRule="auto"/>
        <w:ind w:left="709"/>
        <w:rPr>
          <w:color w:val="auto"/>
        </w:rPr>
      </w:pPr>
      <w:r w:rsidRPr="002E1D37">
        <w:rPr>
          <w:color w:val="auto"/>
        </w:rPr>
        <w:t>rovné příležitosti a nediskriminace (např. z důvodu sociálního vyloučení nebo zdravotního postižení),</w:t>
      </w:r>
    </w:p>
    <w:p w14:paraId="5D7225AB" w14:textId="77777777" w:rsidR="00F7406A" w:rsidRPr="002E1D37" w:rsidRDefault="00F7406A" w:rsidP="00FA3BA4">
      <w:pPr>
        <w:pStyle w:val="Odstavecseseznamem"/>
        <w:numPr>
          <w:ilvl w:val="0"/>
          <w:numId w:val="15"/>
        </w:numPr>
        <w:spacing w:after="120" w:line="276" w:lineRule="auto"/>
        <w:ind w:left="709" w:hanging="357"/>
        <w:rPr>
          <w:color w:val="auto"/>
        </w:rPr>
      </w:pPr>
      <w:r w:rsidRPr="002E1D37">
        <w:rPr>
          <w:color w:val="auto"/>
        </w:rPr>
        <w:t>udržitelný rozvoj (splnění právních předpisů EU a ČR v oblasti ochrany životního prostředí).</w:t>
      </w:r>
    </w:p>
    <w:p w14:paraId="7F1C06FB" w14:textId="77777777" w:rsidR="00F7406A" w:rsidRPr="002E1D37" w:rsidRDefault="00F7406A" w:rsidP="00F7406A">
      <w:pPr>
        <w:ind w:firstLine="284"/>
        <w:rPr>
          <w:bCs/>
          <w:color w:val="auto"/>
        </w:rPr>
      </w:pPr>
      <w:r w:rsidRPr="002E1D37">
        <w:rPr>
          <w:bCs/>
          <w:color w:val="auto"/>
        </w:rPr>
        <w:t>Cíle projektu musí být v souladu s cíli programu a výzvy.</w:t>
      </w:r>
    </w:p>
    <w:p w14:paraId="7144C0AB" w14:textId="77777777" w:rsidR="00F7406A" w:rsidRPr="002E1D37" w:rsidRDefault="00F7406A" w:rsidP="00F7406A">
      <w:pPr>
        <w:pStyle w:val="Odstavecseseznamem"/>
        <w:numPr>
          <w:ilvl w:val="0"/>
          <w:numId w:val="22"/>
        </w:numPr>
        <w:ind w:left="284" w:hanging="284"/>
        <w:rPr>
          <w:bCs/>
          <w:color w:val="auto"/>
        </w:rPr>
      </w:pPr>
      <w:r w:rsidRPr="002E1D37">
        <w:rPr>
          <w:bCs/>
          <w:color w:val="auto"/>
        </w:rPr>
        <w:t>Finanční zdraví žadatele vyjádřené zjednodušeným ekonomickým hodnocením zprostředkujícího subjektu nesmí být nižší než 5 bodů.</w:t>
      </w:r>
    </w:p>
    <w:p w14:paraId="75A05921" w14:textId="77777777" w:rsidR="00F7406A" w:rsidRPr="002E1D37" w:rsidRDefault="00F7406A" w:rsidP="00F7406A">
      <w:pPr>
        <w:pStyle w:val="Odstavecseseznamem"/>
        <w:numPr>
          <w:ilvl w:val="0"/>
          <w:numId w:val="22"/>
        </w:numPr>
        <w:ind w:left="284" w:hanging="284"/>
        <w:rPr>
          <w:bCs/>
          <w:color w:val="auto"/>
        </w:rPr>
      </w:pPr>
      <w:r w:rsidRPr="002E1D37">
        <w:rPr>
          <w:bCs/>
          <w:color w:val="auto"/>
        </w:rPr>
        <w:t>Povinností pro projekty s celkovými způsobilými výdaji nad 5 mil. Kč včetně a zároveň s investičními výdaji, které tvoří více než 50</w:t>
      </w:r>
      <w:r w:rsidR="00A13591" w:rsidRPr="002E1D37">
        <w:rPr>
          <w:bCs/>
          <w:color w:val="auto"/>
        </w:rPr>
        <w:t xml:space="preserve"> </w:t>
      </w:r>
      <w:r w:rsidRPr="002E1D37">
        <w:rPr>
          <w:bCs/>
          <w:color w:val="auto"/>
        </w:rPr>
        <w:t>% celkových způsobilých výdajů, bude provést Finanční analýzu investice. Pro projekty s celkovými způsobilými výdaji nad 100 mil. Kč včetně a zároveň s investičními výdaji, které tvoří více než 50</w:t>
      </w:r>
      <w:r w:rsidR="00A13591" w:rsidRPr="002E1D37">
        <w:rPr>
          <w:bCs/>
          <w:color w:val="auto"/>
        </w:rPr>
        <w:t xml:space="preserve"> </w:t>
      </w:r>
      <w:r w:rsidRPr="002E1D37">
        <w:rPr>
          <w:bCs/>
          <w:color w:val="auto"/>
        </w:rPr>
        <w:t>% celkových způsobilých výdajů, bude povinnost tzv. ekonomické analýzy, kde se budou zohledňovat socioekonomické dopady projektu podle nastaveného číselníku. Bližší informace k analýze nákladů a přínosů jsou uvedeny v dokumentu CBA – příručka žadatele.</w:t>
      </w:r>
    </w:p>
    <w:p w14:paraId="23882E51" w14:textId="22C9ACE2" w:rsidR="00F7406A" w:rsidRPr="002E1D37" w:rsidRDefault="00F7406A" w:rsidP="00F7406A">
      <w:pPr>
        <w:pStyle w:val="Odstavecseseznamem"/>
        <w:numPr>
          <w:ilvl w:val="0"/>
          <w:numId w:val="22"/>
        </w:numPr>
        <w:ind w:left="284" w:hanging="284"/>
        <w:rPr>
          <w:bCs/>
          <w:color w:val="auto"/>
        </w:rPr>
      </w:pPr>
      <w:r w:rsidRPr="002E1D37">
        <w:rPr>
          <w:bCs/>
          <w:color w:val="auto"/>
        </w:rPr>
        <w:t xml:space="preserve">Podporovány jsou projekty, jejichž výstupy se projeví v odvětvích vymezených v Příloze č. </w:t>
      </w:r>
      <w:r w:rsidR="00FE3194">
        <w:rPr>
          <w:bCs/>
          <w:color w:val="auto"/>
        </w:rPr>
        <w:t>3</w:t>
      </w:r>
      <w:r w:rsidRPr="002E1D37">
        <w:rPr>
          <w:bCs/>
          <w:color w:val="auto"/>
        </w:rPr>
        <w:t xml:space="preserve"> Část A této Výzvy. </w:t>
      </w:r>
    </w:p>
    <w:p w14:paraId="3A659F7C" w14:textId="6D43CB4D" w:rsidR="00F7406A" w:rsidRPr="002E1D37" w:rsidRDefault="00F7406A" w:rsidP="00F7406A">
      <w:pPr>
        <w:pStyle w:val="Odstavecseseznamem"/>
        <w:numPr>
          <w:ilvl w:val="0"/>
          <w:numId w:val="22"/>
        </w:numPr>
        <w:ind w:left="284" w:hanging="284"/>
        <w:rPr>
          <w:bCs/>
          <w:color w:val="auto"/>
        </w:rPr>
      </w:pPr>
      <w:r w:rsidRPr="002E1D37">
        <w:rPr>
          <w:bCs/>
          <w:color w:val="auto"/>
        </w:rPr>
        <w:t xml:space="preserve">Podporovány nejsou projekty, jejichž výstupy se přímo projeví v některém z odvětví uvedených v Příloze č. </w:t>
      </w:r>
      <w:r w:rsidR="00FE3194">
        <w:rPr>
          <w:bCs/>
          <w:color w:val="auto"/>
        </w:rPr>
        <w:t>3</w:t>
      </w:r>
      <w:r w:rsidRPr="002E1D37">
        <w:rPr>
          <w:bCs/>
          <w:color w:val="auto"/>
        </w:rPr>
        <w:t xml:space="preserve"> Část B této Výzvy</w:t>
      </w:r>
      <w:r w:rsidRPr="002E1D37">
        <w:rPr>
          <w:bCs/>
          <w:color w:val="auto"/>
          <w:vertAlign w:val="superscript"/>
        </w:rPr>
        <w:footnoteReference w:id="17"/>
      </w:r>
      <w:r w:rsidRPr="002E1D37">
        <w:rPr>
          <w:bCs/>
          <w:color w:val="auto"/>
        </w:rPr>
        <w:t>.</w:t>
      </w:r>
    </w:p>
    <w:p w14:paraId="67A42B84" w14:textId="77777777" w:rsidR="00F7406A" w:rsidRPr="002E1D37" w:rsidRDefault="00F7406A" w:rsidP="00F7406A">
      <w:pPr>
        <w:pStyle w:val="Odstavecseseznamem"/>
        <w:widowControl w:val="0"/>
        <w:numPr>
          <w:ilvl w:val="0"/>
          <w:numId w:val="17"/>
        </w:numPr>
        <w:spacing w:before="39" w:after="0" w:line="240" w:lineRule="auto"/>
        <w:ind w:left="1134" w:right="1020"/>
        <w:rPr>
          <w:rFonts w:cs="Calibri"/>
          <w:color w:val="auto"/>
        </w:rPr>
      </w:pPr>
      <w:r w:rsidRPr="002E1D37">
        <w:rPr>
          <w:rFonts w:cs="Calibri"/>
          <w:color w:val="auto"/>
          <w:spacing w:val="1"/>
        </w:rPr>
        <w:t>vý</w:t>
      </w:r>
      <w:r w:rsidRPr="002E1D37">
        <w:rPr>
          <w:rFonts w:cs="Calibri"/>
          <w:color w:val="auto"/>
          <w:spacing w:val="-3"/>
        </w:rPr>
        <w:t>r</w:t>
      </w:r>
      <w:r w:rsidRPr="002E1D37">
        <w:rPr>
          <w:rFonts w:cs="Calibri"/>
          <w:color w:val="auto"/>
          <w:spacing w:val="1"/>
        </w:rPr>
        <w:t>o</w:t>
      </w:r>
      <w:r w:rsidRPr="002E1D37">
        <w:rPr>
          <w:rFonts w:cs="Calibri"/>
          <w:color w:val="auto"/>
          <w:spacing w:val="-1"/>
        </w:rPr>
        <w:t>b</w:t>
      </w:r>
      <w:r w:rsidRPr="002E1D37">
        <w:rPr>
          <w:rFonts w:cs="Calibri"/>
          <w:color w:val="auto"/>
        </w:rPr>
        <w:t>a, z</w:t>
      </w:r>
      <w:r w:rsidRPr="002E1D37">
        <w:rPr>
          <w:rFonts w:cs="Calibri"/>
          <w:color w:val="auto"/>
          <w:spacing w:val="-1"/>
        </w:rPr>
        <w:t>p</w:t>
      </w:r>
      <w:r w:rsidRPr="002E1D37">
        <w:rPr>
          <w:rFonts w:cs="Calibri"/>
          <w:color w:val="auto"/>
        </w:rPr>
        <w:t>ra</w:t>
      </w:r>
      <w:r w:rsidRPr="002E1D37">
        <w:rPr>
          <w:rFonts w:cs="Calibri"/>
          <w:color w:val="auto"/>
          <w:spacing w:val="-3"/>
        </w:rPr>
        <w:t>c</w:t>
      </w:r>
      <w:r w:rsidRPr="002E1D37">
        <w:rPr>
          <w:rFonts w:cs="Calibri"/>
          <w:color w:val="auto"/>
          <w:spacing w:val="1"/>
        </w:rPr>
        <w:t>ov</w:t>
      </w:r>
      <w:r w:rsidRPr="002E1D37">
        <w:rPr>
          <w:rFonts w:cs="Calibri"/>
          <w:color w:val="auto"/>
        </w:rPr>
        <w:t>á</w:t>
      </w:r>
      <w:r w:rsidRPr="002E1D37">
        <w:rPr>
          <w:rFonts w:cs="Calibri"/>
          <w:color w:val="auto"/>
          <w:spacing w:val="-1"/>
        </w:rPr>
        <w:t>n</w:t>
      </w:r>
      <w:r w:rsidRPr="002E1D37">
        <w:rPr>
          <w:rFonts w:cs="Calibri"/>
          <w:color w:val="auto"/>
        </w:rPr>
        <w:t>í</w:t>
      </w:r>
      <w:r w:rsidRPr="002E1D37">
        <w:rPr>
          <w:rFonts w:cs="Calibri"/>
          <w:color w:val="auto"/>
          <w:spacing w:val="-3"/>
        </w:rPr>
        <w:t xml:space="preserve"> </w:t>
      </w:r>
      <w:r w:rsidRPr="002E1D37">
        <w:rPr>
          <w:rFonts w:cs="Calibri"/>
          <w:color w:val="auto"/>
        </w:rPr>
        <w:t>a</w:t>
      </w:r>
      <w:r w:rsidRPr="002E1D37">
        <w:rPr>
          <w:rFonts w:cs="Calibri"/>
          <w:color w:val="auto"/>
          <w:spacing w:val="1"/>
        </w:rPr>
        <w:t> </w:t>
      </w:r>
      <w:r w:rsidRPr="002E1D37">
        <w:rPr>
          <w:rFonts w:cs="Calibri"/>
          <w:color w:val="auto"/>
          <w:spacing w:val="-1"/>
        </w:rPr>
        <w:t>u</w:t>
      </w:r>
      <w:r w:rsidRPr="002E1D37">
        <w:rPr>
          <w:rFonts w:cs="Calibri"/>
          <w:color w:val="auto"/>
          <w:spacing w:val="1"/>
        </w:rPr>
        <w:t>v</w:t>
      </w:r>
      <w:r w:rsidRPr="002E1D37">
        <w:rPr>
          <w:rFonts w:cs="Calibri"/>
          <w:color w:val="auto"/>
        </w:rPr>
        <w:t>á</w:t>
      </w:r>
      <w:r w:rsidRPr="002E1D37">
        <w:rPr>
          <w:rFonts w:cs="Calibri"/>
          <w:color w:val="auto"/>
          <w:spacing w:val="-3"/>
        </w:rPr>
        <w:t>d</w:t>
      </w:r>
      <w:r w:rsidRPr="002E1D37">
        <w:rPr>
          <w:rFonts w:cs="Calibri"/>
          <w:color w:val="auto"/>
          <w:spacing w:val="-2"/>
        </w:rPr>
        <w:t>ě</w:t>
      </w:r>
      <w:r w:rsidRPr="002E1D37">
        <w:rPr>
          <w:rFonts w:cs="Calibri"/>
          <w:color w:val="auto"/>
          <w:spacing w:val="-1"/>
        </w:rPr>
        <w:t>n</w:t>
      </w:r>
      <w:r w:rsidRPr="002E1D37">
        <w:rPr>
          <w:rFonts w:cs="Calibri"/>
          <w:color w:val="auto"/>
        </w:rPr>
        <w:t xml:space="preserve">í na </w:t>
      </w:r>
      <w:r w:rsidRPr="002E1D37">
        <w:rPr>
          <w:rFonts w:cs="Calibri"/>
          <w:color w:val="auto"/>
          <w:spacing w:val="1"/>
        </w:rPr>
        <w:t>t</w:t>
      </w:r>
      <w:r w:rsidRPr="002E1D37">
        <w:rPr>
          <w:rFonts w:cs="Calibri"/>
          <w:color w:val="auto"/>
        </w:rPr>
        <w:t>rh</w:t>
      </w:r>
      <w:r w:rsidRPr="002E1D37">
        <w:rPr>
          <w:rFonts w:cs="Calibri"/>
          <w:color w:val="auto"/>
          <w:spacing w:val="-1"/>
        </w:rPr>
        <w:t xml:space="preserve"> v</w:t>
      </w:r>
      <w:r w:rsidRPr="002E1D37">
        <w:rPr>
          <w:rFonts w:cs="Calibri"/>
          <w:color w:val="auto"/>
          <w:spacing w:val="1"/>
        </w:rPr>
        <w:t>ý</w:t>
      </w:r>
      <w:r w:rsidRPr="002E1D37">
        <w:rPr>
          <w:rFonts w:cs="Calibri"/>
          <w:color w:val="auto"/>
          <w:spacing w:val="-3"/>
        </w:rPr>
        <w:t>r</w:t>
      </w:r>
      <w:r w:rsidRPr="002E1D37">
        <w:rPr>
          <w:rFonts w:cs="Calibri"/>
          <w:color w:val="auto"/>
          <w:spacing w:val="1"/>
        </w:rPr>
        <w:t>o</w:t>
      </w:r>
      <w:r w:rsidRPr="002E1D37">
        <w:rPr>
          <w:rFonts w:cs="Calibri"/>
          <w:color w:val="auto"/>
          <w:spacing w:val="-1"/>
        </w:rPr>
        <w:t>b</w:t>
      </w:r>
      <w:r w:rsidRPr="002E1D37">
        <w:rPr>
          <w:rFonts w:cs="Calibri"/>
          <w:color w:val="auto"/>
        </w:rPr>
        <w:t>ků u</w:t>
      </w:r>
      <w:r w:rsidRPr="002E1D37">
        <w:rPr>
          <w:rFonts w:cs="Calibri"/>
          <w:color w:val="auto"/>
          <w:spacing w:val="-2"/>
        </w:rPr>
        <w:t>v</w:t>
      </w:r>
      <w:r w:rsidRPr="002E1D37">
        <w:rPr>
          <w:rFonts w:cs="Calibri"/>
          <w:color w:val="auto"/>
        </w:rPr>
        <w:t>edený</w:t>
      </w:r>
      <w:r w:rsidRPr="002E1D37">
        <w:rPr>
          <w:rFonts w:cs="Calibri"/>
          <w:color w:val="auto"/>
          <w:spacing w:val="-2"/>
        </w:rPr>
        <w:t>c</w:t>
      </w:r>
      <w:r w:rsidRPr="002E1D37">
        <w:rPr>
          <w:rFonts w:cs="Calibri"/>
          <w:color w:val="auto"/>
        </w:rPr>
        <w:t>h v</w:t>
      </w:r>
      <w:r w:rsidRPr="002E1D37">
        <w:rPr>
          <w:rFonts w:cs="Calibri"/>
          <w:color w:val="auto"/>
          <w:spacing w:val="2"/>
        </w:rPr>
        <w:t> části B </w:t>
      </w:r>
      <w:r w:rsidRPr="002E1D37">
        <w:rPr>
          <w:rFonts w:cs="Calibri"/>
          <w:color w:val="auto"/>
        </w:rPr>
        <w:t>Př</w:t>
      </w:r>
      <w:r w:rsidRPr="002E1D37">
        <w:rPr>
          <w:rFonts w:cs="Calibri"/>
          <w:color w:val="auto"/>
          <w:spacing w:val="-1"/>
        </w:rPr>
        <w:t>í</w:t>
      </w:r>
      <w:r w:rsidRPr="002E1D37">
        <w:rPr>
          <w:rFonts w:cs="Calibri"/>
          <w:color w:val="auto"/>
        </w:rPr>
        <w:t>l</w:t>
      </w:r>
      <w:r w:rsidRPr="002E1D37">
        <w:rPr>
          <w:rFonts w:cs="Calibri"/>
          <w:color w:val="auto"/>
          <w:spacing w:val="1"/>
        </w:rPr>
        <w:t>o</w:t>
      </w:r>
      <w:r w:rsidRPr="002E1D37">
        <w:rPr>
          <w:rFonts w:cs="Calibri"/>
          <w:color w:val="auto"/>
          <w:spacing w:val="-3"/>
        </w:rPr>
        <w:t>h</w:t>
      </w:r>
      <w:r w:rsidRPr="002E1D37">
        <w:rPr>
          <w:rFonts w:cs="Calibri"/>
          <w:color w:val="auto"/>
        </w:rPr>
        <w:t>y</w:t>
      </w:r>
      <w:r w:rsidRPr="002E1D37">
        <w:rPr>
          <w:rFonts w:cs="Calibri"/>
          <w:color w:val="auto"/>
          <w:spacing w:val="2"/>
        </w:rPr>
        <w:t xml:space="preserve"> </w:t>
      </w:r>
      <w:r w:rsidRPr="002E1D37">
        <w:rPr>
          <w:rFonts w:cs="Calibri"/>
          <w:color w:val="auto"/>
          <w:spacing w:val="-2"/>
        </w:rPr>
        <w:t>t</w:t>
      </w:r>
      <w:r w:rsidRPr="002E1D37">
        <w:rPr>
          <w:rFonts w:cs="Calibri"/>
          <w:color w:val="auto"/>
        </w:rPr>
        <w:t>é</w:t>
      </w:r>
      <w:r w:rsidRPr="002E1D37">
        <w:rPr>
          <w:rFonts w:cs="Calibri"/>
          <w:color w:val="auto"/>
          <w:spacing w:val="-2"/>
        </w:rPr>
        <w:t>t</w:t>
      </w:r>
      <w:r w:rsidRPr="002E1D37">
        <w:rPr>
          <w:rFonts w:cs="Calibri"/>
          <w:color w:val="auto"/>
        </w:rPr>
        <w:t>o</w:t>
      </w:r>
      <w:r w:rsidRPr="002E1D37">
        <w:rPr>
          <w:rFonts w:cs="Calibri"/>
          <w:color w:val="auto"/>
          <w:spacing w:val="1"/>
        </w:rPr>
        <w:t xml:space="preserve"> </w:t>
      </w:r>
      <w:r w:rsidRPr="002E1D37">
        <w:rPr>
          <w:rFonts w:cs="Calibri"/>
          <w:color w:val="auto"/>
        </w:rPr>
        <w:t>V</w:t>
      </w:r>
      <w:r w:rsidRPr="002E1D37">
        <w:rPr>
          <w:rFonts w:cs="Calibri"/>
          <w:color w:val="auto"/>
          <w:spacing w:val="1"/>
        </w:rPr>
        <w:t>ý</w:t>
      </w:r>
      <w:r w:rsidRPr="002E1D37">
        <w:rPr>
          <w:rFonts w:cs="Calibri"/>
          <w:color w:val="auto"/>
          <w:spacing w:val="-3"/>
        </w:rPr>
        <w:t>z</w:t>
      </w:r>
      <w:r w:rsidRPr="002E1D37">
        <w:rPr>
          <w:rFonts w:cs="Calibri"/>
          <w:color w:val="auto"/>
          <w:spacing w:val="1"/>
        </w:rPr>
        <w:t>vy</w:t>
      </w:r>
      <w:r w:rsidRPr="002E1D37">
        <w:rPr>
          <w:rFonts w:cs="Calibri"/>
          <w:color w:val="auto"/>
        </w:rPr>
        <w:t>,</w:t>
      </w:r>
    </w:p>
    <w:p w14:paraId="20264E22" w14:textId="77777777" w:rsidR="00F7406A" w:rsidRPr="002E1D37" w:rsidRDefault="00F7406A" w:rsidP="00F7406A">
      <w:pPr>
        <w:pStyle w:val="Odstavecseseznamem"/>
        <w:widowControl w:val="0"/>
        <w:numPr>
          <w:ilvl w:val="0"/>
          <w:numId w:val="17"/>
        </w:numPr>
        <w:spacing w:before="39" w:after="0" w:line="240" w:lineRule="auto"/>
        <w:ind w:left="1134" w:right="1020"/>
        <w:rPr>
          <w:rFonts w:cs="Calibri"/>
          <w:color w:val="auto"/>
        </w:rPr>
      </w:pPr>
      <w:r w:rsidRPr="002E1D37">
        <w:rPr>
          <w:rFonts w:cs="Calibri"/>
          <w:color w:val="auto"/>
          <w:spacing w:val="-1"/>
        </w:rPr>
        <w:t>z</w:t>
      </w:r>
      <w:r w:rsidRPr="002E1D37">
        <w:rPr>
          <w:rFonts w:cs="Calibri"/>
          <w:color w:val="auto"/>
        </w:rPr>
        <w:t>e</w:t>
      </w:r>
      <w:r w:rsidRPr="002E1D37">
        <w:rPr>
          <w:rFonts w:cs="Calibri"/>
          <w:color w:val="auto"/>
          <w:spacing w:val="1"/>
        </w:rPr>
        <w:t>m</w:t>
      </w:r>
      <w:r w:rsidRPr="002E1D37">
        <w:rPr>
          <w:rFonts w:cs="Calibri"/>
          <w:color w:val="auto"/>
        </w:rPr>
        <w:t>ě</w:t>
      </w:r>
      <w:r w:rsidRPr="002E1D37">
        <w:rPr>
          <w:rFonts w:cs="Calibri"/>
          <w:color w:val="auto"/>
          <w:spacing w:val="-3"/>
        </w:rPr>
        <w:t>d</w:t>
      </w:r>
      <w:r w:rsidRPr="002E1D37">
        <w:rPr>
          <w:rFonts w:cs="Calibri"/>
          <w:color w:val="auto"/>
        </w:rPr>
        <w:t>ěls</w:t>
      </w:r>
      <w:r w:rsidRPr="002E1D37">
        <w:rPr>
          <w:rFonts w:cs="Calibri"/>
          <w:color w:val="auto"/>
          <w:spacing w:val="-2"/>
        </w:rPr>
        <w:t>t</w:t>
      </w:r>
      <w:r w:rsidRPr="002E1D37">
        <w:rPr>
          <w:rFonts w:cs="Calibri"/>
          <w:color w:val="auto"/>
          <w:spacing w:val="1"/>
        </w:rPr>
        <w:t>v</w:t>
      </w:r>
      <w:r w:rsidRPr="002E1D37">
        <w:rPr>
          <w:rFonts w:cs="Calibri"/>
          <w:color w:val="auto"/>
        </w:rPr>
        <w:t>í, lesn</w:t>
      </w:r>
      <w:r w:rsidRPr="002E1D37">
        <w:rPr>
          <w:rFonts w:cs="Calibri"/>
          <w:color w:val="auto"/>
          <w:spacing w:val="-1"/>
        </w:rPr>
        <w:t>i</w:t>
      </w:r>
      <w:r w:rsidRPr="002E1D37">
        <w:rPr>
          <w:rFonts w:cs="Calibri"/>
          <w:color w:val="auto"/>
          <w:spacing w:val="-2"/>
        </w:rPr>
        <w:t>c</w:t>
      </w:r>
      <w:r w:rsidRPr="002E1D37">
        <w:rPr>
          <w:rFonts w:cs="Calibri"/>
          <w:color w:val="auto"/>
        </w:rPr>
        <w:t>t</w:t>
      </w:r>
      <w:r w:rsidRPr="002E1D37">
        <w:rPr>
          <w:rFonts w:cs="Calibri"/>
          <w:color w:val="auto"/>
          <w:spacing w:val="1"/>
        </w:rPr>
        <w:t>v</w:t>
      </w:r>
      <w:r w:rsidRPr="002E1D37">
        <w:rPr>
          <w:rFonts w:cs="Calibri"/>
          <w:color w:val="auto"/>
        </w:rPr>
        <w:t>í,</w:t>
      </w:r>
      <w:r w:rsidRPr="002E1D37">
        <w:rPr>
          <w:rFonts w:cs="Calibri"/>
          <w:color w:val="auto"/>
          <w:spacing w:val="-3"/>
        </w:rPr>
        <w:t xml:space="preserve"> </w:t>
      </w:r>
      <w:r w:rsidRPr="002E1D37">
        <w:rPr>
          <w:rFonts w:cs="Calibri"/>
          <w:color w:val="auto"/>
        </w:rPr>
        <w:t>r</w:t>
      </w:r>
      <w:r w:rsidRPr="002E1D37">
        <w:rPr>
          <w:rFonts w:cs="Calibri"/>
          <w:color w:val="auto"/>
          <w:spacing w:val="1"/>
        </w:rPr>
        <w:t>y</w:t>
      </w:r>
      <w:r w:rsidRPr="002E1D37">
        <w:rPr>
          <w:rFonts w:cs="Calibri"/>
          <w:color w:val="auto"/>
          <w:spacing w:val="-3"/>
        </w:rPr>
        <w:t>b</w:t>
      </w:r>
      <w:r w:rsidRPr="002E1D37">
        <w:rPr>
          <w:rFonts w:cs="Calibri"/>
          <w:color w:val="auto"/>
          <w:spacing w:val="-1"/>
        </w:rPr>
        <w:t>o</w:t>
      </w:r>
      <w:r w:rsidRPr="002E1D37">
        <w:rPr>
          <w:rFonts w:cs="Calibri"/>
          <w:color w:val="auto"/>
        </w:rPr>
        <w:t>l</w:t>
      </w:r>
      <w:r w:rsidRPr="002E1D37">
        <w:rPr>
          <w:rFonts w:cs="Calibri"/>
          <w:color w:val="auto"/>
          <w:spacing w:val="1"/>
        </w:rPr>
        <w:t>ov</w:t>
      </w:r>
      <w:r w:rsidRPr="002E1D37">
        <w:rPr>
          <w:rFonts w:cs="Calibri"/>
          <w:color w:val="auto"/>
        </w:rPr>
        <w:t>,</w:t>
      </w:r>
      <w:r w:rsidRPr="002E1D37">
        <w:rPr>
          <w:rFonts w:cs="Calibri"/>
          <w:color w:val="auto"/>
          <w:spacing w:val="-2"/>
        </w:rPr>
        <w:t xml:space="preserve"> </w:t>
      </w:r>
      <w:r w:rsidRPr="002E1D37">
        <w:rPr>
          <w:rFonts w:cs="Calibri"/>
          <w:color w:val="auto"/>
        </w:rPr>
        <w:t>a</w:t>
      </w:r>
      <w:r w:rsidRPr="002E1D37">
        <w:rPr>
          <w:rFonts w:cs="Calibri"/>
          <w:color w:val="auto"/>
          <w:spacing w:val="-2"/>
        </w:rPr>
        <w:t>k</w:t>
      </w:r>
      <w:r w:rsidRPr="002E1D37">
        <w:rPr>
          <w:rFonts w:cs="Calibri"/>
          <w:color w:val="auto"/>
          <w:spacing w:val="1"/>
        </w:rPr>
        <w:t>v</w:t>
      </w:r>
      <w:r w:rsidRPr="002E1D37">
        <w:rPr>
          <w:rFonts w:cs="Calibri"/>
          <w:color w:val="auto"/>
        </w:rPr>
        <w:t>aku</w:t>
      </w:r>
      <w:r w:rsidRPr="002E1D37">
        <w:rPr>
          <w:rFonts w:cs="Calibri"/>
          <w:color w:val="auto"/>
          <w:spacing w:val="-1"/>
        </w:rPr>
        <w:t>l</w:t>
      </w:r>
      <w:r w:rsidRPr="002E1D37">
        <w:rPr>
          <w:rFonts w:cs="Calibri"/>
          <w:color w:val="auto"/>
        </w:rPr>
        <w:t>tura (CZ-</w:t>
      </w:r>
      <w:r w:rsidRPr="002E1D37">
        <w:rPr>
          <w:rFonts w:cs="Calibri"/>
          <w:color w:val="auto"/>
          <w:spacing w:val="-1"/>
        </w:rPr>
        <w:t>N</w:t>
      </w:r>
      <w:r w:rsidRPr="002E1D37">
        <w:rPr>
          <w:rFonts w:cs="Calibri"/>
          <w:color w:val="auto"/>
        </w:rPr>
        <w:t>A</w:t>
      </w:r>
      <w:r w:rsidRPr="002E1D37">
        <w:rPr>
          <w:rFonts w:cs="Calibri"/>
          <w:color w:val="auto"/>
          <w:spacing w:val="-1"/>
        </w:rPr>
        <w:t>C</w:t>
      </w:r>
      <w:r w:rsidRPr="002E1D37">
        <w:rPr>
          <w:rFonts w:cs="Calibri"/>
          <w:color w:val="auto"/>
        </w:rPr>
        <w:t>E</w:t>
      </w:r>
      <w:r w:rsidRPr="002E1D37">
        <w:rPr>
          <w:rFonts w:cs="Calibri"/>
          <w:color w:val="auto"/>
          <w:spacing w:val="-1"/>
        </w:rPr>
        <w:t xml:space="preserve"> </w:t>
      </w:r>
      <w:r w:rsidRPr="002E1D37">
        <w:rPr>
          <w:rFonts w:cs="Calibri"/>
          <w:color w:val="auto"/>
        </w:rPr>
        <w:t>A 0</w:t>
      </w:r>
      <w:r w:rsidRPr="002E1D37">
        <w:rPr>
          <w:rFonts w:cs="Calibri"/>
          <w:color w:val="auto"/>
          <w:spacing w:val="1"/>
        </w:rPr>
        <w:t>1</w:t>
      </w:r>
      <w:r w:rsidRPr="002E1D37">
        <w:rPr>
          <w:rFonts w:cs="Calibri"/>
          <w:color w:val="auto"/>
        </w:rPr>
        <w:t>,</w:t>
      </w:r>
      <w:r w:rsidRPr="002E1D37">
        <w:rPr>
          <w:rFonts w:cs="Calibri"/>
          <w:color w:val="auto"/>
          <w:spacing w:val="-2"/>
        </w:rPr>
        <w:t xml:space="preserve"> </w:t>
      </w:r>
      <w:r w:rsidRPr="002E1D37">
        <w:rPr>
          <w:rFonts w:cs="Calibri"/>
          <w:color w:val="auto"/>
        </w:rPr>
        <w:t>A </w:t>
      </w:r>
      <w:r w:rsidRPr="002E1D37">
        <w:rPr>
          <w:rFonts w:cs="Calibri"/>
          <w:color w:val="auto"/>
          <w:spacing w:val="-1"/>
        </w:rPr>
        <w:t>0</w:t>
      </w:r>
      <w:r w:rsidRPr="002E1D37">
        <w:rPr>
          <w:rFonts w:cs="Calibri"/>
          <w:color w:val="auto"/>
          <w:spacing w:val="1"/>
        </w:rPr>
        <w:t>2</w:t>
      </w:r>
      <w:r w:rsidRPr="002E1D37">
        <w:rPr>
          <w:rFonts w:cs="Calibri"/>
          <w:color w:val="auto"/>
        </w:rPr>
        <w:t xml:space="preserve">, </w:t>
      </w:r>
      <w:r w:rsidRPr="002E1D37">
        <w:rPr>
          <w:rFonts w:cs="Calibri"/>
          <w:color w:val="auto"/>
          <w:spacing w:val="-3"/>
        </w:rPr>
        <w:t>A</w:t>
      </w:r>
      <w:r w:rsidRPr="002E1D37">
        <w:rPr>
          <w:rFonts w:cs="Calibri"/>
          <w:color w:val="auto"/>
          <w:spacing w:val="1"/>
        </w:rPr>
        <w:t>0</w:t>
      </w:r>
      <w:r w:rsidRPr="002E1D37">
        <w:rPr>
          <w:rFonts w:cs="Calibri"/>
          <w:color w:val="auto"/>
          <w:spacing w:val="-2"/>
        </w:rPr>
        <w:t>3</w:t>
      </w:r>
      <w:r w:rsidRPr="002E1D37">
        <w:rPr>
          <w:rFonts w:cs="Calibri"/>
          <w:color w:val="auto"/>
        </w:rPr>
        <w:t>),</w:t>
      </w:r>
    </w:p>
    <w:p w14:paraId="78902665" w14:textId="77777777" w:rsidR="00F7406A" w:rsidRPr="002E1D37" w:rsidRDefault="00F7406A" w:rsidP="00F7406A">
      <w:pPr>
        <w:pStyle w:val="Odstavecseseznamem"/>
        <w:widowControl w:val="0"/>
        <w:numPr>
          <w:ilvl w:val="0"/>
          <w:numId w:val="17"/>
        </w:numPr>
        <w:spacing w:before="39" w:after="0" w:line="240" w:lineRule="auto"/>
        <w:ind w:left="1134" w:right="1020"/>
        <w:rPr>
          <w:rFonts w:cs="Calibri"/>
          <w:color w:val="auto"/>
        </w:rPr>
      </w:pPr>
      <w:r w:rsidRPr="002E1D37">
        <w:rPr>
          <w:rFonts w:cs="Calibri"/>
          <w:color w:val="auto"/>
        </w:rPr>
        <w:t>uhelný průmysl (CZ NACE B 05, C 19.1),</w:t>
      </w:r>
    </w:p>
    <w:p w14:paraId="4D1DEBCC" w14:textId="77777777" w:rsidR="00F7406A" w:rsidRPr="002E1D37" w:rsidRDefault="00F7406A" w:rsidP="00F7406A">
      <w:pPr>
        <w:pStyle w:val="Odstavecseseznamem"/>
        <w:widowControl w:val="0"/>
        <w:numPr>
          <w:ilvl w:val="0"/>
          <w:numId w:val="17"/>
        </w:numPr>
        <w:spacing w:before="39" w:after="0" w:line="240" w:lineRule="auto"/>
        <w:ind w:left="1134" w:right="1020"/>
        <w:rPr>
          <w:rFonts w:cs="Calibri"/>
          <w:color w:val="auto"/>
        </w:rPr>
      </w:pPr>
      <w:r w:rsidRPr="002E1D37">
        <w:rPr>
          <w:rFonts w:cs="Calibri"/>
          <w:color w:val="auto"/>
        </w:rPr>
        <w:lastRenderedPageBreak/>
        <w:t>odvětví oceli (dle vymezení v Příloze 1 této výzvy),</w:t>
      </w:r>
    </w:p>
    <w:p w14:paraId="0FEBDBBC" w14:textId="77777777" w:rsidR="00F7406A" w:rsidRPr="002E1D37" w:rsidRDefault="00F7406A" w:rsidP="00F7406A">
      <w:pPr>
        <w:pStyle w:val="Odstavecseseznamem"/>
        <w:widowControl w:val="0"/>
        <w:numPr>
          <w:ilvl w:val="0"/>
          <w:numId w:val="17"/>
        </w:numPr>
        <w:spacing w:before="39" w:after="0" w:line="240" w:lineRule="auto"/>
        <w:ind w:left="1134" w:right="1020"/>
        <w:rPr>
          <w:rFonts w:cs="Calibri"/>
          <w:color w:val="auto"/>
        </w:rPr>
      </w:pPr>
      <w:r w:rsidRPr="002E1D37">
        <w:rPr>
          <w:rFonts w:cs="Calibri"/>
          <w:color w:val="auto"/>
        </w:rPr>
        <w:t>průmysl výroby syntetických vláken (dle vymezení v Příloze 1 této výzvy),</w:t>
      </w:r>
    </w:p>
    <w:p w14:paraId="665980FA" w14:textId="77777777" w:rsidR="00F7406A" w:rsidRPr="002E1D37" w:rsidRDefault="00F7406A" w:rsidP="00F7406A">
      <w:pPr>
        <w:pStyle w:val="Odstavecseseznamem"/>
        <w:widowControl w:val="0"/>
        <w:numPr>
          <w:ilvl w:val="0"/>
          <w:numId w:val="17"/>
        </w:numPr>
        <w:spacing w:before="39" w:after="0" w:line="240" w:lineRule="auto"/>
        <w:ind w:left="1134" w:right="1020"/>
        <w:rPr>
          <w:rFonts w:cs="Calibri"/>
          <w:color w:val="auto"/>
        </w:rPr>
      </w:pPr>
      <w:r w:rsidRPr="002E1D37">
        <w:rPr>
          <w:rFonts w:cs="Calibri"/>
          <w:color w:val="auto"/>
        </w:rPr>
        <w:t>stavba lodí (CZ NACE C 30.11),</w:t>
      </w:r>
    </w:p>
    <w:p w14:paraId="12B5F42E" w14:textId="77777777" w:rsidR="00F7406A" w:rsidRPr="002E1D37" w:rsidRDefault="00F7406A" w:rsidP="00F7406A">
      <w:pPr>
        <w:pStyle w:val="Odstavecseseznamem"/>
        <w:widowControl w:val="0"/>
        <w:numPr>
          <w:ilvl w:val="0"/>
          <w:numId w:val="17"/>
        </w:numPr>
        <w:spacing w:before="39" w:after="0" w:line="240" w:lineRule="auto"/>
        <w:ind w:left="1134" w:right="1020"/>
        <w:rPr>
          <w:rFonts w:cs="Calibri"/>
          <w:color w:val="auto"/>
        </w:rPr>
      </w:pPr>
      <w:r w:rsidRPr="002E1D37">
        <w:rPr>
          <w:rFonts w:cs="Calibri"/>
          <w:color w:val="auto"/>
        </w:rPr>
        <w:t>doprava a související infrastruktura (CZ NACE H 49, H 50, H 51)</w:t>
      </w:r>
    </w:p>
    <w:p w14:paraId="696537C4" w14:textId="77777777" w:rsidR="00F7406A" w:rsidRPr="002E1D37" w:rsidRDefault="00F7406A" w:rsidP="00FA3BA4">
      <w:pPr>
        <w:pStyle w:val="Odstavecseseznamem"/>
        <w:widowControl w:val="0"/>
        <w:numPr>
          <w:ilvl w:val="0"/>
          <w:numId w:val="17"/>
        </w:numPr>
        <w:spacing w:before="39" w:after="240" w:line="240" w:lineRule="auto"/>
        <w:ind w:left="1134" w:right="1021" w:hanging="357"/>
        <w:rPr>
          <w:rFonts w:cs="Calibri"/>
          <w:color w:val="auto"/>
          <w:lang w:val="fr-FR"/>
        </w:rPr>
      </w:pPr>
      <w:r w:rsidRPr="002E1D37">
        <w:rPr>
          <w:rFonts w:cs="Calibri"/>
          <w:color w:val="auto"/>
          <w:lang w:val="fr-FR"/>
        </w:rPr>
        <w:t xml:space="preserve">výroba a distribuce energie a energetická infrastruktura (CZ NACE D 35). </w:t>
      </w:r>
    </w:p>
    <w:p w14:paraId="4155D703" w14:textId="77777777" w:rsidR="00F7406A" w:rsidRPr="002E1D37" w:rsidRDefault="00F7406A" w:rsidP="00F7406A">
      <w:pPr>
        <w:rPr>
          <w:b/>
          <w:color w:val="auto"/>
        </w:rPr>
      </w:pPr>
      <w:r w:rsidRPr="002E1D37">
        <w:rPr>
          <w:b/>
          <w:color w:val="auto"/>
        </w:rPr>
        <w:t>9.2</w:t>
      </w:r>
      <w:r w:rsidRPr="002E1D37">
        <w:rPr>
          <w:b/>
          <w:color w:val="auto"/>
        </w:rPr>
        <w:tab/>
        <w:t>Ostatní podmínky Výzvy</w:t>
      </w:r>
    </w:p>
    <w:p w14:paraId="15266CBA" w14:textId="445FECB4" w:rsidR="00AF3EC6" w:rsidRPr="00AF3EC6" w:rsidRDefault="00AF3EC6" w:rsidP="00EF56A4">
      <w:pPr>
        <w:pStyle w:val="Odstavecseseznamem"/>
        <w:numPr>
          <w:ilvl w:val="0"/>
          <w:numId w:val="51"/>
        </w:numPr>
        <w:autoSpaceDE w:val="0"/>
        <w:autoSpaceDN w:val="0"/>
        <w:adjustRightInd w:val="0"/>
        <w:spacing w:after="0" w:line="276" w:lineRule="auto"/>
        <w:contextualSpacing w:val="0"/>
        <w:jc w:val="left"/>
        <w:rPr>
          <w:rFonts w:eastAsia="SimSun"/>
          <w:color w:val="auto"/>
        </w:rPr>
      </w:pPr>
      <w:r w:rsidRPr="00EF56A4">
        <w:rPr>
          <w:rFonts w:ascii="Calibri" w:eastAsia="Times New Roman" w:hAnsi="Calibri" w:cs="Calibri"/>
          <w:color w:val="auto"/>
          <w:lang w:eastAsia="cs-CZ"/>
        </w:rPr>
        <w:t>Počet projektů od jednoho žadatele (1 IČ) v rámci Výzvy</w:t>
      </w:r>
      <w:r w:rsidRPr="00AF3EC6">
        <w:rPr>
          <w:rFonts w:ascii="Calibri" w:eastAsia="Times New Roman" w:hAnsi="Calibri" w:cs="Calibri"/>
          <w:color w:val="auto"/>
          <w:lang w:eastAsia="cs-CZ"/>
        </w:rPr>
        <w:t xml:space="preserve"> je omezen na</w:t>
      </w:r>
      <w:r w:rsidR="006A3D20">
        <w:rPr>
          <w:rFonts w:ascii="Calibri,Bold" w:eastAsia="Times New Roman" w:hAnsi="Calibri,Bold" w:cs="Calibri,Bold"/>
          <w:b/>
          <w:bCs/>
          <w:color w:val="auto"/>
          <w:lang w:eastAsia="cs-CZ"/>
        </w:rPr>
        <w:t xml:space="preserve"> dvě</w:t>
      </w:r>
      <w:r w:rsidRPr="00AF3EC6">
        <w:rPr>
          <w:rFonts w:ascii="Calibri,Bold" w:eastAsia="Times New Roman" w:hAnsi="Calibri,Bold" w:cs="Calibri,Bold"/>
          <w:b/>
          <w:bCs/>
          <w:color w:val="auto"/>
          <w:lang w:eastAsia="cs-CZ"/>
        </w:rPr>
        <w:t xml:space="preserve"> aktivní žádos</w:t>
      </w:r>
      <w:r w:rsidRPr="00FA3BA4">
        <w:rPr>
          <w:rFonts w:ascii="Calibri" w:eastAsia="Times New Roman" w:hAnsi="Calibri" w:cs="Calibri"/>
          <w:b/>
          <w:color w:val="auto"/>
          <w:lang w:eastAsia="cs-CZ"/>
        </w:rPr>
        <w:t>t</w:t>
      </w:r>
      <w:r w:rsidR="006A3D20">
        <w:rPr>
          <w:rFonts w:ascii="Calibri" w:eastAsia="Times New Roman" w:hAnsi="Calibri" w:cs="Calibri"/>
          <w:b/>
          <w:color w:val="auto"/>
          <w:lang w:eastAsia="cs-CZ"/>
        </w:rPr>
        <w:t>i</w:t>
      </w:r>
      <w:r w:rsidRPr="00AF3EC6">
        <w:rPr>
          <w:rFonts w:ascii="Calibri" w:eastAsia="Times New Roman" w:hAnsi="Calibri" w:cs="Calibri"/>
          <w:color w:val="auto"/>
          <w:lang w:eastAsia="cs-CZ"/>
        </w:rPr>
        <w:t xml:space="preserve"> (aktivní žádost je taková žádost, která je podaná ke kontrole a zároveň</w:t>
      </w:r>
      <w:r>
        <w:rPr>
          <w:rFonts w:ascii="Calibri" w:eastAsia="Times New Roman" w:hAnsi="Calibri" w:cs="Calibri"/>
          <w:color w:val="auto"/>
          <w:lang w:eastAsia="cs-CZ"/>
        </w:rPr>
        <w:t xml:space="preserve"> </w:t>
      </w:r>
      <w:r w:rsidRPr="00AF3EC6">
        <w:rPr>
          <w:rFonts w:ascii="Calibri" w:eastAsia="Times New Roman" w:hAnsi="Calibri" w:cs="Calibri"/>
          <w:color w:val="auto"/>
          <w:lang w:eastAsia="cs-CZ"/>
        </w:rPr>
        <w:t>není zamítnutá nebo odstoupená).</w:t>
      </w:r>
      <w:r w:rsidRPr="00AF3EC6">
        <w:rPr>
          <w:rFonts w:eastAsia="SimSun"/>
          <w:color w:val="auto"/>
          <w:lang w:eastAsia="cs-CZ"/>
        </w:rPr>
        <w:t xml:space="preserve"> </w:t>
      </w:r>
      <w:r w:rsidRPr="000C1414">
        <w:rPr>
          <w:rFonts w:eastAsia="SimSun"/>
          <w:color w:val="auto"/>
          <w:lang w:eastAsia="cs-CZ"/>
        </w:rPr>
        <w:t>Výjimka z tohoto ustanovení je popsána v čl. 10 Výzvy</w:t>
      </w:r>
      <w:r>
        <w:rPr>
          <w:rFonts w:eastAsia="SimSun"/>
          <w:color w:val="auto"/>
          <w:lang w:eastAsia="cs-CZ"/>
        </w:rPr>
        <w:t>.</w:t>
      </w:r>
    </w:p>
    <w:p w14:paraId="7E25DEDA" w14:textId="63DE149B" w:rsidR="00DD4F38" w:rsidRPr="002E1D37" w:rsidRDefault="00543777" w:rsidP="00AF3EC6">
      <w:pPr>
        <w:pStyle w:val="Odstavecseseznamem"/>
        <w:numPr>
          <w:ilvl w:val="0"/>
          <w:numId w:val="51"/>
        </w:numPr>
        <w:spacing w:after="0" w:line="276" w:lineRule="auto"/>
        <w:contextualSpacing w:val="0"/>
        <w:rPr>
          <w:rFonts w:eastAsia="SimSun"/>
          <w:color w:val="auto"/>
        </w:rPr>
      </w:pPr>
      <w:r>
        <w:rPr>
          <w:bCs/>
          <w:color w:val="auto"/>
        </w:rPr>
        <w:t>Podpora</w:t>
      </w:r>
      <w:r w:rsidRPr="002E1D37">
        <w:rPr>
          <w:bCs/>
          <w:color w:val="auto"/>
        </w:rPr>
        <w:t xml:space="preserve"> </w:t>
      </w:r>
      <w:r w:rsidR="00F7406A" w:rsidRPr="002E1D37">
        <w:rPr>
          <w:bCs/>
          <w:color w:val="auto"/>
        </w:rPr>
        <w:t>bude příjemci poskytnuta na základě Rozhodnutí o poskytnutí dotace vydaného správcem programu (dále jen „Rozhodnutí“) obsahujícím i podmínky poskytnutí dotace a ostatní povinnosti příjemce dotace.</w:t>
      </w:r>
    </w:p>
    <w:p w14:paraId="0DE355BF" w14:textId="77777777" w:rsidR="008878F5" w:rsidRPr="002E1D37" w:rsidRDefault="00F7406A" w:rsidP="00AF3EC6">
      <w:pPr>
        <w:pStyle w:val="Odstavecseseznamem"/>
        <w:numPr>
          <w:ilvl w:val="0"/>
          <w:numId w:val="51"/>
        </w:numPr>
        <w:spacing w:after="0" w:line="276" w:lineRule="auto"/>
        <w:contextualSpacing w:val="0"/>
        <w:rPr>
          <w:rFonts w:eastAsia="SimSun"/>
          <w:color w:val="auto"/>
        </w:rPr>
      </w:pPr>
      <w:r w:rsidRPr="002E1D37">
        <w:rPr>
          <w:bCs/>
          <w:color w:val="auto"/>
        </w:rPr>
        <w:t>Příjemce se dále řídí Pravidly způsobilosti a publicity.</w:t>
      </w:r>
    </w:p>
    <w:p w14:paraId="655D404C" w14:textId="0E8FD3D3" w:rsidR="00F7406A" w:rsidRPr="002E1D37" w:rsidRDefault="00F7406A" w:rsidP="00AF3EC6">
      <w:pPr>
        <w:pStyle w:val="Odstavecseseznamem"/>
        <w:numPr>
          <w:ilvl w:val="0"/>
          <w:numId w:val="51"/>
        </w:numPr>
        <w:spacing w:after="0" w:line="276" w:lineRule="auto"/>
        <w:contextualSpacing w:val="0"/>
        <w:rPr>
          <w:bCs/>
          <w:color w:val="auto"/>
        </w:rPr>
      </w:pPr>
      <w:r w:rsidRPr="002E1D37">
        <w:rPr>
          <w:bCs/>
          <w:color w:val="auto"/>
        </w:rPr>
        <w:t>Příjemce je povinen o způsobilých výdajích projektu a použití dotace určené k financování způsobilých výdajů vést oddělenou evidenci a dokumentaci stanovenou v</w:t>
      </w:r>
      <w:r w:rsidR="00A8625C">
        <w:rPr>
          <w:bCs/>
          <w:color w:val="auto"/>
        </w:rPr>
        <w:t xml:space="preserve"> rozhodnutí </w:t>
      </w:r>
      <w:r w:rsidRPr="002E1D37">
        <w:rPr>
          <w:bCs/>
          <w:color w:val="auto"/>
        </w:rPr>
        <w:t>a podklady uchovat po dobu 10 let ode dne ukončení projektu, a zároveň minimálně do doby uplynutí 3 let od uzávěrky OP Podnikání a inovace pro konkurenceschopnost v souladu s čl. 140 Nařízení Evropského parlamentu a Rady (EU) č. 1303/2013 ze dne 17. prosince 2013.</w:t>
      </w:r>
    </w:p>
    <w:p w14:paraId="4578A17D" w14:textId="7C52D4AA" w:rsidR="00F7406A" w:rsidRPr="002E1D37" w:rsidRDefault="00F7406A" w:rsidP="00AF3EC6">
      <w:pPr>
        <w:pStyle w:val="Odstavecseseznamem"/>
        <w:numPr>
          <w:ilvl w:val="0"/>
          <w:numId w:val="51"/>
        </w:numPr>
        <w:spacing w:after="0"/>
        <w:rPr>
          <w:bCs/>
          <w:color w:val="auto"/>
        </w:rPr>
      </w:pPr>
      <w:r w:rsidRPr="002E1D37">
        <w:rPr>
          <w:bCs/>
          <w:color w:val="auto"/>
        </w:rPr>
        <w:t>Podpora bude poskytnuta v souladu s „Pravidly spolufinancov</w:t>
      </w:r>
      <w:r w:rsidR="00FA3BA4">
        <w:rPr>
          <w:bCs/>
          <w:color w:val="auto"/>
        </w:rPr>
        <w:t>ání Evropských strukturálních a </w:t>
      </w:r>
      <w:r w:rsidRPr="002E1D37">
        <w:rPr>
          <w:bCs/>
          <w:color w:val="auto"/>
        </w:rPr>
        <w:t>investičních fondů (ESIF) v programovém období 2014</w:t>
      </w:r>
      <w:r w:rsidR="00DD4F38" w:rsidRPr="002E1D37">
        <w:rPr>
          <w:bCs/>
          <w:color w:val="auto"/>
        </w:rPr>
        <w:t>–</w:t>
      </w:r>
      <w:r w:rsidRPr="002E1D37">
        <w:rPr>
          <w:bCs/>
          <w:color w:val="auto"/>
        </w:rPr>
        <w:t>2020 “ a bude proplácena zpětně po ukončení projektu nebo jeho etapy za předpokladu splnění Podmínek na základě dokladů předložených příjemcem v žádosti o platbu. Předpokladem je počáteční plné předfinancování výdajů projektu (nebo ucelené etapy</w:t>
      </w:r>
      <w:r w:rsidR="00DD4F38" w:rsidRPr="002E1D37">
        <w:rPr>
          <w:bCs/>
          <w:color w:val="auto"/>
        </w:rPr>
        <w:t xml:space="preserve"> </w:t>
      </w:r>
      <w:r w:rsidRPr="002E1D37">
        <w:rPr>
          <w:bCs/>
          <w:color w:val="auto"/>
        </w:rPr>
        <w:t>=</w:t>
      </w:r>
      <w:r w:rsidR="00DD4F38" w:rsidRPr="002E1D37">
        <w:rPr>
          <w:bCs/>
          <w:color w:val="auto"/>
        </w:rPr>
        <w:t xml:space="preserve"> </w:t>
      </w:r>
      <w:r w:rsidRPr="002E1D37">
        <w:rPr>
          <w:bCs/>
          <w:color w:val="auto"/>
        </w:rPr>
        <w:t>fáze projektu) z vlastních zdrojů příjemce.</w:t>
      </w:r>
    </w:p>
    <w:p w14:paraId="3FD8183E" w14:textId="77777777" w:rsidR="00F7406A" w:rsidRPr="002E1D37" w:rsidRDefault="00DD4F38" w:rsidP="00AF3EC6">
      <w:pPr>
        <w:pStyle w:val="Odstavecseseznamem"/>
        <w:numPr>
          <w:ilvl w:val="0"/>
          <w:numId w:val="51"/>
        </w:numPr>
        <w:spacing w:after="0"/>
        <w:rPr>
          <w:bCs/>
          <w:color w:val="auto"/>
        </w:rPr>
      </w:pPr>
      <w:r w:rsidRPr="002E1D37">
        <w:rPr>
          <w:bCs/>
          <w:color w:val="auto"/>
        </w:rPr>
        <w:t>Řídi</w:t>
      </w:r>
      <w:r w:rsidR="00F7406A" w:rsidRPr="002E1D37">
        <w:rPr>
          <w:bCs/>
          <w:color w:val="auto"/>
        </w:rPr>
        <w:t>cí orgán s</w:t>
      </w:r>
      <w:r w:rsidR="00F7406A" w:rsidRPr="00A7040B">
        <w:rPr>
          <w:bCs/>
          <w:color w:val="auto"/>
        </w:rPr>
        <w:t xml:space="preserve">leduje pro účely monitoringu indikátory, mj. na úrovni jednotlivých projektů, ke kterým je příjemce </w:t>
      </w:r>
      <w:r w:rsidR="00F7406A" w:rsidRPr="002E1D37">
        <w:rPr>
          <w:bCs/>
          <w:color w:val="auto"/>
        </w:rPr>
        <w:t>povinen předávat data ukazatelů specifikovaných ve výzvě a v podmínkách programu (viz kapitola 3.3</w:t>
      </w:r>
      <w:r w:rsidR="00F7406A" w:rsidRPr="00A7040B">
        <w:rPr>
          <w:bCs/>
          <w:color w:val="auto"/>
        </w:rPr>
        <w:t>).</w:t>
      </w:r>
    </w:p>
    <w:p w14:paraId="6026E893" w14:textId="77777777" w:rsidR="00F7406A" w:rsidRPr="002E1D37" w:rsidRDefault="00F7406A" w:rsidP="00AF3EC6">
      <w:pPr>
        <w:pStyle w:val="Odstavecseseznamem"/>
        <w:numPr>
          <w:ilvl w:val="0"/>
          <w:numId w:val="51"/>
        </w:numPr>
        <w:spacing w:after="0"/>
        <w:rPr>
          <w:bCs/>
          <w:color w:val="auto"/>
        </w:rPr>
      </w:pPr>
      <w:r w:rsidRPr="002E1D37">
        <w:rPr>
          <w:bCs/>
          <w:color w:val="auto"/>
        </w:rPr>
        <w:t xml:space="preserve">Příjemce je povinen zachovat investice dle čl. 5.2 této výzvy po </w:t>
      </w:r>
      <w:r w:rsidRPr="002E1D37">
        <w:rPr>
          <w:rFonts w:cs="Arial"/>
          <w:bCs/>
          <w:color w:val="auto"/>
        </w:rPr>
        <w:t xml:space="preserve">dobu </w:t>
      </w:r>
      <w:r w:rsidR="00BF182B">
        <w:rPr>
          <w:rFonts w:cs="Arial"/>
          <w:color w:val="auto"/>
        </w:rPr>
        <w:t>pěti</w:t>
      </w:r>
      <w:r w:rsidR="00AF3EC6">
        <w:rPr>
          <w:rFonts w:cs="Arial"/>
          <w:color w:val="auto"/>
        </w:rPr>
        <w:t xml:space="preserve"> </w:t>
      </w:r>
      <w:r w:rsidRPr="002E1D37">
        <w:rPr>
          <w:rFonts w:cs="Arial"/>
          <w:color w:val="auto"/>
        </w:rPr>
        <w:t>(</w:t>
      </w:r>
      <w:r w:rsidR="00BF182B">
        <w:rPr>
          <w:rFonts w:cs="Arial"/>
          <w:color w:val="auto"/>
        </w:rPr>
        <w:t>5</w:t>
      </w:r>
      <w:r w:rsidRPr="002E1D37">
        <w:rPr>
          <w:rFonts w:cs="Arial"/>
          <w:color w:val="auto"/>
        </w:rPr>
        <w:t xml:space="preserve">) let </w:t>
      </w:r>
      <w:r w:rsidRPr="002E1D37">
        <w:rPr>
          <w:bCs/>
          <w:color w:val="auto"/>
        </w:rPr>
        <w:t>od přechodu projektu do centrálního stavu MS2014+: Projekt finančně ukončen ze strany ŘO, tj. nesmí být tato investice prodána nebo zcizena po výše uvedenou dobu.</w:t>
      </w:r>
    </w:p>
    <w:p w14:paraId="29564278" w14:textId="77777777" w:rsidR="00F7406A" w:rsidRPr="002E1D37" w:rsidRDefault="00F7406A" w:rsidP="00AF3EC6">
      <w:pPr>
        <w:pStyle w:val="Odstavecseseznamem"/>
        <w:numPr>
          <w:ilvl w:val="0"/>
          <w:numId w:val="51"/>
        </w:numPr>
        <w:spacing w:after="0"/>
        <w:rPr>
          <w:bCs/>
          <w:color w:val="auto"/>
        </w:rPr>
      </w:pPr>
      <w:r w:rsidRPr="002E1D37">
        <w:rPr>
          <w:bCs/>
          <w:color w:val="auto"/>
        </w:rPr>
        <w:t xml:space="preserve">Příjemce je povinen zajistit financování výdajů na realizaci projektu včetně DPH. </w:t>
      </w:r>
    </w:p>
    <w:p w14:paraId="5647DCF6" w14:textId="77777777" w:rsidR="00A8625C" w:rsidRPr="00253D6F" w:rsidRDefault="00A8625C" w:rsidP="00A8625C">
      <w:pPr>
        <w:pStyle w:val="Odstavecseseznamem"/>
        <w:numPr>
          <w:ilvl w:val="0"/>
          <w:numId w:val="51"/>
        </w:numPr>
        <w:spacing w:after="120" w:line="276" w:lineRule="auto"/>
        <w:rPr>
          <w:rFonts w:eastAsia="SimSun"/>
        </w:rPr>
      </w:pPr>
      <w:r w:rsidRPr="00884DB5">
        <w:rPr>
          <w:bCs/>
        </w:rPr>
        <w:t xml:space="preserve">Příjemce je povinen vykonávat podpořenou aktivitu v místě realizace projektu dle podmínek v Rozhodnutí o poskytnutí dotace a v tomto místě rovněž po </w:t>
      </w:r>
      <w:r w:rsidRPr="00884DB5">
        <w:rPr>
          <w:rFonts w:cs="Arial"/>
          <w:bCs/>
        </w:rPr>
        <w:t>dobu nejméně pěti (5) let</w:t>
      </w:r>
      <w:r w:rsidRPr="00884DB5">
        <w:rPr>
          <w:rFonts w:cs="Arial"/>
        </w:rPr>
        <w:t xml:space="preserve"> v případě malých a středních podniků)</w:t>
      </w:r>
      <w:r w:rsidRPr="00884DB5">
        <w:rPr>
          <w:bCs/>
        </w:rPr>
        <w:t xml:space="preserve"> od přechodu projektu do centrálního stavu MS2014+: Projekt finančně ukončen ze strany ŘO zachovat výstupy projektu. Po uvedenou dobu žadatel musí mít ve vlastnictví dlouhodobý hmotný a nehmotný majetek, který byl zcela nebo částečně pořízen z poskytnuté podpory</w:t>
      </w:r>
      <w:r w:rsidRPr="00851208">
        <w:rPr>
          <w:vertAlign w:val="superscript"/>
        </w:rPr>
        <w:footnoteReference w:id="18"/>
      </w:r>
      <w:r w:rsidRPr="00884DB5">
        <w:rPr>
          <w:bCs/>
        </w:rPr>
        <w:t xml:space="preserve"> a používat jej k podporovaným ekonomickým činnostem. Tato podmínka je rovněž zachována, pokud dojde k obměně (obnově), minimálně ve stejném rozsahu, majetku, jehož pořizovací cena byla zahrnuta příjemcem do způsobilých výdajů a na tyto způsobilé výdaje proplacena dotace. Příjemce je povinen o této skutečnosti (obměně/obnově majetku) informovat Poskytovatele dotace prostřednictvím MS2014+.</w:t>
      </w:r>
    </w:p>
    <w:p w14:paraId="0777E08C" w14:textId="77777777" w:rsidR="00F7406A" w:rsidRPr="002E1D37" w:rsidRDefault="00F7406A" w:rsidP="00AF3EC6">
      <w:pPr>
        <w:pStyle w:val="Odstavecseseznamem"/>
        <w:numPr>
          <w:ilvl w:val="0"/>
          <w:numId w:val="51"/>
        </w:numPr>
        <w:spacing w:after="0"/>
        <w:rPr>
          <w:bCs/>
          <w:color w:val="auto"/>
        </w:rPr>
      </w:pPr>
      <w:r w:rsidRPr="002E1D37">
        <w:rPr>
          <w:bCs/>
          <w:color w:val="auto"/>
        </w:rPr>
        <w:lastRenderedPageBreak/>
        <w:t>Rozhodnutí o poskytnutí dotace nebude vydáno v případě, že žadatel je podnikem v obtížích dle Nařízení Komise (EU) č. 651/2014</w:t>
      </w:r>
      <w:r w:rsidRPr="002E1D37">
        <w:rPr>
          <w:bCs/>
          <w:color w:val="auto"/>
          <w:vertAlign w:val="superscript"/>
        </w:rPr>
        <w:footnoteReference w:id="19"/>
      </w:r>
      <w:r w:rsidRPr="002E1D37">
        <w:rPr>
          <w:bCs/>
          <w:color w:val="auto"/>
        </w:rPr>
        <w:t>.</w:t>
      </w:r>
    </w:p>
    <w:p w14:paraId="1CEE1E72" w14:textId="77777777" w:rsidR="00F7406A" w:rsidRPr="002E1D37" w:rsidRDefault="00F7406A" w:rsidP="00AF3EC6">
      <w:pPr>
        <w:pStyle w:val="Odstavecseseznamem"/>
        <w:numPr>
          <w:ilvl w:val="0"/>
          <w:numId w:val="51"/>
        </w:numPr>
        <w:spacing w:after="0"/>
        <w:rPr>
          <w:bCs/>
          <w:color w:val="auto"/>
        </w:rPr>
      </w:pPr>
      <w:r w:rsidRPr="002E1D37">
        <w:rPr>
          <w:bCs/>
          <w:color w:val="auto"/>
        </w:rPr>
        <w:t>Další povinnosti příjemce jsou stanoveny v Rozhodnutí o poskytnutí dotace obsahujícím i podmínky poskytnutí dotace a ostatní povinnosti příjemce.</w:t>
      </w:r>
    </w:p>
    <w:p w14:paraId="7612CF1B" w14:textId="77777777" w:rsidR="00F7406A" w:rsidRPr="002E1D37" w:rsidRDefault="00F7406A" w:rsidP="00FA3BA4">
      <w:pPr>
        <w:pStyle w:val="Odstavecseseznamem"/>
        <w:numPr>
          <w:ilvl w:val="0"/>
          <w:numId w:val="51"/>
        </w:numPr>
        <w:spacing w:after="240"/>
        <w:ind w:left="714" w:hanging="357"/>
        <w:rPr>
          <w:bCs/>
          <w:color w:val="auto"/>
        </w:rPr>
      </w:pPr>
      <w:r w:rsidRPr="002E1D37">
        <w:rPr>
          <w:color w:val="auto"/>
        </w:rPr>
        <w:t>Rozhodnutí o poskytnutí dotace nebude vydáno v případě, kdy je na majetek žadatele vydáno usnesení o nařízení výkonu rozhodnutí nebo usnesení o nařízení exekuce, pokud již tato řízení nebyla pravomocně skončena.</w:t>
      </w:r>
    </w:p>
    <w:p w14:paraId="00000EE1" w14:textId="77777777" w:rsidR="00F7406A" w:rsidRPr="002E1D37" w:rsidRDefault="00F7406A" w:rsidP="00F7406A">
      <w:pPr>
        <w:jc w:val="left"/>
        <w:rPr>
          <w:b/>
          <w:bCs/>
          <w:color w:val="auto"/>
        </w:rPr>
      </w:pPr>
      <w:r w:rsidRPr="002E1D37">
        <w:rPr>
          <w:b/>
          <w:bCs/>
          <w:color w:val="auto"/>
        </w:rPr>
        <w:t>9.3 Náležitosti žádosti o podporu</w:t>
      </w:r>
    </w:p>
    <w:p w14:paraId="1D477D3F" w14:textId="77777777" w:rsidR="00F7406A" w:rsidRPr="00A7040B" w:rsidRDefault="00F7406A" w:rsidP="00F7406A">
      <w:pPr>
        <w:spacing w:after="0"/>
        <w:rPr>
          <w:b/>
          <w:color w:val="auto"/>
          <w:u w:val="single"/>
        </w:rPr>
      </w:pPr>
      <w:r w:rsidRPr="00A7040B">
        <w:rPr>
          <w:b/>
          <w:color w:val="auto"/>
          <w:u w:val="single"/>
        </w:rPr>
        <w:t xml:space="preserve">Žadatel musí v okamžiku podání žádosti o podporu předložit následující dokumenty: </w:t>
      </w:r>
    </w:p>
    <w:p w14:paraId="5A9C9382" w14:textId="54235F2D" w:rsidR="00575C4F" w:rsidRDefault="00DC46CD" w:rsidP="00575C4F">
      <w:pPr>
        <w:numPr>
          <w:ilvl w:val="0"/>
          <w:numId w:val="44"/>
        </w:numPr>
        <w:spacing w:after="0" w:line="276" w:lineRule="auto"/>
        <w:ind w:left="340"/>
        <w:rPr>
          <w:color w:val="auto"/>
        </w:rPr>
      </w:pPr>
      <w:r w:rsidRPr="002E1D37">
        <w:rPr>
          <w:color w:val="auto"/>
        </w:rPr>
        <w:t>Podnikatelský záměr (Osnova viz příloha č. 1 Pravidel pro žadatele a příjemce dotace - Zvláštní část)</w:t>
      </w:r>
    </w:p>
    <w:p w14:paraId="43D3BDA4" w14:textId="1AFB953C" w:rsidR="00575C4F" w:rsidRPr="00322AD2" w:rsidRDefault="00575C4F" w:rsidP="00575C4F">
      <w:pPr>
        <w:numPr>
          <w:ilvl w:val="0"/>
          <w:numId w:val="44"/>
        </w:numPr>
        <w:spacing w:after="0" w:line="276" w:lineRule="auto"/>
        <w:ind w:left="340"/>
        <w:rPr>
          <w:color w:val="auto"/>
        </w:rPr>
      </w:pPr>
      <w:r w:rsidRPr="00F73647">
        <w:rPr>
          <w:bCs/>
        </w:rPr>
        <w:t xml:space="preserve">Rozvahu a Výkaz zisku a ztráty za poslední </w:t>
      </w:r>
      <w:r w:rsidR="00A4417A">
        <w:rPr>
          <w:bCs/>
        </w:rPr>
        <w:t xml:space="preserve">dvě </w:t>
      </w:r>
      <w:r w:rsidRPr="00F73647">
        <w:rPr>
          <w:bCs/>
        </w:rPr>
        <w:t>uzavřená účetní období včetně přílohy k účetní závěrce nebo obdobný dokument platný v zemi svého sídla, popř. v zemi sídla své pobočky, pokud ze zákona tyto dokumenty vytváří</w:t>
      </w:r>
      <w:r w:rsidR="004B0FBC">
        <w:rPr>
          <w:bCs/>
        </w:rPr>
        <w:t xml:space="preserve"> </w:t>
      </w:r>
      <w:r w:rsidR="004B0FBC" w:rsidRPr="009A7F52">
        <w:rPr>
          <w:bCs/>
        </w:rPr>
        <w:t xml:space="preserve">a zároveň pokud nebyly před podáním žádosti o podporu zveřejněny dle </w:t>
      </w:r>
      <w:r w:rsidR="00C85E45">
        <w:rPr>
          <w:bCs/>
        </w:rPr>
        <w:t>bodu 4.2 písm. i</w:t>
      </w:r>
      <w:r w:rsidR="004B0FBC" w:rsidRPr="00322AD2">
        <w:rPr>
          <w:bCs/>
        </w:rPr>
        <w:t>) této Výzvy.</w:t>
      </w:r>
    </w:p>
    <w:p w14:paraId="2D1F0722" w14:textId="77777777" w:rsidR="00F7406A" w:rsidRPr="002E1D37" w:rsidRDefault="00F7406A" w:rsidP="00DC46CD">
      <w:pPr>
        <w:pStyle w:val="Odstavecseseznamem"/>
        <w:numPr>
          <w:ilvl w:val="0"/>
          <w:numId w:val="44"/>
        </w:numPr>
        <w:ind w:left="340"/>
        <w:rPr>
          <w:bCs/>
          <w:color w:val="auto"/>
        </w:rPr>
      </w:pPr>
      <w:r w:rsidRPr="002E1D37">
        <w:rPr>
          <w:bCs/>
          <w:color w:val="auto"/>
        </w:rPr>
        <w:t>Vyplněný formulář finanční analýzy.</w:t>
      </w:r>
    </w:p>
    <w:p w14:paraId="0C2CB471" w14:textId="77777777" w:rsidR="003C258C" w:rsidRDefault="00F7406A" w:rsidP="00777926">
      <w:pPr>
        <w:pStyle w:val="Odstavecseseznamem"/>
        <w:numPr>
          <w:ilvl w:val="0"/>
          <w:numId w:val="44"/>
        </w:numPr>
        <w:ind w:left="340"/>
        <w:rPr>
          <w:bCs/>
          <w:color w:val="auto"/>
        </w:rPr>
      </w:pPr>
      <w:r w:rsidRPr="002E1D37">
        <w:rPr>
          <w:bCs/>
          <w:color w:val="auto"/>
        </w:rPr>
        <w:t>Prohlášení k žádosti o podporu bez de minimis.</w:t>
      </w:r>
    </w:p>
    <w:p w14:paraId="54B965EE" w14:textId="29ED823E" w:rsidR="003C258C" w:rsidRDefault="00DE0076" w:rsidP="00777926">
      <w:pPr>
        <w:pStyle w:val="Odstavecseseznamem"/>
        <w:numPr>
          <w:ilvl w:val="0"/>
          <w:numId w:val="44"/>
        </w:numPr>
        <w:ind w:left="340"/>
        <w:rPr>
          <w:bCs/>
          <w:color w:val="auto"/>
        </w:rPr>
      </w:pPr>
      <w:r>
        <w:rPr>
          <w:bCs/>
          <w:color w:val="auto"/>
        </w:rPr>
        <w:t>P</w:t>
      </w:r>
      <w:r w:rsidR="003C258C" w:rsidRPr="00777926">
        <w:rPr>
          <w:bCs/>
          <w:color w:val="auto"/>
        </w:rPr>
        <w:t>lán digitální transformace části nebo celé společnosti žadatele</w:t>
      </w:r>
      <w:r w:rsidR="00A33ADC" w:rsidRPr="00A33ADC">
        <w:rPr>
          <w:bCs/>
          <w:color w:val="auto"/>
        </w:rPr>
        <w:t xml:space="preserve"> (včetně vyplnění pracovního formuláře Komplexní/dílčí plán digitální transformace).</w:t>
      </w:r>
      <w:r w:rsidR="003C258C" w:rsidRPr="00777926">
        <w:rPr>
          <w:bCs/>
          <w:color w:val="auto"/>
        </w:rPr>
        <w:t xml:space="preserve"> </w:t>
      </w:r>
    </w:p>
    <w:p w14:paraId="23CC9E36" w14:textId="032359C3" w:rsidR="003B3C50" w:rsidRDefault="008937A4" w:rsidP="00777926">
      <w:pPr>
        <w:pStyle w:val="Odstavecseseznamem"/>
        <w:numPr>
          <w:ilvl w:val="0"/>
          <w:numId w:val="44"/>
        </w:numPr>
        <w:ind w:left="340"/>
        <w:rPr>
          <w:bCs/>
          <w:color w:val="auto"/>
        </w:rPr>
      </w:pPr>
      <w:r>
        <w:rPr>
          <w:bCs/>
          <w:color w:val="auto"/>
        </w:rPr>
        <w:t>Vyjádření Řídi</w:t>
      </w:r>
      <w:r w:rsidR="003B3C50">
        <w:rPr>
          <w:bCs/>
          <w:color w:val="auto"/>
        </w:rPr>
        <w:t>cího výboru ITI Olomoucká aglomerace o souladu/nesouladu projektového záměru s integrovanou strategií (Projektový záměr je jeho součástí)</w:t>
      </w:r>
    </w:p>
    <w:p w14:paraId="40991BF4" w14:textId="77777777" w:rsidR="007B518A" w:rsidRDefault="008937A4" w:rsidP="007B518A">
      <w:pPr>
        <w:pStyle w:val="Odstavecseseznamem"/>
        <w:numPr>
          <w:ilvl w:val="0"/>
          <w:numId w:val="44"/>
        </w:numPr>
        <w:spacing w:after="240"/>
        <w:ind w:left="334" w:hanging="357"/>
        <w:rPr>
          <w:bCs/>
          <w:color w:val="auto"/>
        </w:rPr>
      </w:pPr>
      <w:r w:rsidRPr="00223EF8">
        <w:rPr>
          <w:bCs/>
          <w:color w:val="auto"/>
        </w:rPr>
        <w:t>Indikativní nabídka</w:t>
      </w:r>
      <w:r w:rsidR="003B3C50">
        <w:rPr>
          <w:bCs/>
          <w:color w:val="auto"/>
        </w:rPr>
        <w:t xml:space="preserve"> ke každému způsobilému výdaji.</w:t>
      </w:r>
    </w:p>
    <w:p w14:paraId="3D57C26C" w14:textId="4CD2306A" w:rsidR="007B518A" w:rsidRPr="007B518A" w:rsidRDefault="007B518A" w:rsidP="007B518A">
      <w:pPr>
        <w:pStyle w:val="Odstavecseseznamem"/>
        <w:numPr>
          <w:ilvl w:val="0"/>
          <w:numId w:val="44"/>
        </w:numPr>
        <w:spacing w:after="240"/>
        <w:ind w:left="334" w:hanging="357"/>
        <w:rPr>
          <w:bCs/>
          <w:color w:val="auto"/>
        </w:rPr>
      </w:pPr>
      <w:r w:rsidRPr="007B518A">
        <w:rPr>
          <w:iCs/>
        </w:rPr>
        <w:t>Dokumenty k jednoznačnému prokázání nabytí vlastnických nebo jiných práv k nemovitostem, kde bude projekt realizován a na vyzvání je povinen tato práva doložit.</w:t>
      </w:r>
      <w:r w:rsidRPr="00C72E96">
        <w:t xml:space="preserve"> Nájemní smlouva musí být sjednána minimálně po dobu realizace projektu a dále alespoň 5 let od předpokládaného konce projektu.</w:t>
      </w:r>
    </w:p>
    <w:p w14:paraId="3B6F09C7" w14:textId="5DAB9AB6" w:rsidR="00F7406A" w:rsidRPr="002E1D37" w:rsidRDefault="00F7406A" w:rsidP="00F7406A">
      <w:pPr>
        <w:spacing w:after="0"/>
        <w:rPr>
          <w:b/>
          <w:color w:val="auto"/>
          <w:u w:val="single"/>
        </w:rPr>
      </w:pPr>
      <w:bookmarkStart w:id="5" w:name="_GoBack"/>
      <w:bookmarkEnd w:id="5"/>
      <w:r w:rsidRPr="00A7040B">
        <w:rPr>
          <w:b/>
          <w:color w:val="auto"/>
          <w:u w:val="single"/>
        </w:rPr>
        <w:lastRenderedPageBreak/>
        <w:t>Žadatel musí v okamžiku podpisu Rozhodnutí o poskytnutí dotace, jehož součástí jsou závazné podmínky poskytnutí dotace a ostatní povinnosti příjemce, předložit následující dokumenty:</w:t>
      </w:r>
    </w:p>
    <w:p w14:paraId="2B210930" w14:textId="77777777" w:rsidR="00F7406A" w:rsidRPr="002E1D37" w:rsidRDefault="00F7406A" w:rsidP="00BA1F10">
      <w:pPr>
        <w:pStyle w:val="Odstavecseseznamem"/>
        <w:numPr>
          <w:ilvl w:val="0"/>
          <w:numId w:val="46"/>
        </w:numPr>
        <w:ind w:left="426" w:hanging="357"/>
        <w:rPr>
          <w:bCs/>
          <w:color w:val="auto"/>
        </w:rPr>
      </w:pPr>
      <w:r w:rsidRPr="002E1D37">
        <w:rPr>
          <w:bCs/>
          <w:color w:val="auto"/>
        </w:rPr>
        <w:t>Aktualizované Prohlášení k žádosti o podporu bez de minimis.</w:t>
      </w:r>
    </w:p>
    <w:p w14:paraId="2D6A3CDF" w14:textId="77777777" w:rsidR="00A8211F" w:rsidRPr="002E1D37" w:rsidRDefault="00F7406A" w:rsidP="00FA3BA4">
      <w:pPr>
        <w:pStyle w:val="Odstavecseseznamem"/>
        <w:numPr>
          <w:ilvl w:val="0"/>
          <w:numId w:val="46"/>
        </w:numPr>
        <w:spacing w:after="240"/>
        <w:ind w:left="425" w:hanging="357"/>
        <w:rPr>
          <w:bCs/>
          <w:color w:val="auto"/>
        </w:rPr>
      </w:pPr>
      <w:r w:rsidRPr="002E1D37">
        <w:rPr>
          <w:bCs/>
          <w:color w:val="auto"/>
        </w:rPr>
        <w:t>Žadatel v době před vydáním RoPD na vyzvání doloží vyplněný Formulář pro posouzení podmínky podniku v obtížích obsahující čestné prohlášení, že žadatel není podnikem v obtížích ve smyslu čl. 2 odst. 18 Nařízení Komise (EU) č. 651/2014.</w:t>
      </w:r>
    </w:p>
    <w:p w14:paraId="324DDDF0" w14:textId="77777777" w:rsidR="00F7406A" w:rsidRPr="00A7040B" w:rsidRDefault="00F7406A" w:rsidP="00F7406A">
      <w:pPr>
        <w:spacing w:after="0"/>
        <w:rPr>
          <w:b/>
          <w:color w:val="auto"/>
        </w:rPr>
      </w:pPr>
      <w:r w:rsidRPr="00A7040B">
        <w:rPr>
          <w:b/>
          <w:color w:val="auto"/>
          <w:u w:val="single"/>
        </w:rPr>
        <w:t>V okamžiku předložení první žádosti o platbu:</w:t>
      </w:r>
      <w:r w:rsidRPr="00A7040B">
        <w:rPr>
          <w:b/>
          <w:color w:val="auto"/>
        </w:rPr>
        <w:t xml:space="preserve"> </w:t>
      </w:r>
    </w:p>
    <w:p w14:paraId="70482078" w14:textId="77777777" w:rsidR="00A8211F" w:rsidRPr="002E1D37" w:rsidRDefault="00A8211F" w:rsidP="00A8211F">
      <w:pPr>
        <w:pStyle w:val="Odstavecseseznamem"/>
        <w:spacing w:after="240"/>
        <w:ind w:left="284" w:right="1060"/>
        <w:contextualSpacing w:val="0"/>
        <w:rPr>
          <w:rFonts w:cs="Calibri"/>
          <w:color w:val="auto"/>
        </w:rPr>
      </w:pPr>
      <w:r w:rsidRPr="002E1D37">
        <w:rPr>
          <w:rFonts w:cs="Calibri"/>
          <w:color w:val="auto"/>
          <w:spacing w:val="1"/>
        </w:rPr>
        <w:t>P</w:t>
      </w:r>
      <w:r w:rsidRPr="002E1D37">
        <w:rPr>
          <w:rFonts w:cs="Calibri"/>
          <w:color w:val="auto"/>
          <w:spacing w:val="-1"/>
        </w:rPr>
        <w:t>o</w:t>
      </w:r>
      <w:r w:rsidRPr="002E1D37">
        <w:rPr>
          <w:rFonts w:cs="Calibri"/>
          <w:color w:val="auto"/>
          <w:spacing w:val="1"/>
        </w:rPr>
        <w:t>v</w:t>
      </w:r>
      <w:r w:rsidRPr="002E1D37">
        <w:rPr>
          <w:rFonts w:cs="Calibri"/>
          <w:color w:val="auto"/>
        </w:rPr>
        <w:t>i</w:t>
      </w:r>
      <w:r w:rsidRPr="002E1D37">
        <w:rPr>
          <w:rFonts w:cs="Calibri"/>
          <w:color w:val="auto"/>
          <w:spacing w:val="-1"/>
        </w:rPr>
        <w:t>nn</w:t>
      </w:r>
      <w:r w:rsidRPr="002E1D37">
        <w:rPr>
          <w:rFonts w:cs="Calibri"/>
          <w:color w:val="auto"/>
        </w:rPr>
        <w:t>é</w:t>
      </w:r>
      <w:r w:rsidRPr="002E1D37">
        <w:rPr>
          <w:rFonts w:cs="Calibri"/>
          <w:color w:val="auto"/>
          <w:spacing w:val="1"/>
        </w:rPr>
        <w:t xml:space="preserve"> </w:t>
      </w:r>
      <w:r w:rsidRPr="002E1D37">
        <w:rPr>
          <w:rFonts w:cs="Calibri"/>
          <w:color w:val="auto"/>
          <w:spacing w:val="-1"/>
        </w:rPr>
        <w:t>p</w:t>
      </w:r>
      <w:r w:rsidRPr="002E1D37">
        <w:rPr>
          <w:rFonts w:cs="Calibri"/>
          <w:color w:val="auto"/>
        </w:rPr>
        <w:t>ří</w:t>
      </w:r>
      <w:r w:rsidRPr="002E1D37">
        <w:rPr>
          <w:rFonts w:cs="Calibri"/>
          <w:color w:val="auto"/>
          <w:spacing w:val="-4"/>
        </w:rPr>
        <w:t>l</w:t>
      </w:r>
      <w:r w:rsidRPr="002E1D37">
        <w:rPr>
          <w:rFonts w:cs="Calibri"/>
          <w:color w:val="auto"/>
          <w:spacing w:val="1"/>
        </w:rPr>
        <w:t>o</w:t>
      </w:r>
      <w:r w:rsidRPr="002E1D37">
        <w:rPr>
          <w:rFonts w:cs="Calibri"/>
          <w:color w:val="auto"/>
          <w:spacing w:val="-1"/>
        </w:rPr>
        <w:t>h</w:t>
      </w:r>
      <w:r w:rsidRPr="002E1D37">
        <w:rPr>
          <w:rFonts w:cs="Calibri"/>
          <w:color w:val="auto"/>
        </w:rPr>
        <w:t>y</w:t>
      </w:r>
      <w:r w:rsidRPr="002E1D37">
        <w:rPr>
          <w:rFonts w:cs="Calibri"/>
          <w:color w:val="auto"/>
          <w:spacing w:val="1"/>
        </w:rPr>
        <w:t xml:space="preserve"> </w:t>
      </w:r>
      <w:r w:rsidRPr="002E1D37">
        <w:rPr>
          <w:rFonts w:cs="Calibri"/>
          <w:color w:val="auto"/>
        </w:rPr>
        <w:t>Žá</w:t>
      </w:r>
      <w:r w:rsidRPr="002E1D37">
        <w:rPr>
          <w:rFonts w:cs="Calibri"/>
          <w:color w:val="auto"/>
          <w:spacing w:val="-3"/>
        </w:rPr>
        <w:t>d</w:t>
      </w:r>
      <w:r w:rsidRPr="002E1D37">
        <w:rPr>
          <w:rFonts w:cs="Calibri"/>
          <w:color w:val="auto"/>
          <w:spacing w:val="1"/>
        </w:rPr>
        <w:t>o</w:t>
      </w:r>
      <w:r w:rsidRPr="002E1D37">
        <w:rPr>
          <w:rFonts w:cs="Calibri"/>
          <w:color w:val="auto"/>
        </w:rPr>
        <w:t>sti</w:t>
      </w:r>
      <w:r w:rsidRPr="002E1D37">
        <w:rPr>
          <w:rFonts w:cs="Calibri"/>
          <w:color w:val="auto"/>
          <w:spacing w:val="-2"/>
        </w:rPr>
        <w:t xml:space="preserve"> </w:t>
      </w:r>
      <w:r w:rsidRPr="002E1D37">
        <w:rPr>
          <w:rFonts w:cs="Calibri"/>
          <w:color w:val="auto"/>
        </w:rPr>
        <w:t>o pl</w:t>
      </w:r>
      <w:r w:rsidRPr="002E1D37">
        <w:rPr>
          <w:rFonts w:cs="Calibri"/>
          <w:color w:val="auto"/>
          <w:spacing w:val="-1"/>
        </w:rPr>
        <w:t>a</w:t>
      </w:r>
      <w:r w:rsidRPr="002E1D37">
        <w:rPr>
          <w:rFonts w:cs="Calibri"/>
          <w:color w:val="auto"/>
        </w:rPr>
        <w:t>tbu</w:t>
      </w:r>
      <w:r w:rsidRPr="002E1D37">
        <w:rPr>
          <w:rFonts w:cs="Calibri"/>
          <w:color w:val="auto"/>
          <w:spacing w:val="-1"/>
        </w:rPr>
        <w:t xml:space="preserve"> </w:t>
      </w:r>
      <w:r w:rsidRPr="002E1D37">
        <w:rPr>
          <w:rFonts w:cs="Calibri"/>
          <w:color w:val="auto"/>
        </w:rPr>
        <w:t>b</w:t>
      </w:r>
      <w:r w:rsidRPr="002E1D37">
        <w:rPr>
          <w:rFonts w:cs="Calibri"/>
          <w:color w:val="auto"/>
          <w:spacing w:val="-1"/>
        </w:rPr>
        <w:t>ud</w:t>
      </w:r>
      <w:r w:rsidRPr="002E1D37">
        <w:rPr>
          <w:rFonts w:cs="Calibri"/>
          <w:color w:val="auto"/>
          <w:spacing w:val="1"/>
        </w:rPr>
        <w:t>o</w:t>
      </w:r>
      <w:r w:rsidRPr="002E1D37">
        <w:rPr>
          <w:rFonts w:cs="Calibri"/>
          <w:color w:val="auto"/>
        </w:rPr>
        <w:t>u u</w:t>
      </w:r>
      <w:r w:rsidRPr="002E1D37">
        <w:rPr>
          <w:rFonts w:cs="Calibri"/>
          <w:color w:val="auto"/>
          <w:spacing w:val="1"/>
        </w:rPr>
        <w:t>v</w:t>
      </w:r>
      <w:r w:rsidRPr="002E1D37">
        <w:rPr>
          <w:rFonts w:cs="Calibri"/>
          <w:color w:val="auto"/>
        </w:rPr>
        <w:t>e</w:t>
      </w:r>
      <w:r w:rsidRPr="002E1D37">
        <w:rPr>
          <w:rFonts w:cs="Calibri"/>
          <w:color w:val="auto"/>
          <w:spacing w:val="-3"/>
        </w:rPr>
        <w:t>d</w:t>
      </w:r>
      <w:r w:rsidRPr="002E1D37">
        <w:rPr>
          <w:rFonts w:cs="Calibri"/>
          <w:color w:val="auto"/>
        </w:rPr>
        <w:t>eny</w:t>
      </w:r>
      <w:r w:rsidRPr="002E1D37">
        <w:rPr>
          <w:rFonts w:cs="Calibri"/>
          <w:color w:val="auto"/>
          <w:spacing w:val="-1"/>
        </w:rPr>
        <w:t xml:space="preserve"> </w:t>
      </w:r>
      <w:r w:rsidRPr="002E1D37">
        <w:rPr>
          <w:rFonts w:cs="Calibri"/>
          <w:color w:val="auto"/>
        </w:rPr>
        <w:t>v</w:t>
      </w:r>
      <w:r w:rsidRPr="002E1D37">
        <w:rPr>
          <w:rFonts w:cs="Calibri"/>
          <w:color w:val="auto"/>
          <w:spacing w:val="3"/>
        </w:rPr>
        <w:t xml:space="preserve"> </w:t>
      </w:r>
      <w:r w:rsidRPr="002E1D37">
        <w:rPr>
          <w:rFonts w:cs="Calibri"/>
          <w:color w:val="auto"/>
          <w:spacing w:val="-3"/>
        </w:rPr>
        <w:t>d</w:t>
      </w:r>
      <w:r w:rsidRPr="002E1D37">
        <w:rPr>
          <w:rFonts w:cs="Calibri"/>
          <w:color w:val="auto"/>
          <w:spacing w:val="1"/>
        </w:rPr>
        <w:t>o</w:t>
      </w:r>
      <w:r w:rsidRPr="002E1D37">
        <w:rPr>
          <w:rFonts w:cs="Calibri"/>
          <w:color w:val="auto"/>
          <w:spacing w:val="-2"/>
        </w:rPr>
        <w:t>k</w:t>
      </w:r>
      <w:r w:rsidRPr="002E1D37">
        <w:rPr>
          <w:rFonts w:cs="Calibri"/>
          <w:color w:val="auto"/>
          <w:spacing w:val="-1"/>
        </w:rPr>
        <w:t>u</w:t>
      </w:r>
      <w:r w:rsidRPr="002E1D37">
        <w:rPr>
          <w:rFonts w:cs="Calibri"/>
          <w:color w:val="auto"/>
          <w:spacing w:val="1"/>
        </w:rPr>
        <w:t>m</w:t>
      </w:r>
      <w:r w:rsidRPr="002E1D37">
        <w:rPr>
          <w:rFonts w:cs="Calibri"/>
          <w:color w:val="auto"/>
        </w:rPr>
        <w:t>entaci</w:t>
      </w:r>
      <w:r w:rsidRPr="002E1D37">
        <w:rPr>
          <w:rFonts w:cs="Calibri"/>
          <w:color w:val="auto"/>
          <w:spacing w:val="-2"/>
        </w:rPr>
        <w:t xml:space="preserve"> </w:t>
      </w:r>
      <w:r w:rsidRPr="002E1D37">
        <w:rPr>
          <w:rFonts w:cs="Calibri"/>
          <w:color w:val="auto"/>
        </w:rPr>
        <w:t>Žádo</w:t>
      </w:r>
      <w:r w:rsidRPr="002E1D37">
        <w:rPr>
          <w:rFonts w:cs="Calibri"/>
          <w:color w:val="auto"/>
          <w:spacing w:val="-2"/>
        </w:rPr>
        <w:t>s</w:t>
      </w:r>
      <w:r w:rsidRPr="002E1D37">
        <w:rPr>
          <w:rFonts w:cs="Calibri"/>
          <w:color w:val="auto"/>
        </w:rPr>
        <w:t>ti</w:t>
      </w:r>
      <w:r w:rsidRPr="002E1D37">
        <w:rPr>
          <w:rFonts w:cs="Calibri"/>
          <w:color w:val="auto"/>
          <w:spacing w:val="-2"/>
        </w:rPr>
        <w:t xml:space="preserve"> </w:t>
      </w:r>
      <w:r w:rsidRPr="002E1D37">
        <w:rPr>
          <w:rFonts w:cs="Calibri"/>
          <w:color w:val="auto"/>
        </w:rPr>
        <w:t>o</w:t>
      </w:r>
      <w:r w:rsidRPr="002E1D37">
        <w:rPr>
          <w:rFonts w:cs="Calibri"/>
          <w:color w:val="auto"/>
          <w:spacing w:val="1"/>
        </w:rPr>
        <w:t xml:space="preserve"> </w:t>
      </w:r>
      <w:r w:rsidRPr="002E1D37">
        <w:rPr>
          <w:rFonts w:cs="Calibri"/>
          <w:color w:val="auto"/>
        </w:rPr>
        <w:t>pl</w:t>
      </w:r>
      <w:r w:rsidRPr="002E1D37">
        <w:rPr>
          <w:rFonts w:cs="Calibri"/>
          <w:color w:val="auto"/>
          <w:spacing w:val="-1"/>
        </w:rPr>
        <w:t>a</w:t>
      </w:r>
      <w:r w:rsidRPr="002E1D37">
        <w:rPr>
          <w:rFonts w:cs="Calibri"/>
          <w:color w:val="auto"/>
        </w:rPr>
        <w:t>tb</w:t>
      </w:r>
      <w:r w:rsidRPr="002E1D37">
        <w:rPr>
          <w:rFonts w:cs="Calibri"/>
          <w:color w:val="auto"/>
          <w:spacing w:val="-1"/>
        </w:rPr>
        <w:t>u</w:t>
      </w:r>
      <w:r w:rsidRPr="002E1D37">
        <w:rPr>
          <w:rFonts w:cs="Calibri"/>
          <w:color w:val="auto"/>
        </w:rPr>
        <w:t>.</w:t>
      </w:r>
    </w:p>
    <w:p w14:paraId="1A128518" w14:textId="77777777" w:rsidR="00F7406A" w:rsidRPr="00F21137" w:rsidRDefault="00F7406A" w:rsidP="00F7406A">
      <w:pPr>
        <w:pStyle w:val="Nadpisobsahu"/>
        <w:rPr>
          <w:color w:val="0070C0"/>
        </w:rPr>
      </w:pPr>
      <w:r w:rsidRPr="00F21137">
        <w:rPr>
          <w:color w:val="0070C0"/>
        </w:rPr>
        <w:t>10. Ostatní ustanovení</w:t>
      </w:r>
    </w:p>
    <w:p w14:paraId="5388B9F7" w14:textId="77777777" w:rsidR="00F7406A" w:rsidRPr="002E1D37" w:rsidRDefault="00F7406A" w:rsidP="00F7406A">
      <w:pPr>
        <w:pStyle w:val="normln0"/>
        <w:tabs>
          <w:tab w:val="clear" w:pos="0"/>
        </w:tabs>
        <w:spacing w:after="160" w:line="293" w:lineRule="auto"/>
        <w:rPr>
          <w:rFonts w:asciiTheme="minorHAnsi" w:eastAsiaTheme="minorHAnsi" w:hAnsiTheme="minorHAnsi" w:cs="Calibri"/>
          <w:bCs w:val="0"/>
          <w:sz w:val="22"/>
          <w:szCs w:val="22"/>
        </w:rPr>
      </w:pPr>
      <w:r w:rsidRPr="002E1D37">
        <w:rPr>
          <w:rFonts w:asciiTheme="minorHAnsi" w:eastAsiaTheme="minorHAnsi" w:hAnsiTheme="minorHAnsi" w:cs="Calibri"/>
          <w:bCs w:val="0"/>
          <w:sz w:val="22"/>
          <w:szCs w:val="22"/>
        </w:rPr>
        <w:t>Na podporu není právní nárok. O konečné výši dotace rozhoduje Řídicí orgán.</w:t>
      </w:r>
    </w:p>
    <w:p w14:paraId="3F53272D" w14:textId="77777777" w:rsidR="00F7406A" w:rsidRDefault="00F7406A" w:rsidP="00F7406A">
      <w:pPr>
        <w:pStyle w:val="normln0"/>
        <w:tabs>
          <w:tab w:val="clear" w:pos="0"/>
        </w:tabs>
        <w:spacing w:after="160" w:line="293" w:lineRule="auto"/>
        <w:rPr>
          <w:rFonts w:asciiTheme="minorHAnsi" w:eastAsiaTheme="minorHAnsi" w:hAnsiTheme="minorHAnsi" w:cs="Calibri"/>
          <w:bCs w:val="0"/>
          <w:sz w:val="22"/>
          <w:szCs w:val="22"/>
        </w:rPr>
      </w:pPr>
      <w:r w:rsidRPr="002E1D37">
        <w:rPr>
          <w:rFonts w:asciiTheme="minorHAnsi" w:eastAsiaTheme="minorHAnsi" w:hAnsiTheme="minorHAnsi" w:cs="Calibri"/>
          <w:bCs w:val="0"/>
          <w:sz w:val="22"/>
          <w:szCs w:val="22"/>
        </w:rPr>
        <w:t xml:space="preserve">Sankce za nedodržení podmínek programu jsou stanoveny v Podmínkách k Rozhodnutí o poskytnutí dotace. </w:t>
      </w:r>
    </w:p>
    <w:p w14:paraId="52E68649" w14:textId="4591D3D2" w:rsidR="00C375D6" w:rsidRPr="002E1D37" w:rsidRDefault="00C375D6" w:rsidP="00F7406A">
      <w:pPr>
        <w:pStyle w:val="normln0"/>
        <w:tabs>
          <w:tab w:val="clear" w:pos="0"/>
        </w:tabs>
        <w:spacing w:after="160" w:line="293" w:lineRule="auto"/>
        <w:rPr>
          <w:rFonts w:asciiTheme="minorHAnsi" w:eastAsiaTheme="minorHAnsi" w:hAnsiTheme="minorHAnsi" w:cs="Calibri"/>
          <w:bCs w:val="0"/>
          <w:sz w:val="22"/>
          <w:szCs w:val="22"/>
        </w:rPr>
      </w:pPr>
      <w:r w:rsidRPr="00C375D6">
        <w:rPr>
          <w:rFonts w:asciiTheme="minorHAnsi" w:eastAsiaTheme="minorHAnsi" w:hAnsiTheme="minorHAnsi" w:cs="Calibri"/>
          <w:bCs w:val="0"/>
          <w:sz w:val="22"/>
          <w:szCs w:val="22"/>
        </w:rPr>
        <w:t xml:space="preserve">Účast v dalších programech podpory: Na téže způsobilé výdaje projektu podpořeného z tohoto programu nelze poskytnout jinou veřejnou podporu podle článku 107 odst. 1 Smlouvy o fungování Evropské unie, </w:t>
      </w:r>
      <w:r w:rsidR="00DB2AEA" w:rsidRPr="00F67805">
        <w:rPr>
          <w:rFonts w:asciiTheme="minorHAnsi" w:eastAsiaTheme="minorHAnsi" w:hAnsiTheme="minorHAnsi" w:cs="Calibri"/>
          <w:bCs w:val="0"/>
          <w:sz w:val="22"/>
          <w:szCs w:val="22"/>
        </w:rPr>
        <w:t>podporu z prostředků Unie, které centrálně spravují orgány, agentury, společné podniky a jiné subjekty Unie a které není přímo ani nepřímo pod kontrolou členských států, a</w:t>
      </w:r>
      <w:r w:rsidR="00DB2AEA" w:rsidRPr="00C375D6">
        <w:rPr>
          <w:rFonts w:asciiTheme="minorHAnsi" w:eastAsiaTheme="minorHAnsi" w:hAnsiTheme="minorHAnsi" w:cs="Calibri"/>
          <w:bCs w:val="0"/>
          <w:sz w:val="22"/>
          <w:szCs w:val="22"/>
        </w:rPr>
        <w:t xml:space="preserve"> </w:t>
      </w:r>
      <w:r w:rsidRPr="00C375D6">
        <w:rPr>
          <w:rFonts w:asciiTheme="minorHAnsi" w:eastAsiaTheme="minorHAnsi" w:hAnsiTheme="minorHAnsi" w:cs="Calibri"/>
          <w:bCs w:val="0"/>
          <w:sz w:val="22"/>
          <w:szCs w:val="22"/>
        </w:rPr>
        <w:t>ani podporu v režimu de minimis dle Nařízení Komise (EU) č. 1407/2013.</w:t>
      </w:r>
    </w:p>
    <w:p w14:paraId="7412B925" w14:textId="77777777" w:rsidR="00A7135C" w:rsidRPr="002E1D37" w:rsidRDefault="00A7135C" w:rsidP="00A7135C">
      <w:pPr>
        <w:spacing w:after="120"/>
        <w:rPr>
          <w:rFonts w:cs="Calibri"/>
          <w:color w:val="auto"/>
        </w:rPr>
      </w:pPr>
      <w:r w:rsidRPr="002E1D37">
        <w:rPr>
          <w:rFonts w:cs="Calibri"/>
          <w:color w:val="auto"/>
        </w:rPr>
        <w:t>Správce programu si vyhrazuje právo Výzvu pozastavit nebo předčasně ukončit (např. z důvodu vyčerpání alokovaných finančních prostředků).</w:t>
      </w:r>
    </w:p>
    <w:p w14:paraId="2A9ED037" w14:textId="6BA535DF" w:rsidR="00A7135C" w:rsidRPr="002E1D37" w:rsidRDefault="00A7135C" w:rsidP="00A7135C">
      <w:pPr>
        <w:spacing w:after="120"/>
        <w:rPr>
          <w:rFonts w:cs="Calibri"/>
          <w:color w:val="auto"/>
        </w:rPr>
      </w:pPr>
      <w:r w:rsidRPr="002E1D37">
        <w:rPr>
          <w:rFonts w:cs="Calibri"/>
          <w:color w:val="auto"/>
        </w:rPr>
        <w:t>Řídicí orgán může pozastavit příjem žádostí v případě nízkého zájmu žadatelů. Rozhodným okamžikem, ke kterému bude posuzován nízký zájem žadatelů, jsou 2 měsíce od data zahájení příjmu žádostí do této Výzvy. Nízký zájem žadatelů bude posuzován na základě vyhodnocení výzvy Řídícího orgánu. Nízký zájem žadatelů je definován jako situace, kdy projektové záměry dosahují v souhrnu méně než 50 % alokace výzvy. Dojde-li k ukončení příjmu žádostí dle první věty tohoto odstavce, budou vybrané parametry Výzvy reformulovány a Výzva revidována. Na žádosti o podporu, které byly podány před ukončením příjmu žádostí, se revize Výzvy nevztahuje, tj. tyto žádosti o podporu budou posuzovány dle původních parametrů Výzvy. Žadatel může, po oznámení revize Výzvy spočívající v úpravě minimálního počtu bodů potřebných pro naplnění kritérií Výzvy, jedenkrát podat danou žádost o podporu znov</w:t>
      </w:r>
      <w:r w:rsidR="00FA3BA4">
        <w:rPr>
          <w:rFonts w:cs="Calibri"/>
          <w:color w:val="auto"/>
        </w:rPr>
        <w:t>u (odchylně od ustanovení v čl. </w:t>
      </w:r>
      <w:r w:rsidRPr="002E1D37">
        <w:rPr>
          <w:rFonts w:cs="Calibri"/>
          <w:color w:val="auto"/>
        </w:rPr>
        <w:t>9.2 bod 1 Výzvy). V případě, že nebyla daná žádost o podporu dosud vyhodnocena, je žadatel před podáním nové žádosti o podporu do revidované Výzvy povinen svou původní žádost o podporu stáhnout.</w:t>
      </w:r>
    </w:p>
    <w:p w14:paraId="75FD3D70" w14:textId="5CAF580A" w:rsidR="00F7406A" w:rsidRPr="002E1D37" w:rsidRDefault="00F7406A" w:rsidP="00F7406A">
      <w:pPr>
        <w:pStyle w:val="Textkomente"/>
        <w:spacing w:line="293" w:lineRule="auto"/>
        <w:rPr>
          <w:color w:val="auto"/>
          <w:sz w:val="22"/>
          <w:szCs w:val="22"/>
        </w:rPr>
      </w:pPr>
      <w:r w:rsidRPr="002E1D37">
        <w:rPr>
          <w:rFonts w:cs="Calibri"/>
          <w:color w:val="auto"/>
          <w:sz w:val="22"/>
          <w:szCs w:val="22"/>
          <w:lang w:eastAsia="cs-CZ"/>
        </w:rPr>
        <w:t>Příjemce dotace se ke dni vydání Rozhodnutí o poskytnutí dotace</w:t>
      </w:r>
      <w:r w:rsidR="00FA3BA4">
        <w:rPr>
          <w:rFonts w:cs="Calibri"/>
          <w:color w:val="auto"/>
          <w:sz w:val="22"/>
          <w:szCs w:val="22"/>
          <w:lang w:eastAsia="cs-CZ"/>
        </w:rPr>
        <w:t xml:space="preserve"> zavazuje nevyužít prostředky z </w:t>
      </w:r>
      <w:r w:rsidRPr="002E1D37">
        <w:rPr>
          <w:rFonts w:cs="Calibri"/>
          <w:color w:val="auto"/>
          <w:sz w:val="22"/>
          <w:szCs w:val="22"/>
          <w:lang w:eastAsia="cs-CZ"/>
        </w:rPr>
        <w:t>Evropských strukturálních a investičních fondů a z národních zdrojů na totožné opatření, vázané na poskytnutí dotace z Rozhodnutí o poskytnutí dotace.</w:t>
      </w:r>
    </w:p>
    <w:p w14:paraId="0F2AE2FB" w14:textId="6E55D306" w:rsidR="00F7406A" w:rsidRDefault="00F7406A" w:rsidP="00F7406A">
      <w:pPr>
        <w:contextualSpacing/>
        <w:rPr>
          <w:rFonts w:cs="Calibri"/>
          <w:color w:val="auto"/>
          <w:lang w:eastAsia="cs-CZ"/>
        </w:rPr>
      </w:pPr>
      <w:r w:rsidRPr="002E1D37">
        <w:rPr>
          <w:rFonts w:cs="Calibri"/>
          <w:color w:val="auto"/>
          <w:lang w:eastAsia="cs-CZ"/>
        </w:rPr>
        <w:t>Dotace nesmí být vyplacena příjemci, který má neuhrazený závazek vzniklý na základě příkazu k vrácení finančních prostředků vydaného po předchozím rozhodnutí Komise prohlašujícím, že podpora obdržená od poskytovatele z České republiky je protiprávní a neslučitelná s</w:t>
      </w:r>
      <w:r w:rsidR="004B0FBC">
        <w:rPr>
          <w:rFonts w:cs="Calibri"/>
          <w:color w:val="auto"/>
          <w:lang w:eastAsia="cs-CZ"/>
        </w:rPr>
        <w:t xml:space="preserve"> vnitřním</w:t>
      </w:r>
      <w:r w:rsidRPr="002E1D37">
        <w:rPr>
          <w:rFonts w:cs="Calibri"/>
          <w:color w:val="auto"/>
          <w:lang w:eastAsia="cs-CZ"/>
        </w:rPr>
        <w:t xml:space="preserve"> trhem.</w:t>
      </w:r>
    </w:p>
    <w:p w14:paraId="0DF7FAF0" w14:textId="77777777" w:rsidR="00A40A2B" w:rsidRPr="00847188" w:rsidRDefault="00A40A2B" w:rsidP="00A40A2B">
      <w:pPr>
        <w:pStyle w:val="Textkomente"/>
        <w:spacing w:line="293" w:lineRule="auto"/>
        <w:rPr>
          <w:rFonts w:cs="Calibri"/>
          <w:color w:val="auto"/>
          <w:sz w:val="22"/>
          <w:szCs w:val="22"/>
          <w:lang w:eastAsia="cs-CZ"/>
        </w:rPr>
      </w:pPr>
      <w:r w:rsidRPr="00847188">
        <w:rPr>
          <w:rFonts w:cs="Calibri"/>
          <w:color w:val="auto"/>
          <w:sz w:val="22"/>
          <w:szCs w:val="22"/>
          <w:lang w:eastAsia="cs-CZ"/>
        </w:rPr>
        <w:t xml:space="preserve">Na základě řádně zdůvodněné žádosti o změnu ze strany žadatele je možné prodloužit dobu realizace projektu až do 31. 8. 2023 po vydání Rozhodnutí o poskytnutí dotace, s podmínkou schválení této žádosti o změnu Řídicím orgánem OP PIK. Použití tohoto ustanovení umožňuje prodloužit termín realizace akce nad </w:t>
      </w:r>
      <w:r w:rsidRPr="00847188">
        <w:rPr>
          <w:rFonts w:cs="Calibri"/>
          <w:color w:val="auto"/>
          <w:sz w:val="22"/>
          <w:szCs w:val="22"/>
          <w:lang w:eastAsia="cs-CZ"/>
        </w:rPr>
        <w:lastRenderedPageBreak/>
        <w:t>rámec stanovený v textu výzvy v úvodní tabulce na straně 1 v bodu „Nejzazší datum pro ukončení fyzické realizace operace“.</w:t>
      </w:r>
    </w:p>
    <w:p w14:paraId="7B52833C" w14:textId="77777777" w:rsidR="00F7406A" w:rsidRPr="002E1D37" w:rsidRDefault="00F7406A" w:rsidP="00F7406A">
      <w:pPr>
        <w:spacing w:after="0"/>
        <w:rPr>
          <w:rFonts w:cs="Calibri"/>
          <w:color w:val="auto"/>
        </w:rPr>
      </w:pPr>
      <w:r w:rsidRPr="002E1D37">
        <w:rPr>
          <w:rFonts w:cs="Calibri"/>
          <w:color w:val="auto"/>
        </w:rPr>
        <w:t>Schválení žádosti o změnu termínu realizace projektu je možné při dodržení těchto podmínek:</w:t>
      </w:r>
    </w:p>
    <w:p w14:paraId="27817CA6" w14:textId="77777777" w:rsidR="00F7406A" w:rsidRPr="002E1D37" w:rsidRDefault="00F7406A" w:rsidP="007853A7">
      <w:pPr>
        <w:pStyle w:val="Odstavecseseznamem"/>
        <w:numPr>
          <w:ilvl w:val="1"/>
          <w:numId w:val="25"/>
        </w:numPr>
        <w:ind w:left="993"/>
        <w:rPr>
          <w:rFonts w:cs="Calibri"/>
          <w:color w:val="auto"/>
        </w:rPr>
      </w:pPr>
      <w:r w:rsidRPr="002E1D37">
        <w:rPr>
          <w:rFonts w:cs="Calibri"/>
          <w:color w:val="auto"/>
        </w:rPr>
        <w:t>Musí být dán objektivní důvod, proč příjemce není schopen bez vlastního zavinění dokončit realizaci projektu v termínu stanoveném výzvou. Jde o takový důvod, který by byl překážkou pro dodržení termínu pro kohokoliv, kdo by projekt realizoval, důvod tedy není subjektivní ve vztahu ke konkrétnímu příjemci;</w:t>
      </w:r>
    </w:p>
    <w:p w14:paraId="2D97BCDB" w14:textId="77777777" w:rsidR="00F7406A" w:rsidRPr="002E1D37" w:rsidRDefault="00F7406A" w:rsidP="007853A7">
      <w:pPr>
        <w:pStyle w:val="Odstavecseseznamem"/>
        <w:numPr>
          <w:ilvl w:val="1"/>
          <w:numId w:val="25"/>
        </w:numPr>
        <w:ind w:left="993"/>
        <w:rPr>
          <w:rFonts w:cs="Calibri"/>
          <w:color w:val="auto"/>
        </w:rPr>
      </w:pPr>
      <w:r w:rsidRPr="002E1D37">
        <w:rPr>
          <w:rFonts w:cs="Calibri"/>
          <w:color w:val="auto"/>
        </w:rPr>
        <w:t>Je zodpovědností příjemce, aby byl schopen zdůvodnit, proč nemohl předvídat vznik události mající za důsledek zpoždění realizace;</w:t>
      </w:r>
    </w:p>
    <w:p w14:paraId="3134DB27" w14:textId="77777777" w:rsidR="00F7406A" w:rsidRPr="002E1D37" w:rsidRDefault="00F7406A" w:rsidP="007853A7">
      <w:pPr>
        <w:pStyle w:val="Odstavecseseznamem"/>
        <w:numPr>
          <w:ilvl w:val="1"/>
          <w:numId w:val="25"/>
        </w:numPr>
        <w:ind w:left="993"/>
        <w:rPr>
          <w:rFonts w:cs="Calibri"/>
          <w:color w:val="auto"/>
        </w:rPr>
      </w:pPr>
      <w:r w:rsidRPr="002E1D37">
        <w:rPr>
          <w:rFonts w:cs="Calibri"/>
          <w:color w:val="auto"/>
        </w:rPr>
        <w:t>V případě, kdy příjemce nutnost posunu termínu neodůvodnil, nebo jej odůvodnil nedostatečně, ŘO OPPIK tuto žádost o změnu zamítne;</w:t>
      </w:r>
    </w:p>
    <w:p w14:paraId="53C8267B" w14:textId="77777777" w:rsidR="00F7406A" w:rsidRPr="002E1D37" w:rsidRDefault="00F7406A" w:rsidP="007853A7">
      <w:pPr>
        <w:pStyle w:val="Odstavecseseznamem"/>
        <w:numPr>
          <w:ilvl w:val="1"/>
          <w:numId w:val="25"/>
        </w:numPr>
        <w:ind w:left="993"/>
        <w:rPr>
          <w:rFonts w:cs="Calibri"/>
          <w:color w:val="auto"/>
        </w:rPr>
      </w:pPr>
      <w:r w:rsidRPr="002E1D37">
        <w:rPr>
          <w:rFonts w:cs="Calibri"/>
          <w:color w:val="auto"/>
        </w:rPr>
        <w:t>K prodloužení termínu musí dojít až po zahájení fyzické realizace projektu.</w:t>
      </w:r>
    </w:p>
    <w:p w14:paraId="4079292E" w14:textId="77777777" w:rsidR="00F7406A" w:rsidRPr="002E1D37" w:rsidRDefault="00F7406A" w:rsidP="00F7406A">
      <w:pPr>
        <w:pStyle w:val="Odstavecseseznamem"/>
        <w:ind w:left="1080"/>
        <w:rPr>
          <w:rFonts w:cs="Calibri"/>
          <w:color w:val="auto"/>
        </w:rPr>
      </w:pPr>
    </w:p>
    <w:p w14:paraId="032DA427" w14:textId="77777777" w:rsidR="00F7406A" w:rsidRPr="002E1D37" w:rsidRDefault="00F7406A" w:rsidP="00F7406A">
      <w:pPr>
        <w:pStyle w:val="Odstavecseseznamem"/>
        <w:ind w:left="0"/>
        <w:rPr>
          <w:rFonts w:cs="Calibri"/>
          <w:color w:val="auto"/>
        </w:rPr>
      </w:pPr>
      <w:r w:rsidRPr="002E1D37">
        <w:rPr>
          <w:rFonts w:cs="Calibri"/>
          <w:color w:val="auto"/>
        </w:rPr>
        <w:t>Odstranění vad žádosti, doložení dalších podkladů a úprava žádosti</w:t>
      </w:r>
    </w:p>
    <w:p w14:paraId="08FF28DD" w14:textId="4FAF8501" w:rsidR="00F7406A" w:rsidRPr="002E1D37" w:rsidRDefault="00F7406A" w:rsidP="007853A7">
      <w:pPr>
        <w:pStyle w:val="Odstavecseseznamem"/>
        <w:numPr>
          <w:ilvl w:val="0"/>
          <w:numId w:val="31"/>
        </w:numPr>
        <w:rPr>
          <w:rFonts w:cs="Calibri"/>
          <w:color w:val="auto"/>
        </w:rPr>
      </w:pPr>
      <w:r w:rsidRPr="002E1D37">
        <w:rPr>
          <w:rFonts w:cs="Calibri"/>
          <w:color w:val="auto"/>
        </w:rPr>
        <w:t>Trpí-li žádost o po</w:t>
      </w:r>
      <w:r w:rsidR="00053735">
        <w:rPr>
          <w:rFonts w:cs="Calibri"/>
          <w:color w:val="auto"/>
        </w:rPr>
        <w:t>dporu</w:t>
      </w:r>
      <w:r w:rsidRPr="002E1D37">
        <w:rPr>
          <w:rFonts w:cs="Calibri"/>
          <w:color w:val="auto"/>
        </w:rPr>
        <w:t xml:space="preserve"> vadami, musí poskytovatel vyzvat žadatele o dotaci k odstranění vad; a to ve lhůtě </w:t>
      </w:r>
      <w:r w:rsidR="00053735">
        <w:rPr>
          <w:rFonts w:cs="Calibri"/>
          <w:color w:val="auto"/>
        </w:rPr>
        <w:t>8</w:t>
      </w:r>
      <w:r w:rsidRPr="002E1D37">
        <w:rPr>
          <w:rFonts w:cs="Calibri"/>
          <w:color w:val="auto"/>
        </w:rPr>
        <w:t xml:space="preserve"> pracovních dnů</w:t>
      </w:r>
      <w:r w:rsidRPr="002E1D37">
        <w:rPr>
          <w:rStyle w:val="Znakapoznpodarou"/>
          <w:color w:val="auto"/>
          <w:lang w:eastAsia="cs-CZ"/>
        </w:rPr>
        <w:footnoteReference w:id="20"/>
      </w:r>
      <w:r w:rsidRPr="002E1D37">
        <w:rPr>
          <w:rFonts w:cs="Calibri"/>
          <w:color w:val="auto"/>
        </w:rPr>
        <w:t>.</w:t>
      </w:r>
    </w:p>
    <w:p w14:paraId="3FCF5EB5" w14:textId="77777777" w:rsidR="00F7406A" w:rsidRPr="002E1D37" w:rsidRDefault="00F7406A" w:rsidP="007853A7">
      <w:pPr>
        <w:pStyle w:val="Odstavecseseznamem"/>
        <w:numPr>
          <w:ilvl w:val="0"/>
          <w:numId w:val="31"/>
        </w:numPr>
        <w:rPr>
          <w:rFonts w:cs="Calibri"/>
          <w:color w:val="auto"/>
        </w:rPr>
      </w:pPr>
      <w:r w:rsidRPr="002E1D37">
        <w:rPr>
          <w:rFonts w:cs="Calibri"/>
          <w:color w:val="auto"/>
        </w:rPr>
        <w:t>ŘO</w:t>
      </w:r>
      <w:r w:rsidR="00D10340">
        <w:rPr>
          <w:rFonts w:cs="Calibri"/>
          <w:color w:val="auto"/>
        </w:rPr>
        <w:t xml:space="preserve"> </w:t>
      </w:r>
      <w:r w:rsidR="00D10340">
        <w:rPr>
          <w:rFonts w:cs="Calibri"/>
        </w:rPr>
        <w:t>prostřednictvím ZS</w:t>
      </w:r>
      <w:r w:rsidR="00D10340" w:rsidRPr="002E1D37">
        <w:rPr>
          <w:rFonts w:cs="Calibri"/>
          <w:color w:val="auto"/>
        </w:rPr>
        <w:t xml:space="preserve"> </w:t>
      </w:r>
      <w:r w:rsidRPr="002E1D37">
        <w:rPr>
          <w:rFonts w:cs="Calibri"/>
          <w:color w:val="auto"/>
        </w:rPr>
        <w:t>/ZS může kdykoliv v průběhu řízení vyzvat žadatele o dotaci k doložení dalších podkladů nebo údajů nezbytných pro vydání rozhodnutí o poskytnutí dotace.</w:t>
      </w:r>
    </w:p>
    <w:p w14:paraId="11712DF9" w14:textId="77777777" w:rsidR="00F7406A" w:rsidRPr="002E1D37" w:rsidRDefault="00F7406A" w:rsidP="007853A7">
      <w:pPr>
        <w:pStyle w:val="Odstavecseseznamem"/>
        <w:numPr>
          <w:ilvl w:val="0"/>
          <w:numId w:val="31"/>
        </w:numPr>
        <w:rPr>
          <w:rFonts w:cs="Calibri"/>
          <w:color w:val="auto"/>
        </w:rPr>
      </w:pPr>
      <w:r w:rsidRPr="002E1D37">
        <w:rPr>
          <w:rFonts w:cs="Calibri"/>
          <w:color w:val="auto"/>
        </w:rPr>
        <w:t>ŘO</w:t>
      </w:r>
      <w:r w:rsidR="00D10340" w:rsidRPr="00D10340">
        <w:rPr>
          <w:rFonts w:cs="Calibri"/>
        </w:rPr>
        <w:t xml:space="preserve"> </w:t>
      </w:r>
      <w:r w:rsidR="00D10340">
        <w:rPr>
          <w:rFonts w:cs="Calibri"/>
        </w:rPr>
        <w:t>prostřednictvím ZS</w:t>
      </w:r>
      <w:r w:rsidR="00D10340" w:rsidRPr="002E1D37">
        <w:rPr>
          <w:rFonts w:cs="Calibri"/>
          <w:color w:val="auto"/>
        </w:rPr>
        <w:t xml:space="preserve"> </w:t>
      </w:r>
      <w:r w:rsidRPr="002E1D37">
        <w:rPr>
          <w:rFonts w:cs="Calibri"/>
          <w:color w:val="auto"/>
        </w:rPr>
        <w:t>/ZS je oprávněn vyzvat žadatele o dotaci k doložení dokladu prokazující počet zaměstnanců.</w:t>
      </w:r>
    </w:p>
    <w:p w14:paraId="3DFD670C" w14:textId="77777777" w:rsidR="00F7406A" w:rsidRPr="002E1D37" w:rsidRDefault="00F7406A" w:rsidP="007853A7">
      <w:pPr>
        <w:pStyle w:val="Odstavecseseznamem"/>
        <w:numPr>
          <w:ilvl w:val="0"/>
          <w:numId w:val="31"/>
        </w:numPr>
        <w:rPr>
          <w:rFonts w:cs="Calibri"/>
          <w:color w:val="auto"/>
        </w:rPr>
      </w:pPr>
      <w:r w:rsidRPr="002E1D37">
        <w:rPr>
          <w:rFonts w:cs="Calibri"/>
          <w:color w:val="auto"/>
        </w:rPr>
        <w:t>ŘO</w:t>
      </w:r>
      <w:r w:rsidR="00D10340" w:rsidRPr="00D10340">
        <w:rPr>
          <w:rFonts w:cs="Calibri"/>
        </w:rPr>
        <w:t xml:space="preserve"> </w:t>
      </w:r>
      <w:r w:rsidR="00D10340">
        <w:rPr>
          <w:rFonts w:cs="Calibri"/>
        </w:rPr>
        <w:t>prostřednictvím ZS</w:t>
      </w:r>
      <w:r w:rsidR="00D10340" w:rsidRPr="002E1D37">
        <w:rPr>
          <w:rFonts w:cs="Calibri"/>
          <w:color w:val="auto"/>
        </w:rPr>
        <w:t xml:space="preserve"> </w:t>
      </w:r>
      <w:r w:rsidRPr="002E1D37">
        <w:rPr>
          <w:rFonts w:cs="Calibri"/>
          <w:color w:val="auto"/>
        </w:rPr>
        <w:t xml:space="preserve">/ZS může žadateli o dotaci doporučit úpravu žádosti, lze-li předpokládat, že upravené žádosti bude zcela vyhověno; vyhoví-li žadatel o dotaci tomuto doporučení, posuzuje poskytovatel upravenou žádost. </w:t>
      </w:r>
    </w:p>
    <w:p w14:paraId="3D671D0A" w14:textId="77777777" w:rsidR="00F7406A" w:rsidRPr="002E1D37" w:rsidRDefault="00F7406A" w:rsidP="00F7406A">
      <w:pPr>
        <w:rPr>
          <w:rFonts w:cs="Calibri"/>
          <w:color w:val="auto"/>
        </w:rPr>
      </w:pPr>
      <w:r w:rsidRPr="002E1D37">
        <w:rPr>
          <w:rFonts w:cs="Calibri"/>
          <w:color w:val="auto"/>
        </w:rPr>
        <w:t xml:space="preserve">Žádosti o poskytnutí dotace, která byla pravomocně zcela nebo zčásti zamítnuta, lze novým rozhodnutím zcela vyhovět, případně z části vyhovět a ve zbytku ji zamítnout, souhlasí-li s tím žadatel o dotaci. Takovému rozhodnutí může předcházet postup upravený v bodech b) a c); Odstranění vad žádosti, doložení dalších podkladů a úprava žádosti. </w:t>
      </w:r>
    </w:p>
    <w:p w14:paraId="37D1CEC4" w14:textId="77777777" w:rsidR="00F7406A" w:rsidRPr="002E1D37" w:rsidRDefault="00F7406A" w:rsidP="00F7406A">
      <w:pPr>
        <w:rPr>
          <w:rFonts w:cs="Calibri"/>
          <w:color w:val="auto"/>
        </w:rPr>
      </w:pPr>
      <w:r w:rsidRPr="002E1D37">
        <w:rPr>
          <w:rFonts w:cs="Calibri"/>
          <w:color w:val="auto"/>
        </w:rPr>
        <w:t xml:space="preserve">Zemřel-li žadatel o dotaci nebo zanikl-li žadatel o dotaci přede dnem vydání Rozhodnutí o poskytnutí dotace nebo návratné finanční výpomoci, poskytovatel řízení zastaví. </w:t>
      </w:r>
    </w:p>
    <w:p w14:paraId="06F60FA5" w14:textId="77777777" w:rsidR="00F7406A" w:rsidRPr="002E1D37" w:rsidRDefault="00F7406A" w:rsidP="00F7406A">
      <w:pPr>
        <w:rPr>
          <w:rFonts w:cs="Calibri"/>
          <w:color w:val="auto"/>
        </w:rPr>
      </w:pPr>
      <w:r w:rsidRPr="002E1D37">
        <w:rPr>
          <w:rFonts w:cs="Calibri"/>
          <w:color w:val="auto"/>
        </w:rPr>
        <w:t xml:space="preserve">Ministerstvo průmyslu a obchodu si jako vyhlašovatel výzvy vyhrazuje právo provádět změny ve výzvě v souladu s bodem 5.2.4 Metodického pokynu pro řízení výzev, hodnocení a výběr projektů. </w:t>
      </w:r>
    </w:p>
    <w:p w14:paraId="28C2E9A3" w14:textId="77777777" w:rsidR="00D10340" w:rsidRPr="00D10340" w:rsidRDefault="00D10340" w:rsidP="001E658B">
      <w:pPr>
        <w:rPr>
          <w:rFonts w:cs="Calibri"/>
        </w:rPr>
      </w:pPr>
      <w:r w:rsidRPr="00D10340">
        <w:rPr>
          <w:rFonts w:cs="Calibri"/>
        </w:rPr>
        <w:t xml:space="preserve">U průběžných výzev je nepřípustné provádět </w:t>
      </w:r>
      <w:r w:rsidR="00F2386C">
        <w:rPr>
          <w:rFonts w:cs="Calibri"/>
        </w:rPr>
        <w:t xml:space="preserve">níže </w:t>
      </w:r>
      <w:r w:rsidRPr="00D10340">
        <w:rPr>
          <w:rFonts w:cs="Calibri"/>
        </w:rPr>
        <w:t>uvedené změny pro žádosti o podporu, které již byly žadateli podány</w:t>
      </w:r>
      <w:r w:rsidR="00F2386C">
        <w:rPr>
          <w:rFonts w:cs="Calibri"/>
        </w:rPr>
        <w:t>:</w:t>
      </w:r>
    </w:p>
    <w:p w14:paraId="5889CAA2" w14:textId="77777777" w:rsidR="00F2386C" w:rsidRPr="0023352B" w:rsidRDefault="00F2386C" w:rsidP="00F2386C">
      <w:pPr>
        <w:pStyle w:val="Odstavecseseznamem"/>
        <w:numPr>
          <w:ilvl w:val="0"/>
          <w:numId w:val="52"/>
        </w:numPr>
        <w:rPr>
          <w:rFonts w:cs="Calibri"/>
        </w:rPr>
      </w:pPr>
      <w:r w:rsidRPr="0023352B">
        <w:rPr>
          <w:rFonts w:cs="Calibri"/>
        </w:rPr>
        <w:t>zrušen</w:t>
      </w:r>
      <w:r>
        <w:rPr>
          <w:rFonts w:cs="Calibri"/>
        </w:rPr>
        <w:t>í</w:t>
      </w:r>
      <w:r w:rsidRPr="0023352B">
        <w:rPr>
          <w:rFonts w:cs="Calibri"/>
        </w:rPr>
        <w:t xml:space="preserve"> </w:t>
      </w:r>
      <w:r>
        <w:rPr>
          <w:rFonts w:cs="Calibri"/>
        </w:rPr>
        <w:t xml:space="preserve">vyhlášené </w:t>
      </w:r>
      <w:r w:rsidRPr="0023352B">
        <w:rPr>
          <w:rFonts w:cs="Calibri"/>
        </w:rPr>
        <w:t>výzvy,</w:t>
      </w:r>
    </w:p>
    <w:p w14:paraId="392FA070" w14:textId="76B00CC4" w:rsidR="00F2386C" w:rsidRPr="0023352B" w:rsidRDefault="00FA3BA4" w:rsidP="00F2386C">
      <w:pPr>
        <w:pStyle w:val="Odstavecseseznamem"/>
        <w:numPr>
          <w:ilvl w:val="0"/>
          <w:numId w:val="52"/>
        </w:numPr>
        <w:rPr>
          <w:rFonts w:cs="Calibri"/>
        </w:rPr>
      </w:pPr>
      <w:r>
        <w:rPr>
          <w:rFonts w:cs="Calibri"/>
        </w:rPr>
        <w:t xml:space="preserve">snížení alokace výzvy, </w:t>
      </w:r>
    </w:p>
    <w:p w14:paraId="732ABEA1" w14:textId="77777777" w:rsidR="00F2386C" w:rsidRPr="0023352B" w:rsidRDefault="00F2386C" w:rsidP="00F2386C">
      <w:pPr>
        <w:pStyle w:val="Odstavecseseznamem"/>
        <w:numPr>
          <w:ilvl w:val="0"/>
          <w:numId w:val="52"/>
        </w:numPr>
        <w:rPr>
          <w:rFonts w:cs="Calibri"/>
        </w:rPr>
      </w:pPr>
      <w:r w:rsidRPr="0023352B">
        <w:rPr>
          <w:rFonts w:cs="Calibri"/>
        </w:rPr>
        <w:t>změn</w:t>
      </w:r>
      <w:r>
        <w:rPr>
          <w:rFonts w:cs="Calibri"/>
        </w:rPr>
        <w:t>it</w:t>
      </w:r>
      <w:r w:rsidRPr="0023352B">
        <w:rPr>
          <w:rFonts w:cs="Calibri"/>
        </w:rPr>
        <w:t xml:space="preserve"> maximální a minimální výši celkových způsobilých výdajů, </w:t>
      </w:r>
    </w:p>
    <w:p w14:paraId="49E00D71" w14:textId="602EFC6C" w:rsidR="00F2386C" w:rsidRPr="00DE5F52" w:rsidRDefault="00F2386C" w:rsidP="00F2386C">
      <w:pPr>
        <w:pStyle w:val="Odstavecseseznamem"/>
        <w:numPr>
          <w:ilvl w:val="0"/>
          <w:numId w:val="52"/>
        </w:numPr>
        <w:rPr>
          <w:rFonts w:cs="Calibri"/>
        </w:rPr>
      </w:pPr>
      <w:r w:rsidRPr="00DE5F52">
        <w:rPr>
          <w:rFonts w:cs="Calibri"/>
        </w:rPr>
        <w:t>změn</w:t>
      </w:r>
      <w:r>
        <w:rPr>
          <w:rFonts w:cs="Calibri"/>
        </w:rPr>
        <w:t>it</w:t>
      </w:r>
      <w:r w:rsidR="00FA3BA4">
        <w:rPr>
          <w:rFonts w:cs="Calibri"/>
        </w:rPr>
        <w:t xml:space="preserve"> míry spolufinancování, </w:t>
      </w:r>
    </w:p>
    <w:p w14:paraId="337071B5" w14:textId="77777777" w:rsidR="00F2386C" w:rsidRPr="00DE5F52" w:rsidRDefault="00F2386C" w:rsidP="00F2386C">
      <w:pPr>
        <w:pStyle w:val="Odstavecseseznamem"/>
        <w:numPr>
          <w:ilvl w:val="0"/>
          <w:numId w:val="52"/>
        </w:numPr>
        <w:rPr>
          <w:rFonts w:cs="Calibri"/>
        </w:rPr>
      </w:pPr>
      <w:r w:rsidRPr="00DE5F52">
        <w:rPr>
          <w:rFonts w:cs="Calibri"/>
        </w:rPr>
        <w:t>změn</w:t>
      </w:r>
      <w:r>
        <w:rPr>
          <w:rFonts w:cs="Calibri"/>
        </w:rPr>
        <w:t>it</w:t>
      </w:r>
      <w:r w:rsidRPr="00DE5F52">
        <w:rPr>
          <w:rFonts w:cs="Calibri"/>
        </w:rPr>
        <w:t xml:space="preserve"> věcného zaměření výzvy,  </w:t>
      </w:r>
    </w:p>
    <w:p w14:paraId="7BC6F56E" w14:textId="77777777" w:rsidR="00F2386C" w:rsidRPr="00DE5F52" w:rsidRDefault="00F2386C" w:rsidP="00F2386C">
      <w:pPr>
        <w:pStyle w:val="Odstavecseseznamem"/>
        <w:numPr>
          <w:ilvl w:val="0"/>
          <w:numId w:val="52"/>
        </w:numPr>
        <w:rPr>
          <w:rFonts w:cs="Calibri"/>
        </w:rPr>
      </w:pPr>
      <w:r w:rsidRPr="00DE5F52">
        <w:rPr>
          <w:rFonts w:cs="Calibri"/>
        </w:rPr>
        <w:t>změn</w:t>
      </w:r>
      <w:r>
        <w:rPr>
          <w:rFonts w:cs="Calibri"/>
        </w:rPr>
        <w:t>it</w:t>
      </w:r>
      <w:r w:rsidRPr="00DE5F52">
        <w:rPr>
          <w:rFonts w:cs="Calibri"/>
        </w:rPr>
        <w:t xml:space="preserve"> definic</w:t>
      </w:r>
      <w:r>
        <w:rPr>
          <w:rFonts w:cs="Calibri"/>
        </w:rPr>
        <w:t>i</w:t>
      </w:r>
      <w:r w:rsidRPr="00DE5F52">
        <w:rPr>
          <w:rFonts w:cs="Calibri"/>
        </w:rPr>
        <w:t xml:space="preserve"> oprávněného žadatele, tj. přidat nebo odebrat oprávněného žadatele,  </w:t>
      </w:r>
    </w:p>
    <w:p w14:paraId="1AC28482" w14:textId="77777777" w:rsidR="00F2386C" w:rsidRPr="00DE5F52" w:rsidRDefault="00F2386C" w:rsidP="00F2386C">
      <w:pPr>
        <w:pStyle w:val="Odstavecseseznamem"/>
        <w:numPr>
          <w:ilvl w:val="0"/>
          <w:numId w:val="52"/>
        </w:numPr>
        <w:rPr>
          <w:rFonts w:cs="Calibri"/>
        </w:rPr>
      </w:pPr>
      <w:r w:rsidRPr="00DE5F52">
        <w:rPr>
          <w:rFonts w:cs="Calibri"/>
        </w:rPr>
        <w:lastRenderedPageBreak/>
        <w:t>posun</w:t>
      </w:r>
      <w:r>
        <w:rPr>
          <w:rFonts w:cs="Calibri"/>
        </w:rPr>
        <w:t>out</w:t>
      </w:r>
      <w:r w:rsidRPr="00DE5F52">
        <w:rPr>
          <w:rFonts w:cs="Calibri"/>
        </w:rPr>
        <w:t xml:space="preserve"> nejzazší dat</w:t>
      </w:r>
      <w:r>
        <w:rPr>
          <w:rFonts w:cs="Calibri"/>
        </w:rPr>
        <w:t>um</w:t>
      </w:r>
      <w:r w:rsidRPr="00DE5F52">
        <w:rPr>
          <w:rFonts w:cs="Calibri"/>
        </w:rPr>
        <w:t xml:space="preserve"> pro ukončení fyzické realizace projektu na dřívější datum, </w:t>
      </w:r>
    </w:p>
    <w:p w14:paraId="33623955" w14:textId="77777777" w:rsidR="00F2386C" w:rsidRDefault="00F2386C" w:rsidP="001E658B">
      <w:pPr>
        <w:pStyle w:val="Odstavecseseznamem"/>
        <w:numPr>
          <w:ilvl w:val="0"/>
          <w:numId w:val="52"/>
        </w:numPr>
        <w:rPr>
          <w:rFonts w:cs="Calibri"/>
        </w:rPr>
      </w:pPr>
      <w:r w:rsidRPr="00DE5F52">
        <w:rPr>
          <w:rFonts w:cs="Calibri"/>
        </w:rPr>
        <w:t>posun</w:t>
      </w:r>
      <w:r>
        <w:rPr>
          <w:rFonts w:cs="Calibri"/>
        </w:rPr>
        <w:t>out</w:t>
      </w:r>
      <w:r w:rsidRPr="00DE5F52">
        <w:rPr>
          <w:rFonts w:cs="Calibri"/>
        </w:rPr>
        <w:t xml:space="preserve"> dat</w:t>
      </w:r>
      <w:r>
        <w:rPr>
          <w:rFonts w:cs="Calibri"/>
        </w:rPr>
        <w:t>um</w:t>
      </w:r>
      <w:r w:rsidRPr="00DE5F52">
        <w:rPr>
          <w:rFonts w:cs="Calibri"/>
        </w:rPr>
        <w:t xml:space="preserve"> ukončení příjmu žádostí o podporu na dřívější datum, </w:t>
      </w:r>
    </w:p>
    <w:p w14:paraId="5A3E3E01" w14:textId="77777777" w:rsidR="00D10340" w:rsidRPr="001E658B" w:rsidRDefault="00F2386C" w:rsidP="001E658B">
      <w:pPr>
        <w:pStyle w:val="Odstavecseseznamem"/>
        <w:numPr>
          <w:ilvl w:val="0"/>
          <w:numId w:val="52"/>
        </w:numPr>
        <w:rPr>
          <w:rFonts w:cs="Calibri"/>
        </w:rPr>
      </w:pPr>
      <w:r w:rsidRPr="00F2386C">
        <w:rPr>
          <w:rFonts w:cs="Calibri"/>
        </w:rPr>
        <w:t>změnit kritéria pro hodnocení projektů.</w:t>
      </w:r>
    </w:p>
    <w:p w14:paraId="20DD9B2F" w14:textId="7DF2DF49" w:rsidR="00F7406A" w:rsidRPr="002E1D37" w:rsidRDefault="00F7406A" w:rsidP="00F7406A">
      <w:pPr>
        <w:rPr>
          <w:rFonts w:cs="Calibri"/>
          <w:color w:val="auto"/>
        </w:rPr>
      </w:pPr>
      <w:r w:rsidRPr="002E1D37">
        <w:rPr>
          <w:rFonts w:cs="Calibri"/>
          <w:color w:val="auto"/>
        </w:rPr>
        <w:t xml:space="preserve">Při změně výzvy vyhlašovatel výzvy stanoví datum nabytí účinnosti změny tak, aby zohledňovala předpokládanou dobu, kterou žadatel potřebuje, aby projekt (resp. žádost o podporu) změně přizpůsobil. V případě změny, u které je nutné provést úpravy v informačním systému MS2014+, vyhlašovatel výzvy stanoví datum nabytí účinnosti změny tak, aby zohledňovala předpokládanou dobu potřebnou pro provedení úpravy informačního systému. Vyhlašovatel výzvy </w:t>
      </w:r>
      <w:r w:rsidR="0085470E" w:rsidRPr="002E1D37">
        <w:rPr>
          <w:rFonts w:cs="Calibri"/>
          <w:color w:val="auto"/>
        </w:rPr>
        <w:t xml:space="preserve">změnu </w:t>
      </w:r>
      <w:r w:rsidRPr="002E1D37">
        <w:rPr>
          <w:rFonts w:cs="Calibri"/>
          <w:color w:val="auto"/>
        </w:rPr>
        <w:t>řádně odůvodní a toto odůvodnění zveřejnění společně se změnou výzvy. Odůvodnění musí obsahovat popis</w:t>
      </w:r>
      <w:r w:rsidR="00FA3BA4">
        <w:rPr>
          <w:rFonts w:cs="Calibri"/>
          <w:color w:val="auto"/>
        </w:rPr>
        <w:t xml:space="preserve"> změny, důvod provedení změny a </w:t>
      </w:r>
      <w:r w:rsidRPr="002E1D37">
        <w:rPr>
          <w:rFonts w:cs="Calibri"/>
          <w:color w:val="auto"/>
        </w:rPr>
        <w:t xml:space="preserve">případné dopady na administraci projektů ze strany žadatele / příjemce v informačním systému MS2014+ (toto ustanovení platí pouze pro změnu textu výzvy před ukončením příjmu žádostí o podporu). </w:t>
      </w:r>
    </w:p>
    <w:p w14:paraId="70972659" w14:textId="77777777" w:rsidR="00F7406A" w:rsidRPr="002E1D37" w:rsidRDefault="00F7406A" w:rsidP="00F7406A">
      <w:pPr>
        <w:spacing w:after="0"/>
        <w:rPr>
          <w:rFonts w:cs="Calibri"/>
          <w:color w:val="auto"/>
        </w:rPr>
      </w:pPr>
      <w:r w:rsidRPr="002E1D37">
        <w:rPr>
          <w:rFonts w:cs="Calibri"/>
          <w:color w:val="auto"/>
        </w:rPr>
        <w:t xml:space="preserve">V relevantních případech vyhlašovatel výzvy uváží: </w:t>
      </w:r>
    </w:p>
    <w:p w14:paraId="71A72116" w14:textId="77777777" w:rsidR="00F7406A" w:rsidRPr="002E1D37" w:rsidRDefault="00F7406A" w:rsidP="007853A7">
      <w:pPr>
        <w:pStyle w:val="Odstavecseseznamem"/>
        <w:numPr>
          <w:ilvl w:val="1"/>
          <w:numId w:val="27"/>
        </w:numPr>
        <w:ind w:left="993"/>
        <w:rPr>
          <w:rFonts w:cs="Calibri"/>
          <w:color w:val="auto"/>
        </w:rPr>
      </w:pPr>
      <w:r w:rsidRPr="002E1D37">
        <w:rPr>
          <w:rFonts w:cs="Calibri"/>
          <w:color w:val="auto"/>
        </w:rPr>
        <w:t xml:space="preserve">způsob projednání změny (např. na monitorovacím výboru, projednání s žadateli/příjemci), </w:t>
      </w:r>
    </w:p>
    <w:p w14:paraId="33AD3377" w14:textId="77777777" w:rsidR="00F7406A" w:rsidRPr="002E1D37" w:rsidRDefault="00F7406A" w:rsidP="007853A7">
      <w:pPr>
        <w:pStyle w:val="Odstavecseseznamem"/>
        <w:numPr>
          <w:ilvl w:val="1"/>
          <w:numId w:val="27"/>
        </w:numPr>
        <w:ind w:left="993"/>
        <w:rPr>
          <w:rFonts w:cs="Calibri"/>
          <w:color w:val="auto"/>
        </w:rPr>
      </w:pPr>
      <w:r w:rsidRPr="002E1D37">
        <w:rPr>
          <w:rFonts w:cs="Calibri"/>
          <w:color w:val="auto"/>
        </w:rPr>
        <w:t>zda uvést odůvodnění data nabytí účinnosti,</w:t>
      </w:r>
    </w:p>
    <w:p w14:paraId="169C3A6B" w14:textId="77777777" w:rsidR="00F7406A" w:rsidRPr="002E1D37" w:rsidRDefault="00F7406A" w:rsidP="007853A7">
      <w:pPr>
        <w:pStyle w:val="Odstavecseseznamem"/>
        <w:numPr>
          <w:ilvl w:val="1"/>
          <w:numId w:val="27"/>
        </w:numPr>
        <w:ind w:left="993"/>
        <w:rPr>
          <w:rFonts w:cs="Calibri"/>
          <w:color w:val="auto"/>
        </w:rPr>
      </w:pPr>
      <w:r w:rsidRPr="002E1D37">
        <w:rPr>
          <w:rFonts w:cs="Calibri"/>
          <w:color w:val="auto"/>
        </w:rPr>
        <w:t xml:space="preserve">zda uvést dopady změny na žadatele/příjemce a řídicí orgán (příp. další subjekty implementační struktury), </w:t>
      </w:r>
    </w:p>
    <w:p w14:paraId="0279DAB7" w14:textId="77777777" w:rsidR="00F7406A" w:rsidRPr="002E1D37" w:rsidRDefault="00F7406A" w:rsidP="007853A7">
      <w:pPr>
        <w:pStyle w:val="Odstavecseseznamem"/>
        <w:numPr>
          <w:ilvl w:val="1"/>
          <w:numId w:val="27"/>
        </w:numPr>
        <w:ind w:left="993"/>
        <w:rPr>
          <w:rFonts w:cs="Calibri"/>
          <w:color w:val="auto"/>
        </w:rPr>
      </w:pPr>
      <w:r w:rsidRPr="002E1D37">
        <w:rPr>
          <w:rFonts w:cs="Calibri"/>
          <w:color w:val="auto"/>
        </w:rPr>
        <w:t>zda uvést případné dopady neprovedení změny na žadatele / příjemce a řídicí orgán (příp. další subjekty implementační struktury), včetně uvedení dopadů na informační systém MS2014+,</w:t>
      </w:r>
    </w:p>
    <w:p w14:paraId="17C848AB" w14:textId="77777777" w:rsidR="00F7406A" w:rsidRPr="002E1D37" w:rsidRDefault="00F7406A" w:rsidP="007853A7">
      <w:pPr>
        <w:pStyle w:val="Odstavecseseznamem"/>
        <w:numPr>
          <w:ilvl w:val="1"/>
          <w:numId w:val="27"/>
        </w:numPr>
        <w:ind w:left="993"/>
        <w:rPr>
          <w:rFonts w:cs="Calibri"/>
          <w:color w:val="auto"/>
        </w:rPr>
      </w:pPr>
      <w:r w:rsidRPr="002E1D37">
        <w:rPr>
          <w:rFonts w:cs="Calibri"/>
          <w:color w:val="auto"/>
        </w:rPr>
        <w:t xml:space="preserve">zda uvést srovnání s úpravou v dalších výzvách (u výzev na synergické / komplementární projekty včetně dopadů na synergickou / komplementární výzvu). </w:t>
      </w:r>
    </w:p>
    <w:p w14:paraId="799885B6" w14:textId="77777777" w:rsidR="00410A9F" w:rsidRPr="002E1D37" w:rsidRDefault="00410A9F" w:rsidP="00A7040B">
      <w:pPr>
        <w:spacing w:after="120"/>
        <w:rPr>
          <w:b/>
          <w:color w:val="auto"/>
        </w:rPr>
      </w:pPr>
      <w:r w:rsidRPr="002E1D37">
        <w:rPr>
          <w:b/>
          <w:color w:val="auto"/>
        </w:rPr>
        <w:t>Pro účely hodnocení kritéria Hospodárnost rozpočtu se pro přepočet nabídky do CZK použije průměrný měsíční kurz ČNB měsíce předcházejícího datu vyhlášení výzvy.</w:t>
      </w:r>
    </w:p>
    <w:p w14:paraId="6B4E93CC" w14:textId="6D8D7674" w:rsidR="00F7406A" w:rsidRDefault="00F7406A" w:rsidP="00A7040B">
      <w:pPr>
        <w:rPr>
          <w:rFonts w:cs="Calibri"/>
          <w:color w:val="auto"/>
        </w:rPr>
      </w:pPr>
      <w:r w:rsidRPr="002E1D37">
        <w:rPr>
          <w:rFonts w:cs="Calibri"/>
          <w:color w:val="auto"/>
        </w:rPr>
        <w:t xml:space="preserve">Změny výzev a navazující dokumentace ohlašovatel výzvy předem zveřejní na webových stránkách OP PIK (včetně odůvodnění) a zadává je do informačního systému MS2014+. MMR zajistí, aby změna výzvy byla zveřejněna na zastřešujících webových stránkách – </w:t>
      </w:r>
      <w:hyperlink r:id="rId9" w:history="1">
        <w:r w:rsidR="002E1D37" w:rsidRPr="00F21137">
          <w:rPr>
            <w:rFonts w:cs="Calibri"/>
            <w:color w:val="auto"/>
          </w:rPr>
          <w:t>www.dotaceeu.cz</w:t>
        </w:r>
      </w:hyperlink>
    </w:p>
    <w:p w14:paraId="5D817578" w14:textId="77777777" w:rsidR="00F7406A" w:rsidRPr="00F21137" w:rsidRDefault="00F7406A" w:rsidP="00F7406A">
      <w:pPr>
        <w:pStyle w:val="Nadpis1"/>
        <w:spacing w:before="0"/>
        <w:rPr>
          <w:rFonts w:eastAsiaTheme="minorHAnsi" w:cstheme="minorBidi"/>
          <w:color w:val="0070C0"/>
          <w:szCs w:val="22"/>
        </w:rPr>
      </w:pPr>
      <w:r w:rsidRPr="00F21137">
        <w:rPr>
          <w:rFonts w:eastAsiaTheme="minorHAnsi" w:cstheme="minorBidi"/>
          <w:color w:val="0070C0"/>
          <w:szCs w:val="22"/>
        </w:rPr>
        <w:t>11. Informace o způsobu poskytování konzultací</w:t>
      </w:r>
    </w:p>
    <w:p w14:paraId="05B439C6" w14:textId="77777777" w:rsidR="003C258C" w:rsidRPr="003C258C" w:rsidRDefault="003C258C" w:rsidP="003C258C">
      <w:pPr>
        <w:spacing w:after="120" w:line="276" w:lineRule="auto"/>
        <w:jc w:val="left"/>
        <w:rPr>
          <w:rFonts w:ascii="Calibri" w:eastAsia="Times New Roman" w:hAnsi="Calibri" w:cs="Calibri"/>
          <w:color w:val="auto"/>
          <w:lang w:eastAsia="cs-CZ"/>
        </w:rPr>
      </w:pPr>
      <w:r w:rsidRPr="003C258C">
        <w:rPr>
          <w:rFonts w:ascii="Calibri" w:eastAsia="Times New Roman" w:hAnsi="Calibri" w:cs="Calibri"/>
          <w:color w:val="auto"/>
          <w:lang w:eastAsia="cs-CZ"/>
        </w:rPr>
        <w:t>Informace o Výzvě poskytne žadatelům:</w:t>
      </w:r>
    </w:p>
    <w:p w14:paraId="6E1924D0" w14:textId="77777777" w:rsidR="003C258C" w:rsidRPr="003C258C" w:rsidRDefault="003C258C" w:rsidP="003C258C">
      <w:pPr>
        <w:spacing w:after="0" w:line="276" w:lineRule="auto"/>
        <w:rPr>
          <w:rFonts w:ascii="Calibri" w:eastAsia="Calibri" w:hAnsi="Calibri" w:cs="Times New Roman"/>
          <w:color w:val="auto"/>
        </w:rPr>
      </w:pPr>
      <w:r w:rsidRPr="003C258C">
        <w:rPr>
          <w:rFonts w:ascii="Calibri" w:eastAsia="Calibri" w:hAnsi="Calibri" w:cs="Times New Roman"/>
          <w:color w:val="auto"/>
        </w:rPr>
        <w:t xml:space="preserve">Magistrát města Olomouce </w:t>
      </w:r>
    </w:p>
    <w:p w14:paraId="55A62F21" w14:textId="77777777" w:rsidR="003C258C" w:rsidRPr="003C258C" w:rsidRDefault="003C258C" w:rsidP="003C258C">
      <w:pPr>
        <w:spacing w:after="0" w:line="276" w:lineRule="auto"/>
        <w:rPr>
          <w:rFonts w:ascii="Calibri" w:eastAsia="Calibri" w:hAnsi="Calibri" w:cs="Times New Roman"/>
          <w:color w:val="auto"/>
        </w:rPr>
      </w:pPr>
      <w:r w:rsidRPr="003C258C">
        <w:rPr>
          <w:rFonts w:ascii="Calibri" w:eastAsia="Calibri" w:hAnsi="Calibri" w:cs="Times New Roman"/>
          <w:color w:val="auto"/>
        </w:rPr>
        <w:t>odd. Zprostředkující subjekt ITI</w:t>
      </w:r>
    </w:p>
    <w:p w14:paraId="636AF0A9" w14:textId="77777777" w:rsidR="003C258C" w:rsidRPr="003C258C" w:rsidRDefault="003C258C" w:rsidP="003C258C">
      <w:pPr>
        <w:spacing w:after="0" w:line="276" w:lineRule="auto"/>
        <w:rPr>
          <w:rFonts w:ascii="Calibri" w:eastAsia="Calibri" w:hAnsi="Calibri" w:cs="Times New Roman"/>
          <w:color w:val="auto"/>
        </w:rPr>
      </w:pPr>
      <w:r w:rsidRPr="003C258C">
        <w:rPr>
          <w:rFonts w:ascii="Calibri" w:eastAsia="Calibri" w:hAnsi="Calibri" w:cs="Times New Roman"/>
          <w:color w:val="auto"/>
        </w:rPr>
        <w:t>Palackého 14</w:t>
      </w:r>
    </w:p>
    <w:p w14:paraId="189F5DE9" w14:textId="77777777" w:rsidR="003C258C" w:rsidRPr="003C258C" w:rsidRDefault="003C258C" w:rsidP="003C258C">
      <w:pPr>
        <w:spacing w:after="0" w:line="276" w:lineRule="auto"/>
        <w:rPr>
          <w:rFonts w:ascii="Calibri" w:eastAsia="Calibri" w:hAnsi="Calibri" w:cs="Times New Roman"/>
          <w:color w:val="auto"/>
        </w:rPr>
      </w:pPr>
      <w:r w:rsidRPr="003C258C">
        <w:rPr>
          <w:rFonts w:ascii="Calibri" w:eastAsia="Calibri" w:hAnsi="Calibri" w:cs="Times New Roman"/>
          <w:color w:val="auto"/>
        </w:rPr>
        <w:t>779 11 Olomouc</w:t>
      </w:r>
    </w:p>
    <w:p w14:paraId="6F07C5FF" w14:textId="77777777" w:rsidR="003C258C" w:rsidRPr="003C258C" w:rsidRDefault="003C258C" w:rsidP="003C258C">
      <w:pPr>
        <w:spacing w:after="0" w:line="240" w:lineRule="atLeast"/>
        <w:jc w:val="left"/>
        <w:rPr>
          <w:rFonts w:ascii="Calibri" w:eastAsia="Calibri" w:hAnsi="Calibri" w:cs="Arial"/>
          <w:color w:val="auto"/>
        </w:rPr>
      </w:pPr>
      <w:r w:rsidRPr="003C258C">
        <w:rPr>
          <w:rFonts w:ascii="Calibri" w:eastAsia="Calibri" w:hAnsi="Calibri" w:cs="Arial"/>
          <w:color w:val="auto"/>
        </w:rPr>
        <w:t xml:space="preserve">Ing. Jana Římská, </w:t>
      </w:r>
      <w:hyperlink r:id="rId10" w:history="1">
        <w:r w:rsidRPr="003C258C">
          <w:rPr>
            <w:rFonts w:ascii="Calibri" w:eastAsia="Calibri" w:hAnsi="Calibri" w:cs="Arial"/>
            <w:color w:val="0000FF"/>
            <w:u w:val="single"/>
          </w:rPr>
          <w:t>jana.rimska@olomouc.eu</w:t>
        </w:r>
      </w:hyperlink>
      <w:r w:rsidRPr="003C258C">
        <w:rPr>
          <w:rFonts w:ascii="Calibri" w:eastAsia="Calibri" w:hAnsi="Calibri" w:cs="Arial"/>
          <w:color w:val="auto"/>
        </w:rPr>
        <w:t>, tel.: 588 488 762</w:t>
      </w:r>
    </w:p>
    <w:p w14:paraId="1843BF9A" w14:textId="77777777" w:rsidR="003C258C" w:rsidRPr="003C258C" w:rsidRDefault="003C258C" w:rsidP="003C258C">
      <w:pPr>
        <w:spacing w:after="0" w:line="240" w:lineRule="atLeast"/>
        <w:jc w:val="left"/>
        <w:rPr>
          <w:rFonts w:ascii="Calibri" w:eastAsia="Calibri" w:hAnsi="Calibri" w:cs="Arial"/>
          <w:color w:val="auto"/>
        </w:rPr>
      </w:pPr>
      <w:r w:rsidRPr="003C258C">
        <w:rPr>
          <w:rFonts w:ascii="Calibri" w:eastAsia="Calibri" w:hAnsi="Calibri" w:cs="Arial"/>
          <w:color w:val="auto"/>
        </w:rPr>
        <w:t xml:space="preserve">Ing. Božena Nerušilová, </w:t>
      </w:r>
      <w:hyperlink r:id="rId11" w:history="1">
        <w:r w:rsidRPr="003C258C">
          <w:rPr>
            <w:rFonts w:ascii="Calibri" w:eastAsia="Calibri" w:hAnsi="Calibri" w:cs="Arial"/>
            <w:color w:val="0000FF"/>
            <w:u w:val="single"/>
          </w:rPr>
          <w:t>bozena.nerusilova@olomouc.eu</w:t>
        </w:r>
      </w:hyperlink>
      <w:r w:rsidRPr="003C258C">
        <w:rPr>
          <w:rFonts w:ascii="Calibri" w:eastAsia="Calibri" w:hAnsi="Calibri" w:cs="Arial"/>
          <w:color w:val="auto"/>
        </w:rPr>
        <w:t>, tel.: 588 488 761</w:t>
      </w:r>
    </w:p>
    <w:p w14:paraId="11510E64" w14:textId="28FEEE3C" w:rsidR="003C258C" w:rsidRDefault="003C258C" w:rsidP="00F21137">
      <w:pPr>
        <w:pStyle w:val="Nadpis1"/>
        <w:spacing w:before="0"/>
        <w:rPr>
          <w:rFonts w:ascii="Calibri" w:eastAsia="Calibri" w:hAnsi="Calibri" w:cs="Times New Roman"/>
          <w:b w:val="0"/>
          <w:color w:val="auto"/>
          <w:sz w:val="22"/>
          <w:szCs w:val="22"/>
        </w:rPr>
      </w:pPr>
      <w:r w:rsidRPr="003C258C">
        <w:rPr>
          <w:rFonts w:ascii="Calibri" w:eastAsia="Calibri" w:hAnsi="Calibri" w:cs="Times New Roman"/>
          <w:b w:val="0"/>
          <w:color w:val="auto"/>
          <w:sz w:val="22"/>
          <w:szCs w:val="22"/>
        </w:rPr>
        <w:t xml:space="preserve">Ing. Kamila Winterová, </w:t>
      </w:r>
      <w:hyperlink r:id="rId12" w:history="1">
        <w:r w:rsidRPr="003C258C">
          <w:rPr>
            <w:rFonts w:ascii="Calibri" w:eastAsia="Calibri" w:hAnsi="Calibri" w:cs="Arial"/>
            <w:b w:val="0"/>
            <w:color w:val="0000FF"/>
            <w:sz w:val="22"/>
            <w:szCs w:val="22"/>
            <w:u w:val="single"/>
          </w:rPr>
          <w:t>kamila.winterova@olomouc.eu</w:t>
        </w:r>
      </w:hyperlink>
      <w:r w:rsidRPr="003C258C">
        <w:rPr>
          <w:rFonts w:ascii="Calibri" w:eastAsia="Calibri" w:hAnsi="Calibri" w:cs="Times New Roman"/>
          <w:b w:val="0"/>
          <w:color w:val="auto"/>
          <w:sz w:val="22"/>
          <w:szCs w:val="22"/>
        </w:rPr>
        <w:t>, tel.: 588 488</w:t>
      </w:r>
      <w:r>
        <w:rPr>
          <w:rFonts w:ascii="Calibri" w:eastAsia="Calibri" w:hAnsi="Calibri" w:cs="Times New Roman"/>
          <w:b w:val="0"/>
          <w:color w:val="auto"/>
          <w:sz w:val="22"/>
          <w:szCs w:val="22"/>
        </w:rPr>
        <w:t> </w:t>
      </w:r>
      <w:r w:rsidRPr="003C258C">
        <w:rPr>
          <w:rFonts w:ascii="Calibri" w:eastAsia="Calibri" w:hAnsi="Calibri" w:cs="Times New Roman"/>
          <w:b w:val="0"/>
          <w:color w:val="auto"/>
          <w:sz w:val="22"/>
          <w:szCs w:val="22"/>
        </w:rPr>
        <w:t>763</w:t>
      </w:r>
    </w:p>
    <w:p w14:paraId="33120A4B" w14:textId="3B3D8037" w:rsidR="00FA3BA4" w:rsidRDefault="00FA3BA4">
      <w:pPr>
        <w:spacing w:after="0" w:line="240" w:lineRule="auto"/>
        <w:jc w:val="left"/>
        <w:rPr>
          <w:rFonts w:asciiTheme="majorHAnsi" w:hAnsiTheme="majorHAnsi"/>
          <w:b/>
          <w:color w:val="0070C0"/>
          <w:sz w:val="28"/>
        </w:rPr>
      </w:pPr>
      <w:r>
        <w:rPr>
          <w:color w:val="0070C0"/>
        </w:rPr>
        <w:br w:type="page"/>
      </w:r>
    </w:p>
    <w:p w14:paraId="5621BFFA" w14:textId="77777777" w:rsidR="00F7406A" w:rsidRPr="00F21137" w:rsidRDefault="00F7406A" w:rsidP="00F21137">
      <w:pPr>
        <w:pStyle w:val="Nadpis1"/>
        <w:spacing w:before="0"/>
        <w:rPr>
          <w:rFonts w:eastAsiaTheme="minorHAnsi" w:cstheme="minorBidi"/>
          <w:color w:val="0070C0"/>
          <w:szCs w:val="22"/>
        </w:rPr>
      </w:pPr>
      <w:r w:rsidRPr="00F21137">
        <w:rPr>
          <w:rFonts w:eastAsiaTheme="minorHAnsi" w:cstheme="minorBidi"/>
          <w:color w:val="0070C0"/>
          <w:szCs w:val="22"/>
        </w:rPr>
        <w:lastRenderedPageBreak/>
        <w:t xml:space="preserve">12. Základní pojmy programu </w:t>
      </w:r>
    </w:p>
    <w:p w14:paraId="459B6AAC" w14:textId="000C6017" w:rsidR="00231777" w:rsidRPr="00231777" w:rsidRDefault="00F7406A" w:rsidP="00231777">
      <w:pPr>
        <w:pStyle w:val="Odstavecseseznamem"/>
        <w:numPr>
          <w:ilvl w:val="0"/>
          <w:numId w:val="18"/>
        </w:numPr>
        <w:autoSpaceDE w:val="0"/>
        <w:autoSpaceDN w:val="0"/>
        <w:adjustRightInd w:val="0"/>
        <w:spacing w:after="120" w:line="276" w:lineRule="auto"/>
        <w:ind w:left="426" w:hanging="426"/>
        <w:rPr>
          <w:rFonts w:eastAsia="Times New Roman" w:cs="Calibri"/>
          <w:b/>
          <w:color w:val="auto"/>
        </w:rPr>
      </w:pPr>
      <w:r w:rsidRPr="002E1D37">
        <w:rPr>
          <w:rFonts w:eastAsia="Times New Roman" w:cs="Calibri"/>
          <w:b/>
          <w:color w:val="auto"/>
        </w:rPr>
        <w:t xml:space="preserve">Nařízením Komise (EU) č. 651/2014 </w:t>
      </w:r>
      <w:r w:rsidRPr="002E1D37">
        <w:rPr>
          <w:rFonts w:eastAsia="Times New Roman" w:cs="Calibri"/>
          <w:color w:val="auto"/>
        </w:rPr>
        <w:t>se rozumí Nařízení Komise (EU) č. 651/2014 ze dne 17. června 2014, kterým se v souladu s články 107 a 108 Smlouvy prohlašují určité kategorie podpory za slučitelné s vnitřním trhem, ve znění nařízení Komise (EU) č. 2017/1084 ze dne 14. června 2017 (Úřední věstník EU, L 187, 26. 6. 2014, str. 1-84).</w:t>
      </w:r>
    </w:p>
    <w:p w14:paraId="2168184B" w14:textId="77777777" w:rsidR="00231777" w:rsidRPr="00231777" w:rsidRDefault="00231777" w:rsidP="00231777">
      <w:pPr>
        <w:pStyle w:val="Odstavecseseznamem"/>
        <w:autoSpaceDE w:val="0"/>
        <w:autoSpaceDN w:val="0"/>
        <w:adjustRightInd w:val="0"/>
        <w:spacing w:after="120" w:line="276" w:lineRule="auto"/>
        <w:ind w:left="426"/>
        <w:rPr>
          <w:rFonts w:eastAsia="Times New Roman" w:cs="Calibri"/>
          <w:b/>
          <w:color w:val="auto"/>
          <w:sz w:val="16"/>
          <w:szCs w:val="16"/>
        </w:rPr>
      </w:pPr>
    </w:p>
    <w:p w14:paraId="580D1DBC" w14:textId="527539E4" w:rsidR="00231777" w:rsidRPr="00231777" w:rsidRDefault="00231777" w:rsidP="00231777">
      <w:pPr>
        <w:pStyle w:val="Odstavecseseznamem"/>
        <w:numPr>
          <w:ilvl w:val="0"/>
          <w:numId w:val="18"/>
        </w:numPr>
        <w:autoSpaceDE w:val="0"/>
        <w:autoSpaceDN w:val="0"/>
        <w:adjustRightInd w:val="0"/>
        <w:spacing w:after="120" w:line="276" w:lineRule="auto"/>
        <w:ind w:left="426" w:hanging="426"/>
        <w:rPr>
          <w:rFonts w:eastAsia="Times New Roman" w:cs="Calibri"/>
          <w:b/>
          <w:color w:val="auto"/>
        </w:rPr>
      </w:pPr>
      <w:r w:rsidRPr="002E1D37">
        <w:rPr>
          <w:rFonts w:eastAsia="Times New Roman" w:cs="Calibri"/>
          <w:b/>
          <w:color w:val="auto"/>
        </w:rPr>
        <w:t xml:space="preserve">Nařízením Komise (EU) č. 1407/2013 </w:t>
      </w:r>
      <w:r w:rsidRPr="002E1D37">
        <w:rPr>
          <w:rFonts w:eastAsia="Times New Roman" w:cs="Calibri"/>
          <w:color w:val="auto"/>
        </w:rPr>
        <w:t>se rozumí Nařízení Komise (EU) č. 1407/2013 ze dne 18. prosince 2013 o použití článků 107 a 108 Smlouvy o fungování Evropské unie na podporu de minimis (Úřední věstník EU, L 352, 24. 12. 2013, str. 1-8).</w:t>
      </w:r>
    </w:p>
    <w:p w14:paraId="21FDDBB0" w14:textId="77777777" w:rsidR="00A13591" w:rsidRPr="00C658A9" w:rsidRDefault="00A13591" w:rsidP="001D6469">
      <w:pPr>
        <w:numPr>
          <w:ilvl w:val="0"/>
          <w:numId w:val="18"/>
        </w:numPr>
        <w:spacing w:after="200" w:line="276" w:lineRule="auto"/>
        <w:ind w:left="426" w:hanging="426"/>
        <w:rPr>
          <w:lang w:eastAsia="cs-CZ"/>
        </w:rPr>
      </w:pPr>
      <w:r w:rsidRPr="00DD0A67">
        <w:rPr>
          <w:b/>
          <w:lang w:eastAsia="cs-CZ"/>
        </w:rPr>
        <w:t>Etapa projektu (Etapa)</w:t>
      </w:r>
      <w:r w:rsidRPr="00033FE3">
        <w:rPr>
          <w:lang w:eastAsia="cs-CZ"/>
        </w:rPr>
        <w:t xml:space="preserve"> – ucelená část Projektu skládající se z jednotlivých dokončených prací, </w:t>
      </w:r>
      <w:r w:rsidRPr="00C658A9">
        <w:rPr>
          <w:lang w:eastAsia="cs-CZ"/>
        </w:rPr>
        <w:t xml:space="preserve">resp. položek způsobilých </w:t>
      </w:r>
      <w:r>
        <w:rPr>
          <w:lang w:eastAsia="cs-CZ"/>
        </w:rPr>
        <w:t>výdajů</w:t>
      </w:r>
      <w:r w:rsidRPr="00C658A9">
        <w:rPr>
          <w:lang w:eastAsia="cs-CZ"/>
        </w:rPr>
        <w:t xml:space="preserve"> v rozsahu daném žádostí o podporu.</w:t>
      </w:r>
    </w:p>
    <w:p w14:paraId="22E1A99C" w14:textId="15B1E650" w:rsidR="00A13591" w:rsidRPr="00F846D7" w:rsidRDefault="00577344" w:rsidP="001D6469">
      <w:pPr>
        <w:numPr>
          <w:ilvl w:val="0"/>
          <w:numId w:val="18"/>
        </w:numPr>
        <w:spacing w:after="200" w:line="276" w:lineRule="auto"/>
        <w:ind w:left="426" w:hanging="426"/>
        <w:rPr>
          <w:lang w:eastAsia="cs-CZ"/>
        </w:rPr>
      </w:pPr>
      <w:r>
        <w:rPr>
          <w:b/>
          <w:lang w:eastAsia="cs-CZ"/>
        </w:rPr>
        <w:t>Malý a střední podnik</w:t>
      </w:r>
      <w:r w:rsidR="00A13591" w:rsidRPr="00C658A9">
        <w:rPr>
          <w:b/>
          <w:lang w:eastAsia="cs-CZ"/>
        </w:rPr>
        <w:t xml:space="preserve"> (MSP)</w:t>
      </w:r>
      <w:r w:rsidR="00A13591" w:rsidRPr="00C658A9">
        <w:rPr>
          <w:lang w:eastAsia="cs-CZ"/>
        </w:rPr>
        <w:t xml:space="preserve"> je podnik splňující definici stanovenou v Příloze č. 1 Nařízení Komise </w:t>
      </w:r>
      <w:r w:rsidR="00A13591">
        <w:rPr>
          <w:lang w:eastAsia="cs-CZ"/>
        </w:rPr>
        <w:t xml:space="preserve">(EU) </w:t>
      </w:r>
      <w:r w:rsidR="00A13591" w:rsidRPr="00C658A9">
        <w:rPr>
          <w:lang w:eastAsia="cs-CZ"/>
        </w:rPr>
        <w:t>č. 651/2014.</w:t>
      </w:r>
      <w:r w:rsidR="00A13591" w:rsidRPr="00F846D7" w:rsidDel="002511CB">
        <w:rPr>
          <w:lang w:eastAsia="cs-CZ"/>
        </w:rPr>
        <w:t xml:space="preserve"> </w:t>
      </w:r>
    </w:p>
    <w:p w14:paraId="463498C4" w14:textId="77777777" w:rsidR="00A13591" w:rsidRPr="00C658A9" w:rsidRDefault="00A13591" w:rsidP="001D6469">
      <w:pPr>
        <w:numPr>
          <w:ilvl w:val="0"/>
          <w:numId w:val="18"/>
        </w:numPr>
        <w:spacing w:after="200" w:line="276" w:lineRule="auto"/>
        <w:ind w:left="426" w:hanging="426"/>
        <w:rPr>
          <w:lang w:eastAsia="cs-CZ"/>
        </w:rPr>
      </w:pPr>
      <w:r w:rsidRPr="00C658A9">
        <w:rPr>
          <w:b/>
          <w:lang w:eastAsia="cs-CZ"/>
        </w:rPr>
        <w:t>Přijatelnost projektu</w:t>
      </w:r>
      <w:r w:rsidRPr="00C658A9">
        <w:rPr>
          <w:lang w:eastAsia="cs-CZ"/>
        </w:rPr>
        <w:t xml:space="preserve"> – datum podání Žádosti o podporu.</w:t>
      </w:r>
    </w:p>
    <w:p w14:paraId="6AD581E6" w14:textId="77777777" w:rsidR="00A13591" w:rsidRPr="00F846D7" w:rsidRDefault="00A13591" w:rsidP="001D6469">
      <w:pPr>
        <w:numPr>
          <w:ilvl w:val="0"/>
          <w:numId w:val="18"/>
        </w:numPr>
        <w:spacing w:after="200" w:line="276" w:lineRule="auto"/>
        <w:ind w:left="426" w:hanging="426"/>
        <w:rPr>
          <w:lang w:eastAsia="cs-CZ"/>
        </w:rPr>
      </w:pPr>
      <w:r w:rsidRPr="00F846D7">
        <w:rPr>
          <w:b/>
          <w:lang w:eastAsia="cs-CZ"/>
        </w:rPr>
        <w:t>Příjemce podpory</w:t>
      </w:r>
      <w:r w:rsidRPr="00F846D7">
        <w:rPr>
          <w:lang w:eastAsia="cs-CZ"/>
        </w:rPr>
        <w:t xml:space="preserve"> – MSP, který obdržel podporu podle této Výzvy.</w:t>
      </w:r>
    </w:p>
    <w:p w14:paraId="77A7BC0D" w14:textId="77777777" w:rsidR="003C258C" w:rsidRDefault="00A13591" w:rsidP="00777926">
      <w:pPr>
        <w:numPr>
          <w:ilvl w:val="0"/>
          <w:numId w:val="18"/>
        </w:numPr>
        <w:spacing w:after="240" w:line="276" w:lineRule="auto"/>
        <w:ind w:left="426" w:hanging="426"/>
        <w:rPr>
          <w:lang w:eastAsia="cs-CZ"/>
        </w:rPr>
      </w:pPr>
      <w:r w:rsidRPr="00DD0A67">
        <w:rPr>
          <w:b/>
          <w:lang w:eastAsia="cs-CZ"/>
        </w:rPr>
        <w:t xml:space="preserve">Způsobilé </w:t>
      </w:r>
      <w:r>
        <w:rPr>
          <w:b/>
          <w:lang w:eastAsia="cs-CZ"/>
        </w:rPr>
        <w:t>výdaje</w:t>
      </w:r>
      <w:r w:rsidRPr="00DD0A67">
        <w:rPr>
          <w:b/>
          <w:lang w:eastAsia="cs-CZ"/>
        </w:rPr>
        <w:t xml:space="preserve"> (Z</w:t>
      </w:r>
      <w:r>
        <w:rPr>
          <w:b/>
          <w:lang w:eastAsia="cs-CZ"/>
        </w:rPr>
        <w:t>V</w:t>
      </w:r>
      <w:r w:rsidRPr="00DD0A67">
        <w:rPr>
          <w:b/>
          <w:lang w:eastAsia="cs-CZ"/>
        </w:rPr>
        <w:t>)</w:t>
      </w:r>
      <w:r w:rsidRPr="009577F8">
        <w:rPr>
          <w:lang w:eastAsia="cs-CZ"/>
        </w:rPr>
        <w:t xml:space="preserve"> –</w:t>
      </w:r>
      <w:r>
        <w:rPr>
          <w:lang w:eastAsia="cs-CZ"/>
        </w:rPr>
        <w:t xml:space="preserve"> výdaje </w:t>
      </w:r>
      <w:r w:rsidRPr="009577F8">
        <w:rPr>
          <w:lang w:eastAsia="cs-CZ"/>
        </w:rPr>
        <w:t>na realizaci projektu, které jsou v souladu s Výzvou a vznikly po datu Přijatelnosti projektu.</w:t>
      </w:r>
    </w:p>
    <w:p w14:paraId="25065940" w14:textId="231ABFB5" w:rsidR="003C258C" w:rsidRDefault="003C258C" w:rsidP="00777926">
      <w:pPr>
        <w:numPr>
          <w:ilvl w:val="0"/>
          <w:numId w:val="18"/>
        </w:numPr>
        <w:spacing w:after="240" w:line="276" w:lineRule="auto"/>
        <w:ind w:left="426" w:hanging="426"/>
        <w:rPr>
          <w:lang w:eastAsia="cs-CZ"/>
        </w:rPr>
      </w:pPr>
      <w:r w:rsidRPr="003C258C">
        <w:rPr>
          <w:b/>
          <w:lang w:eastAsia="cs-CZ"/>
        </w:rPr>
        <w:t>Integrovaná územní investice (ITI)</w:t>
      </w:r>
      <w:r w:rsidRPr="0038125C">
        <w:rPr>
          <w:lang w:eastAsia="cs-CZ"/>
        </w:rPr>
        <w:t xml:space="preserve"> - ITI jsou v souladu s čl. 36 nařízení Evropského parlamentu a Rady č. 1303/2013 a na základě jejich vymezení ve Strategii regionálního rozvoje</w:t>
      </w:r>
      <w:r w:rsidR="00FA3BA4">
        <w:rPr>
          <w:lang w:eastAsia="cs-CZ"/>
        </w:rPr>
        <w:t xml:space="preserve"> ČR 2014 - 2020 využity v </w:t>
      </w:r>
      <w:r w:rsidRPr="0038125C">
        <w:rPr>
          <w:lang w:eastAsia="cs-CZ"/>
        </w:rPr>
        <w:t>největších metropolitních oblastech celostátního významu. ITI jsou naplňovány projekty spolufinancovanými z různých operačních programů v souladu s integrovanými strategiemi rozvoje území. Pro každou ITI je zpracována jedna integrovaná strategie rozvoje území, která vyhodnocuje problémy a potenciál vymezeného území a navrhuje jeho další rozvoj pomocí konkrétních opatření.</w:t>
      </w:r>
    </w:p>
    <w:p w14:paraId="41495F1C" w14:textId="77777777" w:rsidR="003C258C" w:rsidRDefault="003C258C" w:rsidP="00777926">
      <w:pPr>
        <w:numPr>
          <w:ilvl w:val="0"/>
          <w:numId w:val="18"/>
        </w:numPr>
        <w:spacing w:after="240" w:line="276" w:lineRule="auto"/>
        <w:ind w:left="426" w:hanging="426"/>
        <w:rPr>
          <w:lang w:eastAsia="cs-CZ"/>
        </w:rPr>
      </w:pPr>
      <w:r w:rsidRPr="003C258C">
        <w:rPr>
          <w:b/>
          <w:lang w:eastAsia="cs-CZ"/>
        </w:rPr>
        <w:t xml:space="preserve">Nositel ITI </w:t>
      </w:r>
      <w:r w:rsidRPr="0038125C">
        <w:rPr>
          <w:lang w:eastAsia="cs-CZ"/>
        </w:rPr>
        <w:t>- odpovědný subjekt, zajišťující ve vymezeném území činnosti za účelem přípravy, schválení, realizace a vyhodnocování integrované strategie rozvoje území. Nositelem ITI je určené jádrové město příslušné městské aglomerace</w:t>
      </w:r>
      <w:r>
        <w:rPr>
          <w:lang w:eastAsia="cs-CZ"/>
        </w:rPr>
        <w:t xml:space="preserve"> či </w:t>
      </w:r>
      <w:r>
        <w:t>metropolitní oblasti</w:t>
      </w:r>
      <w:r w:rsidRPr="0038125C">
        <w:rPr>
          <w:lang w:eastAsia="cs-CZ"/>
        </w:rPr>
        <w:t xml:space="preserve">. </w:t>
      </w:r>
      <w:r w:rsidRPr="0038125C">
        <w:t>Nositel ITI průběžně zajišťuje sběr projektových záměrů přispívajících k plnění cílů integrované strategie rozvoje území a vydává soulad projektového záměru s danou integrovanou strategií rozvoje území.</w:t>
      </w:r>
    </w:p>
    <w:p w14:paraId="5FA3B791" w14:textId="77777777" w:rsidR="003C258C" w:rsidRDefault="003C258C" w:rsidP="00777926">
      <w:pPr>
        <w:numPr>
          <w:ilvl w:val="0"/>
          <w:numId w:val="18"/>
        </w:numPr>
        <w:spacing w:after="240" w:line="276" w:lineRule="auto"/>
        <w:ind w:left="426" w:hanging="426"/>
        <w:rPr>
          <w:lang w:eastAsia="cs-CZ"/>
        </w:rPr>
      </w:pPr>
      <w:r w:rsidRPr="003C258C">
        <w:rPr>
          <w:b/>
          <w:lang w:eastAsia="cs-CZ"/>
        </w:rPr>
        <w:t>Výzva nositele ITI</w:t>
      </w:r>
      <w:r w:rsidRPr="0038125C">
        <w:rPr>
          <w:lang w:eastAsia="cs-CZ"/>
        </w:rPr>
        <w:t xml:space="preserve"> </w:t>
      </w:r>
      <w:r w:rsidRPr="003C258C">
        <w:rPr>
          <w:b/>
          <w:lang w:eastAsia="cs-CZ"/>
        </w:rPr>
        <w:t xml:space="preserve">k předkládání projektových záměrů </w:t>
      </w:r>
      <w:r w:rsidRPr="0038125C">
        <w:rPr>
          <w:lang w:eastAsia="cs-CZ"/>
        </w:rPr>
        <w:t>- výzva k podávání žádostí o poskytnutí podpory k realizaci integrovaného projektu v rámci integrované strategie vyhlašované nositelem integrovaného nástroje. Výzva nositele ITI navazuje na tuto Výzvu Řídicího orgánu OP PIK. Nositel ITI může ve své výzvě definovat, které další informace/dokumenty má žadatel doložit.</w:t>
      </w:r>
    </w:p>
    <w:p w14:paraId="34E35204" w14:textId="2A9AD42B" w:rsidR="00FA3BA4" w:rsidRDefault="003C258C" w:rsidP="00777926">
      <w:pPr>
        <w:numPr>
          <w:ilvl w:val="0"/>
          <w:numId w:val="18"/>
        </w:numPr>
        <w:spacing w:after="240" w:line="276" w:lineRule="auto"/>
        <w:ind w:left="426" w:hanging="426"/>
        <w:rPr>
          <w:lang w:eastAsia="cs-CZ"/>
        </w:rPr>
      </w:pPr>
      <w:r w:rsidRPr="00777926">
        <w:rPr>
          <w:b/>
          <w:lang w:eastAsia="cs-CZ"/>
        </w:rPr>
        <w:t>Zprostředkující subjekt IT</w:t>
      </w:r>
      <w:r w:rsidRPr="00FA3BA4">
        <w:rPr>
          <w:b/>
          <w:lang w:eastAsia="cs-CZ"/>
        </w:rPr>
        <w:t>I</w:t>
      </w:r>
      <w:r w:rsidRPr="003C258C">
        <w:rPr>
          <w:lang w:eastAsia="cs-CZ"/>
        </w:rPr>
        <w:t xml:space="preserve"> - město v roli nositele ITI, které je po</w:t>
      </w:r>
      <w:r w:rsidR="00FA3BA4">
        <w:rPr>
          <w:lang w:eastAsia="cs-CZ"/>
        </w:rPr>
        <w:t>věřeno veřejnoprávní smlouvou k </w:t>
      </w:r>
      <w:r w:rsidRPr="003C258C">
        <w:rPr>
          <w:lang w:eastAsia="cs-CZ"/>
        </w:rPr>
        <w:t>výkonu funkce zprostředkujícího subjektu OP PIK ve smyslu čl. 123 odst. 6 nařízení Evropského parlamentu a Rady č. 1303/2013 a čl. 7 odst. 5 nařízení Evropského parlamentu a Rady č. 1301/2013.</w:t>
      </w:r>
    </w:p>
    <w:p w14:paraId="10CA481F" w14:textId="77777777" w:rsidR="00FA3BA4" w:rsidRDefault="00FA3BA4">
      <w:pPr>
        <w:spacing w:after="0" w:line="240" w:lineRule="auto"/>
        <w:jc w:val="left"/>
        <w:rPr>
          <w:lang w:eastAsia="cs-CZ"/>
        </w:rPr>
      </w:pPr>
      <w:r>
        <w:rPr>
          <w:lang w:eastAsia="cs-CZ"/>
        </w:rPr>
        <w:br w:type="page"/>
      </w:r>
    </w:p>
    <w:p w14:paraId="45F77EFC" w14:textId="77777777" w:rsidR="00F7406A" w:rsidRPr="00F21137" w:rsidRDefault="00F7406A" w:rsidP="00F21137">
      <w:pPr>
        <w:pStyle w:val="Nadpis1"/>
        <w:spacing w:before="0"/>
        <w:rPr>
          <w:rFonts w:eastAsiaTheme="minorHAnsi" w:cstheme="minorBidi"/>
          <w:color w:val="0070C0"/>
          <w:szCs w:val="22"/>
        </w:rPr>
      </w:pPr>
      <w:r w:rsidRPr="00F21137">
        <w:rPr>
          <w:rFonts w:eastAsiaTheme="minorHAnsi" w:cstheme="minorBidi"/>
          <w:color w:val="0070C0"/>
          <w:szCs w:val="22"/>
        </w:rPr>
        <w:lastRenderedPageBreak/>
        <w:t>13. Přílohy a navazující dokumentace k Výzvě</w:t>
      </w:r>
    </w:p>
    <w:p w14:paraId="42CF664F" w14:textId="77777777" w:rsidR="00F7406A" w:rsidRPr="00AC2CCE" w:rsidRDefault="00F7406A" w:rsidP="00F7406A">
      <w:pPr>
        <w:pStyle w:val="normln0"/>
        <w:tabs>
          <w:tab w:val="clear" w:pos="0"/>
        </w:tabs>
        <w:spacing w:before="120"/>
        <w:rPr>
          <w:rFonts w:asciiTheme="majorHAnsi" w:hAnsiTheme="majorHAnsi" w:cs="Calibri"/>
          <w:b/>
          <w:sz w:val="22"/>
          <w:szCs w:val="22"/>
        </w:rPr>
      </w:pPr>
      <w:r w:rsidRPr="00AC2CCE">
        <w:rPr>
          <w:rFonts w:asciiTheme="majorHAnsi" w:hAnsiTheme="majorHAnsi" w:cs="Calibri"/>
          <w:b/>
          <w:sz w:val="22"/>
          <w:szCs w:val="22"/>
        </w:rPr>
        <w:t>Specifické přílohy:</w:t>
      </w:r>
    </w:p>
    <w:p w14:paraId="623589A3" w14:textId="2DF6F079" w:rsidR="003C258C" w:rsidRPr="00777926" w:rsidRDefault="003C258C" w:rsidP="00777926">
      <w:pPr>
        <w:pStyle w:val="Odstavecseseznamem"/>
        <w:numPr>
          <w:ilvl w:val="0"/>
          <w:numId w:val="49"/>
        </w:numPr>
        <w:rPr>
          <w:rFonts w:cs="Calibri"/>
          <w:color w:val="000000"/>
        </w:rPr>
      </w:pPr>
      <w:r w:rsidRPr="003C258C">
        <w:rPr>
          <w:rFonts w:cs="Calibri"/>
          <w:color w:val="000000"/>
        </w:rPr>
        <w:t>Seznam obcí</w:t>
      </w:r>
    </w:p>
    <w:p w14:paraId="2994B998" w14:textId="77777777" w:rsidR="00B87303" w:rsidRPr="00367A47" w:rsidRDefault="00B87303" w:rsidP="00B87303">
      <w:pPr>
        <w:pStyle w:val="Odstavecseseznamem"/>
        <w:numPr>
          <w:ilvl w:val="0"/>
          <w:numId w:val="49"/>
        </w:numPr>
        <w:autoSpaceDE w:val="0"/>
        <w:autoSpaceDN w:val="0"/>
        <w:adjustRightInd w:val="0"/>
        <w:spacing w:after="58" w:line="276" w:lineRule="auto"/>
        <w:rPr>
          <w:rFonts w:cs="Calibri"/>
          <w:color w:val="000000"/>
        </w:rPr>
      </w:pPr>
      <w:r w:rsidRPr="00367A47">
        <w:rPr>
          <w:rFonts w:cs="Calibri"/>
          <w:color w:val="000000"/>
        </w:rPr>
        <w:t xml:space="preserve">Model hodnocení a kritéria pro hodnocení a výběr projektů </w:t>
      </w:r>
    </w:p>
    <w:p w14:paraId="49A0CE57" w14:textId="77777777" w:rsidR="00B87303" w:rsidRPr="00A7040B" w:rsidRDefault="00B87303" w:rsidP="00B87303">
      <w:pPr>
        <w:pStyle w:val="Odstavecseseznamem"/>
        <w:numPr>
          <w:ilvl w:val="0"/>
          <w:numId w:val="49"/>
        </w:numPr>
        <w:autoSpaceDE w:val="0"/>
        <w:autoSpaceDN w:val="0"/>
        <w:adjustRightInd w:val="0"/>
        <w:spacing w:after="58" w:line="276" w:lineRule="auto"/>
        <w:rPr>
          <w:rFonts w:cs="Calibri"/>
          <w:color w:val="000000"/>
        </w:rPr>
      </w:pPr>
      <w:r w:rsidRPr="00B87303">
        <w:rPr>
          <w:rFonts w:cs="Calibri"/>
          <w:color w:val="000000"/>
        </w:rPr>
        <w:t>Podporované kategorie CZ-NACE</w:t>
      </w:r>
    </w:p>
    <w:p w14:paraId="7EB100A7" w14:textId="77777777" w:rsidR="003C258C" w:rsidRPr="003C258C" w:rsidRDefault="003C258C" w:rsidP="003C258C">
      <w:pPr>
        <w:pStyle w:val="Odstavecseseznamem"/>
        <w:numPr>
          <w:ilvl w:val="0"/>
          <w:numId w:val="49"/>
        </w:numPr>
        <w:rPr>
          <w:rFonts w:cs="Calibri"/>
          <w:color w:val="000000"/>
        </w:rPr>
      </w:pPr>
      <w:r w:rsidRPr="003C258C">
        <w:rPr>
          <w:rFonts w:cs="Calibri"/>
          <w:color w:val="000000"/>
        </w:rPr>
        <w:t>Pravidla pro žadatele a příjemce – Zvláštní část</w:t>
      </w:r>
    </w:p>
    <w:p w14:paraId="7120FEED" w14:textId="77777777" w:rsidR="00A1285A" w:rsidRDefault="003C258C" w:rsidP="00B87303">
      <w:pPr>
        <w:pStyle w:val="Odstavecseseznamem"/>
        <w:numPr>
          <w:ilvl w:val="0"/>
          <w:numId w:val="49"/>
        </w:numPr>
        <w:autoSpaceDE w:val="0"/>
        <w:autoSpaceDN w:val="0"/>
        <w:adjustRightInd w:val="0"/>
        <w:spacing w:after="58" w:line="276" w:lineRule="auto"/>
        <w:rPr>
          <w:rFonts w:cs="Calibri"/>
          <w:color w:val="000000"/>
        </w:rPr>
      </w:pPr>
      <w:r w:rsidRPr="00164D40">
        <w:rPr>
          <w:rFonts w:cs="Calibri"/>
          <w:lang w:eastAsia="cs-CZ"/>
        </w:rPr>
        <w:t>Vzor Rozhodnutí o poskytnutí dotace</w:t>
      </w:r>
      <w:r w:rsidRPr="00367A47" w:rsidDel="003C258C">
        <w:rPr>
          <w:rFonts w:cs="Calibri"/>
          <w:color w:val="000000"/>
        </w:rPr>
        <w:t xml:space="preserve"> </w:t>
      </w:r>
    </w:p>
    <w:p w14:paraId="52576437" w14:textId="785BD570" w:rsidR="003B3C50" w:rsidRPr="00B323AD" w:rsidRDefault="00A1285A" w:rsidP="00B323AD">
      <w:pPr>
        <w:pStyle w:val="Odstavecseseznamem"/>
        <w:numPr>
          <w:ilvl w:val="0"/>
          <w:numId w:val="49"/>
        </w:numPr>
        <w:autoSpaceDE w:val="0"/>
        <w:autoSpaceDN w:val="0"/>
        <w:adjustRightInd w:val="0"/>
        <w:spacing w:after="58" w:line="276" w:lineRule="auto"/>
        <w:rPr>
          <w:rFonts w:cs="Calibri"/>
          <w:color w:val="000000"/>
        </w:rPr>
      </w:pPr>
      <w:r>
        <w:rPr>
          <w:rFonts w:cs="Calibri"/>
          <w:bCs/>
          <w:color w:val="000000"/>
        </w:rPr>
        <w:t>Osnova – Plán digitální transformace</w:t>
      </w:r>
    </w:p>
    <w:p w14:paraId="3C35DD02" w14:textId="3C7070DF" w:rsidR="00B87303" w:rsidRPr="00777926" w:rsidRDefault="00B87303" w:rsidP="00B87303">
      <w:pPr>
        <w:pStyle w:val="Odstavecseseznamem"/>
        <w:numPr>
          <w:ilvl w:val="0"/>
          <w:numId w:val="49"/>
        </w:numPr>
        <w:autoSpaceDE w:val="0"/>
        <w:autoSpaceDN w:val="0"/>
        <w:adjustRightInd w:val="0"/>
        <w:spacing w:after="58" w:line="276" w:lineRule="auto"/>
        <w:rPr>
          <w:rFonts w:cs="Calibri"/>
          <w:color w:val="000000"/>
        </w:rPr>
      </w:pPr>
      <w:r w:rsidRPr="00B90D16">
        <w:rPr>
          <w:rFonts w:cs="Calibri"/>
          <w:bCs/>
          <w:color w:val="000000"/>
        </w:rPr>
        <w:t>Seznam jurisdikcí nespolupracujících v daňové oblasti dle Rady EU</w:t>
      </w:r>
      <w:r w:rsidR="00C85E45">
        <w:rPr>
          <w:rFonts w:cs="Calibri"/>
          <w:bCs/>
          <w:color w:val="000000"/>
        </w:rPr>
        <w:t xml:space="preserve"> – platnost k datu vyhlášení výzvy</w:t>
      </w:r>
    </w:p>
    <w:p w14:paraId="796C72EF" w14:textId="77777777" w:rsidR="00F7406A" w:rsidRDefault="00F7406A" w:rsidP="00F7406A">
      <w:pPr>
        <w:pStyle w:val="normln0"/>
        <w:spacing w:before="120"/>
        <w:rPr>
          <w:rFonts w:asciiTheme="majorHAnsi" w:hAnsiTheme="majorHAnsi" w:cs="Calibri"/>
          <w:sz w:val="22"/>
          <w:szCs w:val="22"/>
          <w:u w:val="single"/>
        </w:rPr>
      </w:pPr>
    </w:p>
    <w:p w14:paraId="50823987" w14:textId="77777777" w:rsidR="00F7406A" w:rsidRPr="00A7040B" w:rsidRDefault="00F7406A" w:rsidP="00A7040B">
      <w:pPr>
        <w:autoSpaceDE w:val="0"/>
        <w:autoSpaceDN w:val="0"/>
        <w:adjustRightInd w:val="0"/>
        <w:spacing w:after="58" w:line="276" w:lineRule="auto"/>
        <w:rPr>
          <w:rFonts w:cs="Calibri"/>
          <w:b/>
          <w:color w:val="000000"/>
        </w:rPr>
      </w:pPr>
      <w:r w:rsidRPr="00A7040B">
        <w:rPr>
          <w:rFonts w:cs="Calibri"/>
          <w:b/>
          <w:color w:val="000000"/>
        </w:rPr>
        <w:t>Společné přílohy výzvy:</w:t>
      </w:r>
    </w:p>
    <w:p w14:paraId="2EE5CFE1"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Změna žadatele a prokazování splnění podmínky účetní, ekonomické a daňové historie žadatele</w:t>
      </w:r>
    </w:p>
    <w:p w14:paraId="4164AA6D"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Příloha I Smlouvy o EU</w:t>
      </w:r>
    </w:p>
    <w:p w14:paraId="4DEB0092"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Pravidla pro žadatele a příjemce – Obecná část</w:t>
      </w:r>
    </w:p>
    <w:p w14:paraId="4B81CD3C"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Pravidla pro výběr dodavatelů</w:t>
      </w:r>
    </w:p>
    <w:p w14:paraId="4DAB5BBA"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Pravidla způsobilosti a publicity</w:t>
      </w:r>
    </w:p>
    <w:p w14:paraId="41EABBBF"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Uživatelská příručka IS KP14+: Pokyny pro vyplnění formuláře žádosti o podporu</w:t>
      </w:r>
    </w:p>
    <w:p w14:paraId="65316BAC"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Kategorizace sankcí za porušení postupu zadavatele zakázek</w:t>
      </w:r>
    </w:p>
    <w:p w14:paraId="33FC84CB"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Metodický pokyn řídícího orgánu OP PIK k podkladům k žádosti o podporu pro kontrolu obvyklých cen u stavebních prací a technologií</w:t>
      </w:r>
    </w:p>
    <w:p w14:paraId="797F3B61"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Číselník právních forem</w:t>
      </w:r>
    </w:p>
    <w:p w14:paraId="2115FE10" w14:textId="77777777" w:rsidR="00F7406A" w:rsidRPr="00A7040B" w:rsidRDefault="00F7406A" w:rsidP="00A7040B">
      <w:pPr>
        <w:pStyle w:val="Odstavecseseznamem"/>
        <w:numPr>
          <w:ilvl w:val="0"/>
          <w:numId w:val="50"/>
        </w:numPr>
        <w:autoSpaceDE w:val="0"/>
        <w:autoSpaceDN w:val="0"/>
        <w:adjustRightInd w:val="0"/>
        <w:spacing w:after="58" w:line="276" w:lineRule="auto"/>
        <w:rPr>
          <w:rFonts w:cs="Calibri"/>
          <w:color w:val="000000"/>
        </w:rPr>
      </w:pPr>
      <w:r w:rsidRPr="00A7040B">
        <w:rPr>
          <w:rFonts w:cs="Calibri"/>
          <w:color w:val="000000"/>
        </w:rPr>
        <w:t>Pravidl</w:t>
      </w:r>
      <w:r w:rsidR="00CC2210">
        <w:rPr>
          <w:rFonts w:cs="Calibri"/>
          <w:color w:val="000000"/>
        </w:rPr>
        <w:t>a</w:t>
      </w:r>
      <w:r w:rsidRPr="00A7040B">
        <w:rPr>
          <w:rFonts w:cs="Calibri"/>
          <w:color w:val="000000"/>
        </w:rPr>
        <w:t xml:space="preserve"> spolufinancování ESIF v programovém období 2014 – 2020 </w:t>
      </w:r>
    </w:p>
    <w:p w14:paraId="6875D023" w14:textId="0365AE34" w:rsidR="00362832" w:rsidRPr="0063296D" w:rsidRDefault="002E1D37" w:rsidP="002E1D37">
      <w:pPr>
        <w:pStyle w:val="Odstavecseseznamem"/>
        <w:numPr>
          <w:ilvl w:val="0"/>
          <w:numId w:val="50"/>
        </w:numPr>
        <w:autoSpaceDE w:val="0"/>
        <w:autoSpaceDN w:val="0"/>
        <w:adjustRightInd w:val="0"/>
        <w:spacing w:after="58" w:line="276" w:lineRule="auto"/>
      </w:pPr>
      <w:r w:rsidRPr="00367A47">
        <w:rPr>
          <w:rFonts w:cs="Calibri"/>
          <w:color w:val="000000"/>
        </w:rPr>
        <w:t>Prohlášení k žádosti o podporu bez de minimis</w:t>
      </w:r>
    </w:p>
    <w:sectPr w:rsidR="00362832" w:rsidRPr="0063296D" w:rsidSect="00DD4F38">
      <w:footerReference w:type="default" r:id="rId13"/>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B3C1A" w16cid:durableId="1F8D7024"/>
  <w16cid:commentId w16cid:paraId="4289E3A7" w16cid:durableId="1F8D70DA"/>
  <w16cid:commentId w16cid:paraId="73B3EFA6" w16cid:durableId="1F8D7158"/>
  <w16cid:commentId w16cid:paraId="2BFF571B" w16cid:durableId="1F8D726C"/>
  <w16cid:commentId w16cid:paraId="386B24CA" w16cid:durableId="1F8D72B4"/>
  <w16cid:commentId w16cid:paraId="18A3E88B" w16cid:durableId="1F8D74BA"/>
  <w16cid:commentId w16cid:paraId="696843A4" w16cid:durableId="1F8D72F8"/>
  <w16cid:commentId w16cid:paraId="644DBBB1" w16cid:durableId="1F8D75DD"/>
  <w16cid:commentId w16cid:paraId="34005D13" w16cid:durableId="1F8D7635"/>
  <w16cid:commentId w16cid:paraId="11FBBDB2" w16cid:durableId="1F8D7680"/>
  <w16cid:commentId w16cid:paraId="4BFEB385" w16cid:durableId="1F8D775A"/>
  <w16cid:commentId w16cid:paraId="6B3F7A87" w16cid:durableId="1F8D77B2"/>
  <w16cid:commentId w16cid:paraId="222F2575" w16cid:durableId="1F8D77DE"/>
  <w16cid:commentId w16cid:paraId="6475ED85" w16cid:durableId="1F8D7831"/>
  <w16cid:commentId w16cid:paraId="68D4F949" w16cid:durableId="1F8D7888"/>
  <w16cid:commentId w16cid:paraId="775E36EE" w16cid:durableId="1F8D7A65"/>
  <w16cid:commentId w16cid:paraId="2A4B8EC6" w16cid:durableId="1F8D797F"/>
  <w16cid:commentId w16cid:paraId="3CD813A0" w16cid:durableId="1F8D7A38"/>
  <w16cid:commentId w16cid:paraId="7A262719" w16cid:durableId="1F8D7ABC"/>
  <w16cid:commentId w16cid:paraId="0A187A81" w16cid:durableId="1F8D7ACF"/>
  <w16cid:commentId w16cid:paraId="6EE43F1D" w16cid:durableId="1F8D7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380A" w14:textId="77777777" w:rsidR="00E76E31" w:rsidRDefault="00E76E31" w:rsidP="00F7406A">
      <w:pPr>
        <w:spacing w:after="0" w:line="240" w:lineRule="auto"/>
      </w:pPr>
      <w:r>
        <w:separator/>
      </w:r>
    </w:p>
  </w:endnote>
  <w:endnote w:type="continuationSeparator" w:id="0">
    <w:p w14:paraId="5D37DF18" w14:textId="77777777" w:rsidR="00E76E31" w:rsidRDefault="00E76E31" w:rsidP="00F7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153343"/>
      <w:docPartObj>
        <w:docPartGallery w:val="Page Numbers (Bottom of Page)"/>
        <w:docPartUnique/>
      </w:docPartObj>
    </w:sdtPr>
    <w:sdtEndPr/>
    <w:sdtContent>
      <w:p w14:paraId="599BF0B1" w14:textId="77777777" w:rsidR="00E76E31" w:rsidRDefault="00E76E31">
        <w:pPr>
          <w:pStyle w:val="Zpat"/>
          <w:jc w:val="center"/>
        </w:pPr>
        <w:r>
          <w:fldChar w:fldCharType="begin"/>
        </w:r>
        <w:r>
          <w:instrText>PAGE   \* MERGEFORMAT</w:instrText>
        </w:r>
        <w:r>
          <w:fldChar w:fldCharType="separate"/>
        </w:r>
        <w:r w:rsidR="007B518A">
          <w:rPr>
            <w:noProof/>
          </w:rPr>
          <w:t>14</w:t>
        </w:r>
        <w:r>
          <w:fldChar w:fldCharType="end"/>
        </w:r>
      </w:p>
    </w:sdtContent>
  </w:sdt>
  <w:p w14:paraId="4E6DA904" w14:textId="77777777" w:rsidR="00E76E31" w:rsidRDefault="00E76E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4265" w14:textId="77777777" w:rsidR="00E76E31" w:rsidRDefault="00E76E31" w:rsidP="00F7406A">
      <w:pPr>
        <w:spacing w:after="0" w:line="240" w:lineRule="auto"/>
      </w:pPr>
      <w:r>
        <w:separator/>
      </w:r>
    </w:p>
  </w:footnote>
  <w:footnote w:type="continuationSeparator" w:id="0">
    <w:p w14:paraId="1AAA5F5D" w14:textId="77777777" w:rsidR="00E76E31" w:rsidRDefault="00E76E31" w:rsidP="00F7406A">
      <w:pPr>
        <w:spacing w:after="0" w:line="240" w:lineRule="auto"/>
      </w:pPr>
      <w:r>
        <w:continuationSeparator/>
      </w:r>
    </w:p>
  </w:footnote>
  <w:footnote w:id="1">
    <w:p w14:paraId="2B53008D" w14:textId="74D8DBC9" w:rsidR="00E76E31" w:rsidRPr="00DA71AC" w:rsidRDefault="00E76E31" w:rsidP="00F92CBA">
      <w:pPr>
        <w:pStyle w:val="Textpoznpodarou"/>
        <w:rPr>
          <w:sz w:val="19"/>
          <w:szCs w:val="19"/>
        </w:rPr>
      </w:pPr>
      <w:r>
        <w:rPr>
          <w:rStyle w:val="Znakapoznpodarou"/>
        </w:rPr>
        <w:footnoteRef/>
      </w:r>
      <w:r>
        <w:t xml:space="preserve"> </w:t>
      </w:r>
      <w:r w:rsidRPr="002B5133">
        <w:rPr>
          <w:sz w:val="19"/>
          <w:szCs w:val="19"/>
        </w:rPr>
        <w:t>Jako ERP nelze akceptovat jednoduché účetní systémy (</w:t>
      </w:r>
      <w:r>
        <w:rPr>
          <w:sz w:val="19"/>
          <w:szCs w:val="19"/>
        </w:rPr>
        <w:t xml:space="preserve">jako jsou např. </w:t>
      </w:r>
      <w:r w:rsidRPr="002B5133">
        <w:rPr>
          <w:sz w:val="19"/>
          <w:szCs w:val="19"/>
        </w:rPr>
        <w:t>Money S3, eFaktura, iDoklad, ABRA, Pohoda, Duel, Stereo, Vario, Keloc, MRP...)</w:t>
      </w:r>
    </w:p>
    <w:p w14:paraId="2A48F48B" w14:textId="77777777" w:rsidR="00E76E31" w:rsidRPr="00DA71AC" w:rsidRDefault="00E76E31" w:rsidP="00F92CBA">
      <w:pPr>
        <w:pStyle w:val="Textpoznpodarou"/>
        <w:rPr>
          <w:sz w:val="19"/>
          <w:szCs w:val="19"/>
        </w:rPr>
      </w:pPr>
    </w:p>
  </w:footnote>
  <w:footnote w:id="2">
    <w:p w14:paraId="4BDCC698" w14:textId="5D88136E" w:rsidR="00E76E31" w:rsidRPr="00DA71AC" w:rsidRDefault="00E76E31" w:rsidP="00F7406A">
      <w:pPr>
        <w:pStyle w:val="Textpoznpodarou"/>
        <w:rPr>
          <w:sz w:val="19"/>
          <w:szCs w:val="19"/>
        </w:rPr>
      </w:pPr>
      <w:r>
        <w:rPr>
          <w:rStyle w:val="Znakapoznpodarou"/>
        </w:rPr>
        <w:footnoteRef/>
      </w:r>
      <w:r>
        <w:t xml:space="preserve"> </w:t>
      </w:r>
      <w:r w:rsidRPr="00DA71AC">
        <w:rPr>
          <w:sz w:val="19"/>
          <w:szCs w:val="19"/>
        </w:rPr>
        <w:t xml:space="preserve">Indikátory </w:t>
      </w:r>
      <w:r w:rsidRPr="00DA71AC">
        <w:rPr>
          <w:sz w:val="19"/>
          <w:szCs w:val="19"/>
          <w:u w:val="single"/>
        </w:rPr>
        <w:t>povinné k naplnění</w:t>
      </w:r>
      <w:r w:rsidRPr="00DA71AC">
        <w:rPr>
          <w:sz w:val="19"/>
          <w:szCs w:val="19"/>
        </w:rPr>
        <w:t xml:space="preserve"> (neboli závazné indikátory) jsou indikátory, u kterých se žadatel zavazuje k naplnění jím určené cílové hodnoty. Indikátory </w:t>
      </w:r>
      <w:r w:rsidRPr="00DA71AC">
        <w:rPr>
          <w:sz w:val="19"/>
          <w:szCs w:val="19"/>
          <w:u w:val="single"/>
        </w:rPr>
        <w:t>povinné k výběru</w:t>
      </w:r>
      <w:r w:rsidRPr="00FA3BA4">
        <w:rPr>
          <w:sz w:val="19"/>
          <w:szCs w:val="19"/>
        </w:rPr>
        <w:t xml:space="preserve"> </w:t>
      </w:r>
      <w:r w:rsidRPr="00DA71AC">
        <w:rPr>
          <w:sz w:val="19"/>
          <w:szCs w:val="19"/>
        </w:rPr>
        <w:t>(neboli monitorovací indikátory) nemají nastavenou cílovou hodnotu, žadatel je však povinen je sledovat a vykazovat.</w:t>
      </w:r>
    </w:p>
  </w:footnote>
  <w:footnote w:id="3">
    <w:p w14:paraId="5AFD532F" w14:textId="62183C3C" w:rsidR="00E23BD1" w:rsidRDefault="00E23BD1">
      <w:pPr>
        <w:pStyle w:val="Textpoznpodarou"/>
      </w:pPr>
      <w:r>
        <w:rPr>
          <w:rStyle w:val="Znakapoznpodarou"/>
        </w:rPr>
        <w:footnoteRef/>
      </w:r>
      <w:r>
        <w:t xml:space="preserve"> </w:t>
      </w:r>
      <w:r w:rsidRPr="00E23BD1">
        <w:t>V textu je dále používán pouze termín „žadatel“ a „příjemce“.</w:t>
      </w:r>
    </w:p>
  </w:footnote>
  <w:footnote w:id="4">
    <w:p w14:paraId="0B408F0B" w14:textId="77777777" w:rsidR="00E76E31" w:rsidRPr="00DA71AC" w:rsidRDefault="00E76E31" w:rsidP="00F7406A">
      <w:pPr>
        <w:pStyle w:val="Textpoznpodarou"/>
        <w:rPr>
          <w:sz w:val="19"/>
          <w:szCs w:val="19"/>
        </w:rPr>
      </w:pPr>
      <w:r w:rsidRPr="00DA71AC">
        <w:rPr>
          <w:rStyle w:val="Znakapoznpodarou"/>
          <w:sz w:val="19"/>
          <w:szCs w:val="19"/>
        </w:rPr>
        <w:footnoteRef/>
      </w:r>
      <w:r w:rsidRPr="00DA71AC">
        <w:rPr>
          <w:sz w:val="19"/>
          <w:szCs w:val="19"/>
        </w:rPr>
        <w:t xml:space="preserve"> 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46BC5EE7" w14:textId="77777777" w:rsidR="00E76E31" w:rsidRDefault="00E76E31" w:rsidP="00F7406A">
      <w:pPr>
        <w:pStyle w:val="Textpoznpodarou"/>
      </w:pPr>
      <w:r w:rsidRPr="00DA71AC">
        <w:rPr>
          <w:rStyle w:val="Znakapoznpodarou"/>
          <w:sz w:val="19"/>
          <w:szCs w:val="19"/>
        </w:rPr>
        <w:footnoteRef/>
      </w:r>
      <w:r w:rsidRPr="00DA71AC">
        <w:rPr>
          <w:sz w:val="19"/>
          <w:szCs w:val="19"/>
        </w:rPr>
        <w:t xml:space="preserve"> 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  </w:t>
      </w:r>
    </w:p>
  </w:footnote>
  <w:footnote w:id="6">
    <w:p w14:paraId="4391AFD1" w14:textId="77777777" w:rsidR="00E76E31" w:rsidRPr="00DA71AC" w:rsidRDefault="00E76E31" w:rsidP="00F7406A">
      <w:pPr>
        <w:pStyle w:val="Textpoznpodarou"/>
        <w:rPr>
          <w:sz w:val="19"/>
          <w:szCs w:val="19"/>
        </w:rPr>
      </w:pPr>
      <w:r>
        <w:rPr>
          <w:rStyle w:val="Znakapoznpodarou"/>
        </w:rPr>
        <w:footnoteRef/>
      </w:r>
      <w:r>
        <w:t xml:space="preserve"> </w:t>
      </w:r>
      <w:r w:rsidRPr="00DA71AC">
        <w:rPr>
          <w:color w:val="000000"/>
          <w:sz w:val="19"/>
          <w:szCs w:val="19"/>
        </w:rPr>
        <w:t>„Přemístěním“ se rozumí převedení stejné nebo podobné činnosti, nebo její části z provozovny v jedné smluvní straně Dohody o EHP (původní provozovny) do provozovny, ve které se podporovaná investice uskutečňuje v jiné smluvní straně Dohody o EHP (podporované provozovny). O převedení se jedná,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w:t>
      </w:r>
    </w:p>
  </w:footnote>
  <w:footnote w:id="7">
    <w:p w14:paraId="4712ADFB" w14:textId="77777777" w:rsidR="00E76E31" w:rsidRPr="00DA71AC" w:rsidRDefault="00E76E31" w:rsidP="00F7406A">
      <w:pPr>
        <w:pStyle w:val="Textpoznpodarou"/>
        <w:rPr>
          <w:sz w:val="19"/>
          <w:szCs w:val="19"/>
        </w:rPr>
      </w:pPr>
      <w:r w:rsidRPr="00DA71AC">
        <w:rPr>
          <w:rStyle w:val="Znakapoznpodarou"/>
          <w:sz w:val="19"/>
          <w:szCs w:val="19"/>
        </w:rPr>
        <w:footnoteRef/>
      </w:r>
      <w:r w:rsidRPr="00DA71AC">
        <w:rPr>
          <w:sz w:val="19"/>
          <w:szCs w:val="19"/>
        </w:rPr>
        <w:t xml:space="preserve"> Vyloučení s.r.o. s podílem ve formě kmenového listu.</w:t>
      </w:r>
    </w:p>
  </w:footnote>
  <w:footnote w:id="8">
    <w:p w14:paraId="7671A3A6" w14:textId="4701805B" w:rsidR="00E76E31" w:rsidRPr="00777926" w:rsidRDefault="00E76E31" w:rsidP="00015146">
      <w:pPr>
        <w:pStyle w:val="Textpoznpodarou"/>
        <w:rPr>
          <w:color w:val="000000"/>
          <w:sz w:val="19"/>
          <w:szCs w:val="19"/>
        </w:rPr>
      </w:pPr>
      <w:r>
        <w:rPr>
          <w:rStyle w:val="Znakapoznpodarou"/>
        </w:rPr>
        <w:footnoteRef/>
      </w:r>
      <w:r w:rsidRPr="00777926">
        <w:rPr>
          <w:color w:val="000000"/>
          <w:sz w:val="19"/>
          <w:szCs w:val="19"/>
        </w:rPr>
        <w:t xml:space="preserve"> ŘO OPPIK bude akceptovat i žádosti podnikajících fyzických osob nezapsaných v živnostenském rejstříku, pokud je tento zápis znemožněn z legislativních důvodů a výlučně za předpokladu, že žadatel doloží svou právní formu z jiné pro něho relevantní evidence a zároveň bude provádět svou činnost v podporované ka</w:t>
      </w:r>
      <w:r w:rsidR="008937A4">
        <w:rPr>
          <w:color w:val="000000"/>
          <w:sz w:val="19"/>
          <w:szCs w:val="19"/>
        </w:rPr>
        <w:t>tegorii CZ NACE dle přílohy č. 3</w:t>
      </w:r>
      <w:r w:rsidRPr="00777926">
        <w:rPr>
          <w:color w:val="000000"/>
          <w:sz w:val="19"/>
          <w:szCs w:val="19"/>
        </w:rPr>
        <w:t xml:space="preserve"> Výzvy.</w:t>
      </w:r>
    </w:p>
  </w:footnote>
  <w:footnote w:id="9">
    <w:p w14:paraId="25026142" w14:textId="77777777" w:rsidR="00E76E31" w:rsidRPr="00DA71AC" w:rsidRDefault="00E76E31" w:rsidP="00F7406A">
      <w:pPr>
        <w:pStyle w:val="Textpoznpodarou"/>
        <w:rPr>
          <w:sz w:val="19"/>
          <w:szCs w:val="19"/>
        </w:rPr>
      </w:pPr>
      <w:r w:rsidRPr="00DA71AC">
        <w:rPr>
          <w:rStyle w:val="Znakapoznpodarou"/>
          <w:sz w:val="19"/>
          <w:szCs w:val="19"/>
        </w:rPr>
        <w:footnoteRef/>
      </w:r>
      <w:r w:rsidRPr="00DA71AC">
        <w:rPr>
          <w:sz w:val="19"/>
          <w:szCs w:val="19"/>
        </w:rPr>
        <w:t xml:space="preserve"> Splnění reorganizačního plánu nebo jeho podstatných částí vzal insolvenční soud na vědomí rozhodnutím, kterým reorganizace skončila. </w:t>
      </w:r>
    </w:p>
  </w:footnote>
  <w:footnote w:id="10">
    <w:p w14:paraId="6EE4CE61" w14:textId="77777777" w:rsidR="00644FC0" w:rsidRPr="00DA71AC" w:rsidRDefault="00644FC0" w:rsidP="00644FC0">
      <w:pPr>
        <w:pStyle w:val="CM1"/>
        <w:rPr>
          <w:rFonts w:asciiTheme="minorHAnsi" w:hAnsiTheme="minorHAnsi"/>
          <w:color w:val="000000"/>
          <w:sz w:val="19"/>
          <w:szCs w:val="19"/>
          <w:u w:val="single"/>
        </w:rPr>
      </w:pPr>
      <w:r>
        <w:rPr>
          <w:rStyle w:val="Znakapoznpodarou"/>
        </w:rPr>
        <w:footnoteRef/>
      </w:r>
      <w:r>
        <w:t xml:space="preserve"> </w:t>
      </w:r>
      <w:r w:rsidRPr="00F93A1B">
        <w:rPr>
          <w:rFonts w:asciiTheme="minorHAnsi" w:hAnsiTheme="minorHAnsi"/>
          <w:color w:val="000000"/>
          <w:sz w:val="19"/>
          <w:szCs w:val="19"/>
          <w:u w:val="single"/>
        </w:rPr>
        <w:t xml:space="preserve">„počáteční investicí“ se rozumí: </w:t>
      </w:r>
    </w:p>
    <w:p w14:paraId="5ACE4DAE" w14:textId="77777777" w:rsidR="00644FC0" w:rsidRPr="006B6CE3" w:rsidRDefault="00644FC0" w:rsidP="00644FC0">
      <w:pPr>
        <w:pStyle w:val="CM4"/>
        <w:ind w:left="709"/>
        <w:jc w:val="both"/>
        <w:rPr>
          <w:rFonts w:asciiTheme="minorHAnsi" w:hAnsiTheme="minorHAnsi"/>
          <w:color w:val="000000"/>
          <w:sz w:val="19"/>
          <w:szCs w:val="19"/>
        </w:rPr>
      </w:pPr>
      <w:r w:rsidRPr="00F93A1B">
        <w:rPr>
          <w:rFonts w:asciiTheme="minorHAnsi" w:hAnsiTheme="minorHAnsi"/>
          <w:color w:val="000000"/>
          <w:sz w:val="19"/>
          <w:szCs w:val="19"/>
        </w:rPr>
        <w:t>a) investice do hmotného a nehmotného majetku za účelem založení nové provozovny, rozšíření kapacity stávající provozovny, rozšíření výrobního sortimentu provozovny o výrobky, k</w:t>
      </w:r>
      <w:r w:rsidRPr="006B6CE3">
        <w:rPr>
          <w:rFonts w:asciiTheme="minorHAnsi" w:hAnsiTheme="minorHAnsi"/>
          <w:color w:val="000000"/>
          <w:sz w:val="19"/>
          <w:szCs w:val="19"/>
        </w:rPr>
        <w:t xml:space="preserve">teré nebyly dříve v této provozovně vyráběny, nebo za účelem zásadní změny celkového výrobního postupu stávající provozovny, nebo </w:t>
      </w:r>
    </w:p>
    <w:p w14:paraId="3EF42668" w14:textId="37870286" w:rsidR="00644FC0" w:rsidRDefault="00644FC0" w:rsidP="00644FC0">
      <w:pPr>
        <w:pStyle w:val="CM4"/>
        <w:ind w:left="709"/>
        <w:jc w:val="both"/>
      </w:pPr>
      <w:r w:rsidRPr="00F93A1B">
        <w:rPr>
          <w:color w:val="000000"/>
          <w:sz w:val="19"/>
          <w:szCs w:val="19"/>
        </w:rPr>
        <w:t>b) pořízení majetku náležejícího provozovně, která byla uzavřena nebo by byla uzavřena, pokud by nedošlo k jejímu odkoupení, a kterou odkoupil investor, který není spřízněný s prodávajícím; počáteční investicí není pouhé nabytí podílů v podniku;</w:t>
      </w:r>
    </w:p>
  </w:footnote>
  <w:footnote w:id="11">
    <w:p w14:paraId="7152C6EF" w14:textId="77777777" w:rsidR="00E76E31" w:rsidRPr="00DA71AC" w:rsidRDefault="00E76E31" w:rsidP="00F7406A">
      <w:pPr>
        <w:pStyle w:val="Textpoznpodarou"/>
        <w:rPr>
          <w:sz w:val="19"/>
          <w:szCs w:val="19"/>
        </w:rPr>
      </w:pPr>
      <w:r w:rsidRPr="00DA71AC">
        <w:rPr>
          <w:rStyle w:val="Znakapoznpodarou"/>
          <w:color w:val="auto"/>
          <w:sz w:val="19"/>
          <w:szCs w:val="19"/>
        </w:rPr>
        <w:footnoteRef/>
      </w:r>
      <w:r w:rsidRPr="00DA71AC">
        <w:rPr>
          <w:color w:val="auto"/>
          <w:sz w:val="19"/>
          <w:szCs w:val="19"/>
        </w:rPr>
        <w:t xml:space="preserve"> DPH je způsobilý výdaj pouze u žadatele,  který nemá nárok na odpočet DPH.</w:t>
      </w:r>
    </w:p>
  </w:footnote>
  <w:footnote w:id="12">
    <w:p w14:paraId="0B31EA4D" w14:textId="20AF1549" w:rsidR="00E76E31" w:rsidRPr="00DA71AC" w:rsidRDefault="00E76E31">
      <w:pPr>
        <w:pStyle w:val="Textpoznpodarou"/>
        <w:rPr>
          <w:sz w:val="19"/>
          <w:szCs w:val="19"/>
        </w:rPr>
      </w:pPr>
      <w:r w:rsidRPr="00DA71AC">
        <w:rPr>
          <w:rStyle w:val="Znakapoznpodarou"/>
          <w:sz w:val="19"/>
          <w:szCs w:val="19"/>
        </w:rPr>
        <w:footnoteRef/>
      </w:r>
      <w:r w:rsidRPr="00DA71AC">
        <w:rPr>
          <w:sz w:val="19"/>
          <w:szCs w:val="19"/>
        </w:rPr>
        <w:t xml:space="preserve"> </w:t>
      </w:r>
      <w:r w:rsidRPr="00F93A1B">
        <w:rPr>
          <w:sz w:val="19"/>
          <w:szCs w:val="19"/>
        </w:rPr>
        <w:t>Hmotný majetek musí splňovat tyto podmínky: a) musí se jednat o odepisovaný majetek; b) musí být pořízen za tržních podmínek od třetích o</w:t>
      </w:r>
      <w:r w:rsidRPr="006B6CE3">
        <w:rPr>
          <w:sz w:val="19"/>
          <w:szCs w:val="19"/>
        </w:rPr>
        <w:t>sob nespřízněných s kupujícím, c) musí být zařazen do majetku podniku</w:t>
      </w:r>
      <w:r w:rsidR="00FA3BA4">
        <w:rPr>
          <w:sz w:val="19"/>
          <w:szCs w:val="19"/>
        </w:rPr>
        <w:t>, který je příjemcem podpory, a </w:t>
      </w:r>
      <w:r w:rsidRPr="006B6CE3">
        <w:rPr>
          <w:sz w:val="19"/>
          <w:szCs w:val="19"/>
        </w:rPr>
        <w:t xml:space="preserve">musí být využíván při projektu, na nějž je poskytnuta podpora, po dobu nejméně </w:t>
      </w:r>
      <w:r w:rsidR="0055634B">
        <w:rPr>
          <w:sz w:val="19"/>
          <w:szCs w:val="19"/>
        </w:rPr>
        <w:t>5</w:t>
      </w:r>
      <w:r w:rsidRPr="00F93A1B">
        <w:rPr>
          <w:sz w:val="19"/>
          <w:szCs w:val="19"/>
        </w:rPr>
        <w:t xml:space="preserve"> let</w:t>
      </w:r>
      <w:r w:rsidR="00644FC0">
        <w:rPr>
          <w:sz w:val="19"/>
          <w:szCs w:val="19"/>
        </w:rPr>
        <w:t>.</w:t>
      </w:r>
      <w:r w:rsidRPr="00F93A1B">
        <w:rPr>
          <w:sz w:val="19"/>
          <w:szCs w:val="19"/>
        </w:rPr>
        <w:t xml:space="preserve"> </w:t>
      </w:r>
    </w:p>
  </w:footnote>
  <w:footnote w:id="13">
    <w:p w14:paraId="14F63C61" w14:textId="6047C50E" w:rsidR="00E76E31" w:rsidRPr="00DA71AC" w:rsidRDefault="00E76E31">
      <w:pPr>
        <w:pStyle w:val="Textpoznpodarou"/>
        <w:rPr>
          <w:sz w:val="19"/>
          <w:szCs w:val="19"/>
        </w:rPr>
      </w:pPr>
      <w:r w:rsidRPr="00DA71AC">
        <w:rPr>
          <w:rStyle w:val="Znakapoznpodarou"/>
          <w:sz w:val="19"/>
          <w:szCs w:val="19"/>
        </w:rPr>
        <w:footnoteRef/>
      </w:r>
      <w:r w:rsidRPr="00DA71AC">
        <w:rPr>
          <w:sz w:val="19"/>
          <w:szCs w:val="19"/>
        </w:rPr>
        <w:t xml:space="preserve"> </w:t>
      </w:r>
      <w:r w:rsidRPr="00D262E4">
        <w:rPr>
          <w:sz w:val="19"/>
          <w:szCs w:val="19"/>
        </w:rPr>
        <w:t xml:space="preserve">Nehmotný majetek </w:t>
      </w:r>
      <w:r w:rsidRPr="00DA71AC">
        <w:rPr>
          <w:rFonts w:cs="Times New Roman"/>
          <w:color w:val="000000"/>
          <w:sz w:val="19"/>
          <w:szCs w:val="19"/>
        </w:rPr>
        <w:t xml:space="preserve">je způsobilý pro výpočet investičních nákladů, jestliže splňuje tyto podmínky: </w:t>
      </w:r>
      <w:r w:rsidRPr="00D262E4">
        <w:rPr>
          <w:sz w:val="19"/>
          <w:szCs w:val="19"/>
        </w:rPr>
        <w:t xml:space="preserve">a) musí se používat výlučně jen v provozovně, která je příjemcem podpory; b) musí se jednat o odepisovaný majetek; c) musí být pořízen za tržních podmínek od třetích osob nespřízněných s kupujícím, d) </w:t>
      </w:r>
      <w:r w:rsidRPr="00DA71AC">
        <w:rPr>
          <w:sz w:val="19"/>
          <w:szCs w:val="19"/>
        </w:rPr>
        <w:t xml:space="preserve">musí být zařazen do majetku podniku, který je příjemcem podpory, a musí být využíván při projektu, na nějž je poskytnuta podpora, v případě malých a středních podniků po dobu nejméně </w:t>
      </w:r>
      <w:r w:rsidR="00E52712">
        <w:rPr>
          <w:sz w:val="19"/>
          <w:szCs w:val="19"/>
        </w:rPr>
        <w:t>pěti</w:t>
      </w:r>
      <w:r w:rsidRPr="00DA71AC">
        <w:rPr>
          <w:sz w:val="19"/>
          <w:szCs w:val="19"/>
        </w:rPr>
        <w:t xml:space="preserve"> let</w:t>
      </w:r>
      <w:r w:rsidR="00E52712">
        <w:rPr>
          <w:sz w:val="19"/>
          <w:szCs w:val="19"/>
        </w:rPr>
        <w:t>.</w:t>
      </w:r>
    </w:p>
  </w:footnote>
  <w:footnote w:id="14">
    <w:p w14:paraId="457715C0" w14:textId="77777777" w:rsidR="00E76E31" w:rsidRPr="00DA71AC" w:rsidRDefault="00E76E31" w:rsidP="00F7406A">
      <w:pPr>
        <w:pStyle w:val="Textpoznpodarou"/>
        <w:rPr>
          <w:sz w:val="19"/>
          <w:szCs w:val="19"/>
        </w:rPr>
      </w:pPr>
      <w:r w:rsidRPr="00DA71AC">
        <w:rPr>
          <w:rStyle w:val="Znakapoznpodarou"/>
          <w:rFonts w:ascii="Calibri" w:hAnsi="Calibri"/>
          <w:sz w:val="19"/>
          <w:szCs w:val="19"/>
        </w:rPr>
        <w:footnoteRef/>
      </w:r>
      <w:r w:rsidRPr="00DA71AC">
        <w:rPr>
          <w:sz w:val="19"/>
          <w:szCs w:val="19"/>
        </w:rPr>
        <w:t xml:space="preserve"> určení finančního limitu pro specifikaci nadlimitní zakázky je odvislé od konkrétního typu zadavatele a druhu veřejné zakázky.</w:t>
      </w:r>
    </w:p>
  </w:footnote>
  <w:footnote w:id="15">
    <w:p w14:paraId="048A4FA7" w14:textId="77777777" w:rsidR="00E76E31" w:rsidRPr="00DA71AC" w:rsidRDefault="00E76E31" w:rsidP="00F7406A">
      <w:pPr>
        <w:pStyle w:val="Textpoznpodarou"/>
        <w:rPr>
          <w:sz w:val="19"/>
          <w:szCs w:val="19"/>
        </w:rPr>
      </w:pPr>
      <w:r w:rsidRPr="000F033D">
        <w:rPr>
          <w:rStyle w:val="Znakapoznpodarou"/>
          <w:rFonts w:ascii="Calibri" w:hAnsi="Calibri"/>
          <w:sz w:val="18"/>
          <w:szCs w:val="18"/>
        </w:rPr>
        <w:footnoteRef/>
      </w:r>
      <w:r w:rsidRPr="000F033D">
        <w:rPr>
          <w:sz w:val="18"/>
          <w:szCs w:val="18"/>
        </w:rPr>
        <w:t xml:space="preserve"> </w:t>
      </w:r>
      <w:r w:rsidRPr="00DA71AC">
        <w:rPr>
          <w:color w:val="auto"/>
          <w:sz w:val="19"/>
          <w:szCs w:val="19"/>
        </w:rPr>
        <w:t>Materiál Ministerstva financí schválený vládou ČR usnesením č. 583 ze dne 14. července 2014</w:t>
      </w:r>
      <w:r w:rsidRPr="00DA71AC">
        <w:rPr>
          <w:sz w:val="19"/>
          <w:szCs w:val="19"/>
        </w:rPr>
        <w:t>.</w:t>
      </w:r>
    </w:p>
  </w:footnote>
  <w:footnote w:id="16">
    <w:p w14:paraId="3102E275" w14:textId="77777777" w:rsidR="00E76E31" w:rsidRPr="00DA71AC" w:rsidRDefault="00E76E31" w:rsidP="00F7406A">
      <w:pPr>
        <w:pStyle w:val="Textpoznpodarou"/>
        <w:rPr>
          <w:sz w:val="19"/>
          <w:szCs w:val="19"/>
        </w:rPr>
      </w:pPr>
      <w:r w:rsidRPr="00B86F6D">
        <w:rPr>
          <w:rStyle w:val="Znakapoznpodarou"/>
          <w:rFonts w:cs="Calibri"/>
        </w:rPr>
        <w:footnoteRef/>
      </w:r>
      <w:r w:rsidRPr="00B86F6D">
        <w:t xml:space="preserve"> </w:t>
      </w:r>
      <w:r w:rsidRPr="00DA71AC">
        <w:rPr>
          <w:sz w:val="19"/>
          <w:szCs w:val="19"/>
        </w:rPr>
        <w:t>Zahájením prací se rozumí buď zahájení stavebních prací v rámci investice, nebo první právně vymahatelný závazek objednat zařízení či jiný závazek, v jehož důsledku se investice stává nezvratnou, podle toho, která událost nastane dříve. Za zahájení prací se nepovažují nákup pozemků a přípravné práce, jako je získání povolení a zpracování studií proveditelnosti. V případě převzetí se „zahájením prací“ rozumí okamžik, kdy je pořízen majetek přímo související s pořízenou provozovnou. Za zahájení prací se rovněž nepovažuje zpracování projektové dokumentace a získání stavebního povolení.</w:t>
      </w:r>
    </w:p>
  </w:footnote>
  <w:footnote w:id="17">
    <w:p w14:paraId="56B66F4E" w14:textId="420B4AA7" w:rsidR="00E76E31" w:rsidRPr="00DA71AC" w:rsidRDefault="00E76E31" w:rsidP="00F7406A">
      <w:pPr>
        <w:pStyle w:val="Textpoznpodarou"/>
        <w:rPr>
          <w:sz w:val="19"/>
          <w:szCs w:val="19"/>
        </w:rPr>
      </w:pPr>
      <w:r w:rsidRPr="00DA71AC">
        <w:rPr>
          <w:rStyle w:val="Znakapoznpodarou"/>
          <w:sz w:val="19"/>
          <w:szCs w:val="19"/>
        </w:rPr>
        <w:footnoteRef/>
      </w:r>
      <w:r w:rsidR="00231777">
        <w:rPr>
          <w:sz w:val="19"/>
          <w:szCs w:val="19"/>
        </w:rPr>
        <w:t xml:space="preserve"> </w:t>
      </w:r>
      <w:r w:rsidRPr="00DA71AC">
        <w:rPr>
          <w:sz w:val="19"/>
          <w:szCs w:val="19"/>
        </w:rPr>
        <w:t>Příjemce, který působí ve vyloučených odvětvích, zajistí splnění této povinnosti prostřednictvím vedení odděleného účetnictví a/nebo prostřednictvím dokladu o faktickém oddělení podpořených činností od činností ve vyloučených odvětvích.</w:t>
      </w:r>
    </w:p>
  </w:footnote>
  <w:footnote w:id="18">
    <w:p w14:paraId="1DF4A9CD" w14:textId="77777777" w:rsidR="00A8625C" w:rsidRPr="00D00764" w:rsidRDefault="00A8625C" w:rsidP="00A8625C">
      <w:pPr>
        <w:autoSpaceDE w:val="0"/>
        <w:autoSpaceDN w:val="0"/>
        <w:adjustRightInd w:val="0"/>
        <w:spacing w:after="0" w:line="240" w:lineRule="auto"/>
        <w:rPr>
          <w:sz w:val="20"/>
          <w:szCs w:val="20"/>
        </w:rPr>
      </w:pPr>
      <w:r w:rsidRPr="00740AA1">
        <w:rPr>
          <w:rStyle w:val="Znakapoznpodarou"/>
          <w:sz w:val="20"/>
        </w:rPr>
        <w:footnoteRef/>
      </w:r>
      <w:r w:rsidRPr="00740AA1">
        <w:rPr>
          <w:sz w:val="20"/>
        </w:rPr>
        <w:t xml:space="preserve"> </w:t>
      </w:r>
      <w:r w:rsidRPr="00740AA1">
        <w:rPr>
          <w:sz w:val="18"/>
          <w:szCs w:val="20"/>
        </w:rPr>
        <w:t>Touto podmínkou však není dotčeno právo příjemce nahradit podpořený majetek z důvodu jeho opotřebení či zastarání ve výše uvedené lhůtě za jiný majetek ve srovnatelné nebo lepší kvalitě, vyjádřené v pořizovacích cenách, který přímo souvisí s předmětem realizace projektu, za předpokladu, že ekonomická aktivita zůstane pro výše uvedenou dobu zachována.</w:t>
      </w:r>
    </w:p>
  </w:footnote>
  <w:footnote w:id="19">
    <w:p w14:paraId="2EB52CFE" w14:textId="77777777" w:rsidR="00E76E31" w:rsidRPr="00DA71AC" w:rsidRDefault="00E76E31" w:rsidP="00F7406A">
      <w:pPr>
        <w:spacing w:after="0" w:line="240" w:lineRule="auto"/>
        <w:rPr>
          <w:sz w:val="19"/>
          <w:szCs w:val="19"/>
        </w:rPr>
      </w:pPr>
      <w:r w:rsidRPr="00DA71AC">
        <w:rPr>
          <w:rStyle w:val="Znakapoznpodarou"/>
          <w:sz w:val="19"/>
          <w:szCs w:val="19"/>
        </w:rPr>
        <w:footnoteRef/>
      </w:r>
      <w:r w:rsidRPr="00DA71AC">
        <w:rPr>
          <w:sz w:val="19"/>
          <w:szCs w:val="19"/>
        </w:rPr>
        <w:t xml:space="preserve">  „Podnikem v obtížích“ se rozumí podnik, v jehož případě nastane alespoň jedna z následujících okolností: </w:t>
      </w:r>
    </w:p>
    <w:p w14:paraId="778BE609" w14:textId="77777777" w:rsidR="00E76E31" w:rsidRPr="00DA71AC" w:rsidRDefault="00E76E31" w:rsidP="00F7406A">
      <w:pPr>
        <w:spacing w:after="0" w:line="240" w:lineRule="auto"/>
        <w:rPr>
          <w:sz w:val="19"/>
          <w:szCs w:val="19"/>
        </w:rPr>
      </w:pPr>
      <w:r w:rsidRPr="00DA71AC">
        <w:rPr>
          <w:sz w:val="19"/>
          <w:szCs w:val="19"/>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4D04D856" w14:textId="77777777" w:rsidR="00E76E31" w:rsidRPr="00DA71AC" w:rsidRDefault="00E76E31" w:rsidP="00F7406A">
      <w:pPr>
        <w:spacing w:after="0" w:line="240" w:lineRule="auto"/>
        <w:rPr>
          <w:sz w:val="19"/>
          <w:szCs w:val="19"/>
        </w:rPr>
      </w:pPr>
      <w:r w:rsidRPr="00DA71AC">
        <w:rPr>
          <w:sz w:val="19"/>
          <w:szCs w:val="19"/>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4DEC38D4" w14:textId="77777777" w:rsidR="00E76E31" w:rsidRPr="00DA71AC" w:rsidRDefault="00E76E31" w:rsidP="00F7406A">
      <w:pPr>
        <w:spacing w:after="0" w:line="240" w:lineRule="auto"/>
        <w:rPr>
          <w:sz w:val="19"/>
          <w:szCs w:val="19"/>
        </w:rPr>
      </w:pPr>
      <w:r w:rsidRPr="00DA71AC">
        <w:rPr>
          <w:sz w:val="19"/>
          <w:szCs w:val="19"/>
        </w:rPr>
        <w:t xml:space="preserve">c) Jestliže vůči podniku bylo zahájeno kolektivní úpadkové řízení nebo tento podnik splňuje kritéria vnitrostátního práva pro zahájení kolektivního úpadkového řízení na žádost svých věřitelů. </w:t>
      </w:r>
    </w:p>
    <w:p w14:paraId="7A4CF1D5" w14:textId="77777777" w:rsidR="00E76E31" w:rsidRPr="00DA71AC" w:rsidRDefault="00E76E31" w:rsidP="00F7406A">
      <w:pPr>
        <w:spacing w:after="0" w:line="240" w:lineRule="auto"/>
        <w:rPr>
          <w:sz w:val="19"/>
          <w:szCs w:val="19"/>
        </w:rPr>
      </w:pPr>
      <w:r w:rsidRPr="00DA71AC">
        <w:rPr>
          <w:sz w:val="19"/>
          <w:szCs w:val="19"/>
        </w:rPr>
        <w:t>d) Jestliže podnik obdržel podporu na záchranu a zatím nesplatil půjčku nebo neukončil záruku nebo jestliže obdržel podporu na restrukturalizaci a stále se na něj uplatňuje plán restrukturalizace.</w:t>
      </w:r>
    </w:p>
    <w:p w14:paraId="74E669E4" w14:textId="77777777" w:rsidR="00E76E31" w:rsidRPr="00DA71AC" w:rsidRDefault="00E76E31" w:rsidP="00F7406A">
      <w:pPr>
        <w:spacing w:after="0" w:line="240" w:lineRule="auto"/>
        <w:rPr>
          <w:sz w:val="19"/>
          <w:szCs w:val="19"/>
        </w:rPr>
      </w:pPr>
      <w:r w:rsidRPr="00DA71AC">
        <w:rPr>
          <w:sz w:val="19"/>
          <w:szCs w:val="19"/>
        </w:rPr>
        <w:t xml:space="preserve">e) V případě podniku, který není malým nebo středním podnikem, kde v uplynulých dvou letech: </w:t>
      </w:r>
    </w:p>
    <w:p w14:paraId="46795739" w14:textId="77777777" w:rsidR="00E76E31" w:rsidRPr="00DA71AC" w:rsidRDefault="00E76E31" w:rsidP="00F7406A">
      <w:pPr>
        <w:spacing w:after="0" w:line="240" w:lineRule="auto"/>
        <w:ind w:firstLine="426"/>
        <w:rPr>
          <w:sz w:val="19"/>
          <w:szCs w:val="19"/>
        </w:rPr>
      </w:pPr>
      <w:r w:rsidRPr="00DA71AC">
        <w:rPr>
          <w:sz w:val="19"/>
          <w:szCs w:val="19"/>
        </w:rPr>
        <w:t xml:space="preserve">1) účetní poměr dluhu společnosti k vlastnímu kapitálu je vyšší než 7,5 a </w:t>
      </w:r>
    </w:p>
    <w:p w14:paraId="3814083D" w14:textId="77777777" w:rsidR="00E76E31" w:rsidRPr="00DA71AC" w:rsidRDefault="00E76E31" w:rsidP="00F7406A">
      <w:pPr>
        <w:spacing w:after="0" w:line="240" w:lineRule="auto"/>
        <w:ind w:left="426"/>
        <w:rPr>
          <w:sz w:val="19"/>
          <w:szCs w:val="19"/>
        </w:rPr>
      </w:pPr>
      <w:r w:rsidRPr="00DA71AC">
        <w:rPr>
          <w:sz w:val="19"/>
          <w:szCs w:val="19"/>
        </w:rPr>
        <w:t>2) poměr úrokového krytí hospodářského výsledku společnosti před úroky, zdaněním a odpisy (EBITDA) je nižší než 1,0.</w:t>
      </w:r>
    </w:p>
  </w:footnote>
  <w:footnote w:id="20">
    <w:p w14:paraId="738CE087" w14:textId="77777777" w:rsidR="00E76E31" w:rsidRPr="00F02AD3" w:rsidRDefault="00E76E31" w:rsidP="00E675F8">
      <w:pPr>
        <w:pStyle w:val="Textpoznpodarou"/>
        <w:rPr>
          <w:rFonts w:cs="Calibri"/>
          <w:color w:val="FF0000"/>
          <w:sz w:val="18"/>
          <w:szCs w:val="18"/>
        </w:rPr>
      </w:pPr>
      <w:r>
        <w:rPr>
          <w:rStyle w:val="Znakapoznpodarou"/>
        </w:rPr>
        <w:footnoteRef/>
      </w:r>
      <w:r w:rsidRPr="00DA71AC">
        <w:rPr>
          <w:sz w:val="19"/>
          <w:szCs w:val="19"/>
        </w:rPr>
        <w:t xml:space="preserve"> Bližší informace v dokumentu Pravidla pro žadatele a příjemce z OP PIK – obecná část</w:t>
      </w:r>
      <w:r>
        <w:rPr>
          <w:sz w:val="19"/>
          <w:szCs w:val="19"/>
        </w:rPr>
        <w:t>.</w:t>
      </w:r>
    </w:p>
    <w:p w14:paraId="7E8E891C" w14:textId="77777777" w:rsidR="00E76E31" w:rsidRPr="00DA71AC" w:rsidRDefault="00E76E31" w:rsidP="00F7406A">
      <w:pPr>
        <w:pStyle w:val="Textpoznpodarou"/>
        <w:rPr>
          <w:sz w:val="19"/>
          <w:szCs w:val="1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E5C"/>
    <w:multiLevelType w:val="hybridMultilevel"/>
    <w:tmpl w:val="13F4B426"/>
    <w:lvl w:ilvl="0" w:tplc="C17E7A0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4E506F8"/>
    <w:multiLevelType w:val="multilevel"/>
    <w:tmpl w:val="EF18FA36"/>
    <w:lvl w:ilvl="0">
      <w:start w:val="1"/>
      <w:numFmt w:val="decimal"/>
      <w:lvlText w:val="%1)"/>
      <w:lvlJc w:val="left"/>
      <w:pPr>
        <w:ind w:left="540" w:hanging="540"/>
      </w:pPr>
      <w:rPr>
        <w:rFonts w:hint="default"/>
        <w:sz w:val="22"/>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063254"/>
    <w:multiLevelType w:val="hybridMultilevel"/>
    <w:tmpl w:val="2EE68868"/>
    <w:lvl w:ilvl="0" w:tplc="04050017">
      <w:start w:val="1"/>
      <w:numFmt w:val="lowerLetter"/>
      <w:lvlText w:val="%1)"/>
      <w:lvlJc w:val="left"/>
      <w:pPr>
        <w:ind w:left="1287" w:hanging="360"/>
      </w:pPr>
    </w:lvl>
    <w:lvl w:ilvl="1" w:tplc="875C6C90">
      <w:start w:val="1"/>
      <w:numFmt w:val="lowerLetter"/>
      <w:lvlText w:val="%2)"/>
      <w:lvlJc w:val="left"/>
      <w:pPr>
        <w:ind w:left="2007" w:hanging="360"/>
      </w:pPr>
      <w:rPr>
        <w:sz w:val="22"/>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7C77C3C"/>
    <w:multiLevelType w:val="hybridMultilevel"/>
    <w:tmpl w:val="9FB6A5B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0CA42AEE"/>
    <w:multiLevelType w:val="hybridMultilevel"/>
    <w:tmpl w:val="65F4D9B4"/>
    <w:lvl w:ilvl="0" w:tplc="3D682C4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55455D"/>
    <w:multiLevelType w:val="hybridMultilevel"/>
    <w:tmpl w:val="A9E2B6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6F6E5A"/>
    <w:multiLevelType w:val="hybridMultilevel"/>
    <w:tmpl w:val="7154214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0316F8"/>
    <w:multiLevelType w:val="multilevel"/>
    <w:tmpl w:val="3320A8B2"/>
    <w:numStyleLink w:val="VariantaB-odrky"/>
  </w:abstractNum>
  <w:abstractNum w:abstractNumId="9" w15:restartNumberingAfterBreak="0">
    <w:nsid w:val="141E690F"/>
    <w:multiLevelType w:val="hybridMultilevel"/>
    <w:tmpl w:val="5B52CC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1" w15:restartNumberingAfterBreak="0">
    <w:nsid w:val="191872DA"/>
    <w:multiLevelType w:val="multilevel"/>
    <w:tmpl w:val="E8A48D7C"/>
    <w:numStyleLink w:val="VariantaA-sla"/>
  </w:abstractNum>
  <w:abstractNum w:abstractNumId="12" w15:restartNumberingAfterBreak="0">
    <w:nsid w:val="1BE84C84"/>
    <w:multiLevelType w:val="hybridMultilevel"/>
    <w:tmpl w:val="504259C6"/>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3" w15:restartNumberingAfterBreak="0">
    <w:nsid w:val="21B142F7"/>
    <w:multiLevelType w:val="hybridMultilevel"/>
    <w:tmpl w:val="79809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0C4D38"/>
    <w:multiLevelType w:val="multilevel"/>
    <w:tmpl w:val="2202F5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EF642B"/>
    <w:multiLevelType w:val="hybridMultilevel"/>
    <w:tmpl w:val="266ED568"/>
    <w:lvl w:ilvl="0" w:tplc="644E8BC8">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7CA3D5D"/>
    <w:multiLevelType w:val="hybridMultilevel"/>
    <w:tmpl w:val="A3CE95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9A5EA2"/>
    <w:multiLevelType w:val="multilevel"/>
    <w:tmpl w:val="E8BAE50A"/>
    <w:numStyleLink w:val="VariantaA-odrky"/>
  </w:abstractNum>
  <w:abstractNum w:abstractNumId="18" w15:restartNumberingAfterBreak="0">
    <w:nsid w:val="29AC6AEA"/>
    <w:multiLevelType w:val="hybridMultilevel"/>
    <w:tmpl w:val="64A452FE"/>
    <w:lvl w:ilvl="0" w:tplc="04050017">
      <w:start w:val="1"/>
      <w:numFmt w:val="lowerLetter"/>
      <w:lvlText w:val="%1)"/>
      <w:lvlJc w:val="left"/>
      <w:pPr>
        <w:ind w:left="720" w:hanging="360"/>
      </w:pPr>
      <w:rPr>
        <w:rFonts w:hint="default"/>
      </w:rPr>
    </w:lvl>
    <w:lvl w:ilvl="1" w:tplc="11FC4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EA367B"/>
    <w:multiLevelType w:val="hybridMultilevel"/>
    <w:tmpl w:val="B77E0302"/>
    <w:lvl w:ilvl="0" w:tplc="9ABCC7F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C5274F"/>
    <w:multiLevelType w:val="hybridMultilevel"/>
    <w:tmpl w:val="98C685D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359140D3"/>
    <w:multiLevelType w:val="hybridMultilevel"/>
    <w:tmpl w:val="CB9CB2D8"/>
    <w:lvl w:ilvl="0" w:tplc="7CF68CF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7A713F"/>
    <w:multiLevelType w:val="hybridMultilevel"/>
    <w:tmpl w:val="44F86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FF3C9B"/>
    <w:multiLevelType w:val="hybridMultilevel"/>
    <w:tmpl w:val="AE6CD7EA"/>
    <w:lvl w:ilvl="0" w:tplc="9ABCC7F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17D95"/>
    <w:multiLevelType w:val="hybridMultilevel"/>
    <w:tmpl w:val="C43E00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6824DE"/>
    <w:multiLevelType w:val="hybridMultilevel"/>
    <w:tmpl w:val="04DA79A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3B3001"/>
    <w:multiLevelType w:val="hybridMultilevel"/>
    <w:tmpl w:val="8D382A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E66E91"/>
    <w:multiLevelType w:val="hybridMultilevel"/>
    <w:tmpl w:val="A268E55C"/>
    <w:lvl w:ilvl="0" w:tplc="828002DA">
      <w:start w:val="1"/>
      <w:numFmt w:val="lowerLetter"/>
      <w:lvlText w:val="%1)"/>
      <w:lvlJc w:val="left"/>
      <w:pPr>
        <w:ind w:left="720" w:hanging="360"/>
      </w:pPr>
      <w:rPr>
        <w:rFonts w:hint="default"/>
        <w:vertAlign w:val="baseline"/>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657F53"/>
    <w:multiLevelType w:val="hybridMultilevel"/>
    <w:tmpl w:val="B77E0302"/>
    <w:lvl w:ilvl="0" w:tplc="9ABCC7FA">
      <w:start w:val="1"/>
      <w:numFmt w:val="lowerLetter"/>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496018E"/>
    <w:multiLevelType w:val="hybridMultilevel"/>
    <w:tmpl w:val="13F4B426"/>
    <w:lvl w:ilvl="0" w:tplc="C17E7A0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6956FA"/>
    <w:multiLevelType w:val="hybridMultilevel"/>
    <w:tmpl w:val="EC2603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0C754B"/>
    <w:multiLevelType w:val="hybridMultilevel"/>
    <w:tmpl w:val="44F86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34700A"/>
    <w:multiLevelType w:val="hybridMultilevel"/>
    <w:tmpl w:val="2482DC6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4A945827"/>
    <w:multiLevelType w:val="hybridMultilevel"/>
    <w:tmpl w:val="70B8E3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A13CCE"/>
    <w:multiLevelType w:val="hybridMultilevel"/>
    <w:tmpl w:val="EA16F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8163C0"/>
    <w:multiLevelType w:val="hybridMultilevel"/>
    <w:tmpl w:val="2362D43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4272B86"/>
    <w:multiLevelType w:val="hybridMultilevel"/>
    <w:tmpl w:val="F2EE5A34"/>
    <w:lvl w:ilvl="0" w:tplc="9ABCC7FA">
      <w:start w:val="1"/>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55D1911"/>
    <w:multiLevelType w:val="hybridMultilevel"/>
    <w:tmpl w:val="5436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A2799C"/>
    <w:multiLevelType w:val="multilevel"/>
    <w:tmpl w:val="2C540A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1" w15:restartNumberingAfterBreak="0">
    <w:nsid w:val="59D33ADC"/>
    <w:multiLevelType w:val="hybridMultilevel"/>
    <w:tmpl w:val="B5169D5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2" w15:restartNumberingAfterBreak="0">
    <w:nsid w:val="5AA3669A"/>
    <w:multiLevelType w:val="hybridMultilevel"/>
    <w:tmpl w:val="F486533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5AF35F43"/>
    <w:multiLevelType w:val="multilevel"/>
    <w:tmpl w:val="0D8ABE32"/>
    <w:numStyleLink w:val="VariantaB-sla"/>
  </w:abstractNum>
  <w:abstractNum w:abstractNumId="44" w15:restartNumberingAfterBreak="0">
    <w:nsid w:val="60672023"/>
    <w:multiLevelType w:val="hybridMultilevel"/>
    <w:tmpl w:val="9912B5B8"/>
    <w:lvl w:ilvl="0" w:tplc="EC44B29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5" w15:restartNumberingAfterBreak="0">
    <w:nsid w:val="677541A2"/>
    <w:multiLevelType w:val="hybridMultilevel"/>
    <w:tmpl w:val="7894647A"/>
    <w:lvl w:ilvl="0" w:tplc="04050017">
      <w:start w:val="1"/>
      <w:numFmt w:val="lowerLetter"/>
      <w:lvlText w:val="%1)"/>
      <w:lvlJc w:val="left"/>
      <w:pPr>
        <w:ind w:left="720" w:hanging="360"/>
      </w:pPr>
      <w:rPr>
        <w:rFonts w:hint="default"/>
      </w:rPr>
    </w:lvl>
    <w:lvl w:ilvl="1" w:tplc="FC9C869A">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B8A5D6C"/>
    <w:multiLevelType w:val="hybridMultilevel"/>
    <w:tmpl w:val="34864562"/>
    <w:lvl w:ilvl="0" w:tplc="237A4C86">
      <w:start w:val="1"/>
      <w:numFmt w:val="lowerLetter"/>
      <w:lvlText w:val="%1)"/>
      <w:lvlJc w:val="left"/>
      <w:pPr>
        <w:ind w:left="720" w:hanging="360"/>
      </w:pPr>
      <w:rPr>
        <w:rFonts w:asciiTheme="minorHAnsi" w:hAnsi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C9E2979"/>
    <w:multiLevelType w:val="hybridMultilevel"/>
    <w:tmpl w:val="8B0E033C"/>
    <w:lvl w:ilvl="0" w:tplc="04050011">
      <w:start w:val="1"/>
      <w:numFmt w:val="decimal"/>
      <w:lvlText w:val="%1)"/>
      <w:lvlJc w:val="left"/>
      <w:pPr>
        <w:ind w:left="786" w:hanging="360"/>
      </w:pPr>
    </w:lvl>
    <w:lvl w:ilvl="1" w:tplc="5EE86F5C">
      <w:start w:val="1"/>
      <w:numFmt w:val="decimal"/>
      <w:lvlText w:val="%2."/>
      <w:lvlJc w:val="left"/>
      <w:pPr>
        <w:ind w:left="1506" w:hanging="36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8" w15:restartNumberingAfterBreak="0">
    <w:nsid w:val="6E4D59AF"/>
    <w:multiLevelType w:val="multilevel"/>
    <w:tmpl w:val="84620224"/>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EA86428"/>
    <w:multiLevelType w:val="hybridMultilevel"/>
    <w:tmpl w:val="79809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0C16DD3"/>
    <w:multiLevelType w:val="hybridMultilevel"/>
    <w:tmpl w:val="F4D4F6D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11C176B"/>
    <w:multiLevelType w:val="hybridMultilevel"/>
    <w:tmpl w:val="9ADC7A48"/>
    <w:lvl w:ilvl="0" w:tplc="9ABCC7FA">
      <w:start w:val="1"/>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14E19C6"/>
    <w:multiLevelType w:val="multilevel"/>
    <w:tmpl w:val="018A5370"/>
    <w:lvl w:ilvl="0">
      <w:start w:val="1"/>
      <w:numFmt w:val="decimal"/>
      <w:pStyle w:val="rovenadpisu1"/>
      <w:lvlText w:val="%1."/>
      <w:lvlJc w:val="left"/>
      <w:pPr>
        <w:tabs>
          <w:tab w:val="num" w:pos="360"/>
        </w:tabs>
        <w:ind w:left="360" w:hanging="360"/>
      </w:pPr>
      <w:rPr>
        <w:rFonts w:hint="default"/>
        <w:b/>
        <w:i w:val="0"/>
      </w:rPr>
    </w:lvl>
    <w:lvl w:ilvl="1">
      <w:start w:val="1"/>
      <w:numFmt w:val="decimal"/>
      <w:lvlText w:val="%1.%2."/>
      <w:lvlJc w:val="left"/>
      <w:pPr>
        <w:tabs>
          <w:tab w:val="num" w:pos="720"/>
        </w:tabs>
        <w:ind w:left="357" w:hanging="357"/>
      </w:pPr>
      <w:rPr>
        <w:rFonts w:hint="default"/>
        <w:b/>
        <w:i w:val="0"/>
      </w:rPr>
    </w:lvl>
    <w:lvl w:ilvl="2">
      <w:start w:val="1"/>
      <w:numFmt w:val="decimal"/>
      <w:pStyle w:val="rovenadpisu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2D22FD0"/>
    <w:multiLevelType w:val="hybridMultilevel"/>
    <w:tmpl w:val="7C286A6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3C343C4"/>
    <w:multiLevelType w:val="hybridMultilevel"/>
    <w:tmpl w:val="8D161546"/>
    <w:lvl w:ilvl="0" w:tplc="04050017">
      <w:start w:val="1"/>
      <w:numFmt w:val="lowerLetter"/>
      <w:lvlText w:val="%1)"/>
      <w:lvlJc w:val="left"/>
      <w:pPr>
        <w:ind w:left="720" w:hanging="360"/>
      </w:pPr>
      <w:rPr>
        <w:rFonts w:hint="default"/>
      </w:rPr>
    </w:lvl>
    <w:lvl w:ilvl="1" w:tplc="04050017">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7927921"/>
    <w:multiLevelType w:val="hybridMultilevel"/>
    <w:tmpl w:val="80E41410"/>
    <w:lvl w:ilvl="0" w:tplc="04050003">
      <w:start w:val="1"/>
      <w:numFmt w:val="bullet"/>
      <w:lvlText w:val="o"/>
      <w:lvlJc w:val="left"/>
      <w:pPr>
        <w:ind w:left="1996" w:hanging="360"/>
      </w:pPr>
      <w:rPr>
        <w:rFonts w:ascii="Courier New" w:hAnsi="Courier New" w:cs="Courier Ne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56" w15:restartNumberingAfterBreak="0">
    <w:nsid w:val="787E5687"/>
    <w:multiLevelType w:val="hybridMultilevel"/>
    <w:tmpl w:val="1ECCE248"/>
    <w:lvl w:ilvl="0" w:tplc="2B14EEB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35"/>
  </w:num>
  <w:num w:numId="4">
    <w:abstractNumId w:val="1"/>
  </w:num>
  <w:num w:numId="5">
    <w:abstractNumId w:val="43"/>
  </w:num>
  <w:num w:numId="6">
    <w:abstractNumId w:val="17"/>
  </w:num>
  <w:num w:numId="7">
    <w:abstractNumId w:val="11"/>
  </w:num>
  <w:num w:numId="8">
    <w:abstractNumId w:val="8"/>
  </w:num>
  <w:num w:numId="9">
    <w:abstractNumId w:val="7"/>
  </w:num>
  <w:num w:numId="10">
    <w:abstractNumId w:val="39"/>
  </w:num>
  <w:num w:numId="11">
    <w:abstractNumId w:val="18"/>
  </w:num>
  <w:num w:numId="12">
    <w:abstractNumId w:val="41"/>
  </w:num>
  <w:num w:numId="13">
    <w:abstractNumId w:val="9"/>
  </w:num>
  <w:num w:numId="14">
    <w:abstractNumId w:val="47"/>
  </w:num>
  <w:num w:numId="15">
    <w:abstractNumId w:val="55"/>
  </w:num>
  <w:num w:numId="16">
    <w:abstractNumId w:val="52"/>
  </w:num>
  <w:num w:numId="17">
    <w:abstractNumId w:val="4"/>
  </w:num>
  <w:num w:numId="18">
    <w:abstractNumId w:val="20"/>
  </w:num>
  <w:num w:numId="19">
    <w:abstractNumId w:val="6"/>
  </w:num>
  <w:num w:numId="20">
    <w:abstractNumId w:val="23"/>
  </w:num>
  <w:num w:numId="21">
    <w:abstractNumId w:val="46"/>
  </w:num>
  <w:num w:numId="22">
    <w:abstractNumId w:val="51"/>
  </w:num>
  <w:num w:numId="23">
    <w:abstractNumId w:val="28"/>
  </w:num>
  <w:num w:numId="24">
    <w:abstractNumId w:val="19"/>
  </w:num>
  <w:num w:numId="25">
    <w:abstractNumId w:val="53"/>
  </w:num>
  <w:num w:numId="26">
    <w:abstractNumId w:val="25"/>
  </w:num>
  <w:num w:numId="27">
    <w:abstractNumId w:val="50"/>
  </w:num>
  <w:num w:numId="28">
    <w:abstractNumId w:val="15"/>
  </w:num>
  <w:num w:numId="29">
    <w:abstractNumId w:val="14"/>
  </w:num>
  <w:num w:numId="30">
    <w:abstractNumId w:val="21"/>
  </w:num>
  <w:num w:numId="31">
    <w:abstractNumId w:val="38"/>
  </w:num>
  <w:num w:numId="32">
    <w:abstractNumId w:val="44"/>
  </w:num>
  <w:num w:numId="33">
    <w:abstractNumId w:val="27"/>
  </w:num>
  <w:num w:numId="34">
    <w:abstractNumId w:val="12"/>
  </w:num>
  <w:num w:numId="35">
    <w:abstractNumId w:val="2"/>
  </w:num>
  <w:num w:numId="36">
    <w:abstractNumId w:val="34"/>
  </w:num>
  <w:num w:numId="37">
    <w:abstractNumId w:val="54"/>
  </w:num>
  <w:num w:numId="38">
    <w:abstractNumId w:val="3"/>
  </w:num>
  <w:num w:numId="39">
    <w:abstractNumId w:val="33"/>
  </w:num>
  <w:num w:numId="40">
    <w:abstractNumId w:val="36"/>
  </w:num>
  <w:num w:numId="41">
    <w:abstractNumId w:val="37"/>
  </w:num>
  <w:num w:numId="42">
    <w:abstractNumId w:val="13"/>
  </w:num>
  <w:num w:numId="43">
    <w:abstractNumId w:val="45"/>
  </w:num>
  <w:num w:numId="44">
    <w:abstractNumId w:val="0"/>
  </w:num>
  <w:num w:numId="45">
    <w:abstractNumId w:val="26"/>
  </w:num>
  <w:num w:numId="46">
    <w:abstractNumId w:val="42"/>
  </w:num>
  <w:num w:numId="47">
    <w:abstractNumId w:val="24"/>
  </w:num>
  <w:num w:numId="48">
    <w:abstractNumId w:val="5"/>
  </w:num>
  <w:num w:numId="49">
    <w:abstractNumId w:val="31"/>
  </w:num>
  <w:num w:numId="50">
    <w:abstractNumId w:val="22"/>
  </w:num>
  <w:num w:numId="51">
    <w:abstractNumId w:val="49"/>
  </w:num>
  <w:num w:numId="52">
    <w:abstractNumId w:val="32"/>
  </w:num>
  <w:num w:numId="53">
    <w:abstractNumId w:val="16"/>
  </w:num>
  <w:num w:numId="54">
    <w:abstractNumId w:val="56"/>
  </w:num>
  <w:num w:numId="55">
    <w:abstractNumId w:val="48"/>
  </w:num>
  <w:num w:numId="56">
    <w:abstractNumId w:val="30"/>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6A"/>
    <w:rsid w:val="0001269B"/>
    <w:rsid w:val="00012A17"/>
    <w:rsid w:val="00015146"/>
    <w:rsid w:val="0004193F"/>
    <w:rsid w:val="00043744"/>
    <w:rsid w:val="00053735"/>
    <w:rsid w:val="00073DDF"/>
    <w:rsid w:val="000820EF"/>
    <w:rsid w:val="0008352C"/>
    <w:rsid w:val="00086174"/>
    <w:rsid w:val="000916EC"/>
    <w:rsid w:val="00092D9D"/>
    <w:rsid w:val="000A0922"/>
    <w:rsid w:val="000A4BEF"/>
    <w:rsid w:val="000B17F3"/>
    <w:rsid w:val="000C13A8"/>
    <w:rsid w:val="00113638"/>
    <w:rsid w:val="00120BF2"/>
    <w:rsid w:val="00166DD5"/>
    <w:rsid w:val="0017223C"/>
    <w:rsid w:val="00173CE9"/>
    <w:rsid w:val="00177ED3"/>
    <w:rsid w:val="001813D1"/>
    <w:rsid w:val="001A6DB5"/>
    <w:rsid w:val="001C3F8F"/>
    <w:rsid w:val="001D6469"/>
    <w:rsid w:val="001E2792"/>
    <w:rsid w:val="001E658B"/>
    <w:rsid w:val="001F6731"/>
    <w:rsid w:val="00205DE2"/>
    <w:rsid w:val="00215DBC"/>
    <w:rsid w:val="002175CF"/>
    <w:rsid w:val="002226BB"/>
    <w:rsid w:val="002316C8"/>
    <w:rsid w:val="00231777"/>
    <w:rsid w:val="00235B5E"/>
    <w:rsid w:val="002369B5"/>
    <w:rsid w:val="002377F2"/>
    <w:rsid w:val="002414EE"/>
    <w:rsid w:val="00242317"/>
    <w:rsid w:val="0024304C"/>
    <w:rsid w:val="0026102C"/>
    <w:rsid w:val="00263F9F"/>
    <w:rsid w:val="00275286"/>
    <w:rsid w:val="00285901"/>
    <w:rsid w:val="002A45B9"/>
    <w:rsid w:val="002B0F29"/>
    <w:rsid w:val="002B2A3A"/>
    <w:rsid w:val="002B3AEB"/>
    <w:rsid w:val="002C41F0"/>
    <w:rsid w:val="002C7AB8"/>
    <w:rsid w:val="002D4C7A"/>
    <w:rsid w:val="002D683F"/>
    <w:rsid w:val="002E1D37"/>
    <w:rsid w:val="003079B4"/>
    <w:rsid w:val="00311EC7"/>
    <w:rsid w:val="00322AD2"/>
    <w:rsid w:val="0033089B"/>
    <w:rsid w:val="00341188"/>
    <w:rsid w:val="00362832"/>
    <w:rsid w:val="00376EDA"/>
    <w:rsid w:val="003831B9"/>
    <w:rsid w:val="00385D25"/>
    <w:rsid w:val="00390826"/>
    <w:rsid w:val="0039339A"/>
    <w:rsid w:val="003B3C50"/>
    <w:rsid w:val="003B3F38"/>
    <w:rsid w:val="003C258C"/>
    <w:rsid w:val="003D7FB6"/>
    <w:rsid w:val="003E21BD"/>
    <w:rsid w:val="00404BB1"/>
    <w:rsid w:val="00410A9F"/>
    <w:rsid w:val="00462229"/>
    <w:rsid w:val="00462BC5"/>
    <w:rsid w:val="0047260D"/>
    <w:rsid w:val="0047771F"/>
    <w:rsid w:val="00483BE3"/>
    <w:rsid w:val="00491521"/>
    <w:rsid w:val="004A0E2F"/>
    <w:rsid w:val="004B0FBC"/>
    <w:rsid w:val="004B1387"/>
    <w:rsid w:val="004E35A9"/>
    <w:rsid w:val="004F65E5"/>
    <w:rsid w:val="005143B3"/>
    <w:rsid w:val="00531BD0"/>
    <w:rsid w:val="00543777"/>
    <w:rsid w:val="005476DE"/>
    <w:rsid w:val="00555116"/>
    <w:rsid w:val="0055634B"/>
    <w:rsid w:val="00575C4F"/>
    <w:rsid w:val="00577344"/>
    <w:rsid w:val="005867C4"/>
    <w:rsid w:val="00594217"/>
    <w:rsid w:val="005B5209"/>
    <w:rsid w:val="005D2754"/>
    <w:rsid w:val="005D4F03"/>
    <w:rsid w:val="005E55B9"/>
    <w:rsid w:val="00601C40"/>
    <w:rsid w:val="00615815"/>
    <w:rsid w:val="006213FD"/>
    <w:rsid w:val="0063296D"/>
    <w:rsid w:val="00644FC0"/>
    <w:rsid w:val="00654922"/>
    <w:rsid w:val="00654C09"/>
    <w:rsid w:val="00677A44"/>
    <w:rsid w:val="00677A90"/>
    <w:rsid w:val="00690B34"/>
    <w:rsid w:val="00691F6F"/>
    <w:rsid w:val="006939EC"/>
    <w:rsid w:val="006A067E"/>
    <w:rsid w:val="006A123E"/>
    <w:rsid w:val="006A3D20"/>
    <w:rsid w:val="006B6CE3"/>
    <w:rsid w:val="006B7F1F"/>
    <w:rsid w:val="006D1292"/>
    <w:rsid w:val="006E37B9"/>
    <w:rsid w:val="006F69D0"/>
    <w:rsid w:val="00710AE3"/>
    <w:rsid w:val="0071704C"/>
    <w:rsid w:val="00725962"/>
    <w:rsid w:val="00741193"/>
    <w:rsid w:val="007461F1"/>
    <w:rsid w:val="00747A1E"/>
    <w:rsid w:val="007625E1"/>
    <w:rsid w:val="007647A0"/>
    <w:rsid w:val="007749D4"/>
    <w:rsid w:val="00777926"/>
    <w:rsid w:val="007853A7"/>
    <w:rsid w:val="007934C1"/>
    <w:rsid w:val="007A63D2"/>
    <w:rsid w:val="007B518A"/>
    <w:rsid w:val="007E3929"/>
    <w:rsid w:val="0080085F"/>
    <w:rsid w:val="00807BDD"/>
    <w:rsid w:val="00831334"/>
    <w:rsid w:val="008528BC"/>
    <w:rsid w:val="0085470E"/>
    <w:rsid w:val="0086110D"/>
    <w:rsid w:val="0087664D"/>
    <w:rsid w:val="008837A9"/>
    <w:rsid w:val="0088730A"/>
    <w:rsid w:val="008878F5"/>
    <w:rsid w:val="008937A4"/>
    <w:rsid w:val="008B060D"/>
    <w:rsid w:val="008B676B"/>
    <w:rsid w:val="008B7820"/>
    <w:rsid w:val="008C1564"/>
    <w:rsid w:val="008C6A6F"/>
    <w:rsid w:val="008C6CF7"/>
    <w:rsid w:val="008D0C97"/>
    <w:rsid w:val="008E1140"/>
    <w:rsid w:val="009002C5"/>
    <w:rsid w:val="00901CE6"/>
    <w:rsid w:val="009076C0"/>
    <w:rsid w:val="00936734"/>
    <w:rsid w:val="00943132"/>
    <w:rsid w:val="00944E7D"/>
    <w:rsid w:val="00946D60"/>
    <w:rsid w:val="009577BC"/>
    <w:rsid w:val="00980C6E"/>
    <w:rsid w:val="009970DB"/>
    <w:rsid w:val="009B48C6"/>
    <w:rsid w:val="009B5AC9"/>
    <w:rsid w:val="009E3D94"/>
    <w:rsid w:val="009E5B92"/>
    <w:rsid w:val="009E6886"/>
    <w:rsid w:val="009F3A45"/>
    <w:rsid w:val="00A00697"/>
    <w:rsid w:val="00A079EE"/>
    <w:rsid w:val="00A1285A"/>
    <w:rsid w:val="00A13591"/>
    <w:rsid w:val="00A13BD7"/>
    <w:rsid w:val="00A20B96"/>
    <w:rsid w:val="00A33ADC"/>
    <w:rsid w:val="00A40A2B"/>
    <w:rsid w:val="00A40CAB"/>
    <w:rsid w:val="00A4417A"/>
    <w:rsid w:val="00A642BC"/>
    <w:rsid w:val="00A64A06"/>
    <w:rsid w:val="00A7040B"/>
    <w:rsid w:val="00A7135C"/>
    <w:rsid w:val="00A7462E"/>
    <w:rsid w:val="00A8211F"/>
    <w:rsid w:val="00A8625C"/>
    <w:rsid w:val="00AA5366"/>
    <w:rsid w:val="00AB717E"/>
    <w:rsid w:val="00AC26AD"/>
    <w:rsid w:val="00AD5322"/>
    <w:rsid w:val="00AD6130"/>
    <w:rsid w:val="00AE1AA3"/>
    <w:rsid w:val="00AF31FA"/>
    <w:rsid w:val="00AF3EC6"/>
    <w:rsid w:val="00B323AD"/>
    <w:rsid w:val="00B43BFA"/>
    <w:rsid w:val="00B52D18"/>
    <w:rsid w:val="00B71804"/>
    <w:rsid w:val="00B75967"/>
    <w:rsid w:val="00B75969"/>
    <w:rsid w:val="00B77DE7"/>
    <w:rsid w:val="00B84ED4"/>
    <w:rsid w:val="00B87303"/>
    <w:rsid w:val="00BA0A34"/>
    <w:rsid w:val="00BA1F10"/>
    <w:rsid w:val="00BC3EBB"/>
    <w:rsid w:val="00BD6093"/>
    <w:rsid w:val="00BE0AFE"/>
    <w:rsid w:val="00BE23F4"/>
    <w:rsid w:val="00BF182B"/>
    <w:rsid w:val="00C02999"/>
    <w:rsid w:val="00C10583"/>
    <w:rsid w:val="00C24445"/>
    <w:rsid w:val="00C3190B"/>
    <w:rsid w:val="00C375D6"/>
    <w:rsid w:val="00C42381"/>
    <w:rsid w:val="00C52549"/>
    <w:rsid w:val="00C749CA"/>
    <w:rsid w:val="00C76539"/>
    <w:rsid w:val="00C843DA"/>
    <w:rsid w:val="00C85E45"/>
    <w:rsid w:val="00CA5AB4"/>
    <w:rsid w:val="00CC2210"/>
    <w:rsid w:val="00CC3C90"/>
    <w:rsid w:val="00CD73A1"/>
    <w:rsid w:val="00CE1FEB"/>
    <w:rsid w:val="00CF160D"/>
    <w:rsid w:val="00D049DC"/>
    <w:rsid w:val="00D10340"/>
    <w:rsid w:val="00D262E4"/>
    <w:rsid w:val="00D341AC"/>
    <w:rsid w:val="00D439C7"/>
    <w:rsid w:val="00D53B15"/>
    <w:rsid w:val="00D67F5C"/>
    <w:rsid w:val="00D7631E"/>
    <w:rsid w:val="00D87A2A"/>
    <w:rsid w:val="00D9329D"/>
    <w:rsid w:val="00DA2135"/>
    <w:rsid w:val="00DA6674"/>
    <w:rsid w:val="00DA71AC"/>
    <w:rsid w:val="00DB2AEA"/>
    <w:rsid w:val="00DB594C"/>
    <w:rsid w:val="00DC46CD"/>
    <w:rsid w:val="00DC593F"/>
    <w:rsid w:val="00DD008B"/>
    <w:rsid w:val="00DD4F38"/>
    <w:rsid w:val="00DE0076"/>
    <w:rsid w:val="00DE1FB2"/>
    <w:rsid w:val="00DF0B64"/>
    <w:rsid w:val="00E009DF"/>
    <w:rsid w:val="00E039FE"/>
    <w:rsid w:val="00E104CE"/>
    <w:rsid w:val="00E16A03"/>
    <w:rsid w:val="00E23BD1"/>
    <w:rsid w:val="00E32505"/>
    <w:rsid w:val="00E33E16"/>
    <w:rsid w:val="00E43244"/>
    <w:rsid w:val="00E43AF6"/>
    <w:rsid w:val="00E52712"/>
    <w:rsid w:val="00E57DC6"/>
    <w:rsid w:val="00E675F8"/>
    <w:rsid w:val="00E76373"/>
    <w:rsid w:val="00E76E31"/>
    <w:rsid w:val="00E82706"/>
    <w:rsid w:val="00E8406C"/>
    <w:rsid w:val="00E856E7"/>
    <w:rsid w:val="00EA472B"/>
    <w:rsid w:val="00EB780A"/>
    <w:rsid w:val="00EC3DD4"/>
    <w:rsid w:val="00EC60BF"/>
    <w:rsid w:val="00EE35E0"/>
    <w:rsid w:val="00EF37D5"/>
    <w:rsid w:val="00EF56A4"/>
    <w:rsid w:val="00EF7D51"/>
    <w:rsid w:val="00F1103D"/>
    <w:rsid w:val="00F21137"/>
    <w:rsid w:val="00F2386C"/>
    <w:rsid w:val="00F3310D"/>
    <w:rsid w:val="00F73647"/>
    <w:rsid w:val="00F7406A"/>
    <w:rsid w:val="00F92947"/>
    <w:rsid w:val="00F92CBA"/>
    <w:rsid w:val="00F93A1B"/>
    <w:rsid w:val="00FA05FC"/>
    <w:rsid w:val="00FA3BA4"/>
    <w:rsid w:val="00FD2DC5"/>
    <w:rsid w:val="00FE3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8DAC5"/>
  <w15:docId w15:val="{BB4E6D40-F50E-4209-BB52-C99D0BF8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uiPriority="33" w:qFormat="1"/>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406A"/>
    <w:pPr>
      <w:spacing w:after="160" w:line="293" w:lineRule="auto"/>
      <w:jc w:val="both"/>
    </w:pPr>
    <w:rPr>
      <w:rFonts w:asciiTheme="minorHAnsi" w:eastAsiaTheme="minorHAnsi" w:hAnsiTheme="minorHAnsi" w:cstheme="minorBidi"/>
      <w:color w:val="000000" w:themeColor="text1"/>
      <w:sz w:val="22"/>
      <w:szCs w:val="22"/>
      <w:lang w:eastAsia="en-US"/>
    </w:rPr>
  </w:style>
  <w:style w:type="paragraph" w:styleId="Nadpis1">
    <w:name w:val="heading 1"/>
    <w:basedOn w:val="Normln"/>
    <w:next w:val="Normln"/>
    <w:link w:val="Nadpis1Char"/>
    <w:uiPriority w:val="99"/>
    <w:qFormat/>
    <w:rsid w:val="00F7406A"/>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F7406A"/>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F7406A"/>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F7406A"/>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F7406A"/>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F7406A"/>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F7406A"/>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F7406A"/>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F740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7406A"/>
    <w:rPr>
      <w:rFonts w:asciiTheme="majorHAnsi" w:eastAsiaTheme="majorEastAsia" w:hAnsiTheme="majorHAnsi" w:cstheme="majorBidi"/>
      <w:b/>
      <w:color w:val="000000" w:themeColor="text1"/>
      <w:sz w:val="28"/>
      <w:szCs w:val="32"/>
      <w:lang w:eastAsia="en-US"/>
    </w:rPr>
  </w:style>
  <w:style w:type="character" w:customStyle="1" w:styleId="Nadpis2Char">
    <w:name w:val="Nadpis 2 Char"/>
    <w:basedOn w:val="Standardnpsmoodstavce"/>
    <w:link w:val="Nadpis2"/>
    <w:uiPriority w:val="7"/>
    <w:rsid w:val="00F7406A"/>
    <w:rPr>
      <w:rFonts w:asciiTheme="majorHAnsi" w:eastAsiaTheme="majorEastAsia" w:hAnsiTheme="majorHAnsi" w:cstheme="majorBidi"/>
      <w:b/>
      <w:color w:val="000000" w:themeColor="text1"/>
      <w:sz w:val="26"/>
      <w:szCs w:val="26"/>
      <w:lang w:eastAsia="en-US"/>
    </w:rPr>
  </w:style>
  <w:style w:type="character" w:customStyle="1" w:styleId="Nadpis3Char">
    <w:name w:val="Nadpis 3 Char"/>
    <w:basedOn w:val="Standardnpsmoodstavce"/>
    <w:link w:val="Nadpis3"/>
    <w:uiPriority w:val="7"/>
    <w:rsid w:val="00F7406A"/>
    <w:rPr>
      <w:rFonts w:asciiTheme="majorHAnsi" w:eastAsiaTheme="majorEastAsia" w:hAnsiTheme="majorHAnsi" w:cstheme="majorBidi"/>
      <w:b/>
      <w:color w:val="000000" w:themeColor="text1"/>
      <w:sz w:val="24"/>
      <w:szCs w:val="24"/>
      <w:lang w:eastAsia="en-US"/>
    </w:rPr>
  </w:style>
  <w:style w:type="character" w:customStyle="1" w:styleId="Nadpis4Char">
    <w:name w:val="Nadpis 4 Char"/>
    <w:basedOn w:val="Standardnpsmoodstavce"/>
    <w:link w:val="Nadpis4"/>
    <w:uiPriority w:val="7"/>
    <w:rsid w:val="00F7406A"/>
    <w:rPr>
      <w:rFonts w:asciiTheme="majorHAnsi" w:eastAsiaTheme="majorEastAsia" w:hAnsiTheme="majorHAnsi" w:cstheme="majorBidi"/>
      <w:i/>
      <w:iCs/>
      <w:color w:val="000000" w:themeColor="text1"/>
      <w:sz w:val="24"/>
      <w:szCs w:val="22"/>
      <w:lang w:eastAsia="en-US"/>
    </w:rPr>
  </w:style>
  <w:style w:type="character" w:customStyle="1" w:styleId="Nadpis5Char">
    <w:name w:val="Nadpis 5 Char"/>
    <w:basedOn w:val="Standardnpsmoodstavce"/>
    <w:link w:val="Nadpis5"/>
    <w:uiPriority w:val="7"/>
    <w:rsid w:val="00F7406A"/>
    <w:rPr>
      <w:rFonts w:asciiTheme="majorHAnsi" w:eastAsiaTheme="majorEastAsia" w:hAnsiTheme="majorHAnsi" w:cstheme="majorBidi"/>
      <w:b/>
      <w:color w:val="000000" w:themeColor="text1"/>
      <w:sz w:val="22"/>
      <w:szCs w:val="22"/>
      <w:lang w:eastAsia="en-US"/>
    </w:rPr>
  </w:style>
  <w:style w:type="character" w:customStyle="1" w:styleId="Nadpis6Char">
    <w:name w:val="Nadpis 6 Char"/>
    <w:basedOn w:val="Standardnpsmoodstavce"/>
    <w:link w:val="Nadpis6"/>
    <w:uiPriority w:val="7"/>
    <w:rsid w:val="00F7406A"/>
    <w:rPr>
      <w:rFonts w:asciiTheme="majorHAnsi" w:eastAsiaTheme="majorEastAsia" w:hAnsiTheme="majorHAnsi" w:cstheme="majorBidi"/>
      <w:i/>
      <w:color w:val="000000" w:themeColor="text1"/>
      <w:sz w:val="22"/>
      <w:szCs w:val="22"/>
      <w:lang w:eastAsia="en-US"/>
    </w:rPr>
  </w:style>
  <w:style w:type="character" w:customStyle="1" w:styleId="Nadpis7Char">
    <w:name w:val="Nadpis 7 Char"/>
    <w:basedOn w:val="Standardnpsmoodstavce"/>
    <w:link w:val="Nadpis7"/>
    <w:uiPriority w:val="7"/>
    <w:rsid w:val="00F7406A"/>
    <w:rPr>
      <w:rFonts w:asciiTheme="majorHAnsi" w:eastAsiaTheme="majorEastAsia" w:hAnsiTheme="majorHAnsi" w:cstheme="majorBidi"/>
      <w:iCs/>
      <w:color w:val="000000" w:themeColor="text1"/>
      <w:sz w:val="22"/>
      <w:szCs w:val="22"/>
      <w:lang w:eastAsia="en-US"/>
    </w:rPr>
  </w:style>
  <w:style w:type="character" w:customStyle="1" w:styleId="Nadpis8Char">
    <w:name w:val="Nadpis 8 Char"/>
    <w:basedOn w:val="Standardnpsmoodstavce"/>
    <w:link w:val="Nadpis8"/>
    <w:uiPriority w:val="7"/>
    <w:rsid w:val="00F7406A"/>
    <w:rPr>
      <w:rFonts w:asciiTheme="majorHAnsi" w:eastAsiaTheme="majorEastAsia" w:hAnsiTheme="majorHAnsi" w:cstheme="majorBidi"/>
      <w:b/>
      <w:color w:val="272727" w:themeColor="text1" w:themeTint="D8"/>
      <w:sz w:val="22"/>
      <w:szCs w:val="21"/>
      <w:lang w:eastAsia="en-US"/>
    </w:rPr>
  </w:style>
  <w:style w:type="character" w:customStyle="1" w:styleId="Nadpis9Char">
    <w:name w:val="Nadpis 9 Char"/>
    <w:basedOn w:val="Standardnpsmoodstavce"/>
    <w:link w:val="Nadpis9"/>
    <w:uiPriority w:val="7"/>
    <w:rsid w:val="00F7406A"/>
    <w:rPr>
      <w:rFonts w:asciiTheme="majorHAnsi" w:eastAsiaTheme="majorEastAsia" w:hAnsiTheme="majorHAnsi" w:cstheme="majorBidi"/>
      <w:i/>
      <w:iCs/>
      <w:color w:val="272727" w:themeColor="text1" w:themeTint="D8"/>
      <w:sz w:val="21"/>
      <w:szCs w:val="21"/>
      <w:lang w:eastAsia="en-US"/>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unhideWhenUsed/>
    <w:qFormat/>
    <w:rsid w:val="00F7406A"/>
    <w:pPr>
      <w:ind w:left="720"/>
      <w:contextualSpacing/>
    </w:pPr>
  </w:style>
  <w:style w:type="numbering" w:customStyle="1" w:styleId="VariantaB-odrky">
    <w:name w:val="Varianta B - odrážky"/>
    <w:uiPriority w:val="99"/>
    <w:rsid w:val="00F7406A"/>
    <w:pPr>
      <w:numPr>
        <w:numId w:val="1"/>
      </w:numPr>
    </w:pPr>
  </w:style>
  <w:style w:type="numbering" w:customStyle="1" w:styleId="VariantaA-odrky">
    <w:name w:val="Varianta A - odrážky"/>
    <w:uiPriority w:val="99"/>
    <w:rsid w:val="00F7406A"/>
    <w:pPr>
      <w:numPr>
        <w:numId w:val="2"/>
      </w:numPr>
    </w:pPr>
  </w:style>
  <w:style w:type="numbering" w:customStyle="1" w:styleId="VariantaA-sla">
    <w:name w:val="Varianta A - čísla"/>
    <w:uiPriority w:val="99"/>
    <w:rsid w:val="00F7406A"/>
    <w:pPr>
      <w:numPr>
        <w:numId w:val="4"/>
      </w:numPr>
    </w:pPr>
  </w:style>
  <w:style w:type="numbering" w:customStyle="1" w:styleId="VariantaB-sla">
    <w:name w:val="Varianta B - čísla"/>
    <w:uiPriority w:val="99"/>
    <w:rsid w:val="00F7406A"/>
    <w:pPr>
      <w:numPr>
        <w:numId w:val="3"/>
      </w:numPr>
    </w:pPr>
  </w:style>
  <w:style w:type="paragraph" w:styleId="Nzev">
    <w:name w:val="Title"/>
    <w:basedOn w:val="Normln"/>
    <w:next w:val="Normln"/>
    <w:link w:val="NzevChar"/>
    <w:uiPriority w:val="4"/>
    <w:qFormat/>
    <w:rsid w:val="00F7406A"/>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F7406A"/>
    <w:rPr>
      <w:rFonts w:asciiTheme="majorHAnsi" w:eastAsiaTheme="majorEastAsia" w:hAnsiTheme="majorHAnsi" w:cstheme="majorBidi"/>
      <w:color w:val="000000" w:themeColor="text1"/>
      <w:spacing w:val="-10"/>
      <w:kern w:val="28"/>
      <w:sz w:val="48"/>
      <w:szCs w:val="56"/>
      <w:lang w:eastAsia="en-US"/>
    </w:rPr>
  </w:style>
  <w:style w:type="character" w:styleId="Zdraznnintenzivn">
    <w:name w:val="Intense Emphasis"/>
    <w:basedOn w:val="Standardnpsmoodstavce"/>
    <w:uiPriority w:val="21"/>
    <w:qFormat/>
    <w:rsid w:val="00F7406A"/>
    <w:rPr>
      <w:b/>
      <w:i/>
      <w:iCs/>
      <w:color w:val="000000" w:themeColor="text1"/>
    </w:rPr>
  </w:style>
  <w:style w:type="paragraph" w:styleId="Vrazncitt">
    <w:name w:val="Intense Quote"/>
    <w:basedOn w:val="Normln"/>
    <w:next w:val="Normln"/>
    <w:link w:val="VrazncittChar"/>
    <w:uiPriority w:val="28"/>
    <w:qFormat/>
    <w:rsid w:val="00F7406A"/>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F7406A"/>
    <w:rPr>
      <w:rFonts w:asciiTheme="minorHAnsi" w:eastAsiaTheme="minorHAnsi" w:hAnsiTheme="minorHAnsi" w:cstheme="minorBidi"/>
      <w:i/>
      <w:iCs/>
      <w:color w:val="000000" w:themeColor="text1"/>
      <w:sz w:val="22"/>
      <w:szCs w:val="22"/>
      <w:lang w:eastAsia="en-US"/>
    </w:rPr>
  </w:style>
  <w:style w:type="character" w:styleId="Odkazintenzivn">
    <w:name w:val="Intense Reference"/>
    <w:basedOn w:val="Standardnpsmoodstavce"/>
    <w:uiPriority w:val="24"/>
    <w:qFormat/>
    <w:rsid w:val="00F7406A"/>
    <w:rPr>
      <w:b/>
      <w:bCs/>
      <w:smallCaps/>
      <w:color w:val="000000" w:themeColor="text1"/>
      <w:spacing w:val="5"/>
    </w:rPr>
  </w:style>
  <w:style w:type="paragraph" w:styleId="slovanseznam">
    <w:name w:val="List Number"/>
    <w:aliases w:val="Číslovaný seznam A"/>
    <w:basedOn w:val="Normln"/>
    <w:uiPriority w:val="15"/>
    <w:qFormat/>
    <w:rsid w:val="00F7406A"/>
    <w:pPr>
      <w:numPr>
        <w:numId w:val="7"/>
      </w:numPr>
      <w:spacing w:after="0"/>
    </w:pPr>
  </w:style>
  <w:style w:type="paragraph" w:styleId="slovanseznam2">
    <w:name w:val="List Number 2"/>
    <w:aliases w:val="Číslovaný seznam A 2"/>
    <w:basedOn w:val="Normln"/>
    <w:uiPriority w:val="15"/>
    <w:qFormat/>
    <w:rsid w:val="00F7406A"/>
    <w:pPr>
      <w:numPr>
        <w:ilvl w:val="1"/>
        <w:numId w:val="7"/>
      </w:numPr>
      <w:spacing w:after="0"/>
      <w:contextualSpacing/>
    </w:pPr>
  </w:style>
  <w:style w:type="paragraph" w:styleId="slovanseznam3">
    <w:name w:val="List Number 3"/>
    <w:aliases w:val="Číslovaný seznam A 3"/>
    <w:basedOn w:val="Normln"/>
    <w:uiPriority w:val="15"/>
    <w:qFormat/>
    <w:rsid w:val="00F7406A"/>
    <w:pPr>
      <w:numPr>
        <w:ilvl w:val="2"/>
        <w:numId w:val="7"/>
      </w:numPr>
      <w:spacing w:after="0"/>
      <w:contextualSpacing/>
    </w:pPr>
  </w:style>
  <w:style w:type="paragraph" w:styleId="slovanseznam4">
    <w:name w:val="List Number 4"/>
    <w:aliases w:val="Číslovaný seznam A 4"/>
    <w:basedOn w:val="Normln"/>
    <w:uiPriority w:val="15"/>
    <w:qFormat/>
    <w:rsid w:val="00F7406A"/>
    <w:pPr>
      <w:numPr>
        <w:ilvl w:val="3"/>
        <w:numId w:val="7"/>
      </w:numPr>
      <w:spacing w:after="0"/>
      <w:contextualSpacing/>
    </w:pPr>
  </w:style>
  <w:style w:type="paragraph" w:styleId="slovanseznam5">
    <w:name w:val="List Number 5"/>
    <w:aliases w:val="Číslovaný seznam A 5"/>
    <w:basedOn w:val="Normln"/>
    <w:uiPriority w:val="15"/>
    <w:qFormat/>
    <w:rsid w:val="00F7406A"/>
    <w:pPr>
      <w:numPr>
        <w:ilvl w:val="4"/>
        <w:numId w:val="7"/>
      </w:numPr>
      <w:spacing w:after="0"/>
      <w:contextualSpacing/>
    </w:pPr>
  </w:style>
  <w:style w:type="paragraph" w:customStyle="1" w:styleId="slovanseznamB">
    <w:name w:val="Číslovaný seznam B"/>
    <w:basedOn w:val="Normln"/>
    <w:uiPriority w:val="16"/>
    <w:qFormat/>
    <w:rsid w:val="00F7406A"/>
    <w:pPr>
      <w:numPr>
        <w:numId w:val="5"/>
      </w:numPr>
      <w:spacing w:after="0"/>
    </w:pPr>
  </w:style>
  <w:style w:type="paragraph" w:customStyle="1" w:styleId="slovanseznamB2">
    <w:name w:val="Číslovaný seznam B 2"/>
    <w:basedOn w:val="Normln"/>
    <w:uiPriority w:val="16"/>
    <w:qFormat/>
    <w:rsid w:val="00F7406A"/>
    <w:pPr>
      <w:numPr>
        <w:ilvl w:val="1"/>
        <w:numId w:val="5"/>
      </w:numPr>
      <w:spacing w:after="0"/>
    </w:pPr>
  </w:style>
  <w:style w:type="paragraph" w:customStyle="1" w:styleId="slovanseznamB3">
    <w:name w:val="Číslovaný seznam B 3"/>
    <w:basedOn w:val="Normln"/>
    <w:uiPriority w:val="16"/>
    <w:qFormat/>
    <w:rsid w:val="00F7406A"/>
    <w:pPr>
      <w:numPr>
        <w:ilvl w:val="2"/>
        <w:numId w:val="5"/>
      </w:numPr>
      <w:spacing w:after="0"/>
    </w:pPr>
  </w:style>
  <w:style w:type="paragraph" w:customStyle="1" w:styleId="slovanseznamB4">
    <w:name w:val="Číslovaný seznam B 4"/>
    <w:basedOn w:val="Normln"/>
    <w:uiPriority w:val="16"/>
    <w:qFormat/>
    <w:rsid w:val="00F7406A"/>
    <w:pPr>
      <w:numPr>
        <w:ilvl w:val="3"/>
        <w:numId w:val="5"/>
      </w:numPr>
      <w:spacing w:after="0"/>
    </w:pPr>
  </w:style>
  <w:style w:type="paragraph" w:customStyle="1" w:styleId="slovanseznamB5">
    <w:name w:val="Číslovaný seznam B 5"/>
    <w:basedOn w:val="Normln"/>
    <w:uiPriority w:val="16"/>
    <w:qFormat/>
    <w:rsid w:val="00F7406A"/>
    <w:pPr>
      <w:numPr>
        <w:ilvl w:val="4"/>
        <w:numId w:val="5"/>
      </w:numPr>
      <w:spacing w:after="0"/>
    </w:pPr>
  </w:style>
  <w:style w:type="paragraph" w:styleId="Seznamsodrkami3">
    <w:name w:val="List Bullet 3"/>
    <w:aliases w:val="Seznam s odrážkami A 3"/>
    <w:basedOn w:val="Normln"/>
    <w:uiPriority w:val="10"/>
    <w:qFormat/>
    <w:rsid w:val="00F7406A"/>
    <w:pPr>
      <w:numPr>
        <w:ilvl w:val="2"/>
        <w:numId w:val="6"/>
      </w:numPr>
      <w:spacing w:after="0"/>
      <w:contextualSpacing/>
    </w:pPr>
  </w:style>
  <w:style w:type="paragraph" w:styleId="Seznamsodrkami4">
    <w:name w:val="List Bullet 4"/>
    <w:aliases w:val="Seznam s odrážkami A 4"/>
    <w:basedOn w:val="Normln"/>
    <w:uiPriority w:val="10"/>
    <w:qFormat/>
    <w:rsid w:val="00F7406A"/>
    <w:pPr>
      <w:numPr>
        <w:ilvl w:val="3"/>
        <w:numId w:val="6"/>
      </w:numPr>
      <w:spacing w:after="0"/>
      <w:contextualSpacing/>
    </w:pPr>
  </w:style>
  <w:style w:type="paragraph" w:styleId="Seznamsodrkami5">
    <w:name w:val="List Bullet 5"/>
    <w:aliases w:val="Seznam s odrážkami A 5"/>
    <w:basedOn w:val="Normln"/>
    <w:uiPriority w:val="10"/>
    <w:qFormat/>
    <w:rsid w:val="00F7406A"/>
    <w:pPr>
      <w:numPr>
        <w:ilvl w:val="4"/>
        <w:numId w:val="6"/>
      </w:numPr>
      <w:spacing w:after="0"/>
    </w:pPr>
  </w:style>
  <w:style w:type="paragraph" w:styleId="Seznamsodrkami">
    <w:name w:val="List Bullet"/>
    <w:aliases w:val="Seznam s odrážkami A"/>
    <w:basedOn w:val="Normln"/>
    <w:uiPriority w:val="10"/>
    <w:qFormat/>
    <w:rsid w:val="00F7406A"/>
    <w:pPr>
      <w:numPr>
        <w:numId w:val="6"/>
      </w:numPr>
      <w:spacing w:after="0"/>
      <w:contextualSpacing/>
    </w:pPr>
  </w:style>
  <w:style w:type="paragraph" w:styleId="Seznamsodrkami2">
    <w:name w:val="List Bullet 2"/>
    <w:aliases w:val="Seznam s odrážkami A 2"/>
    <w:basedOn w:val="Normln"/>
    <w:uiPriority w:val="10"/>
    <w:qFormat/>
    <w:rsid w:val="00F7406A"/>
    <w:pPr>
      <w:numPr>
        <w:ilvl w:val="1"/>
        <w:numId w:val="6"/>
      </w:numPr>
      <w:spacing w:after="0"/>
      <w:contextualSpacing/>
    </w:pPr>
  </w:style>
  <w:style w:type="paragraph" w:customStyle="1" w:styleId="Nadpis1-mimoobsah">
    <w:name w:val="Nadpis 1 - mimo obsah"/>
    <w:basedOn w:val="Normln"/>
    <w:next w:val="Normln"/>
    <w:uiPriority w:val="8"/>
    <w:qFormat/>
    <w:rsid w:val="00F7406A"/>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F7406A"/>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F7406A"/>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F7406A"/>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F7406A"/>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F7406A"/>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F7406A"/>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F7406A"/>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F7406A"/>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5"/>
    <w:qFormat/>
    <w:rsid w:val="00F7406A"/>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F7406A"/>
    <w:rPr>
      <w:rFonts w:asciiTheme="minorHAnsi" w:eastAsiaTheme="minorEastAsia" w:hAnsiTheme="minorHAnsi" w:cstheme="minorBidi"/>
      <w:color w:val="595959" w:themeColor="text1" w:themeTint="A6"/>
      <w:spacing w:val="15"/>
      <w:sz w:val="28"/>
      <w:szCs w:val="22"/>
      <w:lang w:eastAsia="en-US"/>
    </w:rPr>
  </w:style>
  <w:style w:type="paragraph" w:styleId="Obsah1">
    <w:name w:val="toc 1"/>
    <w:basedOn w:val="Normln"/>
    <w:next w:val="Normln"/>
    <w:autoRedefine/>
    <w:uiPriority w:val="39"/>
    <w:unhideWhenUsed/>
    <w:rsid w:val="00F7406A"/>
    <w:pPr>
      <w:spacing w:after="100"/>
    </w:pPr>
  </w:style>
  <w:style w:type="paragraph" w:styleId="Obsah2">
    <w:name w:val="toc 2"/>
    <w:basedOn w:val="Normln"/>
    <w:next w:val="Normln"/>
    <w:autoRedefine/>
    <w:uiPriority w:val="39"/>
    <w:unhideWhenUsed/>
    <w:rsid w:val="00F7406A"/>
    <w:pPr>
      <w:spacing w:after="100"/>
      <w:ind w:left="220"/>
    </w:pPr>
  </w:style>
  <w:style w:type="paragraph" w:styleId="Obsah3">
    <w:name w:val="toc 3"/>
    <w:basedOn w:val="Normln"/>
    <w:next w:val="Normln"/>
    <w:autoRedefine/>
    <w:uiPriority w:val="39"/>
    <w:unhideWhenUsed/>
    <w:rsid w:val="00F7406A"/>
    <w:pPr>
      <w:spacing w:after="100"/>
      <w:ind w:left="440"/>
    </w:pPr>
  </w:style>
  <w:style w:type="paragraph" w:styleId="Obsah4">
    <w:name w:val="toc 4"/>
    <w:basedOn w:val="Normln"/>
    <w:next w:val="Normln"/>
    <w:autoRedefine/>
    <w:uiPriority w:val="39"/>
    <w:unhideWhenUsed/>
    <w:rsid w:val="00F7406A"/>
    <w:pPr>
      <w:spacing w:after="100"/>
      <w:ind w:left="660"/>
    </w:pPr>
  </w:style>
  <w:style w:type="paragraph" w:styleId="Obsah5">
    <w:name w:val="toc 5"/>
    <w:basedOn w:val="Normln"/>
    <w:next w:val="Normln"/>
    <w:autoRedefine/>
    <w:uiPriority w:val="39"/>
    <w:unhideWhenUsed/>
    <w:rsid w:val="00F7406A"/>
    <w:pPr>
      <w:spacing w:after="100"/>
      <w:ind w:left="880"/>
    </w:pPr>
  </w:style>
  <w:style w:type="paragraph" w:styleId="Obsah6">
    <w:name w:val="toc 6"/>
    <w:basedOn w:val="Normln"/>
    <w:next w:val="Normln"/>
    <w:autoRedefine/>
    <w:uiPriority w:val="39"/>
    <w:unhideWhenUsed/>
    <w:rsid w:val="00F7406A"/>
    <w:pPr>
      <w:spacing w:after="100"/>
      <w:ind w:left="1100"/>
    </w:pPr>
  </w:style>
  <w:style w:type="paragraph" w:styleId="Obsah7">
    <w:name w:val="toc 7"/>
    <w:basedOn w:val="Normln"/>
    <w:next w:val="Normln"/>
    <w:autoRedefine/>
    <w:uiPriority w:val="39"/>
    <w:unhideWhenUsed/>
    <w:rsid w:val="00F7406A"/>
    <w:pPr>
      <w:spacing w:after="100"/>
      <w:ind w:left="1320"/>
    </w:pPr>
  </w:style>
  <w:style w:type="paragraph" w:styleId="Obsah8">
    <w:name w:val="toc 8"/>
    <w:basedOn w:val="Normln"/>
    <w:next w:val="Normln"/>
    <w:autoRedefine/>
    <w:uiPriority w:val="39"/>
    <w:unhideWhenUsed/>
    <w:rsid w:val="00F7406A"/>
    <w:pPr>
      <w:spacing w:after="100"/>
      <w:ind w:left="1540"/>
    </w:pPr>
  </w:style>
  <w:style w:type="paragraph" w:styleId="Obsah9">
    <w:name w:val="toc 9"/>
    <w:basedOn w:val="Normln"/>
    <w:next w:val="Normln"/>
    <w:autoRedefine/>
    <w:uiPriority w:val="39"/>
    <w:unhideWhenUsed/>
    <w:rsid w:val="00F7406A"/>
    <w:pPr>
      <w:spacing w:after="100"/>
      <w:ind w:left="1760"/>
    </w:pPr>
  </w:style>
  <w:style w:type="character" w:styleId="Hypertextovodkaz">
    <w:name w:val="Hyperlink"/>
    <w:basedOn w:val="Standardnpsmoodstavce"/>
    <w:uiPriority w:val="99"/>
    <w:unhideWhenUsed/>
    <w:rsid w:val="00F7406A"/>
    <w:rPr>
      <w:color w:val="0563C1" w:themeColor="hyperlink"/>
      <w:u w:val="single"/>
    </w:rPr>
  </w:style>
  <w:style w:type="character" w:styleId="Zdraznnjemn">
    <w:name w:val="Subtle Emphasis"/>
    <w:basedOn w:val="Standardnpsmoodstavce"/>
    <w:uiPriority w:val="19"/>
    <w:qFormat/>
    <w:rsid w:val="00F7406A"/>
    <w:rPr>
      <w:i/>
      <w:iCs/>
      <w:color w:val="595959" w:themeColor="text1" w:themeTint="A6"/>
    </w:rPr>
  </w:style>
  <w:style w:type="character" w:styleId="Odkazjemn">
    <w:name w:val="Subtle Reference"/>
    <w:basedOn w:val="Standardnpsmoodstavce"/>
    <w:uiPriority w:val="23"/>
    <w:qFormat/>
    <w:rsid w:val="00F7406A"/>
    <w:rPr>
      <w:smallCaps/>
      <w:color w:val="5A5A5A" w:themeColor="text1" w:themeTint="A5"/>
    </w:rPr>
  </w:style>
  <w:style w:type="paragraph" w:styleId="Citt">
    <w:name w:val="Quote"/>
    <w:basedOn w:val="Normln"/>
    <w:next w:val="Normln"/>
    <w:link w:val="CittChar"/>
    <w:uiPriority w:val="27"/>
    <w:qFormat/>
    <w:rsid w:val="00F7406A"/>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F7406A"/>
    <w:rPr>
      <w:rFonts w:asciiTheme="minorHAnsi" w:eastAsiaTheme="minorHAnsi" w:hAnsiTheme="minorHAnsi" w:cstheme="minorBidi"/>
      <w:i/>
      <w:iCs/>
      <w:color w:val="595959" w:themeColor="text1" w:themeTint="A6"/>
      <w:sz w:val="22"/>
      <w:szCs w:val="22"/>
      <w:lang w:eastAsia="en-US"/>
    </w:rPr>
  </w:style>
  <w:style w:type="character" w:styleId="Zdraznn">
    <w:name w:val="Emphasis"/>
    <w:basedOn w:val="Standardnpsmoodstavce"/>
    <w:uiPriority w:val="20"/>
    <w:qFormat/>
    <w:rsid w:val="00F7406A"/>
    <w:rPr>
      <w:i/>
      <w:iCs/>
    </w:rPr>
  </w:style>
  <w:style w:type="paragraph" w:styleId="Nadpisobsahu">
    <w:name w:val="TOC Heading"/>
    <w:basedOn w:val="Nadpis1-mimoobsah"/>
    <w:next w:val="Normln"/>
    <w:uiPriority w:val="6"/>
    <w:unhideWhenUsed/>
    <w:qFormat/>
    <w:rsid w:val="00F7406A"/>
  </w:style>
  <w:style w:type="paragraph" w:styleId="Datum">
    <w:name w:val="Date"/>
    <w:basedOn w:val="Normln"/>
    <w:next w:val="Normln"/>
    <w:link w:val="DatumChar"/>
    <w:uiPriority w:val="31"/>
    <w:unhideWhenUsed/>
    <w:rsid w:val="00F7406A"/>
  </w:style>
  <w:style w:type="character" w:customStyle="1" w:styleId="DatumChar">
    <w:name w:val="Datum Char"/>
    <w:basedOn w:val="Standardnpsmoodstavce"/>
    <w:link w:val="Datum"/>
    <w:uiPriority w:val="31"/>
    <w:rsid w:val="00F7406A"/>
    <w:rPr>
      <w:rFonts w:asciiTheme="minorHAnsi" w:eastAsiaTheme="minorHAnsi" w:hAnsiTheme="minorHAnsi" w:cstheme="minorBidi"/>
      <w:color w:val="000000" w:themeColor="text1"/>
      <w:sz w:val="22"/>
      <w:szCs w:val="22"/>
      <w:lang w:eastAsia="en-US"/>
    </w:rPr>
  </w:style>
  <w:style w:type="paragraph" w:styleId="Textvbloku">
    <w:name w:val="Block Text"/>
    <w:basedOn w:val="Normln"/>
    <w:uiPriority w:val="29"/>
    <w:unhideWhenUsed/>
    <w:rsid w:val="00F7406A"/>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F7406A"/>
    <w:rPr>
      <w:color w:val="595959" w:themeColor="text1" w:themeTint="A6"/>
      <w:u w:val="single"/>
    </w:rPr>
  </w:style>
  <w:style w:type="paragraph" w:styleId="Zkladntext">
    <w:name w:val="Body Text"/>
    <w:basedOn w:val="Normln"/>
    <w:link w:val="ZkladntextChar"/>
    <w:uiPriority w:val="1"/>
    <w:rsid w:val="00F7406A"/>
  </w:style>
  <w:style w:type="character" w:customStyle="1" w:styleId="ZkladntextChar">
    <w:name w:val="Základní text Char"/>
    <w:basedOn w:val="Standardnpsmoodstavce"/>
    <w:link w:val="Zkladntext"/>
    <w:uiPriority w:val="1"/>
    <w:rsid w:val="00F7406A"/>
    <w:rPr>
      <w:rFonts w:asciiTheme="minorHAnsi" w:eastAsiaTheme="minorHAnsi" w:hAnsiTheme="minorHAnsi" w:cstheme="minorBidi"/>
      <w:color w:val="000000" w:themeColor="text1"/>
      <w:sz w:val="22"/>
      <w:szCs w:val="22"/>
      <w:lang w:eastAsia="en-US"/>
    </w:rPr>
  </w:style>
  <w:style w:type="paragraph" w:styleId="Zkladntext-prvnodsazen">
    <w:name w:val="Body Text First Indent"/>
    <w:basedOn w:val="Zkladntext"/>
    <w:link w:val="Zkladntext-prvnodsazenChar"/>
    <w:uiPriority w:val="1"/>
    <w:rsid w:val="00F7406A"/>
    <w:pPr>
      <w:ind w:firstLine="357"/>
    </w:pPr>
  </w:style>
  <w:style w:type="character" w:customStyle="1" w:styleId="Zkladntext-prvnodsazenChar">
    <w:name w:val="Základní text - první odsazený Char"/>
    <w:basedOn w:val="ZkladntextChar"/>
    <w:link w:val="Zkladntext-prvnodsazen"/>
    <w:uiPriority w:val="1"/>
    <w:rsid w:val="00F7406A"/>
    <w:rPr>
      <w:rFonts w:asciiTheme="minorHAnsi" w:eastAsiaTheme="minorHAnsi" w:hAnsiTheme="minorHAnsi" w:cstheme="minorBidi"/>
      <w:color w:val="000000" w:themeColor="text1"/>
      <w:sz w:val="22"/>
      <w:szCs w:val="22"/>
      <w:lang w:eastAsia="en-US"/>
    </w:rPr>
  </w:style>
  <w:style w:type="paragraph" w:styleId="Zkladntextodsazen">
    <w:name w:val="Body Text Indent"/>
    <w:basedOn w:val="Normln"/>
    <w:link w:val="ZkladntextodsazenChar"/>
    <w:uiPriority w:val="1"/>
    <w:rsid w:val="00F7406A"/>
    <w:pPr>
      <w:ind w:left="357"/>
    </w:pPr>
  </w:style>
  <w:style w:type="character" w:customStyle="1" w:styleId="ZkladntextodsazenChar">
    <w:name w:val="Základní text odsazený Char"/>
    <w:basedOn w:val="Standardnpsmoodstavce"/>
    <w:link w:val="Zkladntextodsazen"/>
    <w:uiPriority w:val="1"/>
    <w:rsid w:val="00F7406A"/>
    <w:rPr>
      <w:rFonts w:asciiTheme="minorHAnsi" w:eastAsiaTheme="minorHAnsi" w:hAnsiTheme="minorHAnsi" w:cstheme="minorBidi"/>
      <w:color w:val="000000" w:themeColor="text1"/>
      <w:sz w:val="22"/>
      <w:szCs w:val="22"/>
      <w:lang w:eastAsia="en-US"/>
    </w:rPr>
  </w:style>
  <w:style w:type="paragraph" w:customStyle="1" w:styleId="SeznamsodrkamiB">
    <w:name w:val="Seznam s odrážkami B"/>
    <w:basedOn w:val="Normln"/>
    <w:uiPriority w:val="11"/>
    <w:qFormat/>
    <w:rsid w:val="00F7406A"/>
    <w:pPr>
      <w:numPr>
        <w:numId w:val="8"/>
      </w:numPr>
      <w:spacing w:after="0"/>
    </w:pPr>
  </w:style>
  <w:style w:type="paragraph" w:customStyle="1" w:styleId="SeznamsodrkamiB2">
    <w:name w:val="Seznam s odrážkami B 2"/>
    <w:basedOn w:val="Normln"/>
    <w:uiPriority w:val="11"/>
    <w:qFormat/>
    <w:rsid w:val="00F7406A"/>
    <w:pPr>
      <w:numPr>
        <w:ilvl w:val="1"/>
        <w:numId w:val="8"/>
      </w:numPr>
      <w:spacing w:after="0"/>
    </w:pPr>
  </w:style>
  <w:style w:type="paragraph" w:customStyle="1" w:styleId="SeznamsodrkamiB3">
    <w:name w:val="Seznam s odrážkami B 3"/>
    <w:basedOn w:val="Normln"/>
    <w:uiPriority w:val="11"/>
    <w:qFormat/>
    <w:rsid w:val="00F7406A"/>
    <w:pPr>
      <w:numPr>
        <w:ilvl w:val="2"/>
        <w:numId w:val="8"/>
      </w:numPr>
      <w:spacing w:after="0"/>
    </w:pPr>
  </w:style>
  <w:style w:type="paragraph" w:customStyle="1" w:styleId="SeznamsodrkamiB4">
    <w:name w:val="Seznam s odrážkami B 4"/>
    <w:basedOn w:val="Normln"/>
    <w:uiPriority w:val="11"/>
    <w:qFormat/>
    <w:rsid w:val="00F7406A"/>
    <w:pPr>
      <w:numPr>
        <w:ilvl w:val="3"/>
        <w:numId w:val="8"/>
      </w:numPr>
      <w:spacing w:after="0"/>
    </w:pPr>
  </w:style>
  <w:style w:type="paragraph" w:customStyle="1" w:styleId="SeznamsodrkamiB5">
    <w:name w:val="Seznam s odrážkami B 5"/>
    <w:basedOn w:val="Normln"/>
    <w:uiPriority w:val="11"/>
    <w:qFormat/>
    <w:rsid w:val="00F7406A"/>
    <w:pPr>
      <w:numPr>
        <w:ilvl w:val="4"/>
        <w:numId w:val="8"/>
      </w:numPr>
      <w:spacing w:after="0"/>
    </w:pPr>
  </w:style>
  <w:style w:type="paragraph" w:styleId="Textpoznpodarou">
    <w:name w:val="footnote text"/>
    <w:basedOn w:val="Normln"/>
    <w:link w:val="TextpoznpodarouChar"/>
    <w:uiPriority w:val="99"/>
    <w:unhideWhenUsed/>
    <w:rsid w:val="00F7406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7406A"/>
    <w:rPr>
      <w:rFonts w:asciiTheme="minorHAnsi" w:eastAsiaTheme="minorHAnsi" w:hAnsiTheme="minorHAnsi" w:cstheme="minorBidi"/>
      <w:color w:val="000000" w:themeColor="text1"/>
      <w:lang w:eastAsia="en-US"/>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fr,Légende;Char Car Car Car Car"/>
    <w:basedOn w:val="Standardnpsmoodstavce"/>
    <w:uiPriority w:val="99"/>
    <w:unhideWhenUsed/>
    <w:rsid w:val="00F7406A"/>
    <w:rPr>
      <w:vertAlign w:val="superscript"/>
    </w:rPr>
  </w:style>
  <w:style w:type="paragraph" w:customStyle="1" w:styleId="normln0">
    <w:name w:val="normální"/>
    <w:basedOn w:val="Normln"/>
    <w:rsid w:val="00F7406A"/>
    <w:pPr>
      <w:tabs>
        <w:tab w:val="left" w:pos="0"/>
      </w:tabs>
      <w:overflowPunct w:val="0"/>
      <w:autoSpaceDE w:val="0"/>
      <w:autoSpaceDN w:val="0"/>
      <w:adjustRightInd w:val="0"/>
      <w:spacing w:after="0" w:line="360" w:lineRule="auto"/>
    </w:pPr>
    <w:rPr>
      <w:rFonts w:ascii="Arial" w:eastAsia="Times New Roman" w:hAnsi="Arial" w:cs="Times New Roman"/>
      <w:bCs/>
      <w:color w:val="auto"/>
      <w:sz w:val="24"/>
      <w:szCs w:val="20"/>
      <w:lang w:eastAsia="cs-CZ"/>
    </w:rPr>
  </w:style>
  <w:style w:type="paragraph" w:styleId="Textbubliny">
    <w:name w:val="Balloon Text"/>
    <w:basedOn w:val="Normln"/>
    <w:link w:val="TextbublinyChar"/>
    <w:uiPriority w:val="99"/>
    <w:unhideWhenUsed/>
    <w:rsid w:val="00F740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7406A"/>
    <w:rPr>
      <w:rFonts w:ascii="Segoe UI" w:eastAsiaTheme="minorHAnsi" w:hAnsi="Segoe UI" w:cs="Segoe UI"/>
      <w:color w:val="000000" w:themeColor="text1"/>
      <w:sz w:val="18"/>
      <w:szCs w:val="18"/>
      <w:lang w:eastAsia="en-US"/>
    </w:rPr>
  </w:style>
  <w:style w:type="character" w:styleId="Odkaznakoment">
    <w:name w:val="annotation reference"/>
    <w:basedOn w:val="Standardnpsmoodstavce"/>
    <w:uiPriority w:val="99"/>
    <w:semiHidden/>
    <w:unhideWhenUsed/>
    <w:rsid w:val="00F7406A"/>
    <w:rPr>
      <w:sz w:val="16"/>
      <w:szCs w:val="16"/>
    </w:rPr>
  </w:style>
  <w:style w:type="paragraph" w:styleId="Textkomente">
    <w:name w:val="annotation text"/>
    <w:basedOn w:val="Normln"/>
    <w:link w:val="TextkomenteChar"/>
    <w:uiPriority w:val="99"/>
    <w:unhideWhenUsed/>
    <w:rsid w:val="00F7406A"/>
    <w:pPr>
      <w:spacing w:line="240" w:lineRule="auto"/>
    </w:pPr>
    <w:rPr>
      <w:sz w:val="20"/>
      <w:szCs w:val="20"/>
    </w:rPr>
  </w:style>
  <w:style w:type="character" w:customStyle="1" w:styleId="TextkomenteChar">
    <w:name w:val="Text komentáře Char"/>
    <w:basedOn w:val="Standardnpsmoodstavce"/>
    <w:link w:val="Textkomente"/>
    <w:uiPriority w:val="99"/>
    <w:rsid w:val="00F7406A"/>
    <w:rPr>
      <w:rFonts w:asciiTheme="minorHAnsi" w:eastAsiaTheme="minorHAnsi" w:hAnsiTheme="minorHAnsi" w:cstheme="minorBidi"/>
      <w:color w:val="000000" w:themeColor="text1"/>
      <w:lang w:eastAsia="en-US"/>
    </w:rPr>
  </w:style>
  <w:style w:type="paragraph" w:styleId="Pedmtkomente">
    <w:name w:val="annotation subject"/>
    <w:basedOn w:val="Textkomente"/>
    <w:next w:val="Textkomente"/>
    <w:link w:val="PedmtkomenteChar"/>
    <w:uiPriority w:val="99"/>
    <w:semiHidden/>
    <w:unhideWhenUsed/>
    <w:rsid w:val="00F7406A"/>
    <w:rPr>
      <w:b/>
      <w:bCs/>
    </w:rPr>
  </w:style>
  <w:style w:type="character" w:customStyle="1" w:styleId="PedmtkomenteChar">
    <w:name w:val="Předmět komentáře Char"/>
    <w:basedOn w:val="TextkomenteChar"/>
    <w:link w:val="Pedmtkomente"/>
    <w:uiPriority w:val="99"/>
    <w:semiHidden/>
    <w:rsid w:val="00F7406A"/>
    <w:rPr>
      <w:rFonts w:asciiTheme="minorHAnsi" w:eastAsiaTheme="minorHAnsi" w:hAnsiTheme="minorHAnsi" w:cstheme="minorBidi"/>
      <w:b/>
      <w:bCs/>
      <w:color w:val="000000" w:themeColor="text1"/>
      <w:lang w:eastAsia="en-US"/>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F7406A"/>
    <w:rPr>
      <w:rFonts w:asciiTheme="minorHAnsi" w:eastAsiaTheme="minorHAnsi" w:hAnsiTheme="minorHAnsi" w:cstheme="minorBidi"/>
      <w:color w:val="000000" w:themeColor="text1"/>
      <w:sz w:val="22"/>
      <w:szCs w:val="22"/>
      <w:lang w:eastAsia="en-US"/>
    </w:rPr>
  </w:style>
  <w:style w:type="character" w:styleId="Siln">
    <w:name w:val="Strong"/>
    <w:basedOn w:val="Standardnpsmoodstavce"/>
    <w:uiPriority w:val="22"/>
    <w:qFormat/>
    <w:rsid w:val="00F7406A"/>
    <w:rPr>
      <w:b/>
      <w:bCs/>
    </w:rPr>
  </w:style>
  <w:style w:type="paragraph" w:styleId="Revize">
    <w:name w:val="Revision"/>
    <w:hidden/>
    <w:uiPriority w:val="99"/>
    <w:semiHidden/>
    <w:rsid w:val="00F7406A"/>
    <w:rPr>
      <w:rFonts w:asciiTheme="minorHAnsi" w:eastAsiaTheme="minorHAnsi" w:hAnsiTheme="minorHAnsi" w:cstheme="minorBidi"/>
      <w:color w:val="000000" w:themeColor="text1"/>
      <w:sz w:val="22"/>
      <w:szCs w:val="22"/>
      <w:lang w:eastAsia="en-US"/>
    </w:rPr>
  </w:style>
  <w:style w:type="paragraph" w:customStyle="1" w:styleId="rovenadpisu1">
    <w:name w:val="úroveň nadpisu 1"/>
    <w:basedOn w:val="Normln"/>
    <w:rsid w:val="00F7406A"/>
    <w:pPr>
      <w:keepNext/>
      <w:numPr>
        <w:numId w:val="16"/>
      </w:numPr>
      <w:spacing w:before="240" w:after="0" w:line="360" w:lineRule="auto"/>
    </w:pPr>
    <w:rPr>
      <w:rFonts w:ascii="Arial" w:eastAsia="Times New Roman" w:hAnsi="Arial" w:cs="Arial"/>
      <w:b/>
      <w:bCs/>
      <w:color w:val="auto"/>
      <w:sz w:val="24"/>
      <w:szCs w:val="24"/>
      <w:lang w:eastAsia="cs-CZ"/>
    </w:rPr>
  </w:style>
  <w:style w:type="paragraph" w:customStyle="1" w:styleId="rovenadpisu3">
    <w:name w:val="úroveň nadpisu 3"/>
    <w:basedOn w:val="Normln"/>
    <w:rsid w:val="00F7406A"/>
    <w:pPr>
      <w:keepNext/>
      <w:numPr>
        <w:ilvl w:val="2"/>
        <w:numId w:val="16"/>
      </w:numPr>
      <w:spacing w:before="120" w:after="0" w:line="360" w:lineRule="auto"/>
    </w:pPr>
    <w:rPr>
      <w:rFonts w:ascii="Arial" w:eastAsia="Times New Roman" w:hAnsi="Arial" w:cs="Arial"/>
      <w:b/>
      <w:color w:val="auto"/>
      <w:sz w:val="24"/>
      <w:szCs w:val="24"/>
      <w:lang w:eastAsia="cs-CZ"/>
    </w:rPr>
  </w:style>
  <w:style w:type="paragraph" w:customStyle="1" w:styleId="Default">
    <w:name w:val="Default"/>
    <w:rsid w:val="00F7406A"/>
    <w:pPr>
      <w:autoSpaceDE w:val="0"/>
      <w:autoSpaceDN w:val="0"/>
      <w:adjustRightInd w:val="0"/>
    </w:pPr>
    <w:rPr>
      <w:rFonts w:ascii="Calibri" w:eastAsia="Calibri" w:hAnsi="Calibri" w:cs="Calibri"/>
      <w:color w:val="000000"/>
      <w:sz w:val="24"/>
      <w:szCs w:val="24"/>
      <w:lang w:eastAsia="en-US"/>
    </w:rPr>
  </w:style>
  <w:style w:type="paragraph" w:styleId="Zhlav">
    <w:name w:val="header"/>
    <w:basedOn w:val="Normln"/>
    <w:link w:val="ZhlavChar"/>
    <w:uiPriority w:val="99"/>
    <w:unhideWhenUsed/>
    <w:rsid w:val="00F740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406A"/>
    <w:rPr>
      <w:rFonts w:asciiTheme="minorHAnsi" w:eastAsiaTheme="minorHAnsi" w:hAnsiTheme="minorHAnsi" w:cstheme="minorBidi"/>
      <w:color w:val="000000" w:themeColor="text1"/>
      <w:sz w:val="22"/>
      <w:szCs w:val="22"/>
      <w:lang w:eastAsia="en-US"/>
    </w:rPr>
  </w:style>
  <w:style w:type="paragraph" w:styleId="Zpat">
    <w:name w:val="footer"/>
    <w:basedOn w:val="Normln"/>
    <w:link w:val="ZpatChar"/>
    <w:uiPriority w:val="99"/>
    <w:unhideWhenUsed/>
    <w:rsid w:val="00F7406A"/>
    <w:pPr>
      <w:tabs>
        <w:tab w:val="center" w:pos="4536"/>
        <w:tab w:val="right" w:pos="9072"/>
      </w:tabs>
      <w:spacing w:after="0" w:line="240" w:lineRule="auto"/>
    </w:pPr>
  </w:style>
  <w:style w:type="character" w:customStyle="1" w:styleId="ZpatChar">
    <w:name w:val="Zápatí Char"/>
    <w:basedOn w:val="Standardnpsmoodstavce"/>
    <w:link w:val="Zpat"/>
    <w:uiPriority w:val="99"/>
    <w:rsid w:val="00F7406A"/>
    <w:rPr>
      <w:rFonts w:asciiTheme="minorHAnsi" w:eastAsiaTheme="minorHAnsi" w:hAnsiTheme="minorHAnsi" w:cstheme="minorBidi"/>
      <w:color w:val="000000" w:themeColor="text1"/>
      <w:sz w:val="22"/>
      <w:szCs w:val="22"/>
      <w:lang w:eastAsia="en-US"/>
    </w:rPr>
  </w:style>
  <w:style w:type="character" w:customStyle="1" w:styleId="st1">
    <w:name w:val="st1"/>
    <w:basedOn w:val="Standardnpsmoodstavce"/>
    <w:rsid w:val="00F7406A"/>
  </w:style>
  <w:style w:type="paragraph" w:customStyle="1" w:styleId="CM1">
    <w:name w:val="CM1"/>
    <w:basedOn w:val="Default"/>
    <w:next w:val="Default"/>
    <w:uiPriority w:val="99"/>
    <w:rsid w:val="00F7406A"/>
    <w:rPr>
      <w:rFonts w:ascii="Times New Roman" w:eastAsiaTheme="minorHAnsi" w:hAnsi="Times New Roman" w:cs="Times New Roman"/>
      <w:color w:val="auto"/>
    </w:rPr>
  </w:style>
  <w:style w:type="paragraph" w:customStyle="1" w:styleId="CM3">
    <w:name w:val="CM3"/>
    <w:basedOn w:val="Default"/>
    <w:next w:val="Default"/>
    <w:uiPriority w:val="99"/>
    <w:rsid w:val="00F7406A"/>
    <w:rPr>
      <w:rFonts w:ascii="Times New Roman" w:eastAsiaTheme="minorHAnsi" w:hAnsi="Times New Roman" w:cs="Times New Roman"/>
      <w:color w:val="auto"/>
    </w:rPr>
  </w:style>
  <w:style w:type="paragraph" w:customStyle="1" w:styleId="CM4">
    <w:name w:val="CM4"/>
    <w:basedOn w:val="Default"/>
    <w:next w:val="Default"/>
    <w:uiPriority w:val="99"/>
    <w:rsid w:val="00F7406A"/>
    <w:rPr>
      <w:rFonts w:ascii="Times New Roman" w:eastAsiaTheme="minorHAnsi" w:hAnsi="Times New Roman" w:cs="Times New Roman"/>
      <w:color w:val="auto"/>
    </w:rPr>
  </w:style>
  <w:style w:type="paragraph" w:styleId="Bezmezer">
    <w:name w:val="No Spacing"/>
    <w:uiPriority w:val="1"/>
    <w:qFormat/>
    <w:rsid w:val="00F7406A"/>
    <w:rPr>
      <w:rFonts w:ascii="Calibri" w:eastAsia="Calibri" w:hAnsi="Calibri"/>
      <w:sz w:val="22"/>
      <w:szCs w:val="22"/>
      <w:lang w:eastAsia="en-US"/>
    </w:rPr>
  </w:style>
  <w:style w:type="paragraph" w:styleId="Textvysvtlivek">
    <w:name w:val="endnote text"/>
    <w:basedOn w:val="Normln"/>
    <w:link w:val="TextvysvtlivekChar"/>
    <w:uiPriority w:val="99"/>
    <w:semiHidden/>
    <w:unhideWhenUsed/>
    <w:rsid w:val="0023177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31777"/>
    <w:rPr>
      <w:rFonts w:asciiTheme="minorHAnsi" w:eastAsiaTheme="minorHAnsi" w:hAnsiTheme="minorHAnsi" w:cstheme="minorBidi"/>
      <w:color w:val="000000" w:themeColor="text1"/>
      <w:lang w:eastAsia="en-US"/>
    </w:rPr>
  </w:style>
  <w:style w:type="character" w:styleId="Odkaznavysvtlivky">
    <w:name w:val="endnote reference"/>
    <w:basedOn w:val="Standardnpsmoodstavce"/>
    <w:uiPriority w:val="99"/>
    <w:semiHidden/>
    <w:unhideWhenUsed/>
    <w:rsid w:val="00231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o.cz/cz/podnikani/dotace-a-podpora-podnikani/oppik-2014-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mila.winterova@olomouc.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zena.nerusilova@olomouc.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rimska@olomopuc.e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dotaceeu.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8F86-1B38-40B1-8BFD-9D4CD608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60D63B62.dotm</Template>
  <TotalTime>125</TotalTime>
  <Pages>19</Pages>
  <Words>6682</Words>
  <Characters>39430</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46020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Stehlíková Markéta</dc:creator>
  <cp:lastModifiedBy>Tománková Eva</cp:lastModifiedBy>
  <cp:revision>26</cp:revision>
  <cp:lastPrinted>2018-12-04T09:12:00Z</cp:lastPrinted>
  <dcterms:created xsi:type="dcterms:W3CDTF">2019-05-29T07:08:00Z</dcterms:created>
  <dcterms:modified xsi:type="dcterms:W3CDTF">2019-07-19T13:22:00Z</dcterms:modified>
</cp:coreProperties>
</file>