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858AD" w14:textId="77777777" w:rsidR="00807295" w:rsidRDefault="00807295" w:rsidP="00505CF9">
      <w:pPr>
        <w:overflowPunct/>
        <w:spacing w:after="0"/>
        <w:jc w:val="both"/>
        <w:textAlignment w:val="auto"/>
        <w:rPr>
          <w:rFonts w:cs="TimesNewRoman,Bold"/>
          <w:b/>
          <w:bCs/>
          <w:sz w:val="28"/>
          <w:szCs w:val="22"/>
          <w:u w:val="single"/>
        </w:rPr>
      </w:pPr>
      <w:bookmarkStart w:id="0" w:name="_GoBack"/>
      <w:bookmarkEnd w:id="0"/>
    </w:p>
    <w:p w14:paraId="580E8BCF" w14:textId="77777777" w:rsidR="009015FF" w:rsidRPr="001F0604" w:rsidRDefault="001F0604" w:rsidP="00505CF9">
      <w:pPr>
        <w:overflowPunct/>
        <w:spacing w:after="0"/>
        <w:jc w:val="center"/>
        <w:textAlignment w:val="auto"/>
        <w:rPr>
          <w:rFonts w:cs="TimesNewRoman,Bold"/>
          <w:b/>
          <w:bCs/>
          <w:caps/>
          <w:sz w:val="28"/>
          <w:szCs w:val="22"/>
          <w:u w:val="single"/>
        </w:rPr>
      </w:pPr>
      <w:r w:rsidRPr="001F0604">
        <w:rPr>
          <w:rFonts w:cs="TimesNewRoman,Bold"/>
          <w:b/>
          <w:bCs/>
          <w:caps/>
          <w:sz w:val="28"/>
          <w:szCs w:val="22"/>
          <w:u w:val="single"/>
        </w:rPr>
        <w:t>Nízkouhlíkové technologie</w:t>
      </w:r>
    </w:p>
    <w:p w14:paraId="41166F6D" w14:textId="61B70412" w:rsidR="005E02A8" w:rsidRDefault="00D53C71" w:rsidP="00505CF9">
      <w:pPr>
        <w:overflowPunct/>
        <w:spacing w:after="0"/>
        <w:jc w:val="center"/>
        <w:textAlignment w:val="auto"/>
        <w:rPr>
          <w:rFonts w:cs="TimesNewRoman,Bold"/>
          <w:b/>
          <w:bCs/>
          <w:sz w:val="28"/>
          <w:szCs w:val="22"/>
          <w:u w:val="single"/>
        </w:rPr>
      </w:pPr>
      <w:r>
        <w:rPr>
          <w:rFonts w:cs="TimesNewRoman,Bold"/>
          <w:b/>
          <w:bCs/>
          <w:sz w:val="28"/>
          <w:szCs w:val="22"/>
          <w:u w:val="single"/>
        </w:rPr>
        <w:t xml:space="preserve">Výzva </w:t>
      </w:r>
      <w:r w:rsidR="00CF3613">
        <w:rPr>
          <w:rFonts w:cs="TimesNewRoman,Bold"/>
          <w:b/>
          <w:bCs/>
          <w:sz w:val="28"/>
          <w:szCs w:val="22"/>
          <w:u w:val="single"/>
        </w:rPr>
        <w:t>V</w:t>
      </w:r>
      <w:r>
        <w:rPr>
          <w:rFonts w:cs="TimesNewRoman,Bold"/>
          <w:b/>
          <w:bCs/>
          <w:sz w:val="28"/>
          <w:szCs w:val="22"/>
          <w:u w:val="single"/>
        </w:rPr>
        <w:t>.</w:t>
      </w:r>
      <w:r w:rsidR="00320295">
        <w:rPr>
          <w:rFonts w:cs="TimesNewRoman,Bold"/>
          <w:b/>
          <w:bCs/>
          <w:sz w:val="28"/>
          <w:szCs w:val="22"/>
          <w:u w:val="single"/>
        </w:rPr>
        <w:t xml:space="preserve"> </w:t>
      </w:r>
      <w:proofErr w:type="spellStart"/>
      <w:r w:rsidR="00320295">
        <w:rPr>
          <w:rFonts w:cs="TimesNewRoman,Bold"/>
          <w:b/>
          <w:bCs/>
          <w:sz w:val="28"/>
          <w:szCs w:val="22"/>
          <w:u w:val="single"/>
        </w:rPr>
        <w:t>Elektromobilita</w:t>
      </w:r>
      <w:proofErr w:type="spellEnd"/>
      <w:r>
        <w:rPr>
          <w:rFonts w:cs="TimesNewRoman,Bold"/>
          <w:b/>
          <w:bCs/>
          <w:sz w:val="28"/>
          <w:szCs w:val="22"/>
          <w:u w:val="single"/>
        </w:rPr>
        <w:t xml:space="preserve"> </w:t>
      </w:r>
      <w:r w:rsidR="005E6ED5" w:rsidRPr="005E6ED5">
        <w:rPr>
          <w:rFonts w:cs="TimesNewRoman,Bold"/>
          <w:b/>
          <w:bCs/>
          <w:sz w:val="28"/>
          <w:szCs w:val="22"/>
          <w:u w:val="single"/>
        </w:rPr>
        <w:t>– Příručka způsobilých výdajů</w:t>
      </w:r>
    </w:p>
    <w:p w14:paraId="14BD704F" w14:textId="77777777" w:rsidR="004757FF" w:rsidRPr="004757FF" w:rsidRDefault="004757FF" w:rsidP="00505CF9">
      <w:pPr>
        <w:overflowPunct/>
        <w:spacing w:after="0"/>
        <w:jc w:val="center"/>
        <w:textAlignment w:val="auto"/>
        <w:rPr>
          <w:rFonts w:cs="TimesNewRoman,Bold"/>
          <w:b/>
          <w:bCs/>
          <w:sz w:val="28"/>
          <w:szCs w:val="22"/>
        </w:rPr>
      </w:pPr>
      <w:r w:rsidRPr="00217955">
        <w:rPr>
          <w:rFonts w:cs="TimesNewRoman,Bold"/>
          <w:b/>
          <w:bCs/>
          <w:sz w:val="28"/>
          <w:szCs w:val="22"/>
        </w:rPr>
        <w:t xml:space="preserve">(Příloha </w:t>
      </w:r>
      <w:proofErr w:type="gramStart"/>
      <w:r w:rsidRPr="00217955">
        <w:rPr>
          <w:rFonts w:cs="TimesNewRoman,Bold"/>
          <w:b/>
          <w:bCs/>
          <w:sz w:val="28"/>
          <w:szCs w:val="22"/>
        </w:rPr>
        <w:t>č.2)</w:t>
      </w:r>
      <w:proofErr w:type="gramEnd"/>
    </w:p>
    <w:p w14:paraId="428A33A8" w14:textId="77777777" w:rsidR="003C01CD" w:rsidRDefault="003C01CD" w:rsidP="00505CF9">
      <w:pPr>
        <w:overflowPunct/>
        <w:spacing w:after="0"/>
        <w:jc w:val="both"/>
        <w:textAlignment w:val="auto"/>
        <w:rPr>
          <w:rFonts w:cs="TimesNewRoman,Bold"/>
          <w:b/>
          <w:bCs/>
          <w:szCs w:val="22"/>
        </w:rPr>
      </w:pPr>
    </w:p>
    <w:p w14:paraId="4AEC8D45" w14:textId="77777777" w:rsidR="005E02A8" w:rsidRPr="002D7E85" w:rsidRDefault="005E02A8" w:rsidP="00505CF9">
      <w:pPr>
        <w:overflowPunct/>
        <w:spacing w:after="0"/>
        <w:jc w:val="both"/>
        <w:textAlignment w:val="auto"/>
        <w:rPr>
          <w:rFonts w:cs="TimesNewRoman,Bold"/>
          <w:b/>
          <w:bCs/>
          <w:sz w:val="24"/>
          <w:szCs w:val="22"/>
        </w:rPr>
      </w:pPr>
      <w:r w:rsidRPr="002D7E85">
        <w:rPr>
          <w:rFonts w:cs="TimesNewRoman,Bold"/>
          <w:b/>
          <w:bCs/>
          <w:sz w:val="24"/>
          <w:szCs w:val="22"/>
        </w:rPr>
        <w:t>ÚVOD:</w:t>
      </w:r>
    </w:p>
    <w:p w14:paraId="6FF476B7" w14:textId="301277FE" w:rsidR="005E02A8" w:rsidRDefault="005E02A8" w:rsidP="00505CF9">
      <w:pPr>
        <w:overflowPunct/>
        <w:spacing w:after="0"/>
        <w:jc w:val="both"/>
        <w:textAlignment w:val="auto"/>
        <w:rPr>
          <w:rFonts w:cstheme="minorHAnsi"/>
        </w:rPr>
      </w:pPr>
      <w:r w:rsidRPr="002D7E85">
        <w:rPr>
          <w:rFonts w:cs="TimesNewRoman"/>
          <w:szCs w:val="22"/>
        </w:rPr>
        <w:t xml:space="preserve">Tento dokument má sloužit žadatelům o </w:t>
      </w:r>
      <w:r w:rsidR="00D53C71" w:rsidRPr="002D7E85">
        <w:rPr>
          <w:rFonts w:cs="TimesNewRoman"/>
          <w:szCs w:val="22"/>
        </w:rPr>
        <w:t>podporu</w:t>
      </w:r>
      <w:r w:rsidRPr="002D7E85">
        <w:rPr>
          <w:rFonts w:cs="TimesNewRoman"/>
          <w:szCs w:val="22"/>
        </w:rPr>
        <w:t xml:space="preserve"> ze strukturálních fondů EU v rámci programu</w:t>
      </w:r>
      <w:r w:rsidR="003C01CD" w:rsidRPr="002D7E85">
        <w:rPr>
          <w:rFonts w:cs="TimesNewRoman"/>
          <w:szCs w:val="22"/>
        </w:rPr>
        <w:t xml:space="preserve"> </w:t>
      </w:r>
      <w:r w:rsidR="001F0604">
        <w:rPr>
          <w:rFonts w:cs="TimesNewRoman"/>
          <w:szCs w:val="22"/>
        </w:rPr>
        <w:t xml:space="preserve">Nízkouhlíkové technologie </w:t>
      </w:r>
      <w:r w:rsidRPr="002D7E85">
        <w:rPr>
          <w:rFonts w:cs="TimesNewRoman"/>
          <w:szCs w:val="22"/>
        </w:rPr>
        <w:t xml:space="preserve">a pomáhat s orientací v oblasti způsobilých a </w:t>
      </w:r>
      <w:r w:rsidR="003C01CD" w:rsidRPr="002D7E85">
        <w:rPr>
          <w:rFonts w:cs="TimesNewRoman"/>
          <w:szCs w:val="22"/>
        </w:rPr>
        <w:t>n</w:t>
      </w:r>
      <w:r w:rsidR="00F42710" w:rsidRPr="002D7E85">
        <w:rPr>
          <w:rFonts w:cs="TimesNewRoman"/>
          <w:szCs w:val="22"/>
        </w:rPr>
        <w:t xml:space="preserve">ezpůsobilých </w:t>
      </w:r>
      <w:r w:rsidR="00776E28">
        <w:rPr>
          <w:rFonts w:cs="TimesNewRoman"/>
          <w:szCs w:val="22"/>
        </w:rPr>
        <w:t>výdajů</w:t>
      </w:r>
      <w:r w:rsidR="00F42710" w:rsidRPr="002D7E85">
        <w:rPr>
          <w:rFonts w:cs="TimesNewRoman"/>
          <w:szCs w:val="22"/>
        </w:rPr>
        <w:t xml:space="preserve">. Způsobilé výdaje zahrnují </w:t>
      </w:r>
      <w:r w:rsidR="001F0604">
        <w:rPr>
          <w:rFonts w:cs="TimesNewRoman"/>
          <w:szCs w:val="22"/>
        </w:rPr>
        <w:t>veškeré n</w:t>
      </w:r>
      <w:r w:rsidR="00F42710" w:rsidRPr="002D7E85">
        <w:rPr>
          <w:rFonts w:cs="TimesNewRoman"/>
          <w:szCs w:val="22"/>
        </w:rPr>
        <w:t>áklady na ta opatření, která vedou k</w:t>
      </w:r>
      <w:r w:rsidR="009015FF" w:rsidRPr="002D7E85">
        <w:rPr>
          <w:rFonts w:cs="TimesNewRoman"/>
          <w:szCs w:val="22"/>
        </w:rPr>
        <w:t> naplnění cílů Výzvy</w:t>
      </w:r>
      <w:r w:rsidR="009015FF" w:rsidRPr="002D7E85">
        <w:rPr>
          <w:rFonts w:cstheme="minorHAnsi"/>
        </w:rPr>
        <w:t>.</w:t>
      </w:r>
    </w:p>
    <w:p w14:paraId="107B44D7" w14:textId="77777777" w:rsidR="00972BB5" w:rsidRDefault="00972BB5" w:rsidP="00505CF9">
      <w:pPr>
        <w:overflowPunct/>
        <w:spacing w:after="0"/>
        <w:jc w:val="both"/>
        <w:textAlignment w:val="auto"/>
        <w:rPr>
          <w:rFonts w:cstheme="minorHAnsi"/>
        </w:rPr>
      </w:pPr>
    </w:p>
    <w:p w14:paraId="640CB768" w14:textId="77777777" w:rsidR="008D6882" w:rsidRPr="000A7A55" w:rsidRDefault="008D6882" w:rsidP="000A7A55">
      <w:pPr>
        <w:overflowPunct/>
        <w:spacing w:after="0"/>
        <w:jc w:val="center"/>
        <w:textAlignment w:val="auto"/>
        <w:rPr>
          <w:rFonts w:cs="TimesNewRoman,Bold"/>
          <w:b/>
          <w:bCs/>
          <w:caps/>
          <w:sz w:val="24"/>
          <w:szCs w:val="22"/>
        </w:rPr>
      </w:pPr>
      <w:r w:rsidRPr="000A7A55">
        <w:rPr>
          <w:rFonts w:cs="TimesNewRoman,Bold"/>
          <w:b/>
          <w:bCs/>
          <w:caps/>
          <w:sz w:val="24"/>
          <w:szCs w:val="22"/>
        </w:rPr>
        <w:t>obecná část:</w:t>
      </w:r>
    </w:p>
    <w:p w14:paraId="56E4FFAD" w14:textId="77777777" w:rsidR="008D6882" w:rsidRDefault="008D6882" w:rsidP="008D6882">
      <w:pPr>
        <w:overflowPunct/>
        <w:spacing w:after="0"/>
        <w:jc w:val="both"/>
        <w:textAlignment w:val="auto"/>
        <w:rPr>
          <w:rFonts w:cs="TimesNewRoman,Bold"/>
          <w:b/>
          <w:bCs/>
          <w:caps/>
          <w:sz w:val="24"/>
          <w:szCs w:val="22"/>
          <w:u w:val="single"/>
        </w:rPr>
      </w:pPr>
    </w:p>
    <w:p w14:paraId="701230C2" w14:textId="77777777" w:rsidR="004E2A5D" w:rsidRPr="008D6882" w:rsidRDefault="004E2A5D" w:rsidP="008D6882">
      <w:pPr>
        <w:overflowPunct/>
        <w:spacing w:after="0"/>
        <w:jc w:val="both"/>
        <w:textAlignment w:val="auto"/>
        <w:rPr>
          <w:rFonts w:cs="TimesNewRoman,Bold"/>
          <w:b/>
          <w:bCs/>
          <w:caps/>
          <w:sz w:val="24"/>
          <w:szCs w:val="22"/>
          <w:u w:val="single"/>
        </w:rPr>
      </w:pPr>
    </w:p>
    <w:p w14:paraId="2A316318" w14:textId="77777777" w:rsidR="00972BB5" w:rsidRPr="002D7E85" w:rsidRDefault="00972BB5" w:rsidP="00972BB5">
      <w:pPr>
        <w:overflowPunct/>
        <w:spacing w:after="0"/>
        <w:jc w:val="both"/>
        <w:textAlignment w:val="auto"/>
        <w:rPr>
          <w:rFonts w:cs="TimesNewRoman,Bold"/>
          <w:b/>
          <w:bCs/>
          <w:sz w:val="24"/>
          <w:szCs w:val="22"/>
        </w:rPr>
      </w:pPr>
      <w:r w:rsidRPr="002D7E85">
        <w:rPr>
          <w:rFonts w:cs="TimesNewRoman,Bold"/>
          <w:b/>
          <w:bCs/>
          <w:sz w:val="24"/>
          <w:szCs w:val="22"/>
        </w:rPr>
        <w:t>Obecné vlastnosti Způsobilých výdajů:</w:t>
      </w:r>
    </w:p>
    <w:p w14:paraId="43B361FD" w14:textId="3195DE84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>Časové hledisko ZV – za způsobilý výdaj lze považovat výdaj, který vznikl po datu přijatelnosti projektu (den podání žádosti</w:t>
      </w:r>
      <w:r w:rsidR="00776E28">
        <w:rPr>
          <w:rFonts w:cs="TimesNewRoman"/>
          <w:szCs w:val="22"/>
        </w:rPr>
        <w:t xml:space="preserve"> o podporu</w:t>
      </w:r>
      <w:r w:rsidRPr="002D7E85">
        <w:rPr>
          <w:rFonts w:cs="TimesNewRoman"/>
          <w:szCs w:val="22"/>
        </w:rPr>
        <w:t>).</w:t>
      </w:r>
    </w:p>
    <w:p w14:paraId="53C311AF" w14:textId="7EB6978E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 xml:space="preserve">„Zahájením prací“ se rozumí buď zahájení </w:t>
      </w:r>
      <w:r w:rsidR="002D3C91">
        <w:rPr>
          <w:rFonts w:cs="TimesNewRoman"/>
          <w:szCs w:val="22"/>
        </w:rPr>
        <w:t>(</w:t>
      </w:r>
      <w:r w:rsidRPr="002D7E85">
        <w:rPr>
          <w:rFonts w:cs="TimesNewRoman"/>
          <w:szCs w:val="22"/>
        </w:rPr>
        <w:t>stavebních</w:t>
      </w:r>
      <w:r w:rsidR="002D3C91">
        <w:rPr>
          <w:rFonts w:cs="TimesNewRoman"/>
          <w:szCs w:val="22"/>
        </w:rPr>
        <w:t>)</w:t>
      </w:r>
      <w:r w:rsidRPr="002D7E85">
        <w:rPr>
          <w:rFonts w:cs="TimesNewRoman"/>
          <w:szCs w:val="22"/>
        </w:rPr>
        <w:t xml:space="preserve"> prací v rámci investice, nebo první právně vymahatelný závazek objednat zařízení či jiný závazek, v 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provozovnou.</w:t>
      </w:r>
    </w:p>
    <w:p w14:paraId="7D8A3A31" w14:textId="77777777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>Účel ZV – každý způsobilý výdaj musí být prokazatelně nezbytný pro realizaci projektu a mít přímý vztah k projektu.</w:t>
      </w:r>
    </w:p>
    <w:p w14:paraId="3AE75EEA" w14:textId="77777777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>ZV - musí být před proplacením prokazatelně zaplaceny příjemcem podpory, není-li stanoveno jinak.</w:t>
      </w:r>
    </w:p>
    <w:p w14:paraId="59310D40" w14:textId="77777777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>ZV - musí být doloženy průkaznými doklady, uhrazeny dodavatelům, majetek nelze pořizovat aktivací.</w:t>
      </w:r>
    </w:p>
    <w:p w14:paraId="49D62CB6" w14:textId="77777777" w:rsidR="00972BB5" w:rsidRPr="002D7E85" w:rsidRDefault="00972BB5" w:rsidP="00972BB5">
      <w:pPr>
        <w:pStyle w:val="Odstavecseseznamem"/>
        <w:numPr>
          <w:ilvl w:val="0"/>
          <w:numId w:val="16"/>
        </w:numPr>
        <w:overflowPunct/>
        <w:spacing w:after="0"/>
        <w:jc w:val="both"/>
        <w:textAlignment w:val="auto"/>
        <w:rPr>
          <w:rFonts w:cs="TimesNewRoman"/>
          <w:szCs w:val="22"/>
        </w:rPr>
      </w:pPr>
      <w:r w:rsidRPr="002D7E85">
        <w:rPr>
          <w:rFonts w:cs="TimesNewRoman"/>
          <w:szCs w:val="22"/>
        </w:rPr>
        <w:t>Způsobilé výdaje musí splňovat obecné principy způsobilosti výdajů z hlediska času, umístění a účelu a musejí být vynaloženy v souladu se zásadami hospodárnosti, efektivnosti a účelnosti.</w:t>
      </w:r>
    </w:p>
    <w:p w14:paraId="488709F1" w14:textId="77777777" w:rsidR="004757FF" w:rsidRDefault="004757FF" w:rsidP="00972BB5">
      <w:pPr>
        <w:overflowPunct/>
        <w:spacing w:after="0"/>
        <w:jc w:val="both"/>
        <w:textAlignment w:val="auto"/>
        <w:rPr>
          <w:rFonts w:cs="TimesNewRoman,Bold"/>
          <w:b/>
          <w:bCs/>
          <w:szCs w:val="22"/>
        </w:rPr>
      </w:pPr>
    </w:p>
    <w:p w14:paraId="04E571C0" w14:textId="77777777" w:rsidR="004E2A5D" w:rsidRDefault="004E2A5D" w:rsidP="00972BB5">
      <w:pPr>
        <w:overflowPunct/>
        <w:spacing w:after="0"/>
        <w:jc w:val="both"/>
        <w:textAlignment w:val="auto"/>
        <w:rPr>
          <w:rFonts w:cs="TimesNewRoman,Bold"/>
          <w:b/>
          <w:bCs/>
          <w:szCs w:val="22"/>
        </w:rPr>
      </w:pPr>
    </w:p>
    <w:p w14:paraId="049C5FCC" w14:textId="40B9C984" w:rsidR="00FE0049" w:rsidRPr="00157636" w:rsidRDefault="00FE0049" w:rsidP="00FE0049">
      <w:pPr>
        <w:overflowPunct/>
        <w:spacing w:after="0" w:line="240" w:lineRule="auto"/>
        <w:textAlignment w:val="auto"/>
        <w:rPr>
          <w:rFonts w:cs="TimesNewRoman,BoldItalic"/>
          <w:b/>
          <w:bCs/>
          <w:i/>
          <w:iCs/>
          <w:sz w:val="24"/>
          <w:szCs w:val="24"/>
        </w:rPr>
      </w:pPr>
      <w:r>
        <w:rPr>
          <w:rFonts w:cs="TimesNewRoman,BoldItalic"/>
          <w:b/>
          <w:bCs/>
          <w:i/>
          <w:iCs/>
          <w:sz w:val="24"/>
          <w:szCs w:val="24"/>
        </w:rPr>
        <w:t xml:space="preserve">Způsobilé výdaje </w:t>
      </w:r>
    </w:p>
    <w:p w14:paraId="4040CAA4" w14:textId="6C8E630B" w:rsidR="00FE0049" w:rsidRDefault="00FE0049" w:rsidP="00FE0049">
      <w:pPr>
        <w:overflowPunct/>
        <w:spacing w:before="120" w:after="0" w:line="240" w:lineRule="auto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Pořízení vozidla</w:t>
      </w:r>
      <w:r w:rsidR="004E2A5D">
        <w:rPr>
          <w:rFonts w:ascii="Calibri" w:hAnsi="Calibri" w:cs="Calibri"/>
          <w:szCs w:val="22"/>
        </w:rPr>
        <w:t xml:space="preserve"> </w:t>
      </w:r>
      <w:r w:rsidR="004E2A5D">
        <w:rPr>
          <w:rStyle w:val="Znakapoznpodarou"/>
          <w:szCs w:val="22"/>
        </w:rPr>
        <w:footnoteReference w:id="1"/>
      </w:r>
    </w:p>
    <w:p w14:paraId="62095064" w14:textId="7023B4CE" w:rsidR="00FE0049" w:rsidRPr="00FE0049" w:rsidRDefault="009B1262" w:rsidP="00FE0049">
      <w:pPr>
        <w:overflowPunct/>
        <w:spacing w:after="0" w:line="240" w:lineRule="auto"/>
        <w:jc w:val="both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Pořízení nabíjecí stanice</w:t>
      </w:r>
    </w:p>
    <w:p w14:paraId="58CD562F" w14:textId="77777777" w:rsidR="00FE0049" w:rsidRPr="00FE0049" w:rsidRDefault="00FE0049" w:rsidP="00FE0049">
      <w:pPr>
        <w:overflowPunct/>
        <w:spacing w:before="120" w:after="0" w:line="240" w:lineRule="auto"/>
        <w:textAlignment w:val="auto"/>
        <w:rPr>
          <w:rFonts w:ascii="Calibri" w:hAnsi="Calibri" w:cs="Calibri"/>
          <w:szCs w:val="22"/>
        </w:rPr>
      </w:pPr>
    </w:p>
    <w:p w14:paraId="6198EEBD" w14:textId="77777777" w:rsidR="00BA538F" w:rsidRPr="002D7E85" w:rsidRDefault="00653157" w:rsidP="003E196D">
      <w:pPr>
        <w:overflowPunct/>
        <w:spacing w:after="0" w:line="240" w:lineRule="auto"/>
        <w:textAlignment w:val="auto"/>
        <w:rPr>
          <w:rFonts w:cs="TimesNewRoman"/>
          <w:sz w:val="24"/>
          <w:szCs w:val="24"/>
        </w:rPr>
      </w:pPr>
      <w:r>
        <w:rPr>
          <w:rFonts w:cs="TimesNewRoman"/>
          <w:b/>
          <w:i/>
          <w:sz w:val="24"/>
          <w:szCs w:val="24"/>
        </w:rPr>
        <w:lastRenderedPageBreak/>
        <w:t xml:space="preserve">Podnikatelský záměr </w:t>
      </w:r>
    </w:p>
    <w:p w14:paraId="430BC14B" w14:textId="6ECD83B6" w:rsidR="008D6882" w:rsidRPr="002D2D76" w:rsidRDefault="00653157" w:rsidP="00653157">
      <w:pPr>
        <w:overflowPunct/>
        <w:spacing w:after="0" w:line="240" w:lineRule="auto"/>
        <w:jc w:val="both"/>
        <w:textAlignment w:val="auto"/>
        <w:rPr>
          <w:rFonts w:cstheme="minorHAnsi"/>
          <w:b/>
          <w:szCs w:val="22"/>
        </w:rPr>
      </w:pPr>
      <w:r>
        <w:rPr>
          <w:rFonts w:ascii="Calibri" w:hAnsi="Calibri" w:cs="Calibri"/>
          <w:szCs w:val="22"/>
        </w:rPr>
        <w:t xml:space="preserve">Podnikatelský záměr je povinnou přílohou. </w:t>
      </w:r>
      <w:r w:rsidR="005972A9" w:rsidRPr="002D2D76">
        <w:rPr>
          <w:rFonts w:ascii="Calibri" w:hAnsi="Calibri" w:cs="Calibri"/>
          <w:b/>
          <w:szCs w:val="22"/>
        </w:rPr>
        <w:t xml:space="preserve">Výdaje na </w:t>
      </w:r>
      <w:r w:rsidRPr="002D2D76">
        <w:rPr>
          <w:rFonts w:ascii="Calibri" w:hAnsi="Calibri" w:cs="Calibri"/>
          <w:b/>
          <w:szCs w:val="22"/>
        </w:rPr>
        <w:t>podnikatelský záměr</w:t>
      </w:r>
      <w:r w:rsidR="009E4705" w:rsidRPr="002D2D76">
        <w:rPr>
          <w:rFonts w:ascii="Calibri" w:hAnsi="Calibri" w:cs="Calibri"/>
          <w:b/>
          <w:szCs w:val="22"/>
        </w:rPr>
        <w:t xml:space="preserve"> </w:t>
      </w:r>
      <w:r w:rsidR="005972A9" w:rsidRPr="002D2D76">
        <w:rPr>
          <w:rFonts w:ascii="Calibri" w:hAnsi="Calibri" w:cs="Calibri"/>
          <w:b/>
          <w:szCs w:val="22"/>
        </w:rPr>
        <w:t>j</w:t>
      </w:r>
      <w:r w:rsidR="004F5C42" w:rsidRPr="002D2D76">
        <w:rPr>
          <w:rFonts w:ascii="Calibri" w:hAnsi="Calibri" w:cs="Calibri"/>
          <w:b/>
          <w:szCs w:val="22"/>
        </w:rPr>
        <w:t xml:space="preserve">sou nezpůsobilým výdajem. </w:t>
      </w:r>
    </w:p>
    <w:p w14:paraId="35034505" w14:textId="4269C38E" w:rsidR="004E644B" w:rsidRDefault="004E644B">
      <w:pPr>
        <w:overflowPunct/>
        <w:autoSpaceDE/>
        <w:autoSpaceDN/>
        <w:adjustRightInd/>
        <w:spacing w:after="0" w:line="240" w:lineRule="auto"/>
        <w:textAlignment w:val="auto"/>
        <w:rPr>
          <w:rFonts w:cs="TimesNewRoman"/>
          <w:b/>
          <w:bCs/>
          <w:szCs w:val="22"/>
        </w:rPr>
      </w:pPr>
    </w:p>
    <w:p w14:paraId="65475BA5" w14:textId="77777777" w:rsidR="00B810B7" w:rsidRDefault="00B810B7">
      <w:pPr>
        <w:overflowPunct/>
        <w:autoSpaceDE/>
        <w:autoSpaceDN/>
        <w:adjustRightInd/>
        <w:spacing w:after="0" w:line="240" w:lineRule="auto"/>
        <w:textAlignment w:val="auto"/>
        <w:rPr>
          <w:rFonts w:cs="TimesNewRoman"/>
          <w:b/>
          <w:bCs/>
          <w:szCs w:val="22"/>
        </w:rPr>
      </w:pPr>
    </w:p>
    <w:p w14:paraId="77602B6F" w14:textId="77777777" w:rsidR="00BA538F" w:rsidRPr="00807295" w:rsidRDefault="008D6882" w:rsidP="008E3DE0">
      <w:pPr>
        <w:overflowPunct/>
        <w:autoSpaceDE/>
        <w:autoSpaceDN/>
        <w:adjustRightInd/>
        <w:spacing w:after="120" w:line="240" w:lineRule="auto"/>
        <w:textAlignment w:val="auto"/>
        <w:rPr>
          <w:rFonts w:cs="TimesNewRoman"/>
          <w:b/>
          <w:bCs/>
          <w:caps/>
          <w:sz w:val="24"/>
          <w:szCs w:val="22"/>
        </w:rPr>
      </w:pPr>
      <w:r>
        <w:rPr>
          <w:rFonts w:cs="TimesNewRoman"/>
          <w:b/>
          <w:bCs/>
          <w:caps/>
          <w:sz w:val="24"/>
          <w:szCs w:val="22"/>
        </w:rPr>
        <w:t>Z</w:t>
      </w:r>
      <w:r w:rsidR="00BA538F" w:rsidRPr="00807295">
        <w:rPr>
          <w:rFonts w:cs="TimesNewRoman"/>
          <w:b/>
          <w:bCs/>
          <w:caps/>
          <w:sz w:val="24"/>
          <w:szCs w:val="22"/>
        </w:rPr>
        <w:t>působilými výdaji nejsou:</w:t>
      </w:r>
    </w:p>
    <w:p w14:paraId="237B6D65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Stavební práce;</w:t>
      </w:r>
    </w:p>
    <w:p w14:paraId="51206DF8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nákup elektromobilu kategorie M1 s pořizovací cenou vyšší než 1 250 000,- Kč bez DPH</w:t>
      </w:r>
      <w:r>
        <w:rPr>
          <w:rStyle w:val="Znakapoznpodarou"/>
          <w:bCs/>
        </w:rPr>
        <w:footnoteReference w:id="2"/>
      </w:r>
      <w:r>
        <w:rPr>
          <w:bCs/>
        </w:rPr>
        <w:t>;</w:t>
      </w:r>
    </w:p>
    <w:p w14:paraId="6427985C" w14:textId="77777777" w:rsidR="00B810B7" w:rsidRPr="00043F13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 w:rsidRPr="00043F13">
        <w:rPr>
          <w:bCs/>
        </w:rPr>
        <w:t xml:space="preserve">DPH, </w:t>
      </w:r>
      <w:r w:rsidRPr="009151E9">
        <w:t>pokud je příjemce plátcem DPH</w:t>
      </w:r>
      <w:r w:rsidRPr="00043F13">
        <w:rPr>
          <w:bCs/>
        </w:rPr>
        <w:t xml:space="preserve"> </w:t>
      </w:r>
      <w:r>
        <w:rPr>
          <w:bCs/>
        </w:rPr>
        <w:t>a může uplatnit nárok na její odpočet;</w:t>
      </w:r>
    </w:p>
    <w:p w14:paraId="5E0CF662" w14:textId="77777777" w:rsidR="00B810B7" w:rsidRPr="0076729A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v</w:t>
      </w:r>
      <w:r w:rsidRPr="0076729A">
        <w:rPr>
          <w:bCs/>
        </w:rPr>
        <w:t>ýdaje vzniklé nebo uhrazené před datem přijatelnosti projektu</w:t>
      </w:r>
      <w:r w:rsidRPr="0035470B">
        <w:rPr>
          <w:bCs/>
        </w:rPr>
        <w:t>;</w:t>
      </w:r>
    </w:p>
    <w:p w14:paraId="3254FC32" w14:textId="77777777" w:rsidR="00B810B7" w:rsidRPr="00043F13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s</w:t>
      </w:r>
      <w:r w:rsidRPr="00043F13">
        <w:rPr>
          <w:bCs/>
        </w:rPr>
        <w:t>plátky půjček a úvěrů</w:t>
      </w:r>
      <w:r>
        <w:rPr>
          <w:bCs/>
        </w:rPr>
        <w:t>;</w:t>
      </w:r>
    </w:p>
    <w:p w14:paraId="015BE7E7" w14:textId="77777777" w:rsidR="00B810B7" w:rsidRPr="00043F13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pokuty</w:t>
      </w:r>
      <w:r w:rsidRPr="00043F13">
        <w:rPr>
          <w:bCs/>
        </w:rPr>
        <w:t xml:space="preserve"> </w:t>
      </w:r>
      <w:r>
        <w:rPr>
          <w:bCs/>
        </w:rPr>
        <w:t xml:space="preserve">a </w:t>
      </w:r>
      <w:r w:rsidRPr="00043F13">
        <w:rPr>
          <w:bCs/>
        </w:rPr>
        <w:t>penále</w:t>
      </w:r>
      <w:r>
        <w:rPr>
          <w:bCs/>
        </w:rPr>
        <w:t>;</w:t>
      </w:r>
    </w:p>
    <w:p w14:paraId="3DDC4550" w14:textId="77777777" w:rsidR="00B810B7" w:rsidRPr="0080713E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 w:rsidRPr="0080713E">
        <w:rPr>
          <w:bCs/>
        </w:rPr>
        <w:t>výdaje na záruky, pojištění, úroky, bankovní poplatky, kursové ztráty, celní a správní poplatky</w:t>
      </w:r>
      <w:r>
        <w:rPr>
          <w:bCs/>
        </w:rPr>
        <w:t>, poplatky distributorům energie za zřízení a/nebo navýšení jističe</w:t>
      </w:r>
      <w:r w:rsidRPr="0080713E">
        <w:rPr>
          <w:bCs/>
        </w:rPr>
        <w:t>;</w:t>
      </w:r>
    </w:p>
    <w:p w14:paraId="465BD0F9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 w:rsidRPr="0080713E">
        <w:rPr>
          <w:bCs/>
        </w:rPr>
        <w:t>leasing;</w:t>
      </w:r>
    </w:p>
    <w:p w14:paraId="4B6CCDA1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zajištění úvěru na pořízení elektromobilu formou převodu práva na majetek pořizovaný z dotačních prostředků;</w:t>
      </w:r>
    </w:p>
    <w:p w14:paraId="281965EB" w14:textId="77777777" w:rsidR="00B810B7" w:rsidRPr="0080713E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t>n</w:t>
      </w:r>
      <w:r w:rsidRPr="009151E9">
        <w:t>ákup pozemků a budov</w:t>
      </w:r>
      <w:r>
        <w:t>;</w:t>
      </w:r>
    </w:p>
    <w:p w14:paraId="7167A656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výdaje, které nejsou v souladu s českou nebo evropskou legislativou;</w:t>
      </w:r>
    </w:p>
    <w:p w14:paraId="30651366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 w:rsidRPr="0076729A">
        <w:rPr>
          <w:bCs/>
        </w:rPr>
        <w:t xml:space="preserve">pořízení dlouhodobého hmotného a nehmotného majetku </w:t>
      </w:r>
      <w:r>
        <w:rPr>
          <w:bCs/>
        </w:rPr>
        <w:t>aktivací;</w:t>
      </w:r>
    </w:p>
    <w:p w14:paraId="30A60819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 w:rsidRPr="00280936">
        <w:rPr>
          <w:bCs/>
        </w:rPr>
        <w:t>výdaje spojené s administrací projektu</w:t>
      </w:r>
      <w:r>
        <w:rPr>
          <w:bCs/>
        </w:rPr>
        <w:t>;</w:t>
      </w:r>
    </w:p>
    <w:p w14:paraId="1BEF2BD7" w14:textId="41719DC3" w:rsidR="005505C0" w:rsidRDefault="005505C0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výdaje na přepravu, doručení a dokumentaci;</w:t>
      </w:r>
    </w:p>
    <w:p w14:paraId="63E81181" w14:textId="58F47268" w:rsidR="00172DC5" w:rsidRDefault="00172DC5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>montáž a zprovoznění nabíjecí stanice;</w:t>
      </w:r>
    </w:p>
    <w:p w14:paraId="6C916AF7" w14:textId="77777777" w:rsidR="00B810B7" w:rsidRDefault="00B810B7" w:rsidP="00B810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spacing w:line="293" w:lineRule="auto"/>
        <w:ind w:left="567" w:hanging="283"/>
        <w:jc w:val="both"/>
        <w:textAlignment w:val="auto"/>
        <w:rPr>
          <w:bCs/>
        </w:rPr>
      </w:pPr>
      <w:r>
        <w:rPr>
          <w:bCs/>
        </w:rPr>
        <w:t xml:space="preserve">výdaje, na které již byla poskytnuta jiná veřejná podpora a podpora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>.</w:t>
      </w:r>
    </w:p>
    <w:p w14:paraId="6E7FFE31" w14:textId="77777777" w:rsidR="006264FA" w:rsidRDefault="006264FA">
      <w:pPr>
        <w:overflowPunct/>
        <w:autoSpaceDE/>
        <w:autoSpaceDN/>
        <w:adjustRightInd/>
        <w:spacing w:after="0" w:line="240" w:lineRule="auto"/>
        <w:textAlignment w:val="auto"/>
        <w:rPr>
          <w:rFonts w:cs="TimesNewRoman,Bold"/>
          <w:b/>
          <w:bCs/>
          <w:caps/>
          <w:sz w:val="24"/>
          <w:szCs w:val="22"/>
        </w:rPr>
      </w:pPr>
    </w:p>
    <w:p w14:paraId="0A49CFE1" w14:textId="3FD8457F" w:rsidR="008D6882" w:rsidRPr="000A7A55" w:rsidRDefault="008D6882" w:rsidP="00FD541E">
      <w:pPr>
        <w:overflowPunct/>
        <w:spacing w:after="0"/>
        <w:jc w:val="center"/>
        <w:textAlignment w:val="auto"/>
        <w:rPr>
          <w:rFonts w:cs="TimesNewRoman,Bold"/>
          <w:b/>
          <w:bCs/>
          <w:caps/>
          <w:sz w:val="24"/>
          <w:szCs w:val="22"/>
        </w:rPr>
      </w:pPr>
      <w:r w:rsidRPr="000A7A55">
        <w:rPr>
          <w:rFonts w:cs="TimesNewRoman,Bold"/>
          <w:b/>
          <w:bCs/>
          <w:caps/>
          <w:sz w:val="24"/>
          <w:szCs w:val="22"/>
        </w:rPr>
        <w:t>zvláštní část:</w:t>
      </w:r>
    </w:p>
    <w:p w14:paraId="4CB8A99A" w14:textId="77777777" w:rsidR="008F6845" w:rsidRDefault="008F6845" w:rsidP="00505CF9">
      <w:pPr>
        <w:overflowPunct/>
        <w:spacing w:after="0"/>
        <w:jc w:val="both"/>
        <w:textAlignment w:val="auto"/>
        <w:rPr>
          <w:rFonts w:cs="TimesNewRoman"/>
          <w:szCs w:val="22"/>
        </w:rPr>
      </w:pPr>
    </w:p>
    <w:p w14:paraId="065E4460" w14:textId="2BCAEBBD" w:rsidR="006A6176" w:rsidRDefault="006A6176" w:rsidP="006A6176">
      <w:pPr>
        <w:overflowPunct/>
        <w:spacing w:after="120" w:line="24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6A6176">
        <w:rPr>
          <w:rFonts w:ascii="Calibri" w:hAnsi="Calibri" w:cs="Calibri"/>
          <w:sz w:val="24"/>
          <w:szCs w:val="24"/>
        </w:rPr>
        <w:t xml:space="preserve">Podpora je poskytována v režimu de </w:t>
      </w:r>
      <w:proofErr w:type="spellStart"/>
      <w:r w:rsidRPr="006A6176">
        <w:rPr>
          <w:rFonts w:ascii="Calibri" w:hAnsi="Calibri" w:cs="Calibri"/>
          <w:sz w:val="24"/>
          <w:szCs w:val="24"/>
        </w:rPr>
        <w:t>minimis</w:t>
      </w:r>
      <w:proofErr w:type="spellEnd"/>
      <w:r w:rsidRPr="006A6176">
        <w:rPr>
          <w:rFonts w:ascii="Calibri" w:hAnsi="Calibri" w:cs="Calibri"/>
          <w:sz w:val="24"/>
          <w:szCs w:val="24"/>
        </w:rPr>
        <w:t xml:space="preserve"> podle Nařízení Komise (EU) č. 1407/2013.</w:t>
      </w:r>
    </w:p>
    <w:p w14:paraId="4E7CB101" w14:textId="01C4A28E" w:rsidR="002A6F14" w:rsidRDefault="006A6176" w:rsidP="009B1262">
      <w:pPr>
        <w:overflowPunct/>
        <w:spacing w:after="0" w:line="240" w:lineRule="auto"/>
        <w:jc w:val="both"/>
        <w:textAlignment w:val="auto"/>
        <w:rPr>
          <w:rFonts w:cs="TimesNewRoman,Bold"/>
          <w:bCs/>
          <w:sz w:val="24"/>
          <w:szCs w:val="22"/>
        </w:rPr>
      </w:pPr>
      <w:r>
        <w:rPr>
          <w:rFonts w:ascii="Calibri" w:hAnsi="Calibri" w:cs="Calibri"/>
          <w:sz w:val="24"/>
          <w:szCs w:val="24"/>
        </w:rPr>
        <w:t xml:space="preserve">Způsobilé výdaje jsou investiční náklady na pořízení </w:t>
      </w:r>
      <w:r w:rsidR="009B1262">
        <w:rPr>
          <w:rFonts w:ascii="Calibri" w:hAnsi="Calibri" w:cs="Calibri"/>
          <w:sz w:val="24"/>
          <w:szCs w:val="24"/>
        </w:rPr>
        <w:t>vozidla a nabíjecí stanice.</w:t>
      </w:r>
    </w:p>
    <w:sectPr w:rsidR="002A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6376" w14:textId="77777777" w:rsidR="004479E1" w:rsidRDefault="004479E1" w:rsidP="003C01CD">
      <w:pPr>
        <w:spacing w:after="0" w:line="240" w:lineRule="auto"/>
      </w:pPr>
      <w:r>
        <w:separator/>
      </w:r>
    </w:p>
  </w:endnote>
  <w:endnote w:type="continuationSeparator" w:id="0">
    <w:p w14:paraId="4FD1BA5C" w14:textId="77777777" w:rsidR="004479E1" w:rsidRDefault="004479E1" w:rsidP="003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083466"/>
      <w:docPartObj>
        <w:docPartGallery w:val="Page Numbers (Bottom of Page)"/>
        <w:docPartUnique/>
      </w:docPartObj>
    </w:sdtPr>
    <w:sdtEndPr/>
    <w:sdtContent>
      <w:p w14:paraId="1CE4E9D7" w14:textId="77777777" w:rsidR="002259C2" w:rsidRDefault="002259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3E">
          <w:rPr>
            <w:noProof/>
          </w:rPr>
          <w:t>1</w:t>
        </w:r>
        <w:r>
          <w:fldChar w:fldCharType="end"/>
        </w:r>
      </w:p>
    </w:sdtContent>
  </w:sdt>
  <w:p w14:paraId="14EB97B4" w14:textId="77777777" w:rsidR="002259C2" w:rsidRDefault="002259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CD6ED" w14:textId="77777777" w:rsidR="004479E1" w:rsidRDefault="004479E1" w:rsidP="003C01CD">
      <w:pPr>
        <w:spacing w:after="0" w:line="240" w:lineRule="auto"/>
      </w:pPr>
      <w:r>
        <w:separator/>
      </w:r>
    </w:p>
  </w:footnote>
  <w:footnote w:type="continuationSeparator" w:id="0">
    <w:p w14:paraId="202B77DD" w14:textId="77777777" w:rsidR="004479E1" w:rsidRDefault="004479E1" w:rsidP="003C01CD">
      <w:pPr>
        <w:spacing w:after="0" w:line="240" w:lineRule="auto"/>
      </w:pPr>
      <w:r>
        <w:continuationSeparator/>
      </w:r>
    </w:p>
  </w:footnote>
  <w:footnote w:id="1">
    <w:p w14:paraId="5166CEA3" w14:textId="77777777" w:rsidR="004E2A5D" w:rsidRDefault="004E2A5D" w:rsidP="004E2A5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rámci V. Výzvy programu NUT je možné pořizovat pouze elektromobily kategorie M1 s pořizovací cenou do 1 250 000,- Kč bez DPH. Pořízení elektromobilu kategorie M1 s pořizovací cenou vyšší než 1 250 000,- Kč bez DPH není v rámci výzvy podporováno. Projekty, kdy žadatel bude pořizovat elektromobil kategorie M1 s cenou vyšší, než 1 250 000,- Kč bez DPH budou vyřazeny z dalšího hodnocení. Na zbývající kategorie vozidel tato podmínka neplatí (např. L, M2, M3, N1, N2).</w:t>
      </w:r>
    </w:p>
    <w:p w14:paraId="2D7A9110" w14:textId="10A97E81" w:rsidR="004E2A5D" w:rsidRDefault="004E2A5D">
      <w:pPr>
        <w:pStyle w:val="Textpoznpodarou"/>
      </w:pPr>
    </w:p>
  </w:footnote>
  <w:footnote w:id="2">
    <w:p w14:paraId="21C1754D" w14:textId="77777777" w:rsidR="00B810B7" w:rsidRDefault="00B810B7" w:rsidP="00B810B7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rámci V. Výzvy programu NUT je možné pořizovat pouze elektromobily kategorie M1 s pořizovací cenou do 1 250 000,- Kč bez DPH. Pořízení elektromobilu kategorie M1 s pořizovací cenou vyšší než 1 250 000,- Kč bez DPH není v rámci výzvy podporováno. Projekty, kdy žadatel bude pořizovat elektromobil kategorie M1 s cenou vyšší, než 1 250 000,- Kč bez DPH budou vyřazeny z dalšího hodnocení. Na zbývající kategorie vozidel tato podmínka neplatí (např. L, M2, M3, N1, N2).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DDBD" w14:textId="77777777" w:rsidR="002259C2" w:rsidRDefault="002259C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D70F0F" wp14:editId="22698579">
          <wp:simplePos x="0" y="0"/>
          <wp:positionH relativeFrom="column">
            <wp:posOffset>0</wp:posOffset>
          </wp:positionH>
          <wp:positionV relativeFrom="paragraph">
            <wp:posOffset>-302260</wp:posOffset>
          </wp:positionV>
          <wp:extent cx="1934845" cy="603250"/>
          <wp:effectExtent l="0" t="0" r="8255" b="6350"/>
          <wp:wrapNone/>
          <wp:docPr id="2" name="Obrázek 2" descr="C:\Users\chroust\AppData\Local\Temp\wz9d40\OPPIK\RGB\JPG\CZ_RO_B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chroust\AppData\Local\Temp\wz9d40\OPPIK\RGB\JPG\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23053" wp14:editId="3174B0ED">
          <wp:simplePos x="0" y="0"/>
          <wp:positionH relativeFrom="column">
            <wp:posOffset>4845685</wp:posOffset>
          </wp:positionH>
          <wp:positionV relativeFrom="paragraph">
            <wp:posOffset>-341156</wp:posOffset>
          </wp:positionV>
          <wp:extent cx="1201420" cy="642620"/>
          <wp:effectExtent l="0" t="0" r="0" b="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B43"/>
    <w:multiLevelType w:val="hybridMultilevel"/>
    <w:tmpl w:val="BFEA2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9A3"/>
    <w:multiLevelType w:val="hybridMultilevel"/>
    <w:tmpl w:val="D84681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64AA5"/>
    <w:multiLevelType w:val="hybridMultilevel"/>
    <w:tmpl w:val="3490DA30"/>
    <w:lvl w:ilvl="0" w:tplc="ACC46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538A6"/>
    <w:multiLevelType w:val="hybridMultilevel"/>
    <w:tmpl w:val="A334A6F8"/>
    <w:lvl w:ilvl="0" w:tplc="194CD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F3"/>
    <w:multiLevelType w:val="hybridMultilevel"/>
    <w:tmpl w:val="D054A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6CB4"/>
    <w:multiLevelType w:val="hybridMultilevel"/>
    <w:tmpl w:val="16CCF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05D6"/>
    <w:multiLevelType w:val="hybridMultilevel"/>
    <w:tmpl w:val="E36C3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15AE"/>
    <w:multiLevelType w:val="hybridMultilevel"/>
    <w:tmpl w:val="AE44E3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7224B8"/>
    <w:multiLevelType w:val="hybridMultilevel"/>
    <w:tmpl w:val="29C23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3643"/>
    <w:multiLevelType w:val="hybridMultilevel"/>
    <w:tmpl w:val="B986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32F6C"/>
    <w:multiLevelType w:val="hybridMultilevel"/>
    <w:tmpl w:val="1200E2B4"/>
    <w:lvl w:ilvl="0" w:tplc="B1A480F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6650"/>
    <w:multiLevelType w:val="hybridMultilevel"/>
    <w:tmpl w:val="A9849A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F6450"/>
    <w:multiLevelType w:val="hybridMultilevel"/>
    <w:tmpl w:val="A5205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0C1B"/>
    <w:multiLevelType w:val="hybridMultilevel"/>
    <w:tmpl w:val="A6B6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321D"/>
    <w:multiLevelType w:val="hybridMultilevel"/>
    <w:tmpl w:val="63066DD8"/>
    <w:lvl w:ilvl="0" w:tplc="B128B6B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B57A4"/>
    <w:multiLevelType w:val="hybridMultilevel"/>
    <w:tmpl w:val="D3D8B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31335"/>
    <w:multiLevelType w:val="hybridMultilevel"/>
    <w:tmpl w:val="36AE14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A5D6C"/>
    <w:multiLevelType w:val="hybridMultilevel"/>
    <w:tmpl w:val="3CE0B55C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708A"/>
    <w:multiLevelType w:val="hybridMultilevel"/>
    <w:tmpl w:val="2BB6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EC3"/>
    <w:multiLevelType w:val="hybridMultilevel"/>
    <w:tmpl w:val="ED5431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408F1"/>
    <w:multiLevelType w:val="hybridMultilevel"/>
    <w:tmpl w:val="52CA7E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602D03"/>
    <w:multiLevelType w:val="hybridMultilevel"/>
    <w:tmpl w:val="A2CE2ABC"/>
    <w:lvl w:ilvl="0" w:tplc="7F30FCD2">
      <w:start w:val="19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00A4"/>
    <w:multiLevelType w:val="hybridMultilevel"/>
    <w:tmpl w:val="7CDC6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20"/>
  </w:num>
  <w:num w:numId="14">
    <w:abstractNumId w:val="7"/>
  </w:num>
  <w:num w:numId="15">
    <w:abstractNumId w:val="22"/>
  </w:num>
  <w:num w:numId="16">
    <w:abstractNumId w:val="16"/>
  </w:num>
  <w:num w:numId="17">
    <w:abstractNumId w:val="0"/>
  </w:num>
  <w:num w:numId="18">
    <w:abstractNumId w:val="21"/>
  </w:num>
  <w:num w:numId="19">
    <w:abstractNumId w:val="9"/>
  </w:num>
  <w:num w:numId="20">
    <w:abstractNumId w:val="10"/>
  </w:num>
  <w:num w:numId="21">
    <w:abstractNumId w:val="1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8"/>
    <w:rsid w:val="00003572"/>
    <w:rsid w:val="0001200B"/>
    <w:rsid w:val="00013999"/>
    <w:rsid w:val="000205F4"/>
    <w:rsid w:val="000213B5"/>
    <w:rsid w:val="00022566"/>
    <w:rsid w:val="0004129F"/>
    <w:rsid w:val="00062B46"/>
    <w:rsid w:val="0007492A"/>
    <w:rsid w:val="000903BF"/>
    <w:rsid w:val="000918CC"/>
    <w:rsid w:val="000A19E9"/>
    <w:rsid w:val="000A3830"/>
    <w:rsid w:val="000A7A55"/>
    <w:rsid w:val="000C5152"/>
    <w:rsid w:val="000C5F55"/>
    <w:rsid w:val="000E34E6"/>
    <w:rsid w:val="000F7D18"/>
    <w:rsid w:val="00104EC5"/>
    <w:rsid w:val="00157636"/>
    <w:rsid w:val="00157C6C"/>
    <w:rsid w:val="00172784"/>
    <w:rsid w:val="00172DC5"/>
    <w:rsid w:val="00174271"/>
    <w:rsid w:val="0017479F"/>
    <w:rsid w:val="00194AA9"/>
    <w:rsid w:val="001B171C"/>
    <w:rsid w:val="001B300F"/>
    <w:rsid w:val="001B7C88"/>
    <w:rsid w:val="001C205F"/>
    <w:rsid w:val="001D1466"/>
    <w:rsid w:val="001F0604"/>
    <w:rsid w:val="001F122B"/>
    <w:rsid w:val="001F67E1"/>
    <w:rsid w:val="0021020C"/>
    <w:rsid w:val="00217955"/>
    <w:rsid w:val="00221A3A"/>
    <w:rsid w:val="002259C2"/>
    <w:rsid w:val="00240A8B"/>
    <w:rsid w:val="0025148B"/>
    <w:rsid w:val="002641F7"/>
    <w:rsid w:val="0026466A"/>
    <w:rsid w:val="00273523"/>
    <w:rsid w:val="002876BF"/>
    <w:rsid w:val="00295ED5"/>
    <w:rsid w:val="002A6F14"/>
    <w:rsid w:val="002C3B85"/>
    <w:rsid w:val="002D2D76"/>
    <w:rsid w:val="002D3C91"/>
    <w:rsid w:val="002D7E85"/>
    <w:rsid w:val="002E63FB"/>
    <w:rsid w:val="00320295"/>
    <w:rsid w:val="00344AE4"/>
    <w:rsid w:val="003521AF"/>
    <w:rsid w:val="00365EE6"/>
    <w:rsid w:val="00392694"/>
    <w:rsid w:val="003A49CA"/>
    <w:rsid w:val="003A65D8"/>
    <w:rsid w:val="003A79DE"/>
    <w:rsid w:val="003C01CD"/>
    <w:rsid w:val="003E196D"/>
    <w:rsid w:val="003E1DD0"/>
    <w:rsid w:val="003E284B"/>
    <w:rsid w:val="00421174"/>
    <w:rsid w:val="00436A66"/>
    <w:rsid w:val="004479E1"/>
    <w:rsid w:val="004757FF"/>
    <w:rsid w:val="0047715F"/>
    <w:rsid w:val="004C0800"/>
    <w:rsid w:val="004C7AA2"/>
    <w:rsid w:val="004E2A5D"/>
    <w:rsid w:val="004E3B02"/>
    <w:rsid w:val="004E644B"/>
    <w:rsid w:val="004F5C42"/>
    <w:rsid w:val="004F5F62"/>
    <w:rsid w:val="00505CF9"/>
    <w:rsid w:val="0050625D"/>
    <w:rsid w:val="00527F85"/>
    <w:rsid w:val="005505C0"/>
    <w:rsid w:val="0055791E"/>
    <w:rsid w:val="0057619A"/>
    <w:rsid w:val="005972A9"/>
    <w:rsid w:val="005A017D"/>
    <w:rsid w:val="005D0DC4"/>
    <w:rsid w:val="005D2B01"/>
    <w:rsid w:val="005D7653"/>
    <w:rsid w:val="005E02A8"/>
    <w:rsid w:val="005E6ED5"/>
    <w:rsid w:val="005F26F7"/>
    <w:rsid w:val="00622949"/>
    <w:rsid w:val="00626271"/>
    <w:rsid w:val="006264FA"/>
    <w:rsid w:val="00643F58"/>
    <w:rsid w:val="00644C35"/>
    <w:rsid w:val="00653157"/>
    <w:rsid w:val="006721BF"/>
    <w:rsid w:val="006847A3"/>
    <w:rsid w:val="00685094"/>
    <w:rsid w:val="006A41A3"/>
    <w:rsid w:val="006A6176"/>
    <w:rsid w:val="006F68C3"/>
    <w:rsid w:val="00715C3F"/>
    <w:rsid w:val="00730769"/>
    <w:rsid w:val="00750169"/>
    <w:rsid w:val="00776E28"/>
    <w:rsid w:val="00780654"/>
    <w:rsid w:val="007A50ED"/>
    <w:rsid w:val="007D6FA2"/>
    <w:rsid w:val="007E388C"/>
    <w:rsid w:val="007F0F60"/>
    <w:rsid w:val="00804BA8"/>
    <w:rsid w:val="00807295"/>
    <w:rsid w:val="008255BC"/>
    <w:rsid w:val="00832C6E"/>
    <w:rsid w:val="00845094"/>
    <w:rsid w:val="0084773E"/>
    <w:rsid w:val="00856C2D"/>
    <w:rsid w:val="008C15AE"/>
    <w:rsid w:val="008D4457"/>
    <w:rsid w:val="008D6882"/>
    <w:rsid w:val="008E3DE0"/>
    <w:rsid w:val="008F6845"/>
    <w:rsid w:val="008F697C"/>
    <w:rsid w:val="00900547"/>
    <w:rsid w:val="009015FF"/>
    <w:rsid w:val="0090431C"/>
    <w:rsid w:val="00904D79"/>
    <w:rsid w:val="009134B2"/>
    <w:rsid w:val="00913EC2"/>
    <w:rsid w:val="00926F27"/>
    <w:rsid w:val="00930061"/>
    <w:rsid w:val="009351C7"/>
    <w:rsid w:val="0093596B"/>
    <w:rsid w:val="0094477E"/>
    <w:rsid w:val="00946D8D"/>
    <w:rsid w:val="00953F17"/>
    <w:rsid w:val="00954FBA"/>
    <w:rsid w:val="00960211"/>
    <w:rsid w:val="00972BB5"/>
    <w:rsid w:val="009A2F25"/>
    <w:rsid w:val="009A7F3E"/>
    <w:rsid w:val="009B1262"/>
    <w:rsid w:val="009D73B3"/>
    <w:rsid w:val="009E4705"/>
    <w:rsid w:val="00A27B1D"/>
    <w:rsid w:val="00A5288E"/>
    <w:rsid w:val="00A87F6F"/>
    <w:rsid w:val="00A91F20"/>
    <w:rsid w:val="00AA5AA2"/>
    <w:rsid w:val="00AC2BEF"/>
    <w:rsid w:val="00AD4423"/>
    <w:rsid w:val="00AE0206"/>
    <w:rsid w:val="00AF27DB"/>
    <w:rsid w:val="00B04218"/>
    <w:rsid w:val="00B15427"/>
    <w:rsid w:val="00B340B3"/>
    <w:rsid w:val="00B42BE2"/>
    <w:rsid w:val="00B467DF"/>
    <w:rsid w:val="00B810B7"/>
    <w:rsid w:val="00B87D87"/>
    <w:rsid w:val="00B94BAE"/>
    <w:rsid w:val="00BA538F"/>
    <w:rsid w:val="00BF07D2"/>
    <w:rsid w:val="00BF1752"/>
    <w:rsid w:val="00C031CC"/>
    <w:rsid w:val="00C11F6D"/>
    <w:rsid w:val="00C333C5"/>
    <w:rsid w:val="00C35098"/>
    <w:rsid w:val="00CC078E"/>
    <w:rsid w:val="00CE001A"/>
    <w:rsid w:val="00CF3613"/>
    <w:rsid w:val="00D07549"/>
    <w:rsid w:val="00D14BFE"/>
    <w:rsid w:val="00D36C67"/>
    <w:rsid w:val="00D47E3E"/>
    <w:rsid w:val="00D53C71"/>
    <w:rsid w:val="00D65DAB"/>
    <w:rsid w:val="00D766C0"/>
    <w:rsid w:val="00DB59A3"/>
    <w:rsid w:val="00DD2568"/>
    <w:rsid w:val="00DE09CC"/>
    <w:rsid w:val="00E145EC"/>
    <w:rsid w:val="00E246E5"/>
    <w:rsid w:val="00E2534E"/>
    <w:rsid w:val="00E35EBB"/>
    <w:rsid w:val="00E41036"/>
    <w:rsid w:val="00E41FF6"/>
    <w:rsid w:val="00E5599D"/>
    <w:rsid w:val="00E73C88"/>
    <w:rsid w:val="00E82995"/>
    <w:rsid w:val="00EA150B"/>
    <w:rsid w:val="00EB2F40"/>
    <w:rsid w:val="00EB3610"/>
    <w:rsid w:val="00EB7061"/>
    <w:rsid w:val="00EC23F5"/>
    <w:rsid w:val="00ED071A"/>
    <w:rsid w:val="00ED7296"/>
    <w:rsid w:val="00EF0E35"/>
    <w:rsid w:val="00F042B9"/>
    <w:rsid w:val="00F119FB"/>
    <w:rsid w:val="00F35B66"/>
    <w:rsid w:val="00F42710"/>
    <w:rsid w:val="00F600B1"/>
    <w:rsid w:val="00F62D8B"/>
    <w:rsid w:val="00F85023"/>
    <w:rsid w:val="00F90CA2"/>
    <w:rsid w:val="00FA4EE2"/>
    <w:rsid w:val="00FA5EBA"/>
    <w:rsid w:val="00FB3B08"/>
    <w:rsid w:val="00FD541E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BA8EC"/>
  <w15:docId w15:val="{E008863F-E912-485E-83C2-B75D227E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C01CD"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01CD"/>
    <w:rPr>
      <w:rFonts w:ascii="Calibri" w:eastAsia="Calibri" w:hAnsi="Calibri" w:cs="Calibri"/>
      <w:lang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3C01CD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5"/>
    <w:qFormat/>
    <w:rsid w:val="005D0D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ED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5E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ED5"/>
    <w:rPr>
      <w:rFonts w:asciiTheme="minorHAnsi" w:hAnsiTheme="minorHAnsi"/>
      <w:sz w:val="22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930061"/>
    <w:rPr>
      <w:rFonts w:asciiTheme="minorHAnsi" w:hAnsiTheme="minorHAnsi"/>
      <w:sz w:val="22"/>
    </w:rPr>
  </w:style>
  <w:style w:type="paragraph" w:customStyle="1" w:styleId="Standardntext">
    <w:name w:val="Standardní text"/>
    <w:basedOn w:val="Normln"/>
    <w:link w:val="StandardntextChar"/>
    <w:qFormat/>
    <w:rsid w:val="00930061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tandardntextChar">
    <w:name w:val="Standardní text Char"/>
    <w:link w:val="Standardntext"/>
    <w:rsid w:val="00930061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46D8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6D8D"/>
    <w:pPr>
      <w:overflowPunct/>
      <w:autoSpaceDE/>
      <w:autoSpaceDN/>
      <w:adjustRightInd/>
      <w:spacing w:before="100" w:beforeAutospacing="1" w:after="100" w:afterAutospacing="1" w:line="24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5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ED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ED5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ED5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E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A8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ulkasmkou4">
    <w:name w:val="Grid Table 4"/>
    <w:basedOn w:val="Normlntabulka"/>
    <w:uiPriority w:val="49"/>
    <w:rsid w:val="002E63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59"/>
    <w:rsid w:val="0047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A3830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A3830"/>
    <w:rPr>
      <w:rFonts w:asciiTheme="minorHAnsi" w:hAnsiTheme="minorHAnsi"/>
    </w:rPr>
  </w:style>
  <w:style w:type="character" w:styleId="Odkaznavysvtlivky">
    <w:name w:val="endnote reference"/>
    <w:basedOn w:val="Standardnpsmoodstavce"/>
    <w:uiPriority w:val="99"/>
    <w:semiHidden/>
    <w:unhideWhenUsed/>
    <w:rsid w:val="000A383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0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7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0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6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35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5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23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04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85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7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61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19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789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9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579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31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F34-BDCE-4FA3-AC6B-6C9E12E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E89B1760.dotm</Template>
  <TotalTime>1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Honzík Miroslav</dc:creator>
  <cp:lastModifiedBy>Zděnek Pavel</cp:lastModifiedBy>
  <cp:revision>3</cp:revision>
  <cp:lastPrinted>2019-11-14T07:55:00Z</cp:lastPrinted>
  <dcterms:created xsi:type="dcterms:W3CDTF">2020-05-21T07:25:00Z</dcterms:created>
  <dcterms:modified xsi:type="dcterms:W3CDTF">2020-05-27T08:40:00Z</dcterms:modified>
</cp:coreProperties>
</file>