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D3" w:rsidRPr="009357D3" w:rsidRDefault="009357D3" w:rsidP="009357D3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</w:pP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Výzva k předkládání žádostí na pozici </w:t>
      </w:r>
      <w:bookmarkStart w:id="0" w:name="_Hlk76022915"/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koordinátora/ koordinátorky </w:t>
      </w:r>
      <w:r w:rsidR="006F7466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4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BCO pro </w:t>
      </w:r>
      <w:r w:rsidR="0014087A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>agendu 5G</w:t>
      </w:r>
      <w:r w:rsidRPr="009357D3">
        <w:rPr>
          <w:rFonts w:ascii="inherit" w:eastAsia="Times New Roman" w:hAnsi="inherit" w:cs="Times New Roman"/>
          <w:color w:val="4D4D4D"/>
          <w:kern w:val="36"/>
          <w:sz w:val="42"/>
          <w:szCs w:val="42"/>
          <w:lang w:eastAsia="cs-CZ"/>
        </w:rPr>
        <w:t xml:space="preserve"> v rámci OP PIK</w:t>
      </w:r>
      <w:bookmarkEnd w:id="0"/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14087A" w:rsidRPr="009357D3" w:rsidRDefault="0014087A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Ministerstvo průmyslu a obchodu v rámci Operačního programu Podnikání a inovace pro konkurenceschopnost 2014-2020 (dále jen „OP PIK“) vyhlašuje </w:t>
      </w:r>
      <w:r w:rsidRPr="00014342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dne </w:t>
      </w:r>
      <w:r w:rsidR="00BD50C3" w:rsidRPr="00014342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2</w:t>
      </w:r>
      <w:r w:rsidRPr="00014342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  <w:r w:rsidR="00BD50C3" w:rsidRPr="00014342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července</w:t>
      </w:r>
      <w:r w:rsidRPr="00014342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2021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na 1</w:t>
      </w:r>
      <w:r w:rsidR="002F72E8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5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 kalendářních dnů výběrové řízení na pozici koordinátora/ koordinátorky </w:t>
      </w:r>
      <w:r w:rsidR="00394239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4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Broadband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</w:t>
      </w:r>
      <w:proofErr w:type="spellStart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Competence</w:t>
      </w:r>
      <w:proofErr w:type="spellEnd"/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 xml:space="preserve"> Office Česká Republika (dále jen BCO) pro </w:t>
      </w:r>
      <w:r w:rsidR="0014087A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agendu 5G</w:t>
      </w:r>
      <w:r w:rsidRPr="009357D3">
        <w:rPr>
          <w:rFonts w:ascii="&amp;quot" w:eastAsia="Times New Roman" w:hAnsi="&amp;quot" w:cs="Times New Roman"/>
          <w:i/>
          <w:iCs/>
          <w:color w:val="4D4D4D"/>
          <w:sz w:val="26"/>
          <w:szCs w:val="26"/>
          <w:lang w:eastAsia="cs-CZ"/>
        </w:rPr>
        <w:t>.</w:t>
      </w:r>
    </w:p>
    <w:p w:rsidR="009357D3" w:rsidRPr="009357D3" w:rsidRDefault="009357D3" w:rsidP="009357D3">
      <w:pPr>
        <w:spacing w:after="0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br/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Motivační dopis se strukturovaným životopisem lze podat písemně prostřednictvím provozovatele poštovních služeb na adresu služebního úřadu Ministerstvo průmyslu a obchodu, Na Františku 32, 110 15 Praha 1 nebo osobně podané na podatelnu služebního úřadu na výše uvedené adrese s dodáním nejpozději </w:t>
      </w:r>
      <w:r w:rsidR="00BD50C3" w:rsidRPr="00014342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16. července </w:t>
      </w:r>
      <w:r w:rsidRPr="00014342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2021.</w:t>
      </w:r>
      <w:bookmarkStart w:id="1" w:name="_GoBack"/>
      <w:bookmarkEnd w:id="1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Motivační dopis se strukturovaným životopisem lze podat ve stejné lhůtě rovněž v elektronické podobě, a to podepsanou uznávaným elektronickým podpisem na adresu elektronické pošty kavi@mpo.cz a současně na adresu pirochova@mpo.cz nebo prostřednictvím datové schránky (ID datové schránky: bxtaaw4).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Obálka, resp. datová zpráva, obsahující žádost včetně požadovaných listin (příloh) musí být označena slovy: „Neotvírat“ a slovy „Výběrové řízení na pozici 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394239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4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5G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- 71630“. Elektronická žádost zaslaná na</w:t>
      </w:r>
      <w:r w:rsidR="00BD50C3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uvedenou adresu elektronické pošty bude obsahovat označení slovy „</w:t>
      </w:r>
      <w:r w:rsidR="0014087A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Výběrové řízení na pozici 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koordinátora/ koordinátorky </w:t>
      </w:r>
      <w:r w:rsidR="00394239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4</w:t>
      </w:r>
      <w:r w:rsidR="0014087A" w:rsidRPr="0014087A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BCO pro agendu 5G </w:t>
      </w:r>
      <w:r w:rsidR="0014087A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- 71630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“ v předmětu zprávy.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Náplň činnosti na uvedené pozici obsahuje zejména:</w:t>
      </w:r>
    </w:p>
    <w:p w:rsidR="002F72E8" w:rsidRPr="002F72E8" w:rsidRDefault="002F72E8" w:rsidP="002F72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příprava odborných stanovisek a analýz, případně koordinace této činnosti zadané externím specialistům;</w:t>
      </w:r>
    </w:p>
    <w:p w:rsidR="002F72E8" w:rsidRPr="002F72E8" w:rsidRDefault="002F72E8" w:rsidP="002F72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příprava podkladů ve vazbě na návrhy či doporučení 5G Aliance pro jednání s jinými dotčenými subjekty, a to zejména s asociacemi obcí, měst a</w:t>
      </w:r>
      <w:r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krajů a rovněž sektorovými asociacemi;</w:t>
      </w:r>
    </w:p>
    <w:p w:rsidR="002F72E8" w:rsidRPr="002F72E8" w:rsidRDefault="002F72E8" w:rsidP="002F72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 xml:space="preserve">technická analýza dostupnosti služeb 5G v návaznosti na 3GPP </w:t>
      </w:r>
      <w:proofErr w:type="spellStart"/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Release</w:t>
      </w:r>
      <w:proofErr w:type="spellEnd"/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14 až 16, eventuálně novějších, a doporučení ITU, ETSI a BEREC,</w:t>
      </w:r>
    </w:p>
    <w:p w:rsidR="002F72E8" w:rsidRPr="002F72E8" w:rsidRDefault="002F72E8" w:rsidP="002F72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koordinace 5G projektů hrazených nebo podporovaných z evropských zdrojů (OP PIK, OP TAK, IROP, NPO, CEF2 apod.)</w:t>
      </w:r>
    </w:p>
    <w:p w:rsidR="0014087A" w:rsidRPr="0014087A" w:rsidRDefault="002F72E8" w:rsidP="002F72E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vypracování podkladů pro implementaci podpůrných programů (NPO) a</w:t>
      </w:r>
      <w:r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spolupráce s implementačními agenturami (</w:t>
      </w:r>
      <w:proofErr w:type="spellStart"/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HaDEA</w:t>
      </w:r>
      <w:proofErr w:type="spellEnd"/>
      <w:r w:rsidRPr="002F72E8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).</w:t>
      </w:r>
    </w:p>
    <w:p w:rsidR="009357D3" w:rsidRDefault="0014087A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</w:t>
      </w:r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oordinátor/</w:t>
      </w:r>
      <w:proofErr w:type="spellStart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="009357D3"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bude pro svou práci vybaven/a služebním notebookem s kancelářským balíkem softwaru a služebním mobilem s datovým přenosem. 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Místem výkonu práce je Praha, předpokládají se však pracovní cesty tuzemské i zahraniční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 vlastní motorové vozidlo je výhodou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. </w:t>
      </w:r>
    </w:p>
    <w:p w:rsidR="00BD50C3" w:rsidRPr="009357D3" w:rsidRDefault="00BD50C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b/>
          <w:bCs/>
          <w:color w:val="4D4D4D"/>
          <w:sz w:val="26"/>
          <w:szCs w:val="26"/>
          <w:lang w:eastAsia="cs-CZ"/>
        </w:rPr>
        <w:t xml:space="preserve"> o uvedenou pozici musí splňovat tyto požadavky: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státní občanství České republiky, popřípadě cizí státní občanství (např. občanství jiného členského státu Evropské unie nebo státu, který je smluvním státem Dohody o Evropském hospodářském prostoru), přičemž má v České republice trvalý pobyt;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bezúhonnost (dokládá se při podpisu Dohody o pracovní činnosti, a to výpisem z trestního rejstříku ne starším 3 měsíce);</w:t>
      </w:r>
    </w:p>
    <w:p w:rsidR="009357D3" w:rsidRPr="00F051FE" w:rsidRDefault="00F051FE" w:rsidP="0019695B">
      <w:pPr>
        <w:pStyle w:val="Odstavecseseznamem"/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vysokoškolské vzdělání magisterského stupně se zaměřením na telekomunikační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/</w:t>
      </w:r>
      <w:r w:rsidR="00BD50C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radiokomunikační techniku;</w:t>
      </w:r>
    </w:p>
    <w:p w:rsidR="00F051FE" w:rsidRDefault="009357D3" w:rsidP="00F051FE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předložení formuláře strukturovaného životopisu, který je součástí této výzvy, a motivačního dopisu;</w:t>
      </w:r>
      <w:r w:rsidR="00F051FE"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</w:p>
    <w:p w:rsidR="009357D3" w:rsidRPr="00F051FE" w:rsidRDefault="00F051FE" w:rsidP="00682344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zkušenosti s poskytováním poradenství a vyjednáváním ve věcech veřejného zájmu jsou vítané</w:t>
      </w:r>
      <w:r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(prokáže se při pohovoru)</w:t>
      </w:r>
      <w:r w:rsidRP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;</w:t>
      </w:r>
    </w:p>
    <w:p w:rsidR="009357D3" w:rsidRPr="009357D3" w:rsidRDefault="009357D3" w:rsidP="009357D3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prokazatelné 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technické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zkušenosti z aktivit v daném </w:t>
      </w:r>
      <w:r w:rsidR="00F051FE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oboru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jsou výhodou (prokáže se při pohovoru).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Posouzení předložených žádostí, znalostí a zkušeností uchazečů bude provedeno komisionálně a vybranému uchazeči/vybrané uchazečce bude předložen návrh na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uzavření Dohody o pracovní činnosti na rok 2021 (max. ½ běžné pracovní doby v</w:t>
      </w:r>
      <w:r w:rsidR="00F051FE">
        <w:rPr>
          <w:rFonts w:ascii="&amp;quot" w:eastAsia="Times New Roman" w:hAnsi="&amp;quot" w:cs="Times New Roman" w:hint="eastAsia"/>
          <w:color w:val="4D4D4D"/>
          <w:sz w:val="26"/>
          <w:szCs w:val="26"/>
          <w:lang w:eastAsia="cs-CZ"/>
        </w:rPr>
        <w:t> 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rozsahu zbývajícím do konce kalendářního roku 2021).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podáním žádosti stvrzuje, že si není vědom/a osobních ani profesních vazeb, které by při výkonu výše uvedené pracovní činnosti znamenaly střet zájmů.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Zasláním žádosti uděluje uchazeč/</w:t>
      </w:r>
      <w:proofErr w:type="spellStart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ka</w:t>
      </w:r>
      <w:proofErr w:type="spellEnd"/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 xml:space="preserve"> souhlas se zpracováním poskytnutých osobních údajů ve smyslu zákona č. 110/2019 Sb., o zpracování osobních údajů, pro účely 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lastRenderedPageBreak/>
        <w:t>příslušného výběrového řízení.</w:t>
      </w: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br/>
        <w:t> </w:t>
      </w:r>
    </w:p>
    <w:p w:rsidR="009357D3" w:rsidRPr="009357D3" w:rsidRDefault="009357D3" w:rsidP="009357D3">
      <w:pPr>
        <w:spacing w:after="150" w:line="360" w:lineRule="auto"/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</w:pPr>
      <w:r w:rsidRPr="009357D3">
        <w:rPr>
          <w:rFonts w:ascii="&amp;quot" w:eastAsia="Times New Roman" w:hAnsi="&amp;quot" w:cs="Times New Roman"/>
          <w:color w:val="4D4D4D"/>
          <w:sz w:val="26"/>
          <w:szCs w:val="26"/>
          <w:lang w:eastAsia="cs-CZ"/>
        </w:rPr>
        <w:t>Příloha 1: Strukturovaný životopis</w:t>
      </w:r>
    </w:p>
    <w:p w:rsidR="009357D3" w:rsidRPr="009357D3" w:rsidRDefault="009357D3" w:rsidP="009357D3">
      <w:pPr>
        <w:spacing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</w:p>
    <w:p w:rsidR="009357D3" w:rsidRPr="009357D3" w:rsidRDefault="009357D3" w:rsidP="009357D3">
      <w:pPr>
        <w:shd w:val="clear" w:color="auto" w:fill="F3F3F3"/>
        <w:spacing w:after="0" w:line="240" w:lineRule="auto"/>
        <w:outlineLvl w:val="2"/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</w:pPr>
      <w:r w:rsidRPr="009357D3">
        <w:rPr>
          <w:rFonts w:ascii="inherit" w:eastAsia="Times New Roman" w:hAnsi="inherit" w:cs="Times New Roman"/>
          <w:caps/>
          <w:color w:val="1A1A1A"/>
          <w:sz w:val="27"/>
          <w:szCs w:val="27"/>
          <w:lang w:eastAsia="cs-CZ"/>
        </w:rPr>
        <w:t>Přílohy ke stažení</w:t>
      </w:r>
    </w:p>
    <w:p w:rsidR="009357D3" w:rsidRPr="009357D3" w:rsidRDefault="00014342" w:rsidP="009357D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</w:pPr>
      <w:hyperlink r:id="rId7" w:history="1">
        <w:r w:rsidR="009357D3" w:rsidRPr="009357D3">
          <w:rPr>
            <w:rFonts w:ascii="&amp;quot" w:eastAsia="Times New Roman" w:hAnsi="&amp;quot" w:cs="Times New Roman"/>
            <w:color w:val="337AB7"/>
            <w:sz w:val="21"/>
            <w:szCs w:val="21"/>
            <w:u w:val="single"/>
            <w:lang w:eastAsia="cs-CZ"/>
          </w:rPr>
          <w:t>Strukturovaný životopis BCO</w:t>
        </w:r>
      </w:hyperlink>
      <w:r w:rsidR="009357D3" w:rsidRPr="009357D3">
        <w:rPr>
          <w:rFonts w:ascii="&amp;quot" w:eastAsia="Times New Roman" w:hAnsi="&amp;quot" w:cs="Times New Roman"/>
          <w:color w:val="4D4D4D"/>
          <w:sz w:val="21"/>
          <w:szCs w:val="21"/>
          <w:lang w:eastAsia="cs-CZ"/>
        </w:rPr>
        <w:t xml:space="preserve"> </w:t>
      </w:r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[</w:t>
      </w:r>
      <w:proofErr w:type="spellStart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docx</w:t>
      </w:r>
      <w:proofErr w:type="spellEnd"/>
      <w:r w:rsidR="009357D3" w:rsidRPr="009357D3">
        <w:rPr>
          <w:rFonts w:ascii="&amp;quot" w:eastAsia="Times New Roman" w:hAnsi="&amp;quot" w:cs="Times New Roman"/>
          <w:i/>
          <w:iCs/>
          <w:color w:val="4D4D4D"/>
          <w:sz w:val="21"/>
          <w:szCs w:val="21"/>
          <w:lang w:eastAsia="cs-CZ"/>
        </w:rPr>
        <w:t>, 80 kB]</w:t>
      </w:r>
    </w:p>
    <w:p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D3" w:rsidRDefault="009357D3" w:rsidP="00677FE0">
      <w:pPr>
        <w:spacing w:after="0" w:line="240" w:lineRule="auto"/>
      </w:pPr>
      <w:r>
        <w:separator/>
      </w:r>
    </w:p>
  </w:endnote>
  <w:end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D3" w:rsidRDefault="009357D3" w:rsidP="00677FE0">
      <w:pPr>
        <w:spacing w:after="0" w:line="240" w:lineRule="auto"/>
      </w:pPr>
      <w:r>
        <w:separator/>
      </w:r>
    </w:p>
  </w:footnote>
  <w:footnote w:type="continuationSeparator" w:id="0">
    <w:p w:rsidR="009357D3" w:rsidRDefault="009357D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B075E0"/>
    <w:multiLevelType w:val="multilevel"/>
    <w:tmpl w:val="DBA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A3536A2"/>
    <w:multiLevelType w:val="hybridMultilevel"/>
    <w:tmpl w:val="66543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4C010C8"/>
    <w:multiLevelType w:val="multilevel"/>
    <w:tmpl w:val="DC9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62A6D6C"/>
    <w:multiLevelType w:val="multilevel"/>
    <w:tmpl w:val="3A6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2"/>
  </w:num>
  <w:num w:numId="18">
    <w:abstractNumId w:val="6"/>
  </w:num>
  <w:num w:numId="19">
    <w:abstractNumId w:val="14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3"/>
  </w:num>
  <w:num w:numId="25">
    <w:abstractNumId w:val="17"/>
  </w:num>
  <w:num w:numId="26">
    <w:abstractNumId w:val="31"/>
  </w:num>
  <w:num w:numId="27">
    <w:abstractNumId w:val="28"/>
  </w:num>
  <w:num w:numId="28">
    <w:abstractNumId w:val="27"/>
  </w:num>
  <w:num w:numId="29">
    <w:abstractNumId w:val="20"/>
  </w:num>
  <w:num w:numId="30">
    <w:abstractNumId w:val="33"/>
  </w:num>
  <w:num w:numId="31">
    <w:abstractNumId w:val="37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5"/>
  </w:num>
  <w:num w:numId="37">
    <w:abstractNumId w:val="24"/>
  </w:num>
  <w:num w:numId="38">
    <w:abstractNumId w:val="10"/>
  </w:num>
  <w:num w:numId="39">
    <w:abstractNumId w:val="30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3"/>
    <w:rsid w:val="00014342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4087A"/>
    <w:rsid w:val="00161731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2F72E8"/>
    <w:rsid w:val="00310FA0"/>
    <w:rsid w:val="00320481"/>
    <w:rsid w:val="003250CB"/>
    <w:rsid w:val="00363201"/>
    <w:rsid w:val="0039063C"/>
    <w:rsid w:val="00394239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6F7466"/>
    <w:rsid w:val="007102D2"/>
    <w:rsid w:val="00713948"/>
    <w:rsid w:val="00753A27"/>
    <w:rsid w:val="0079342A"/>
    <w:rsid w:val="007B4949"/>
    <w:rsid w:val="007F0BC6"/>
    <w:rsid w:val="00831374"/>
    <w:rsid w:val="0085399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57D3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65F6A"/>
    <w:rsid w:val="00B9753A"/>
    <w:rsid w:val="00BB479C"/>
    <w:rsid w:val="00BC4720"/>
    <w:rsid w:val="00BD50C3"/>
    <w:rsid w:val="00BD75A2"/>
    <w:rsid w:val="00C2017A"/>
    <w:rsid w:val="00C2026B"/>
    <w:rsid w:val="00C20470"/>
    <w:rsid w:val="00C21B5A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51FE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9457DE-165D-4107-8EB2-1897433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93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9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3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6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po.cz/assets/cz/podnikani/dotace-a-podpora-podnikani/oppik-2014-2020/aktualni-informace/2021/2/Strukturovany-zivotopis-BCO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512ABC3A.dotm</Template>
  <TotalTime>3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Annelies</dc:creator>
  <cp:keywords/>
  <dc:description/>
  <cp:lastModifiedBy>Janová Pavlína</cp:lastModifiedBy>
  <cp:revision>5</cp:revision>
  <dcterms:created xsi:type="dcterms:W3CDTF">2021-07-01T07:30:00Z</dcterms:created>
  <dcterms:modified xsi:type="dcterms:W3CDTF">2021-07-02T15:47:00Z</dcterms:modified>
</cp:coreProperties>
</file>