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0CA" w14:textId="77777777" w:rsidR="00713948" w:rsidRDefault="00713948" w:rsidP="00605759"/>
    <w:p w14:paraId="05E0C09D" w14:textId="77777777" w:rsidR="00E74B9F" w:rsidRDefault="00E74B9F" w:rsidP="00605759"/>
    <w:p w14:paraId="1A4A089A" w14:textId="77777777" w:rsidR="00E74B9F" w:rsidRDefault="00E74B9F" w:rsidP="00605759"/>
    <w:p w14:paraId="2538ACF3" w14:textId="77777777" w:rsidR="00E74B9F" w:rsidRDefault="00E74B9F" w:rsidP="00605759">
      <w:r>
        <w:rPr>
          <w:rFonts w:asciiTheme="majorHAnsi" w:hAnsiTheme="majorHAnsi" w:cstheme="majorHAnsi"/>
          <w:noProof/>
        </w:rPr>
        <w:drawing>
          <wp:anchor distT="0" distB="0" distL="114300" distR="114300" simplePos="0" relativeHeight="251659264" behindDoc="1" locked="0" layoutInCell="1" allowOverlap="1" wp14:anchorId="38E56F31" wp14:editId="54E76A57">
            <wp:simplePos x="0" y="0"/>
            <wp:positionH relativeFrom="page">
              <wp:posOffset>181758</wp:posOffset>
            </wp:positionH>
            <wp:positionV relativeFrom="paragraph">
              <wp:posOffset>365952</wp:posOffset>
            </wp:positionV>
            <wp:extent cx="7403887" cy="8611751"/>
            <wp:effectExtent l="0" t="0" r="698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3887" cy="8611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FB82D" w14:textId="77777777" w:rsidR="00E74B9F" w:rsidRDefault="00E74B9F" w:rsidP="00605759"/>
    <w:p w14:paraId="2F595E48" w14:textId="77777777" w:rsidR="00E74B9F" w:rsidRPr="00D16F0B" w:rsidRDefault="00E74B9F" w:rsidP="00E74B9F">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1282B205" w14:textId="77777777" w:rsidR="00E74B9F" w:rsidRPr="00D16F0B" w:rsidRDefault="00E74B9F" w:rsidP="00E74B9F">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3AF436B2" w14:textId="77777777" w:rsidR="00E74B9F" w:rsidRDefault="00E74B9F" w:rsidP="00E74B9F">
      <w:pPr>
        <w:spacing w:before="120" w:after="120" w:line="276" w:lineRule="auto"/>
        <w:contextualSpacing/>
        <w:jc w:val="center"/>
        <w:rPr>
          <w:rFonts w:asciiTheme="majorHAnsi" w:hAnsiTheme="majorHAnsi" w:cstheme="majorHAnsi"/>
          <w:b/>
          <w:bCs/>
          <w:color w:val="000000"/>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45E30C14" w14:textId="77777777" w:rsidR="00E74B9F" w:rsidRDefault="00E74B9F" w:rsidP="00E74B9F">
      <w:pPr>
        <w:spacing w:before="120" w:after="120" w:line="276" w:lineRule="auto"/>
        <w:contextualSpacing/>
        <w:jc w:val="center"/>
        <w:rPr>
          <w:rFonts w:asciiTheme="majorHAnsi" w:hAnsiTheme="majorHAnsi" w:cstheme="majorHAnsi"/>
          <w:b/>
          <w:sz w:val="28"/>
        </w:rPr>
      </w:pPr>
    </w:p>
    <w:p w14:paraId="325324B2" w14:textId="77777777" w:rsidR="00E74B9F" w:rsidRDefault="00E74B9F" w:rsidP="00E74B9F">
      <w:pPr>
        <w:spacing w:before="120" w:after="120" w:line="276" w:lineRule="auto"/>
        <w:contextualSpacing/>
        <w:jc w:val="center"/>
        <w:rPr>
          <w:rFonts w:asciiTheme="majorHAnsi" w:hAnsiTheme="majorHAnsi" w:cstheme="majorHAnsi"/>
          <w:b/>
          <w:sz w:val="28"/>
        </w:rPr>
      </w:pPr>
    </w:p>
    <w:p w14:paraId="3AB39ACE" w14:textId="77777777" w:rsidR="00E74B9F" w:rsidRDefault="00E74B9F" w:rsidP="00E74B9F">
      <w:pPr>
        <w:spacing w:before="120" w:after="120" w:line="276" w:lineRule="auto"/>
        <w:contextualSpacing/>
        <w:jc w:val="center"/>
        <w:rPr>
          <w:rFonts w:asciiTheme="majorHAnsi" w:hAnsiTheme="majorHAnsi" w:cstheme="majorHAnsi"/>
          <w:b/>
          <w:sz w:val="28"/>
        </w:rPr>
      </w:pPr>
    </w:p>
    <w:p w14:paraId="17469805" w14:textId="77777777" w:rsidR="00E74B9F" w:rsidRDefault="00E74B9F" w:rsidP="00E74B9F">
      <w:pPr>
        <w:spacing w:before="120" w:after="120" w:line="276" w:lineRule="auto"/>
        <w:contextualSpacing/>
        <w:jc w:val="center"/>
        <w:rPr>
          <w:rFonts w:asciiTheme="majorHAnsi" w:hAnsiTheme="majorHAnsi" w:cstheme="majorHAnsi"/>
          <w:b/>
          <w:sz w:val="28"/>
        </w:rPr>
      </w:pPr>
    </w:p>
    <w:p w14:paraId="0A42C0BA" w14:textId="77777777" w:rsidR="00E74B9F" w:rsidRDefault="00E74B9F" w:rsidP="00E74B9F">
      <w:pPr>
        <w:spacing w:before="120" w:after="120" w:line="276" w:lineRule="auto"/>
        <w:contextualSpacing/>
        <w:jc w:val="center"/>
        <w:rPr>
          <w:rFonts w:asciiTheme="majorHAnsi" w:hAnsiTheme="majorHAnsi" w:cstheme="majorHAnsi"/>
          <w:b/>
          <w:sz w:val="28"/>
        </w:rPr>
      </w:pPr>
    </w:p>
    <w:p w14:paraId="3DE848EE" w14:textId="77777777" w:rsidR="00E74B9F" w:rsidRDefault="00E74B9F" w:rsidP="00E74B9F">
      <w:pPr>
        <w:spacing w:before="120" w:after="120" w:line="276" w:lineRule="auto"/>
        <w:contextualSpacing/>
        <w:jc w:val="center"/>
        <w:rPr>
          <w:rFonts w:asciiTheme="majorHAnsi" w:hAnsiTheme="majorHAnsi" w:cstheme="majorHAnsi"/>
          <w:b/>
          <w:sz w:val="28"/>
        </w:rPr>
      </w:pPr>
    </w:p>
    <w:p w14:paraId="1342B67E" w14:textId="77777777" w:rsidR="00E74B9F" w:rsidRDefault="00E74B9F" w:rsidP="00E74B9F">
      <w:pPr>
        <w:spacing w:before="120" w:after="120" w:line="276" w:lineRule="auto"/>
        <w:contextualSpacing/>
        <w:jc w:val="center"/>
        <w:rPr>
          <w:rFonts w:asciiTheme="majorHAnsi" w:hAnsiTheme="majorHAnsi" w:cstheme="majorHAnsi"/>
          <w:b/>
          <w:sz w:val="28"/>
        </w:rPr>
      </w:pPr>
    </w:p>
    <w:p w14:paraId="015FC60F" w14:textId="77777777" w:rsidR="00E74B9F" w:rsidRDefault="00E74B9F" w:rsidP="00E74B9F">
      <w:pPr>
        <w:spacing w:before="120" w:after="120" w:line="276" w:lineRule="auto"/>
        <w:contextualSpacing/>
        <w:jc w:val="center"/>
        <w:rPr>
          <w:rFonts w:asciiTheme="majorHAnsi" w:hAnsiTheme="majorHAnsi" w:cstheme="majorHAnsi"/>
          <w:b/>
          <w:sz w:val="28"/>
        </w:rPr>
      </w:pPr>
    </w:p>
    <w:p w14:paraId="523DEF76" w14:textId="77777777" w:rsidR="00E74B9F" w:rsidRDefault="00E74B9F" w:rsidP="00E74B9F">
      <w:pPr>
        <w:spacing w:before="120" w:after="120" w:line="276" w:lineRule="auto"/>
        <w:contextualSpacing/>
        <w:jc w:val="center"/>
        <w:rPr>
          <w:rFonts w:asciiTheme="majorHAnsi" w:hAnsiTheme="majorHAnsi" w:cstheme="majorHAnsi"/>
          <w:b/>
          <w:sz w:val="28"/>
        </w:rPr>
      </w:pPr>
    </w:p>
    <w:p w14:paraId="2D185CAF" w14:textId="77777777" w:rsidR="00E74B9F" w:rsidRDefault="00E74B9F" w:rsidP="00E74B9F">
      <w:pPr>
        <w:spacing w:before="120" w:after="120" w:line="276" w:lineRule="auto"/>
        <w:contextualSpacing/>
        <w:jc w:val="center"/>
        <w:rPr>
          <w:rFonts w:asciiTheme="majorHAnsi" w:hAnsiTheme="majorHAnsi" w:cstheme="majorHAnsi"/>
          <w:b/>
          <w:sz w:val="28"/>
        </w:rPr>
      </w:pPr>
    </w:p>
    <w:p w14:paraId="1AA86A36" w14:textId="77777777" w:rsidR="00E74B9F" w:rsidRPr="008F199B" w:rsidRDefault="00E74B9F" w:rsidP="00E74B9F">
      <w:pPr>
        <w:spacing w:before="120" w:after="120" w:line="276" w:lineRule="auto"/>
        <w:contextualSpacing/>
        <w:jc w:val="center"/>
        <w:rPr>
          <w:rFonts w:asciiTheme="majorHAnsi" w:hAnsiTheme="majorHAnsi" w:cstheme="majorHAnsi"/>
          <w:b/>
          <w:bCs/>
          <w:color w:val="000000"/>
          <w:sz w:val="32"/>
          <w:szCs w:val="32"/>
        </w:rPr>
      </w:pPr>
      <w:r w:rsidRPr="008F199B">
        <w:rPr>
          <w:rFonts w:asciiTheme="majorHAnsi" w:hAnsiTheme="majorHAnsi" w:cstheme="majorHAnsi"/>
          <w:b/>
          <w:bCs/>
          <w:color w:val="000000"/>
          <w:sz w:val="32"/>
          <w:szCs w:val="32"/>
        </w:rPr>
        <w:t xml:space="preserve">Příloha č. </w:t>
      </w:r>
      <w:r w:rsidRPr="00CC3B9C">
        <w:rPr>
          <w:rFonts w:asciiTheme="majorHAnsi" w:hAnsiTheme="majorHAnsi" w:cstheme="majorHAnsi"/>
          <w:b/>
          <w:bCs/>
          <w:color w:val="auto"/>
          <w:sz w:val="32"/>
          <w:szCs w:val="32"/>
        </w:rPr>
        <w:t>5</w:t>
      </w:r>
    </w:p>
    <w:p w14:paraId="49FF5BC7" w14:textId="77777777" w:rsidR="00E74B9F" w:rsidRPr="008F199B" w:rsidRDefault="00E74B9F" w:rsidP="00E74B9F">
      <w:pPr>
        <w:spacing w:before="120" w:after="120" w:line="276" w:lineRule="auto"/>
        <w:contextualSpacing/>
        <w:jc w:val="center"/>
        <w:rPr>
          <w:rFonts w:asciiTheme="majorHAnsi" w:hAnsiTheme="majorHAnsi" w:cstheme="majorHAnsi"/>
          <w:b/>
          <w:bCs/>
          <w:color w:val="000000"/>
          <w:sz w:val="32"/>
          <w:szCs w:val="32"/>
        </w:rPr>
      </w:pPr>
      <w:r w:rsidRPr="008F199B">
        <w:rPr>
          <w:rFonts w:asciiTheme="majorHAnsi" w:hAnsiTheme="majorHAnsi" w:cstheme="majorHAnsi"/>
          <w:b/>
          <w:bCs/>
          <w:color w:val="000000"/>
          <w:sz w:val="32"/>
          <w:szCs w:val="32"/>
        </w:rPr>
        <w:t>Nepodporované kategorie CZ NACE</w:t>
      </w:r>
    </w:p>
    <w:p w14:paraId="6470CA0A" w14:textId="429DB014" w:rsidR="00E74B9F" w:rsidRPr="00AF087C" w:rsidRDefault="0029763D" w:rsidP="00AF087C">
      <w:pPr>
        <w:spacing w:before="120" w:after="120" w:line="276" w:lineRule="auto"/>
        <w:contextualSpacing/>
        <w:jc w:val="center"/>
        <w:rPr>
          <w:rFonts w:ascii="Calibri" w:eastAsia="Times New Roman" w:hAnsi="Calibri" w:cs="Calibri"/>
          <w:b/>
          <w:sz w:val="32"/>
          <w:szCs w:val="32"/>
        </w:rPr>
      </w:pPr>
      <w:r w:rsidRPr="00263DF3">
        <w:rPr>
          <w:rFonts w:asciiTheme="majorHAnsi" w:hAnsiTheme="majorHAnsi" w:cstheme="majorHAnsi"/>
          <w:b/>
          <w:bCs/>
          <w:color w:val="000000"/>
          <w:sz w:val="32"/>
          <w:szCs w:val="32"/>
        </w:rPr>
        <w:t>Potenciál</w:t>
      </w:r>
      <w:r w:rsidRPr="00E25ADD">
        <w:rPr>
          <w:rFonts w:asciiTheme="majorHAnsi" w:hAnsiTheme="majorHAnsi" w:cstheme="majorHAnsi"/>
          <w:b/>
          <w:bCs/>
          <w:color w:val="auto"/>
          <w:sz w:val="32"/>
          <w:szCs w:val="32"/>
        </w:rPr>
        <w:t xml:space="preserve"> </w:t>
      </w:r>
      <w:r w:rsidR="00E74B9F" w:rsidRPr="00E25ADD">
        <w:rPr>
          <w:rFonts w:asciiTheme="majorHAnsi" w:hAnsiTheme="majorHAnsi" w:cstheme="majorHAnsi"/>
          <w:b/>
          <w:bCs/>
          <w:color w:val="auto"/>
          <w:sz w:val="32"/>
          <w:szCs w:val="32"/>
        </w:rPr>
        <w:t>– výzva I.</w:t>
      </w:r>
    </w:p>
    <w:p w14:paraId="5603DF49" w14:textId="77777777" w:rsidR="00E74B9F" w:rsidRDefault="00E74B9F" w:rsidP="00E74B9F">
      <w:pPr>
        <w:spacing w:before="120" w:after="120" w:line="276" w:lineRule="auto"/>
        <w:contextualSpacing/>
        <w:jc w:val="center"/>
        <w:rPr>
          <w:rFonts w:asciiTheme="majorHAnsi" w:hAnsiTheme="majorHAnsi" w:cstheme="majorHAnsi"/>
          <w:b/>
          <w:sz w:val="28"/>
        </w:rPr>
      </w:pPr>
    </w:p>
    <w:p w14:paraId="6D99E4CF" w14:textId="77777777" w:rsidR="00E74B9F" w:rsidRDefault="00E74B9F" w:rsidP="00E74B9F">
      <w:pPr>
        <w:spacing w:before="120" w:after="120" w:line="276" w:lineRule="auto"/>
        <w:contextualSpacing/>
        <w:jc w:val="center"/>
        <w:rPr>
          <w:rFonts w:asciiTheme="majorHAnsi" w:hAnsiTheme="majorHAnsi" w:cstheme="majorHAnsi"/>
          <w:b/>
          <w:sz w:val="28"/>
        </w:rPr>
      </w:pPr>
    </w:p>
    <w:p w14:paraId="43EBCB9D" w14:textId="77777777" w:rsidR="00E74B9F" w:rsidRDefault="00E74B9F" w:rsidP="00E74B9F">
      <w:pPr>
        <w:spacing w:before="120" w:after="120" w:line="276" w:lineRule="auto"/>
        <w:contextualSpacing/>
        <w:jc w:val="center"/>
        <w:rPr>
          <w:rFonts w:asciiTheme="majorHAnsi" w:hAnsiTheme="majorHAnsi" w:cstheme="majorHAnsi"/>
          <w:b/>
          <w:sz w:val="28"/>
        </w:rPr>
      </w:pPr>
    </w:p>
    <w:p w14:paraId="47EF2DF6" w14:textId="77777777" w:rsidR="00E74B9F" w:rsidRDefault="00E74B9F" w:rsidP="00E74B9F">
      <w:pPr>
        <w:spacing w:before="120" w:after="120" w:line="276" w:lineRule="auto"/>
        <w:contextualSpacing/>
        <w:jc w:val="center"/>
        <w:rPr>
          <w:rFonts w:asciiTheme="majorHAnsi" w:hAnsiTheme="majorHAnsi" w:cstheme="majorHAnsi"/>
          <w:b/>
          <w:sz w:val="28"/>
        </w:rPr>
      </w:pPr>
    </w:p>
    <w:p w14:paraId="3DC30DBC" w14:textId="77777777" w:rsidR="00E74B9F" w:rsidRDefault="00E74B9F" w:rsidP="00E74B9F">
      <w:pPr>
        <w:spacing w:before="120" w:after="120" w:line="276" w:lineRule="auto"/>
        <w:contextualSpacing/>
        <w:jc w:val="center"/>
        <w:rPr>
          <w:rFonts w:asciiTheme="majorHAnsi" w:hAnsiTheme="majorHAnsi" w:cstheme="majorHAnsi"/>
          <w:b/>
          <w:sz w:val="28"/>
        </w:rPr>
      </w:pPr>
    </w:p>
    <w:p w14:paraId="7EF2B731" w14:textId="77777777" w:rsidR="00E74B9F" w:rsidRDefault="00E74B9F" w:rsidP="00E74B9F">
      <w:pPr>
        <w:spacing w:before="120" w:after="120" w:line="276" w:lineRule="auto"/>
        <w:contextualSpacing/>
        <w:jc w:val="center"/>
        <w:rPr>
          <w:rFonts w:asciiTheme="majorHAnsi" w:hAnsiTheme="majorHAnsi" w:cstheme="majorHAnsi"/>
          <w:b/>
          <w:sz w:val="28"/>
        </w:rPr>
      </w:pPr>
    </w:p>
    <w:p w14:paraId="406AC118" w14:textId="77777777" w:rsidR="00E74B9F" w:rsidRDefault="00E74B9F" w:rsidP="00E74B9F">
      <w:pPr>
        <w:spacing w:before="120" w:after="120" w:line="276" w:lineRule="auto"/>
        <w:contextualSpacing/>
        <w:jc w:val="center"/>
        <w:rPr>
          <w:rFonts w:asciiTheme="majorHAnsi" w:hAnsiTheme="majorHAnsi" w:cstheme="majorHAnsi"/>
          <w:b/>
          <w:sz w:val="28"/>
        </w:rPr>
      </w:pPr>
    </w:p>
    <w:p w14:paraId="5A7E9DF1" w14:textId="77777777" w:rsidR="00E74B9F" w:rsidRDefault="00E74B9F" w:rsidP="00E74B9F">
      <w:pPr>
        <w:spacing w:before="120" w:after="120" w:line="276" w:lineRule="auto"/>
        <w:contextualSpacing/>
        <w:jc w:val="center"/>
        <w:rPr>
          <w:rFonts w:asciiTheme="majorHAnsi" w:hAnsiTheme="majorHAnsi" w:cstheme="majorHAnsi"/>
          <w:b/>
          <w:sz w:val="28"/>
        </w:rPr>
      </w:pPr>
    </w:p>
    <w:p w14:paraId="467E19CA" w14:textId="77777777" w:rsidR="00E74B9F" w:rsidRDefault="00E74B9F" w:rsidP="00E74B9F">
      <w:pPr>
        <w:spacing w:before="120" w:after="120" w:line="276" w:lineRule="auto"/>
        <w:contextualSpacing/>
        <w:jc w:val="center"/>
        <w:rPr>
          <w:rFonts w:asciiTheme="majorHAnsi" w:hAnsiTheme="majorHAnsi" w:cstheme="majorHAnsi"/>
          <w:b/>
          <w:sz w:val="28"/>
        </w:rPr>
      </w:pPr>
    </w:p>
    <w:p w14:paraId="6EB04228" w14:textId="77777777" w:rsidR="00E74B9F" w:rsidRDefault="00E74B9F" w:rsidP="00E74B9F">
      <w:pPr>
        <w:spacing w:before="120" w:after="120" w:line="276" w:lineRule="auto"/>
        <w:contextualSpacing/>
        <w:jc w:val="center"/>
        <w:rPr>
          <w:rFonts w:asciiTheme="majorHAnsi" w:hAnsiTheme="majorHAnsi" w:cstheme="majorHAnsi"/>
          <w:b/>
          <w:sz w:val="28"/>
        </w:rPr>
      </w:pPr>
    </w:p>
    <w:p w14:paraId="7AE6E852" w14:textId="77777777" w:rsidR="00E74B9F" w:rsidRDefault="00E74B9F" w:rsidP="00E74B9F">
      <w:pPr>
        <w:spacing w:before="120" w:after="120" w:line="276" w:lineRule="auto"/>
        <w:contextualSpacing/>
        <w:jc w:val="center"/>
        <w:rPr>
          <w:rFonts w:asciiTheme="majorHAnsi" w:hAnsiTheme="majorHAnsi" w:cstheme="majorHAnsi"/>
          <w:b/>
          <w:sz w:val="28"/>
        </w:rPr>
      </w:pPr>
    </w:p>
    <w:p w14:paraId="076B924B" w14:textId="77777777" w:rsidR="00E74B9F" w:rsidRDefault="00E74B9F" w:rsidP="00E74B9F">
      <w:pPr>
        <w:spacing w:before="120" w:after="120" w:line="276" w:lineRule="auto"/>
        <w:contextualSpacing/>
        <w:jc w:val="center"/>
        <w:rPr>
          <w:rFonts w:asciiTheme="majorHAnsi" w:hAnsiTheme="majorHAnsi" w:cstheme="majorHAnsi"/>
          <w:b/>
          <w:sz w:val="28"/>
        </w:rPr>
      </w:pPr>
    </w:p>
    <w:p w14:paraId="44D80E81" w14:textId="77777777" w:rsidR="00E74B9F" w:rsidRDefault="00E74B9F" w:rsidP="00E74B9F">
      <w:pPr>
        <w:spacing w:before="120" w:after="120" w:line="276" w:lineRule="auto"/>
        <w:contextualSpacing/>
        <w:jc w:val="center"/>
        <w:rPr>
          <w:rFonts w:asciiTheme="majorHAnsi" w:hAnsiTheme="majorHAnsi" w:cstheme="majorHAnsi"/>
          <w:b/>
          <w:sz w:val="28"/>
        </w:rPr>
      </w:pPr>
    </w:p>
    <w:p w14:paraId="2FB13ABD" w14:textId="77777777" w:rsidR="00E74B9F" w:rsidRDefault="00E74B9F" w:rsidP="00E74B9F">
      <w:pPr>
        <w:spacing w:before="120" w:after="120" w:line="276" w:lineRule="auto"/>
        <w:contextualSpacing/>
        <w:jc w:val="center"/>
        <w:rPr>
          <w:rFonts w:asciiTheme="majorHAnsi" w:hAnsiTheme="majorHAnsi" w:cstheme="majorHAnsi"/>
          <w:b/>
          <w:sz w:val="28"/>
        </w:rPr>
      </w:pPr>
    </w:p>
    <w:p w14:paraId="3D273043" w14:textId="77777777" w:rsidR="00E74B9F" w:rsidRDefault="00E74B9F" w:rsidP="00E74B9F">
      <w:pPr>
        <w:spacing w:before="120" w:after="120" w:line="276" w:lineRule="auto"/>
        <w:contextualSpacing/>
        <w:jc w:val="center"/>
        <w:rPr>
          <w:rFonts w:asciiTheme="majorHAnsi" w:hAnsiTheme="majorHAnsi" w:cstheme="majorHAnsi"/>
          <w:b/>
          <w:sz w:val="28"/>
        </w:rPr>
      </w:pPr>
    </w:p>
    <w:p w14:paraId="41A1ED93" w14:textId="07B07102" w:rsidR="00E74B9F" w:rsidRDefault="00E74B9F" w:rsidP="00E74B9F">
      <w:pPr>
        <w:jc w:val="both"/>
      </w:pPr>
      <w:r w:rsidRPr="00B66D65">
        <w:t>Podporovány nejsou projekty, jejichž výstupy se přímo projeví v některém dále uvedeným odvětví. Jestliže příjemce podp</w:t>
      </w:r>
      <w:r w:rsidRPr="00640317">
        <w:t>ory působí zároveň v odvětvích vyloučených i v odvětvích spadajících do působnosti Nařízení Komise (EU) č.</w:t>
      </w:r>
      <w:r w:rsidR="00640317" w:rsidRPr="00640317">
        <w:t xml:space="preserve"> 2023/1315 ze dne 23. června 2023</w:t>
      </w:r>
      <w:r w:rsidRPr="00640317">
        <w:t>, kterým se v souladu s články 107 a 108 Smlouvy prohlašují určité kategorie podpory za slučitelné s vnitřním trhem, nařízení se</w:t>
      </w:r>
      <w:r w:rsidRPr="00B66D65">
        <w:t xml:space="preserve"> použije na podporu poskytovanou na jiná odvětví nebo činnosti za předpokladu, že příjemce podpory zajistí, že činnosti ve vyloučených odvětvích nevyužívají podporu dle tohoto nařízení. Příjemce podpory, který působí ve vyloučených odvětvích, zajistí splnění této povinnosti prostřednictvím vedení odděleného účetnictví</w:t>
      </w:r>
      <w:r>
        <w:t>.</w:t>
      </w:r>
    </w:p>
    <w:p w14:paraId="16EC1333" w14:textId="79A94B37" w:rsidR="00EC0577" w:rsidRDefault="00EC0577" w:rsidP="00E74B9F">
      <w:pPr>
        <w:jc w:val="both"/>
      </w:pPr>
    </w:p>
    <w:p w14:paraId="7C23FD16" w14:textId="1A525826" w:rsidR="00EF18C3" w:rsidRDefault="00EC0577" w:rsidP="00EC0577">
      <w:pPr>
        <w:jc w:val="center"/>
        <w:rPr>
          <w:rFonts w:asciiTheme="majorHAnsi" w:hAnsiTheme="majorHAnsi" w:cstheme="majorHAnsi"/>
          <w:b/>
          <w:sz w:val="28"/>
        </w:rPr>
      </w:pPr>
      <w:r w:rsidRPr="0064053D">
        <w:rPr>
          <w:rFonts w:asciiTheme="majorHAnsi" w:hAnsiTheme="majorHAnsi" w:cstheme="majorHAnsi"/>
          <w:b/>
          <w:sz w:val="28"/>
        </w:rPr>
        <w:t>Nepodporované kategorie CZ-NACE</w:t>
      </w:r>
      <w:r>
        <w:rPr>
          <w:rFonts w:asciiTheme="majorHAnsi" w:hAnsiTheme="majorHAnsi" w:cstheme="majorHAnsi"/>
          <w:b/>
          <w:sz w:val="28"/>
        </w:rPr>
        <w:t xml:space="preserve"> (dotace)</w:t>
      </w:r>
    </w:p>
    <w:tbl>
      <w:tblPr>
        <w:tblStyle w:val="Mkatabulky"/>
        <w:tblpPr w:leftFromText="142" w:rightFromText="142" w:vertAnchor="text" w:horzAnchor="margin" w:tblpY="387"/>
        <w:tblOverlap w:val="never"/>
        <w:tblW w:w="0" w:type="auto"/>
        <w:tblLook w:val="04A0" w:firstRow="1" w:lastRow="0" w:firstColumn="1" w:lastColumn="0" w:noHBand="0" w:noVBand="1"/>
      </w:tblPr>
      <w:tblGrid>
        <w:gridCol w:w="1696"/>
        <w:gridCol w:w="7797"/>
      </w:tblGrid>
      <w:tr w:rsidR="00EC0577" w14:paraId="707AD851" w14:textId="77777777" w:rsidTr="00E0596E">
        <w:trPr>
          <w:trHeight w:val="416"/>
        </w:trPr>
        <w:tc>
          <w:tcPr>
            <w:tcW w:w="9493" w:type="dxa"/>
            <w:gridSpan w:val="2"/>
          </w:tcPr>
          <w:p w14:paraId="4A606E78" w14:textId="77777777" w:rsidR="00EC0577" w:rsidRPr="00476E5B" w:rsidRDefault="00EC0577" w:rsidP="00E0596E">
            <w:pPr>
              <w:spacing w:after="0"/>
              <w:jc w:val="both"/>
            </w:pPr>
            <w:r w:rsidRPr="000D2AB6">
              <w:rPr>
                <w:b/>
              </w:rPr>
              <w:t>VÝROBA, ZPRACOVÁNÍ A UVÁDĚNÍ TABÁKU A TABÁKOVÝCH VÝROBKŮ NA TRH, zejména:</w:t>
            </w:r>
            <w:r w:rsidRPr="00476E5B">
              <w:rPr>
                <w:rStyle w:val="Znakapoznpodarou"/>
                <w:sz w:val="20"/>
                <w:szCs w:val="20"/>
              </w:rPr>
              <w:footnoteReference w:id="1"/>
            </w:r>
          </w:p>
        </w:tc>
      </w:tr>
      <w:tr w:rsidR="00EC0577" w14:paraId="0F4A8F63" w14:textId="77777777" w:rsidTr="00E0596E">
        <w:tc>
          <w:tcPr>
            <w:tcW w:w="1696" w:type="dxa"/>
          </w:tcPr>
          <w:p w14:paraId="33C99CC1" w14:textId="77777777" w:rsidR="00EC0577" w:rsidRPr="00476E5B" w:rsidRDefault="00EC0577" w:rsidP="00E0596E">
            <w:pPr>
              <w:spacing w:after="0"/>
              <w:jc w:val="both"/>
            </w:pPr>
            <w:r w:rsidRPr="00476E5B">
              <w:t>12</w:t>
            </w:r>
          </w:p>
        </w:tc>
        <w:tc>
          <w:tcPr>
            <w:tcW w:w="7797" w:type="dxa"/>
          </w:tcPr>
          <w:p w14:paraId="588F5F5E" w14:textId="77777777" w:rsidR="00EC0577" w:rsidRPr="00476E5B" w:rsidRDefault="00EC0577" w:rsidP="00E0596E">
            <w:pPr>
              <w:spacing w:after="0"/>
              <w:jc w:val="both"/>
            </w:pPr>
            <w:r w:rsidRPr="00476E5B">
              <w:t>Výroba tabákových výrobků</w:t>
            </w:r>
          </w:p>
        </w:tc>
      </w:tr>
      <w:tr w:rsidR="00EC0577" w14:paraId="50F8DF64" w14:textId="77777777" w:rsidTr="00E0596E">
        <w:tc>
          <w:tcPr>
            <w:tcW w:w="1696" w:type="dxa"/>
          </w:tcPr>
          <w:p w14:paraId="3A6B9491" w14:textId="77777777" w:rsidR="00EC0577" w:rsidRPr="00476E5B" w:rsidRDefault="00EC0577" w:rsidP="00E0596E">
            <w:pPr>
              <w:spacing w:after="0"/>
              <w:jc w:val="both"/>
            </w:pPr>
            <w:r w:rsidRPr="00476E5B">
              <w:t>46.35</w:t>
            </w:r>
          </w:p>
        </w:tc>
        <w:tc>
          <w:tcPr>
            <w:tcW w:w="7797" w:type="dxa"/>
          </w:tcPr>
          <w:p w14:paraId="4C2F6314" w14:textId="77777777" w:rsidR="00EC0577" w:rsidRPr="00476E5B" w:rsidRDefault="00EC0577" w:rsidP="00E0596E">
            <w:pPr>
              <w:spacing w:after="0"/>
              <w:jc w:val="both"/>
            </w:pPr>
            <w:r w:rsidRPr="00476E5B">
              <w:t>Velkoobchod s tabákovými výrobky</w:t>
            </w:r>
          </w:p>
        </w:tc>
      </w:tr>
      <w:tr w:rsidR="00EC0577" w14:paraId="38AF4D91" w14:textId="77777777" w:rsidTr="00E0596E">
        <w:tc>
          <w:tcPr>
            <w:tcW w:w="1696" w:type="dxa"/>
          </w:tcPr>
          <w:p w14:paraId="769ED318" w14:textId="77777777" w:rsidR="00EC0577" w:rsidRPr="00476E5B" w:rsidRDefault="00EC0577" w:rsidP="00E0596E">
            <w:pPr>
              <w:spacing w:after="0"/>
              <w:jc w:val="both"/>
            </w:pPr>
            <w:r w:rsidRPr="00476E5B">
              <w:t>47.26</w:t>
            </w:r>
          </w:p>
        </w:tc>
        <w:tc>
          <w:tcPr>
            <w:tcW w:w="7797" w:type="dxa"/>
          </w:tcPr>
          <w:p w14:paraId="461542C5" w14:textId="77777777" w:rsidR="00EC0577" w:rsidRPr="00476E5B" w:rsidRDefault="00EC0577" w:rsidP="00E0596E">
            <w:pPr>
              <w:spacing w:after="0"/>
              <w:jc w:val="both"/>
            </w:pPr>
            <w:r w:rsidRPr="00476E5B">
              <w:t>Maloobchod s tabákovými výrobky</w:t>
            </w:r>
          </w:p>
        </w:tc>
      </w:tr>
    </w:tbl>
    <w:p w14:paraId="640C6E36" w14:textId="77777777" w:rsidR="00EC0577" w:rsidRDefault="00EC0577" w:rsidP="00EC0577">
      <w:pPr>
        <w:jc w:val="center"/>
      </w:pPr>
    </w:p>
    <w:p w14:paraId="2B319AD9" w14:textId="73E63916" w:rsidR="00EC0577" w:rsidRDefault="00EC0577" w:rsidP="00EC0577">
      <w:pPr>
        <w:spacing w:after="0"/>
        <w:jc w:val="both"/>
        <w:rPr>
          <w:rFonts w:asciiTheme="majorHAnsi" w:hAnsiTheme="majorHAnsi" w:cstheme="majorHAnsi"/>
          <w:sz w:val="24"/>
          <w:szCs w:val="24"/>
        </w:rPr>
      </w:pPr>
      <w:r>
        <w:rPr>
          <w:rFonts w:asciiTheme="majorHAnsi" w:hAnsiTheme="majorHAnsi" w:cstheme="majorHAnsi"/>
          <w:sz w:val="24"/>
          <w:szCs w:val="24"/>
        </w:rPr>
        <w:lastRenderedPageBreak/>
        <w:t xml:space="preserve">Nelze rovněž podporovat další aktivity a činnosti uvedené v </w:t>
      </w:r>
      <w:r w:rsidRPr="00E5514F">
        <w:rPr>
          <w:rFonts w:asciiTheme="majorHAnsi" w:hAnsiTheme="majorHAnsi" w:cstheme="majorHAnsi"/>
          <w:sz w:val="24"/>
          <w:szCs w:val="24"/>
        </w:rPr>
        <w:t>NAŘÍZENÍ EVROPSKÉHO PARLAMENTU A RADY (EU) 2021/1058 o Evropském fondu pro regionální rozvoj a o Fondu soudržnosti</w:t>
      </w:r>
      <w:r>
        <w:rPr>
          <w:rFonts w:asciiTheme="majorHAnsi" w:hAnsiTheme="majorHAnsi" w:cstheme="majorHAnsi"/>
          <w:sz w:val="24"/>
          <w:szCs w:val="24"/>
        </w:rPr>
        <w:t>.</w:t>
      </w:r>
      <w:r>
        <w:rPr>
          <w:rStyle w:val="Znakapoznpodarou"/>
          <w:rFonts w:asciiTheme="majorHAnsi" w:hAnsiTheme="majorHAnsi" w:cstheme="majorHAnsi"/>
          <w:sz w:val="24"/>
          <w:szCs w:val="24"/>
        </w:rPr>
        <w:footnoteReference w:id="2"/>
      </w:r>
    </w:p>
    <w:p w14:paraId="5E68AA02" w14:textId="704EEB69" w:rsidR="00EC0577" w:rsidRDefault="00EC0577" w:rsidP="00EC0577">
      <w:pPr>
        <w:spacing w:after="0"/>
        <w:jc w:val="both"/>
        <w:rPr>
          <w:rFonts w:asciiTheme="majorHAnsi" w:hAnsiTheme="majorHAnsi" w:cstheme="majorHAnsi"/>
          <w:sz w:val="24"/>
          <w:szCs w:val="24"/>
        </w:rPr>
      </w:pPr>
    </w:p>
    <w:tbl>
      <w:tblPr>
        <w:tblStyle w:val="Mkatabulky"/>
        <w:tblpPr w:leftFromText="142" w:rightFromText="142" w:vertAnchor="text" w:horzAnchor="margin" w:tblpY="296"/>
        <w:tblOverlap w:val="never"/>
        <w:tblW w:w="0" w:type="auto"/>
        <w:tblLook w:val="04A0" w:firstRow="1" w:lastRow="0" w:firstColumn="1" w:lastColumn="0" w:noHBand="0" w:noVBand="1"/>
      </w:tblPr>
      <w:tblGrid>
        <w:gridCol w:w="1696"/>
        <w:gridCol w:w="7797"/>
      </w:tblGrid>
      <w:tr w:rsidR="00EC0577" w14:paraId="263FF624" w14:textId="77777777" w:rsidTr="00E0596E">
        <w:trPr>
          <w:trHeight w:val="416"/>
        </w:trPr>
        <w:tc>
          <w:tcPr>
            <w:tcW w:w="9493" w:type="dxa"/>
            <w:gridSpan w:val="2"/>
          </w:tcPr>
          <w:p w14:paraId="7D1EEB90" w14:textId="77777777" w:rsidR="00EC0577" w:rsidRPr="00476E5B" w:rsidRDefault="00EC0577" w:rsidP="00E0596E">
            <w:pPr>
              <w:spacing w:after="0"/>
              <w:jc w:val="both"/>
              <w:rPr>
                <w:b/>
              </w:rPr>
            </w:pPr>
            <w:r>
              <w:rPr>
                <w:b/>
              </w:rPr>
              <w:t>SEKCE A – ZEMĚDĚLSTVÍ, LESNICTVÍ A RYBÁŘSTVÍ</w:t>
            </w:r>
          </w:p>
        </w:tc>
      </w:tr>
      <w:tr w:rsidR="00EC0577" w14:paraId="4173E835" w14:textId="77777777" w:rsidTr="00E0596E">
        <w:tc>
          <w:tcPr>
            <w:tcW w:w="1696" w:type="dxa"/>
          </w:tcPr>
          <w:p w14:paraId="7ED27C3F" w14:textId="77777777" w:rsidR="00EC0577" w:rsidRPr="00476E5B" w:rsidRDefault="00EC0577" w:rsidP="00E0596E">
            <w:pPr>
              <w:spacing w:after="0"/>
              <w:jc w:val="both"/>
            </w:pPr>
            <w:r>
              <w:t>01</w:t>
            </w:r>
          </w:p>
        </w:tc>
        <w:tc>
          <w:tcPr>
            <w:tcW w:w="7797" w:type="dxa"/>
          </w:tcPr>
          <w:p w14:paraId="6BF56D6D" w14:textId="77777777" w:rsidR="00EC0577" w:rsidRPr="00476E5B" w:rsidRDefault="00EC0577" w:rsidP="00E0596E">
            <w:pPr>
              <w:spacing w:after="0"/>
              <w:jc w:val="both"/>
            </w:pPr>
            <w:r w:rsidRPr="00FC6EA4">
              <w:rPr>
                <w:rFonts w:cstheme="minorHAnsi"/>
              </w:rPr>
              <w:t>Rostlinná a živočišná výroba, myslivost a souvis. činnosti</w:t>
            </w:r>
          </w:p>
        </w:tc>
      </w:tr>
      <w:tr w:rsidR="00EC0577" w14:paraId="6B02E5A6" w14:textId="77777777" w:rsidTr="00E0596E">
        <w:tc>
          <w:tcPr>
            <w:tcW w:w="1696" w:type="dxa"/>
          </w:tcPr>
          <w:p w14:paraId="16A00B9A" w14:textId="77777777" w:rsidR="00EC0577" w:rsidRPr="00476E5B" w:rsidRDefault="00EC0577" w:rsidP="00E0596E">
            <w:pPr>
              <w:spacing w:after="0"/>
              <w:jc w:val="both"/>
            </w:pPr>
            <w:r>
              <w:t>02</w:t>
            </w:r>
          </w:p>
        </w:tc>
        <w:tc>
          <w:tcPr>
            <w:tcW w:w="7797" w:type="dxa"/>
          </w:tcPr>
          <w:p w14:paraId="14E9DE53" w14:textId="77777777" w:rsidR="00EC0577" w:rsidRPr="00476E5B" w:rsidRDefault="00EC0577" w:rsidP="00E0596E">
            <w:pPr>
              <w:spacing w:after="0"/>
              <w:jc w:val="both"/>
            </w:pPr>
            <w:r w:rsidRPr="00FC6EA4">
              <w:rPr>
                <w:rFonts w:cstheme="minorHAnsi"/>
              </w:rPr>
              <w:t>Lesnictví a těžba dřeva</w:t>
            </w:r>
          </w:p>
        </w:tc>
      </w:tr>
      <w:tr w:rsidR="00EC0577" w14:paraId="27F11F95" w14:textId="77777777" w:rsidTr="00E0596E">
        <w:tc>
          <w:tcPr>
            <w:tcW w:w="1696" w:type="dxa"/>
          </w:tcPr>
          <w:p w14:paraId="693106CA" w14:textId="77777777" w:rsidR="00EC0577" w:rsidRPr="00476E5B" w:rsidRDefault="00EC0577" w:rsidP="00E0596E">
            <w:pPr>
              <w:spacing w:after="0"/>
              <w:jc w:val="both"/>
            </w:pPr>
            <w:r>
              <w:t>03</w:t>
            </w:r>
          </w:p>
        </w:tc>
        <w:tc>
          <w:tcPr>
            <w:tcW w:w="7797" w:type="dxa"/>
          </w:tcPr>
          <w:p w14:paraId="18DE6C65" w14:textId="77777777" w:rsidR="00EC0577" w:rsidRPr="00476E5B" w:rsidRDefault="00EC0577" w:rsidP="00E0596E">
            <w:pPr>
              <w:spacing w:after="0"/>
              <w:jc w:val="both"/>
            </w:pPr>
            <w:r w:rsidRPr="00FC6EA4">
              <w:rPr>
                <w:rFonts w:cstheme="minorHAnsi"/>
              </w:rPr>
              <w:t>Rybolov a akvakultura</w:t>
            </w:r>
          </w:p>
        </w:tc>
      </w:tr>
    </w:tbl>
    <w:p w14:paraId="1EAA0F70" w14:textId="77777777" w:rsidR="00EC0577" w:rsidRPr="00EC6CF3" w:rsidRDefault="00EC0577" w:rsidP="00EC0577">
      <w:pPr>
        <w:spacing w:after="0"/>
        <w:jc w:val="both"/>
        <w:rPr>
          <w:rFonts w:asciiTheme="majorHAnsi" w:hAnsiTheme="majorHAnsi" w:cstheme="majorHAnsi"/>
          <w:sz w:val="24"/>
          <w:szCs w:val="24"/>
        </w:rPr>
      </w:pPr>
    </w:p>
    <w:p w14:paraId="04D6456A" w14:textId="77777777" w:rsidR="00EC0577" w:rsidRDefault="00EC0577" w:rsidP="00EC0577">
      <w:pPr>
        <w:spacing w:after="0"/>
      </w:pPr>
    </w:p>
    <w:tbl>
      <w:tblPr>
        <w:tblStyle w:val="Mkatabulky"/>
        <w:tblpPr w:leftFromText="142" w:rightFromText="142" w:vertAnchor="text" w:horzAnchor="margin" w:tblpY="296"/>
        <w:tblOverlap w:val="never"/>
        <w:tblW w:w="0" w:type="auto"/>
        <w:tblLook w:val="04A0" w:firstRow="1" w:lastRow="0" w:firstColumn="1" w:lastColumn="0" w:noHBand="0" w:noVBand="1"/>
      </w:tblPr>
      <w:tblGrid>
        <w:gridCol w:w="1696"/>
        <w:gridCol w:w="7797"/>
      </w:tblGrid>
      <w:tr w:rsidR="00EC0577" w14:paraId="00FB069A" w14:textId="77777777" w:rsidTr="00E0596E">
        <w:trPr>
          <w:trHeight w:val="416"/>
        </w:trPr>
        <w:tc>
          <w:tcPr>
            <w:tcW w:w="9493" w:type="dxa"/>
            <w:gridSpan w:val="2"/>
          </w:tcPr>
          <w:p w14:paraId="5AE0E697" w14:textId="77777777" w:rsidR="00EC0577" w:rsidRPr="00476E5B" w:rsidRDefault="00EC0577" w:rsidP="00E0596E">
            <w:pPr>
              <w:spacing w:after="0"/>
              <w:jc w:val="both"/>
              <w:rPr>
                <w:b/>
              </w:rPr>
            </w:pPr>
            <w:r>
              <w:rPr>
                <w:b/>
              </w:rPr>
              <w:t>SEKCE B – TĚŽBA A DOBÝVÁNÍ</w:t>
            </w:r>
          </w:p>
        </w:tc>
      </w:tr>
      <w:tr w:rsidR="00EC0577" w14:paraId="203CBCDE" w14:textId="77777777" w:rsidTr="00E0596E">
        <w:tc>
          <w:tcPr>
            <w:tcW w:w="1696" w:type="dxa"/>
          </w:tcPr>
          <w:p w14:paraId="3938E9F5" w14:textId="77777777" w:rsidR="00EC0577" w:rsidRPr="00476E5B" w:rsidRDefault="00EC0577" w:rsidP="00E0596E">
            <w:pPr>
              <w:spacing w:after="0"/>
              <w:jc w:val="both"/>
            </w:pPr>
            <w:r>
              <w:t>05</w:t>
            </w:r>
          </w:p>
        </w:tc>
        <w:tc>
          <w:tcPr>
            <w:tcW w:w="7797" w:type="dxa"/>
          </w:tcPr>
          <w:p w14:paraId="577435B1" w14:textId="77777777" w:rsidR="00EC0577" w:rsidRPr="00476E5B" w:rsidRDefault="00EC0577" w:rsidP="00E0596E">
            <w:pPr>
              <w:spacing w:after="0"/>
              <w:jc w:val="both"/>
            </w:pPr>
            <w:r w:rsidRPr="00A87D06">
              <w:rPr>
                <w:rFonts w:cstheme="minorHAnsi"/>
              </w:rPr>
              <w:t>Těžba a úprava černého a hnědého uhlí</w:t>
            </w:r>
            <w:r>
              <w:rPr>
                <w:rStyle w:val="Znakapoznpodarou"/>
                <w:rFonts w:cstheme="minorHAnsi"/>
              </w:rPr>
              <w:footnoteReference w:id="3"/>
            </w:r>
          </w:p>
        </w:tc>
      </w:tr>
    </w:tbl>
    <w:p w14:paraId="04CF7685" w14:textId="4C607B39" w:rsidR="00EF18C3" w:rsidRDefault="00EF18C3" w:rsidP="00EC0577">
      <w:pPr>
        <w:spacing w:after="0"/>
      </w:pPr>
    </w:p>
    <w:p w14:paraId="2C6413EC" w14:textId="165D12E3" w:rsidR="00EC0577" w:rsidRDefault="00EC0577" w:rsidP="00EC0577">
      <w:pPr>
        <w:spacing w:after="0"/>
      </w:pPr>
    </w:p>
    <w:tbl>
      <w:tblPr>
        <w:tblStyle w:val="Mkatabulky"/>
        <w:tblpPr w:leftFromText="142" w:rightFromText="142" w:vertAnchor="text" w:horzAnchor="margin" w:tblpY="296"/>
        <w:tblOverlap w:val="never"/>
        <w:tblW w:w="0" w:type="auto"/>
        <w:tblLook w:val="04A0" w:firstRow="1" w:lastRow="0" w:firstColumn="1" w:lastColumn="0" w:noHBand="0" w:noVBand="1"/>
      </w:tblPr>
      <w:tblGrid>
        <w:gridCol w:w="1696"/>
        <w:gridCol w:w="7797"/>
      </w:tblGrid>
      <w:tr w:rsidR="00EC0577" w14:paraId="25E8DE49" w14:textId="77777777" w:rsidTr="00E0596E">
        <w:trPr>
          <w:trHeight w:val="416"/>
        </w:trPr>
        <w:tc>
          <w:tcPr>
            <w:tcW w:w="9493" w:type="dxa"/>
            <w:gridSpan w:val="2"/>
          </w:tcPr>
          <w:p w14:paraId="02F5AC8A" w14:textId="77777777" w:rsidR="00EC0577" w:rsidRPr="00476E5B" w:rsidRDefault="00EC0577" w:rsidP="00E0596E">
            <w:pPr>
              <w:spacing w:after="0"/>
              <w:jc w:val="both"/>
              <w:rPr>
                <w:b/>
              </w:rPr>
            </w:pPr>
            <w:r>
              <w:rPr>
                <w:b/>
              </w:rPr>
              <w:t>SEKCE C – ZPRACOVATELSKÝ PRŮMYSL</w:t>
            </w:r>
          </w:p>
        </w:tc>
      </w:tr>
      <w:tr w:rsidR="00EC0577" w14:paraId="1990B9D9" w14:textId="77777777" w:rsidTr="00E0596E">
        <w:tc>
          <w:tcPr>
            <w:tcW w:w="1696" w:type="dxa"/>
          </w:tcPr>
          <w:p w14:paraId="71A45A2E" w14:textId="77777777" w:rsidR="00EC0577" w:rsidRPr="00476E5B" w:rsidRDefault="00EC0577" w:rsidP="00E0596E">
            <w:pPr>
              <w:spacing w:after="0"/>
              <w:jc w:val="both"/>
            </w:pPr>
            <w:r>
              <w:t>19.1</w:t>
            </w:r>
          </w:p>
        </w:tc>
        <w:tc>
          <w:tcPr>
            <w:tcW w:w="7797" w:type="dxa"/>
          </w:tcPr>
          <w:p w14:paraId="49248860" w14:textId="77777777" w:rsidR="00EC0577" w:rsidRPr="00476E5B" w:rsidRDefault="00EC0577" w:rsidP="00E0596E">
            <w:pPr>
              <w:spacing w:after="0"/>
              <w:jc w:val="both"/>
            </w:pPr>
            <w:r w:rsidRPr="00A87D06">
              <w:rPr>
                <w:rFonts w:cstheme="minorHAnsi"/>
              </w:rPr>
              <w:t>Výroba koksárenských produktů</w:t>
            </w:r>
          </w:p>
        </w:tc>
      </w:tr>
    </w:tbl>
    <w:p w14:paraId="0BAA5341" w14:textId="42E0B3F9" w:rsidR="00EC0577" w:rsidRDefault="00EC0577" w:rsidP="00EC0577">
      <w:pPr>
        <w:spacing w:after="0"/>
      </w:pPr>
    </w:p>
    <w:p w14:paraId="154A701E" w14:textId="77777777" w:rsidR="00EC0577" w:rsidRDefault="00EC0577" w:rsidP="00EC0577">
      <w:pPr>
        <w:spacing w:after="0"/>
      </w:pPr>
    </w:p>
    <w:tbl>
      <w:tblPr>
        <w:tblStyle w:val="Mkatabulky"/>
        <w:tblpPr w:leftFromText="142" w:rightFromText="142" w:vertAnchor="text" w:horzAnchor="margin" w:tblpY="194"/>
        <w:tblOverlap w:val="never"/>
        <w:tblW w:w="0" w:type="auto"/>
        <w:tblLook w:val="04A0" w:firstRow="1" w:lastRow="0" w:firstColumn="1" w:lastColumn="0" w:noHBand="0" w:noVBand="1"/>
      </w:tblPr>
      <w:tblGrid>
        <w:gridCol w:w="1696"/>
        <w:gridCol w:w="7797"/>
      </w:tblGrid>
      <w:tr w:rsidR="00EC0577" w14:paraId="4FF88078" w14:textId="77777777" w:rsidTr="00E0596E">
        <w:trPr>
          <w:trHeight w:val="372"/>
        </w:trPr>
        <w:tc>
          <w:tcPr>
            <w:tcW w:w="9493" w:type="dxa"/>
            <w:gridSpan w:val="2"/>
          </w:tcPr>
          <w:p w14:paraId="48FA937A" w14:textId="77777777" w:rsidR="00EC0577" w:rsidRPr="00476E5B" w:rsidRDefault="00EC0577" w:rsidP="00E0596E">
            <w:pPr>
              <w:spacing w:after="0"/>
              <w:jc w:val="both"/>
              <w:rPr>
                <w:b/>
              </w:rPr>
            </w:pPr>
            <w:r>
              <w:rPr>
                <w:b/>
              </w:rPr>
              <w:t>SEKCE D – VÝROBA A ROZVOD ELEKTŘINY, PLYNU, TEPLA A KLIMATIZOVANÉHO VZDUCHU</w:t>
            </w:r>
          </w:p>
        </w:tc>
      </w:tr>
      <w:tr w:rsidR="00EC0577" w14:paraId="0B6699E2" w14:textId="77777777" w:rsidTr="00E0596E">
        <w:trPr>
          <w:trHeight w:val="372"/>
        </w:trPr>
        <w:tc>
          <w:tcPr>
            <w:tcW w:w="1696" w:type="dxa"/>
          </w:tcPr>
          <w:p w14:paraId="0B654A92" w14:textId="77777777" w:rsidR="00EC0577" w:rsidRPr="00476E5B" w:rsidRDefault="00EC0577" w:rsidP="00E0596E">
            <w:pPr>
              <w:spacing w:after="0"/>
              <w:jc w:val="both"/>
            </w:pPr>
            <w:r>
              <w:t>35</w:t>
            </w:r>
          </w:p>
        </w:tc>
        <w:tc>
          <w:tcPr>
            <w:tcW w:w="7797" w:type="dxa"/>
          </w:tcPr>
          <w:p w14:paraId="47EA87C0" w14:textId="77777777" w:rsidR="00EC0577" w:rsidRPr="00476E5B" w:rsidRDefault="00EC0577" w:rsidP="00E0596E">
            <w:pPr>
              <w:spacing w:after="0"/>
              <w:jc w:val="both"/>
            </w:pPr>
            <w:r w:rsidRPr="002476CC">
              <w:rPr>
                <w:rFonts w:cstheme="minorHAnsi"/>
              </w:rPr>
              <w:t>Výroba a rozvod elektřiny, plynu, tepla a klimatizovaného vzduchu</w:t>
            </w:r>
            <w:r>
              <w:rPr>
                <w:rStyle w:val="Znakapoznpodarou"/>
                <w:rFonts w:cstheme="minorHAnsi"/>
              </w:rPr>
              <w:footnoteReference w:id="4"/>
            </w:r>
          </w:p>
        </w:tc>
      </w:tr>
    </w:tbl>
    <w:p w14:paraId="728DE797" w14:textId="63BBF9D3" w:rsidR="00EC0577" w:rsidRDefault="00EC0577" w:rsidP="00EC0577">
      <w:pPr>
        <w:spacing w:after="0"/>
      </w:pPr>
    </w:p>
    <w:tbl>
      <w:tblPr>
        <w:tblStyle w:val="Mkatabulky"/>
        <w:tblpPr w:leftFromText="142" w:rightFromText="142" w:vertAnchor="text" w:horzAnchor="margin" w:tblpY="296"/>
        <w:tblOverlap w:val="never"/>
        <w:tblW w:w="0" w:type="auto"/>
        <w:tblLook w:val="04A0" w:firstRow="1" w:lastRow="0" w:firstColumn="1" w:lastColumn="0" w:noHBand="0" w:noVBand="1"/>
      </w:tblPr>
      <w:tblGrid>
        <w:gridCol w:w="1696"/>
        <w:gridCol w:w="7797"/>
      </w:tblGrid>
      <w:tr w:rsidR="00EC0577" w14:paraId="56D7F17E" w14:textId="77777777" w:rsidTr="00E0596E">
        <w:trPr>
          <w:trHeight w:val="416"/>
        </w:trPr>
        <w:tc>
          <w:tcPr>
            <w:tcW w:w="9493" w:type="dxa"/>
            <w:gridSpan w:val="2"/>
          </w:tcPr>
          <w:p w14:paraId="1211FB07" w14:textId="77777777" w:rsidR="00EC0577" w:rsidRPr="00476E5B" w:rsidRDefault="00EC0577" w:rsidP="00E0596E">
            <w:pPr>
              <w:spacing w:after="0"/>
              <w:jc w:val="both"/>
              <w:rPr>
                <w:b/>
              </w:rPr>
            </w:pPr>
            <w:r>
              <w:rPr>
                <w:b/>
              </w:rPr>
              <w:t xml:space="preserve">SEKCE H – </w:t>
            </w:r>
            <w:r w:rsidRPr="006F1815">
              <w:rPr>
                <w:rFonts w:eastAsia="Times New Roman" w:cstheme="minorHAnsi"/>
                <w:b/>
                <w:bCs/>
                <w:color w:val="auto"/>
                <w:lang w:eastAsia="cs-CZ"/>
              </w:rPr>
              <w:t>DOPRAVA</w:t>
            </w:r>
            <w:r>
              <w:rPr>
                <w:rStyle w:val="Znakapoznpodarou"/>
                <w:rFonts w:eastAsia="Times New Roman" w:cstheme="minorHAnsi"/>
                <w:b/>
                <w:bCs/>
                <w:color w:val="auto"/>
                <w:lang w:eastAsia="cs-CZ"/>
              </w:rPr>
              <w:footnoteReference w:id="5"/>
            </w:r>
            <w:r w:rsidRPr="006F1815">
              <w:rPr>
                <w:rFonts w:eastAsia="Times New Roman" w:cstheme="minorHAnsi"/>
                <w:b/>
                <w:bCs/>
                <w:color w:val="auto"/>
                <w:lang w:eastAsia="cs-CZ"/>
              </w:rPr>
              <w:t xml:space="preserve"> A SKLADOVÁNÍ</w:t>
            </w:r>
          </w:p>
        </w:tc>
      </w:tr>
      <w:tr w:rsidR="00EC0577" w14:paraId="65162563" w14:textId="77777777" w:rsidTr="00E0596E">
        <w:tc>
          <w:tcPr>
            <w:tcW w:w="1696" w:type="dxa"/>
          </w:tcPr>
          <w:p w14:paraId="35584039" w14:textId="77777777" w:rsidR="00EC0577" w:rsidRPr="00476E5B" w:rsidRDefault="00EC0577" w:rsidP="00E0596E">
            <w:pPr>
              <w:spacing w:after="0"/>
              <w:jc w:val="both"/>
            </w:pPr>
            <w:r>
              <w:t>49</w:t>
            </w:r>
          </w:p>
        </w:tc>
        <w:tc>
          <w:tcPr>
            <w:tcW w:w="7797" w:type="dxa"/>
          </w:tcPr>
          <w:p w14:paraId="15A48F32" w14:textId="77777777" w:rsidR="00EC0577" w:rsidRPr="00476E5B" w:rsidRDefault="00EC0577" w:rsidP="00E0596E">
            <w:pPr>
              <w:spacing w:after="0"/>
              <w:jc w:val="both"/>
            </w:pPr>
            <w:r w:rsidRPr="00E567E4">
              <w:rPr>
                <w:rFonts w:cstheme="minorHAnsi" w:hint="eastAsia"/>
              </w:rPr>
              <w:t>Pozemní a potrubní doprava</w:t>
            </w:r>
            <w:r>
              <w:rPr>
                <w:rStyle w:val="Znakapoznpodarou"/>
                <w:rFonts w:cstheme="minorHAnsi"/>
              </w:rPr>
              <w:footnoteReference w:id="6"/>
            </w:r>
          </w:p>
        </w:tc>
      </w:tr>
      <w:tr w:rsidR="00EC0577" w14:paraId="206334D5" w14:textId="77777777" w:rsidTr="00E0596E">
        <w:tc>
          <w:tcPr>
            <w:tcW w:w="1696" w:type="dxa"/>
          </w:tcPr>
          <w:p w14:paraId="1DA537F6" w14:textId="77777777" w:rsidR="00EC0577" w:rsidRPr="00476E5B" w:rsidRDefault="00EC0577" w:rsidP="00E0596E">
            <w:pPr>
              <w:spacing w:after="0"/>
              <w:jc w:val="both"/>
            </w:pPr>
            <w:r>
              <w:t>50</w:t>
            </w:r>
          </w:p>
        </w:tc>
        <w:tc>
          <w:tcPr>
            <w:tcW w:w="7797" w:type="dxa"/>
          </w:tcPr>
          <w:p w14:paraId="6660888B" w14:textId="77777777" w:rsidR="00EC0577" w:rsidRPr="00476E5B" w:rsidRDefault="00EC0577" w:rsidP="00E0596E">
            <w:pPr>
              <w:spacing w:after="0"/>
              <w:jc w:val="both"/>
            </w:pPr>
            <w:r>
              <w:rPr>
                <w:rFonts w:cstheme="minorHAnsi"/>
              </w:rPr>
              <w:t>Vodní doprava</w:t>
            </w:r>
          </w:p>
        </w:tc>
      </w:tr>
      <w:tr w:rsidR="00EC0577" w14:paraId="10C55DCF" w14:textId="77777777" w:rsidTr="00E0596E">
        <w:tc>
          <w:tcPr>
            <w:tcW w:w="1696" w:type="dxa"/>
          </w:tcPr>
          <w:p w14:paraId="18EE9E48" w14:textId="77777777" w:rsidR="00EC0577" w:rsidRPr="00476E5B" w:rsidRDefault="00EC0577" w:rsidP="00E0596E">
            <w:pPr>
              <w:spacing w:after="0"/>
              <w:jc w:val="both"/>
            </w:pPr>
            <w:r>
              <w:t>51</w:t>
            </w:r>
          </w:p>
        </w:tc>
        <w:tc>
          <w:tcPr>
            <w:tcW w:w="7797" w:type="dxa"/>
          </w:tcPr>
          <w:p w14:paraId="153AEDE6" w14:textId="77777777" w:rsidR="00EC0577" w:rsidRPr="00476E5B" w:rsidRDefault="00EC0577" w:rsidP="00E0596E">
            <w:pPr>
              <w:spacing w:after="0"/>
              <w:jc w:val="both"/>
            </w:pPr>
            <w:r>
              <w:rPr>
                <w:rFonts w:cstheme="minorHAnsi"/>
              </w:rPr>
              <w:t>Letecká doprava</w:t>
            </w:r>
            <w:r>
              <w:rPr>
                <w:rStyle w:val="Znakapoznpodarou"/>
                <w:rFonts w:cstheme="minorHAnsi"/>
              </w:rPr>
              <w:footnoteReference w:id="7"/>
            </w:r>
          </w:p>
        </w:tc>
      </w:tr>
    </w:tbl>
    <w:p w14:paraId="3D6C0611" w14:textId="5BA4DB0E" w:rsidR="00EC0577" w:rsidRDefault="00EC0577" w:rsidP="00EC0577">
      <w:pPr>
        <w:spacing w:after="0"/>
      </w:pPr>
    </w:p>
    <w:p w14:paraId="5E748A77" w14:textId="37F0E407" w:rsidR="00EC0577" w:rsidRDefault="00EC0577" w:rsidP="00EC0577">
      <w:pPr>
        <w:spacing w:after="0"/>
      </w:pPr>
    </w:p>
    <w:p w14:paraId="5E47A458" w14:textId="77777777" w:rsidR="00EC0577" w:rsidRDefault="00EC0577" w:rsidP="00EC0577">
      <w:pPr>
        <w:tabs>
          <w:tab w:val="left" w:pos="3410"/>
        </w:tabs>
        <w:rPr>
          <w:rFonts w:cstheme="minorHAnsi"/>
          <w:highlight w:val="yellow"/>
        </w:rPr>
      </w:pPr>
      <w:r>
        <w:rPr>
          <w:rFonts w:cstheme="minorHAnsi"/>
        </w:rPr>
        <w:t>K nepodporovaným činnostem podle článku 14 GBER patří i odvětví oceli</w:t>
      </w:r>
      <w:r>
        <w:rPr>
          <w:rStyle w:val="Znakapoznpodarou"/>
          <w:rFonts w:cstheme="minorHAnsi"/>
        </w:rPr>
        <w:footnoteReference w:id="8"/>
      </w:r>
      <w:r>
        <w:rPr>
          <w:rFonts w:cstheme="minorHAnsi"/>
        </w:rPr>
        <w:t xml:space="preserve"> a širokopásmová infrastruktura</w:t>
      </w:r>
      <w:r>
        <w:rPr>
          <w:rStyle w:val="Znakapoznpodarou"/>
          <w:rFonts w:cstheme="minorHAnsi"/>
        </w:rPr>
        <w:footnoteReference w:id="9"/>
      </w:r>
      <w:r>
        <w:rPr>
          <w:rFonts w:cstheme="minorHAnsi"/>
        </w:rPr>
        <w:t xml:space="preserve">. </w:t>
      </w:r>
    </w:p>
    <w:p w14:paraId="2F68B07E" w14:textId="77777777" w:rsidR="00EC0577" w:rsidRPr="00B66D65" w:rsidRDefault="00EC0577" w:rsidP="00EC0577">
      <w:pPr>
        <w:spacing w:after="0"/>
      </w:pPr>
    </w:p>
    <w:sectPr w:rsidR="00EC0577" w:rsidRPr="00B66D65" w:rsidSect="00EF18C3">
      <w:headerReference w:type="default" r:id="rId8"/>
      <w:footerReference w:type="default" r:id="rId9"/>
      <w:pgSz w:w="11906" w:h="16838"/>
      <w:pgMar w:top="1134" w:right="1134" w:bottom="993" w:left="1134"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74AD" w14:textId="77777777" w:rsidR="00E74B9F" w:rsidRDefault="00E74B9F" w:rsidP="00677FE0">
      <w:pPr>
        <w:spacing w:after="0" w:line="240" w:lineRule="auto"/>
      </w:pPr>
      <w:r>
        <w:separator/>
      </w:r>
    </w:p>
  </w:endnote>
  <w:endnote w:type="continuationSeparator" w:id="0">
    <w:p w14:paraId="6E5E92D9" w14:textId="77777777" w:rsidR="00E74B9F" w:rsidRDefault="00E74B9F"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ACB1" w14:textId="77777777" w:rsidR="00E74B9F" w:rsidRDefault="00E74B9F">
    <w:pPr>
      <w:pStyle w:val="Zpat"/>
    </w:pPr>
    <w:r>
      <w:rPr>
        <w:noProof/>
      </w:rPr>
      <w:drawing>
        <wp:anchor distT="0" distB="0" distL="114300" distR="114300" simplePos="0" relativeHeight="251663360" behindDoc="0" locked="0" layoutInCell="1" allowOverlap="1" wp14:anchorId="64C4A002" wp14:editId="663B6549">
          <wp:simplePos x="0" y="0"/>
          <wp:positionH relativeFrom="margin">
            <wp:posOffset>-332547</wp:posOffset>
          </wp:positionH>
          <wp:positionV relativeFrom="paragraph">
            <wp:posOffset>-47625</wp:posOffset>
          </wp:positionV>
          <wp:extent cx="2948400" cy="424800"/>
          <wp:effectExtent l="0" t="0" r="4445" b="0"/>
          <wp:wrapTopAndBottom/>
          <wp:docPr id="79" name="Obrázek 7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66A5" w14:textId="77777777" w:rsidR="00E74B9F" w:rsidRDefault="00E74B9F" w:rsidP="00677FE0">
      <w:pPr>
        <w:spacing w:after="0" w:line="240" w:lineRule="auto"/>
      </w:pPr>
      <w:r>
        <w:separator/>
      </w:r>
    </w:p>
  </w:footnote>
  <w:footnote w:type="continuationSeparator" w:id="0">
    <w:p w14:paraId="5BDCFBA2" w14:textId="77777777" w:rsidR="00E74B9F" w:rsidRDefault="00E74B9F" w:rsidP="00677FE0">
      <w:pPr>
        <w:spacing w:after="0" w:line="240" w:lineRule="auto"/>
      </w:pPr>
      <w:r>
        <w:continuationSeparator/>
      </w:r>
    </w:p>
  </w:footnote>
  <w:footnote w:id="1">
    <w:p w14:paraId="383F90E3" w14:textId="77777777" w:rsidR="00EC0577" w:rsidRDefault="00EC0577" w:rsidP="00EC0577">
      <w:pPr>
        <w:pStyle w:val="Textpoznpodarou"/>
      </w:pPr>
      <w:r>
        <w:rPr>
          <w:rStyle w:val="Znakapoznpodarou"/>
        </w:rPr>
        <w:footnoteRef/>
      </w:r>
      <w:r>
        <w:t xml:space="preserve"> </w:t>
      </w:r>
      <w:r w:rsidRPr="00371EBF">
        <w:t>Projekty s dalšími NACE, které se týkají tabáku, např. 28.93, 46.17 apod. lze podpořit, pouze pokud se předmět projektu přímo netýká výroby, zpracování a uvádění tabáku a tabákových výrobků na trh (posuzuje Agentura pro podnikání a inovace/Řídící orgán OP TAK).</w:t>
      </w:r>
    </w:p>
  </w:footnote>
  <w:footnote w:id="2">
    <w:p w14:paraId="290E382C" w14:textId="77777777" w:rsidR="00EC0577" w:rsidRDefault="00EC0577" w:rsidP="00EC0577">
      <w:pPr>
        <w:pStyle w:val="Textpoznpodarou"/>
      </w:pPr>
      <w:r>
        <w:rPr>
          <w:rStyle w:val="Znakapoznpodarou"/>
        </w:rPr>
        <w:footnoteRef/>
      </w:r>
      <w:r>
        <w:t xml:space="preserve"> Článek 7 odst. 1 </w:t>
      </w:r>
      <w:hyperlink r:id="rId1" w:history="1">
        <w:r w:rsidRPr="00D86044">
          <w:rPr>
            <w:rStyle w:val="Hypertextovodkaz"/>
          </w:rPr>
          <w:t>https://eur-lex.europa.eu/legal-content/CS/ALL/?uri=CELEX:32021R1058</w:t>
        </w:r>
      </w:hyperlink>
      <w:r>
        <w:t xml:space="preserve"> </w:t>
      </w:r>
    </w:p>
  </w:footnote>
  <w:footnote w:id="3">
    <w:p w14:paraId="552643E6" w14:textId="77777777" w:rsidR="00EC0577" w:rsidRDefault="00EC0577" w:rsidP="00EC0577">
      <w:pPr>
        <w:pStyle w:val="Textpoznpodarou"/>
      </w:pPr>
      <w:r>
        <w:rPr>
          <w:rStyle w:val="Znakapoznpodarou"/>
        </w:rPr>
        <w:footnoteRef/>
      </w:r>
      <w:r>
        <w:t xml:space="preserve"> Bod </w:t>
      </w:r>
      <w:proofErr w:type="gramStart"/>
      <w:r>
        <w:t>43a</w:t>
      </w:r>
      <w:proofErr w:type="gramEnd"/>
      <w:r>
        <w:t>) článku 2 GBER</w:t>
      </w:r>
    </w:p>
  </w:footnote>
  <w:footnote w:id="4">
    <w:p w14:paraId="7A2A315D" w14:textId="77777777" w:rsidR="00EC0577" w:rsidRDefault="00EC0577" w:rsidP="00EC0577">
      <w:pPr>
        <w:pStyle w:val="Textpoznpodarou"/>
      </w:pPr>
      <w:r>
        <w:rPr>
          <w:rStyle w:val="Znakapoznpodarou"/>
        </w:rPr>
        <w:footnoteRef/>
      </w:r>
      <w:r>
        <w:t xml:space="preserve"> Včetně energetické infrastruktury a ukládání</w:t>
      </w:r>
    </w:p>
  </w:footnote>
  <w:footnote w:id="5">
    <w:p w14:paraId="7EAC8C16" w14:textId="77777777" w:rsidR="00EC0577" w:rsidRDefault="00EC0577" w:rsidP="00EC0577">
      <w:pPr>
        <w:pStyle w:val="Textpoznpodarou"/>
      </w:pPr>
      <w:r>
        <w:rPr>
          <w:rStyle w:val="Znakapoznpodarou"/>
        </w:rPr>
        <w:footnoteRef/>
      </w:r>
      <w:r>
        <w:t xml:space="preserve"> Včetně související infrastruktury</w:t>
      </w:r>
    </w:p>
  </w:footnote>
  <w:footnote w:id="6">
    <w:p w14:paraId="3C87298B" w14:textId="77777777" w:rsidR="00EC0577" w:rsidRDefault="00EC0577" w:rsidP="00EC0577">
      <w:pPr>
        <w:pStyle w:val="Textpoznpodarou"/>
      </w:pPr>
      <w:r>
        <w:rPr>
          <w:rStyle w:val="Znakapoznpodarou"/>
        </w:rPr>
        <w:footnoteRef/>
      </w:r>
      <w:r>
        <w:t xml:space="preserve"> S</w:t>
      </w:r>
      <w:r w:rsidRPr="00E567E4">
        <w:rPr>
          <w:rFonts w:hint="eastAsia"/>
        </w:rPr>
        <w:t xml:space="preserve"> výjimkou NACE 49.32 Taxislužba, </w:t>
      </w:r>
      <w:r w:rsidRPr="008A5151">
        <w:t>49.39 Provoz pozemních a visutých lanových drah, lyžařských vleků a podobných zařízení, pokud nejsou součástí městských nebo příměstských tranzitních systémů</w:t>
      </w:r>
      <w:r>
        <w:t xml:space="preserve">, </w:t>
      </w:r>
      <w:r w:rsidRPr="00E567E4">
        <w:rPr>
          <w:rFonts w:hint="eastAsia"/>
        </w:rPr>
        <w:t>49.42 Stěhovací služby a 49.5 Potrubní doprava</w:t>
      </w:r>
    </w:p>
  </w:footnote>
  <w:footnote w:id="7">
    <w:p w14:paraId="28519596" w14:textId="77777777" w:rsidR="00EC0577" w:rsidRDefault="00EC0577" w:rsidP="00EC0577">
      <w:pPr>
        <w:pStyle w:val="Textpoznpodarou"/>
      </w:pPr>
      <w:r>
        <w:rPr>
          <w:rStyle w:val="Znakapoznpodarou"/>
        </w:rPr>
        <w:footnoteRef/>
      </w:r>
      <w:r>
        <w:t xml:space="preserve"> S</w:t>
      </w:r>
      <w:r w:rsidRPr="00E567E4">
        <w:rPr>
          <w:rFonts w:hint="eastAsia"/>
        </w:rPr>
        <w:t xml:space="preserve"> výjimkou NACE 51.22 Kosmická doprava.</w:t>
      </w:r>
    </w:p>
  </w:footnote>
  <w:footnote w:id="8">
    <w:p w14:paraId="7D78A440" w14:textId="77777777" w:rsidR="00EC0577" w:rsidRDefault="00EC0577" w:rsidP="00EC0577">
      <w:pPr>
        <w:pStyle w:val="Textpoznpodarou"/>
      </w:pPr>
      <w:r>
        <w:rPr>
          <w:rStyle w:val="Znakapoznpodarou"/>
        </w:rPr>
        <w:footnoteRef/>
      </w:r>
      <w:r>
        <w:t xml:space="preserve"> Bod 43 článku 2 GBER - </w:t>
      </w:r>
      <w:hyperlink r:id="rId2" w:history="1">
        <w:r w:rsidRPr="000F650C">
          <w:rPr>
            <w:rStyle w:val="Hypertextovodkaz"/>
          </w:rPr>
          <w:t>https://eur-lex.europa.eu/legal-content/CS/TXT/?uri=CELEX:32023R1315</w:t>
        </w:r>
      </w:hyperlink>
      <w:r>
        <w:t xml:space="preserve"> </w:t>
      </w:r>
      <w:r w:rsidRPr="0041061C" w:rsidDel="00E23CA0">
        <w:t xml:space="preserve"> </w:t>
      </w:r>
    </w:p>
  </w:footnote>
  <w:footnote w:id="9">
    <w:p w14:paraId="184214C0" w14:textId="77777777" w:rsidR="00EC0577" w:rsidRDefault="00EC0577" w:rsidP="00EC0577">
      <w:pPr>
        <w:pStyle w:val="Textpoznpodarou"/>
      </w:pPr>
      <w:r>
        <w:rPr>
          <w:rStyle w:val="Znakapoznpodarou"/>
        </w:rPr>
        <w:footnoteRef/>
      </w:r>
      <w:r>
        <w:t xml:space="preserve"> Bod 137, 137 a), 137 b) a 137c) článku 2 GBER - </w:t>
      </w:r>
      <w:hyperlink r:id="rId3" w:history="1">
        <w:r w:rsidRPr="000F650C">
          <w:rPr>
            <w:rStyle w:val="Hypertextovodkaz"/>
          </w:rPr>
          <w:t>https://eur-lex.europa.eu/legal-content/CS/TXT/?uri=CELEX:32023R1315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DE3" w14:textId="77777777" w:rsidR="00677FE0" w:rsidRDefault="00E74B9F">
    <w:pPr>
      <w:pStyle w:val="Zhlav"/>
    </w:pPr>
    <w:r>
      <w:rPr>
        <w:noProof/>
      </w:rPr>
      <w:drawing>
        <wp:anchor distT="0" distB="0" distL="114300" distR="114300" simplePos="0" relativeHeight="251661312" behindDoc="1" locked="0" layoutInCell="1" allowOverlap="1" wp14:anchorId="14D3E9FA" wp14:editId="20C3D824">
          <wp:simplePos x="0" y="0"/>
          <wp:positionH relativeFrom="column">
            <wp:posOffset>4292157</wp:posOffset>
          </wp:positionH>
          <wp:positionV relativeFrom="paragraph">
            <wp:posOffset>-277082</wp:posOffset>
          </wp:positionV>
          <wp:extent cx="980440" cy="524510"/>
          <wp:effectExtent l="0" t="0" r="0" b="8890"/>
          <wp:wrapNone/>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52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479906" wp14:editId="19C63AA6">
          <wp:simplePos x="0" y="0"/>
          <wp:positionH relativeFrom="margin">
            <wp:posOffset>-393405</wp:posOffset>
          </wp:positionH>
          <wp:positionV relativeFrom="paragraph">
            <wp:posOffset>-170697</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A306389"/>
    <w:multiLevelType w:val="multilevel"/>
    <w:tmpl w:val="E8BAE50A"/>
    <w:numStyleLink w:val="VariantaA-odrky"/>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290926"/>
    <w:multiLevelType w:val="multilevel"/>
    <w:tmpl w:val="E8BAE50A"/>
    <w:numStyleLink w:val="VariantaA-odrky"/>
  </w:abstractNum>
  <w:abstractNum w:abstractNumId="30" w15:restartNumberingAfterBreak="0">
    <w:nsid w:val="533902EA"/>
    <w:multiLevelType w:val="multilevel"/>
    <w:tmpl w:val="E8BAE50A"/>
    <w:numStyleLink w:val="VariantaA-odrky"/>
  </w:abstractNum>
  <w:abstractNum w:abstractNumId="31" w15:restartNumberingAfterBreak="0">
    <w:nsid w:val="571C11E2"/>
    <w:multiLevelType w:val="multilevel"/>
    <w:tmpl w:val="E8A48D7C"/>
    <w:numStyleLink w:val="VariantaA-sla"/>
  </w:abstractNum>
  <w:abstractNum w:abstractNumId="3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3" w15:restartNumberingAfterBreak="0">
    <w:nsid w:val="5AF35F43"/>
    <w:multiLevelType w:val="multilevel"/>
    <w:tmpl w:val="0D8ABE32"/>
    <w:numStyleLink w:val="VariantaB-sla"/>
  </w:abstractNum>
  <w:num w:numId="1">
    <w:abstractNumId w:val="16"/>
  </w:num>
  <w:num w:numId="2">
    <w:abstractNumId w:val="32"/>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8"/>
  </w:num>
  <w:num w:numId="7">
    <w:abstractNumId w:val="7"/>
  </w:num>
  <w:num w:numId="8">
    <w:abstractNumId w:val="31"/>
  </w:num>
  <w:num w:numId="9">
    <w:abstractNumId w:val="5"/>
  </w:num>
  <w:num w:numId="10">
    <w:abstractNumId w:val="2"/>
  </w:num>
  <w:num w:numId="11">
    <w:abstractNumId w:val="1"/>
  </w:num>
  <w:num w:numId="12">
    <w:abstractNumId w:val="0"/>
  </w:num>
  <w:num w:numId="13">
    <w:abstractNumId w:val="30"/>
  </w:num>
  <w:num w:numId="14">
    <w:abstractNumId w:val="4"/>
  </w:num>
  <w:num w:numId="15">
    <w:abstractNumId w:val="3"/>
  </w:num>
  <w:num w:numId="16">
    <w:abstractNumId w:val="28"/>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7"/>
  </w:num>
  <w:num w:numId="27">
    <w:abstractNumId w:val="25"/>
  </w:num>
  <w:num w:numId="28">
    <w:abstractNumId w:val="24"/>
  </w:num>
  <w:num w:numId="29">
    <w:abstractNumId w:val="18"/>
  </w:num>
  <w:num w:numId="30">
    <w:abstractNumId w:val="29"/>
  </w:num>
  <w:num w:numId="31">
    <w:abstractNumId w:val="33"/>
  </w:num>
  <w:num w:numId="32">
    <w:abstractNumId w:val="22"/>
  </w:num>
  <w:num w:numId="33">
    <w:abstractNumId w:val="17"/>
  </w:num>
  <w:num w:numId="34">
    <w:abstractNumId w:val="9"/>
  </w:num>
  <w:num w:numId="35">
    <w:abstractNumId w:val="23"/>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9F"/>
    <w:rsid w:val="00015306"/>
    <w:rsid w:val="0002674B"/>
    <w:rsid w:val="0004162E"/>
    <w:rsid w:val="0004786B"/>
    <w:rsid w:val="00063405"/>
    <w:rsid w:val="000809B9"/>
    <w:rsid w:val="00090B40"/>
    <w:rsid w:val="00095A0A"/>
    <w:rsid w:val="000B1B3D"/>
    <w:rsid w:val="000C4CAF"/>
    <w:rsid w:val="00121485"/>
    <w:rsid w:val="001268B0"/>
    <w:rsid w:val="0018051B"/>
    <w:rsid w:val="001B1E4A"/>
    <w:rsid w:val="001D27C0"/>
    <w:rsid w:val="001E74C3"/>
    <w:rsid w:val="001F6937"/>
    <w:rsid w:val="00220DE3"/>
    <w:rsid w:val="0025290D"/>
    <w:rsid w:val="00260372"/>
    <w:rsid w:val="00262DAF"/>
    <w:rsid w:val="00285AED"/>
    <w:rsid w:val="0029763D"/>
    <w:rsid w:val="002E2442"/>
    <w:rsid w:val="002F0E8C"/>
    <w:rsid w:val="00310FA0"/>
    <w:rsid w:val="00320481"/>
    <w:rsid w:val="003250CB"/>
    <w:rsid w:val="00363201"/>
    <w:rsid w:val="0039063C"/>
    <w:rsid w:val="003A46A8"/>
    <w:rsid w:val="003A51AA"/>
    <w:rsid w:val="003B565A"/>
    <w:rsid w:val="003D00A1"/>
    <w:rsid w:val="0041427F"/>
    <w:rsid w:val="004509E5"/>
    <w:rsid w:val="00486FB9"/>
    <w:rsid w:val="004C212A"/>
    <w:rsid w:val="00500232"/>
    <w:rsid w:val="00504668"/>
    <w:rsid w:val="005455E1"/>
    <w:rsid w:val="005502BD"/>
    <w:rsid w:val="00556787"/>
    <w:rsid w:val="00582276"/>
    <w:rsid w:val="005C2560"/>
    <w:rsid w:val="005F7585"/>
    <w:rsid w:val="00605759"/>
    <w:rsid w:val="00640317"/>
    <w:rsid w:val="00650C6C"/>
    <w:rsid w:val="00652FE6"/>
    <w:rsid w:val="00667898"/>
    <w:rsid w:val="00677FE0"/>
    <w:rsid w:val="006D04EF"/>
    <w:rsid w:val="006E2FB0"/>
    <w:rsid w:val="007102D2"/>
    <w:rsid w:val="00713948"/>
    <w:rsid w:val="00753A27"/>
    <w:rsid w:val="0079342A"/>
    <w:rsid w:val="007B4949"/>
    <w:rsid w:val="007F0BC6"/>
    <w:rsid w:val="00831374"/>
    <w:rsid w:val="00857580"/>
    <w:rsid w:val="00865238"/>
    <w:rsid w:val="008667BF"/>
    <w:rsid w:val="00895645"/>
    <w:rsid w:val="008A7851"/>
    <w:rsid w:val="008C3782"/>
    <w:rsid w:val="008D4A32"/>
    <w:rsid w:val="008D593A"/>
    <w:rsid w:val="008E7760"/>
    <w:rsid w:val="00922001"/>
    <w:rsid w:val="00922C17"/>
    <w:rsid w:val="00942DDD"/>
    <w:rsid w:val="009516A8"/>
    <w:rsid w:val="0097705C"/>
    <w:rsid w:val="009F393D"/>
    <w:rsid w:val="009F7F46"/>
    <w:rsid w:val="00A000BF"/>
    <w:rsid w:val="00A0587E"/>
    <w:rsid w:val="00A275BC"/>
    <w:rsid w:val="00A464B4"/>
    <w:rsid w:val="00A63D6B"/>
    <w:rsid w:val="00A84B52"/>
    <w:rsid w:val="00A8660F"/>
    <w:rsid w:val="00A95C48"/>
    <w:rsid w:val="00AA4188"/>
    <w:rsid w:val="00AA7056"/>
    <w:rsid w:val="00AB31C6"/>
    <w:rsid w:val="00AB523B"/>
    <w:rsid w:val="00AD7E40"/>
    <w:rsid w:val="00AE07F0"/>
    <w:rsid w:val="00AF087C"/>
    <w:rsid w:val="00B1477A"/>
    <w:rsid w:val="00B20993"/>
    <w:rsid w:val="00B42E96"/>
    <w:rsid w:val="00B50EE6"/>
    <w:rsid w:val="00B52185"/>
    <w:rsid w:val="00B9753A"/>
    <w:rsid w:val="00BB479C"/>
    <w:rsid w:val="00BC4720"/>
    <w:rsid w:val="00BD75A2"/>
    <w:rsid w:val="00C2017A"/>
    <w:rsid w:val="00C2026B"/>
    <w:rsid w:val="00C20470"/>
    <w:rsid w:val="00C34B2F"/>
    <w:rsid w:val="00C4641B"/>
    <w:rsid w:val="00C6690E"/>
    <w:rsid w:val="00C703C5"/>
    <w:rsid w:val="00C805F2"/>
    <w:rsid w:val="00C96EFE"/>
    <w:rsid w:val="00CC5E40"/>
    <w:rsid w:val="00CE3E6B"/>
    <w:rsid w:val="00D1569F"/>
    <w:rsid w:val="00D20B1E"/>
    <w:rsid w:val="00D22462"/>
    <w:rsid w:val="00D230AC"/>
    <w:rsid w:val="00D32489"/>
    <w:rsid w:val="00D3349E"/>
    <w:rsid w:val="00D73CB8"/>
    <w:rsid w:val="00DA7591"/>
    <w:rsid w:val="00DE3405"/>
    <w:rsid w:val="00E32798"/>
    <w:rsid w:val="00E33CC8"/>
    <w:rsid w:val="00E51C91"/>
    <w:rsid w:val="00E667C1"/>
    <w:rsid w:val="00E74B9F"/>
    <w:rsid w:val="00EC0577"/>
    <w:rsid w:val="00EC3F88"/>
    <w:rsid w:val="00ED36D8"/>
    <w:rsid w:val="00EE6BD7"/>
    <w:rsid w:val="00EF18C3"/>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2F937"/>
  <w15:chartTrackingRefBased/>
  <w15:docId w15:val="{C260DD8B-5030-48B7-B2CD-F30E61AB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188"/>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E7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E74B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74B9F"/>
    <w:rPr>
      <w:color w:val="000000" w:themeColor="text1"/>
      <w:sz w:val="20"/>
      <w:szCs w:val="20"/>
    </w:rPr>
  </w:style>
  <w:style w:type="character" w:styleId="Znakapoznpodarou">
    <w:name w:val="footnote reference"/>
    <w:basedOn w:val="Standardnpsmoodstavce"/>
    <w:uiPriority w:val="99"/>
    <w:semiHidden/>
    <w:unhideWhenUsed/>
    <w:rsid w:val="00E7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uri=CELEX:32023R1315" TargetMode="External"/><Relationship Id="rId2" Type="http://schemas.openxmlformats.org/officeDocument/2006/relationships/hyperlink" Target="https://eur-lex.europa.eu/legal-content/CS/TXT/?uri=CELEX:32023R1315" TargetMode="External"/><Relationship Id="rId1" Type="http://schemas.openxmlformats.org/officeDocument/2006/relationships/hyperlink" Target="https://eur-lex.europa.eu/legal-content/CS/ALL/?uri=CELEX:32021R10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1681</Characters>
  <Application>Microsoft Office Word</Application>
  <DocSecurity>4</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Zděnek Pavel</dc:creator>
  <cp:keywords/>
  <dc:description/>
  <cp:lastModifiedBy>Schreil Zdeněk</cp:lastModifiedBy>
  <cp:revision>2</cp:revision>
  <dcterms:created xsi:type="dcterms:W3CDTF">2023-12-19T07:52:00Z</dcterms:created>
  <dcterms:modified xsi:type="dcterms:W3CDTF">2023-12-19T07:52:00Z</dcterms:modified>
</cp:coreProperties>
</file>