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980E" w14:textId="77777777" w:rsidR="00D15E01" w:rsidRPr="004801AD" w:rsidRDefault="00D15E01" w:rsidP="001C0534">
      <w:pPr>
        <w:spacing w:before="120" w:after="120" w:line="240" w:lineRule="auto"/>
        <w:contextualSpacing/>
        <w:jc w:val="center"/>
        <w:rPr>
          <w:rFonts w:asciiTheme="majorHAnsi" w:hAnsiTheme="majorHAnsi" w:cstheme="majorHAnsi"/>
          <w:color w:val="000000"/>
        </w:rPr>
      </w:pPr>
      <w:r>
        <w:rPr>
          <w:rFonts w:asciiTheme="majorHAnsi" w:hAnsiTheme="majorHAnsi" w:cstheme="majorHAnsi"/>
          <w:noProof/>
        </w:rPr>
        <w:drawing>
          <wp:anchor distT="0" distB="0" distL="114300" distR="114300" simplePos="0" relativeHeight="251659264" behindDoc="1" locked="0" layoutInCell="1" allowOverlap="1" wp14:anchorId="13AB37F8" wp14:editId="25131A91">
            <wp:simplePos x="0" y="0"/>
            <wp:positionH relativeFrom="page">
              <wp:posOffset>13970</wp:posOffset>
            </wp:positionH>
            <wp:positionV relativeFrom="paragraph">
              <wp:posOffset>-1252220</wp:posOffset>
            </wp:positionV>
            <wp:extent cx="7623168" cy="10774141"/>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168" cy="10774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90CCE" w14:textId="77777777"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77777777"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372FB9C2"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1C0534">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527548B7"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3FCD6FA2" w14:textId="77777777" w:rsidR="005B08AA" w:rsidRPr="005B08AA"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Příloha č. 9 – FORMULÁŘ PROHLÁŠENÍ K UPLATNĚNÍ DNSH</w:t>
      </w:r>
    </w:p>
    <w:p w14:paraId="3C94CFB5" w14:textId="474066E1" w:rsidR="00D15E01"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(zásady „významně nepoškozovat“) – Spolupráce – Klastry – výzva I.</w:t>
      </w:r>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C767DA7" w14:textId="77777777" w:rsidR="00EE34B3" w:rsidRPr="00EE34B3" w:rsidRDefault="00EE34B3" w:rsidP="001C0534">
      <w:pPr>
        <w:spacing w:line="240" w:lineRule="auto"/>
      </w:pPr>
    </w:p>
    <w:p w14:paraId="068B52B3" w14:textId="77777777" w:rsidR="001C0534" w:rsidRDefault="001C0534">
      <w:pPr>
        <w:spacing w:after="200" w:line="276" w:lineRule="auto"/>
        <w:rPr>
          <w:rFonts w:eastAsiaTheme="majorEastAsia" w:cstheme="minorHAnsi"/>
          <w:b/>
          <w:sz w:val="28"/>
          <w:szCs w:val="28"/>
        </w:rPr>
      </w:pPr>
      <w:r>
        <w:rPr>
          <w:rFonts w:cstheme="minorHAnsi"/>
          <w:szCs w:val="28"/>
        </w:rPr>
        <w:br w:type="page"/>
      </w:r>
    </w:p>
    <w:p w14:paraId="7EFF8BBC" w14:textId="277D21ED" w:rsidR="00A34025" w:rsidRPr="00DB4EFF" w:rsidRDefault="00A34025" w:rsidP="00DB4EFF">
      <w:pPr>
        <w:rPr>
          <w:b/>
          <w:sz w:val="28"/>
          <w:szCs w:val="28"/>
        </w:rPr>
      </w:pPr>
      <w:r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69B55294" w14:textId="6C2DE023" w:rsidR="00521F1D" w:rsidRPr="007100D2" w:rsidRDefault="00B176D2" w:rsidP="001C0534">
      <w:pPr>
        <w:spacing w:before="120" w:line="240"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infrastruktura s očekávanou životnosti delší jak 5 let má být posouzena  hlediska klimatického dopadu. </w:t>
      </w:r>
    </w:p>
    <w:tbl>
      <w:tblPr>
        <w:tblStyle w:val="Mkatabulky"/>
        <w:tblW w:w="0" w:type="auto"/>
        <w:tblLook w:val="04A0" w:firstRow="1" w:lastRow="0" w:firstColumn="1" w:lastColumn="0" w:noHBand="0" w:noVBand="1"/>
      </w:tblPr>
      <w:tblGrid>
        <w:gridCol w:w="9628"/>
      </w:tblGrid>
      <w:tr w:rsidR="002F39B3" w14:paraId="53F7650E" w14:textId="77777777" w:rsidTr="002F39B3">
        <w:tc>
          <w:tcPr>
            <w:tcW w:w="9628" w:type="dxa"/>
          </w:tcPr>
          <w:p w14:paraId="1D334C00" w14:textId="1F815362" w:rsidR="002F39B3" w:rsidRDefault="002F39B3" w:rsidP="007100D2">
            <w:pPr>
              <w:spacing w:before="120" w:line="240" w:lineRule="auto"/>
              <w:jc w:val="both"/>
              <w:rPr>
                <w:b/>
              </w:rPr>
            </w:pPr>
            <w:r w:rsidRPr="007100D2">
              <w:rPr>
                <w:b/>
              </w:rPr>
              <w:t>Tento formulář bude využit v případě, kdy součástí projektu je mimo nákupu přístrojového zařízení a nevýrobního strojního zařízení rovněž nákup, výstavba či renovace (i částečná) budov.</w:t>
            </w:r>
          </w:p>
        </w:tc>
      </w:tr>
    </w:tbl>
    <w:p w14:paraId="36FC9FE4" w14:textId="4E563B42" w:rsidR="00521F1D" w:rsidRDefault="00521F1D" w:rsidP="001C0534">
      <w:pPr>
        <w:spacing w:before="120" w:line="240" w:lineRule="auto"/>
        <w:jc w:val="both"/>
        <w:rPr>
          <w:b/>
        </w:rPr>
      </w:pPr>
      <w:r>
        <w:rPr>
          <w:b/>
        </w:rPr>
        <w:t xml:space="preserve">Formulář je rozdělen do </w:t>
      </w:r>
      <w:r w:rsidR="005346E9">
        <w:rPr>
          <w:b/>
        </w:rPr>
        <w:t>tří částí</w:t>
      </w:r>
      <w:r>
        <w:rPr>
          <w:b/>
        </w:rPr>
        <w:t>:</w:t>
      </w:r>
    </w:p>
    <w:p w14:paraId="100FD9C6" w14:textId="7A20CD00" w:rsidR="004A7709" w:rsidRPr="000C7E11" w:rsidRDefault="004A7709" w:rsidP="004738E0">
      <w:pPr>
        <w:pStyle w:val="Odstavecseseznamem"/>
        <w:numPr>
          <w:ilvl w:val="0"/>
          <w:numId w:val="10"/>
        </w:numPr>
        <w:spacing w:before="120" w:line="240" w:lineRule="auto"/>
        <w:jc w:val="both"/>
      </w:pPr>
      <w:r w:rsidRPr="000C7E11">
        <w:t>Základní kritéria k posouzení zásady „významně nepoškozovat“</w:t>
      </w:r>
      <w:r w:rsidR="00356841" w:rsidRPr="000C7E11">
        <w:t>………………</w:t>
      </w:r>
      <w:proofErr w:type="gramStart"/>
      <w:r w:rsidR="00356841" w:rsidRPr="000C7E11">
        <w:t>…….</w:t>
      </w:r>
      <w:proofErr w:type="gramEnd"/>
      <w:r w:rsidR="00356841" w:rsidRPr="000C7E11">
        <w:t>………</w:t>
      </w:r>
      <w:r w:rsidR="000C7E11">
        <w:t>……</w:t>
      </w:r>
      <w:r w:rsidR="00356841" w:rsidRPr="000C7E11">
        <w:t>………………….2</w:t>
      </w:r>
    </w:p>
    <w:p w14:paraId="4B222E7C" w14:textId="2FBE3E09" w:rsidR="004A7709" w:rsidRPr="000C7E11" w:rsidRDefault="004A7709" w:rsidP="004738E0">
      <w:pPr>
        <w:pStyle w:val="Odstavecseseznamem"/>
        <w:numPr>
          <w:ilvl w:val="0"/>
          <w:numId w:val="10"/>
        </w:numPr>
        <w:spacing w:before="120" w:line="240" w:lineRule="auto"/>
        <w:jc w:val="both"/>
      </w:pPr>
      <w:r w:rsidRPr="000C7E11">
        <w:t>Kritéria k zásadě „významně nepoškozovat“ – kritéria DNSH pro výstavbu či rekonstrukci (i částečnou) budov</w:t>
      </w:r>
      <w:r w:rsidR="00356841" w:rsidRPr="000C7E11">
        <w:t xml:space="preserve"> …………………………………………………………………………………………………………………</w:t>
      </w:r>
      <w:r w:rsidR="000C7E11">
        <w:t>………………</w:t>
      </w:r>
      <w:proofErr w:type="gramStart"/>
      <w:r w:rsidR="000C7E11">
        <w:t>…….</w:t>
      </w:r>
      <w:proofErr w:type="gramEnd"/>
      <w:r w:rsidR="000C7E11">
        <w:t>.</w:t>
      </w:r>
      <w:r w:rsidR="00356841" w:rsidRPr="000C7E11">
        <w:t>……3</w:t>
      </w:r>
    </w:p>
    <w:p w14:paraId="795E35AB" w14:textId="6A590056" w:rsidR="004A7709" w:rsidRPr="000C7E11" w:rsidRDefault="004A7709" w:rsidP="004738E0">
      <w:pPr>
        <w:pStyle w:val="Odstavecseseznamem"/>
        <w:numPr>
          <w:ilvl w:val="0"/>
          <w:numId w:val="10"/>
        </w:numPr>
        <w:spacing w:before="120" w:line="240" w:lineRule="auto"/>
        <w:jc w:val="both"/>
      </w:pPr>
      <w:r w:rsidRPr="000C7E11">
        <w:t xml:space="preserve">Posouzení infrastruktury z hlediska klimatického </w:t>
      </w:r>
      <w:proofErr w:type="gramStart"/>
      <w:r w:rsidRPr="000C7E11">
        <w:t>dopadu- tato</w:t>
      </w:r>
      <w:proofErr w:type="gramEnd"/>
      <w:r w:rsidRPr="000C7E11">
        <w:t xml:space="preserve"> část je vyplňována pouze v případě, kdy součástí projektu je nákup, výstavba či renovace (i částečná) </w:t>
      </w:r>
      <w:r w:rsidRPr="000C7E11">
        <w:rPr>
          <w:u w:val="single"/>
        </w:rPr>
        <w:t>budov</w:t>
      </w:r>
      <w:r w:rsidRPr="000C7E11">
        <w:t>.</w:t>
      </w:r>
      <w:r w:rsidR="00356841" w:rsidRPr="000C7E11">
        <w:t xml:space="preserve"> ………………………</w:t>
      </w:r>
      <w:proofErr w:type="gramStart"/>
      <w:r w:rsidR="00356841" w:rsidRPr="000C7E11">
        <w:t>…</w:t>
      </w:r>
      <w:r w:rsidR="000C7E11">
        <w:t>….</w:t>
      </w:r>
      <w:proofErr w:type="gramEnd"/>
      <w:r w:rsidR="00356841" w:rsidRPr="000C7E11">
        <w:t>…………5</w:t>
      </w:r>
    </w:p>
    <w:p w14:paraId="0A9093B0" w14:textId="3D8B67D6" w:rsidR="002D2397" w:rsidRPr="00356841" w:rsidRDefault="002D2397" w:rsidP="004738E0">
      <w:pPr>
        <w:pStyle w:val="Odstavecseseznamem"/>
        <w:numPr>
          <w:ilvl w:val="0"/>
          <w:numId w:val="10"/>
        </w:numPr>
        <w:spacing w:before="120" w:line="240" w:lineRule="auto"/>
        <w:jc w:val="both"/>
      </w:pPr>
      <w:r>
        <w:t>Čestné prohlášení……………………………………………………………………………………………………………………</w:t>
      </w:r>
      <w:proofErr w:type="gramStart"/>
      <w:r>
        <w:t>…….</w:t>
      </w:r>
      <w:proofErr w:type="gramEnd"/>
      <w:r>
        <w:t>.13</w:t>
      </w:r>
    </w:p>
    <w:p w14:paraId="6613A58D" w14:textId="4C25EA34" w:rsidR="00DB4EFF" w:rsidRPr="00D234D0" w:rsidRDefault="004A7709" w:rsidP="004A7709">
      <w:pPr>
        <w:spacing w:before="120" w:line="240" w:lineRule="auto"/>
        <w:jc w:val="both"/>
        <w:rPr>
          <w:b/>
          <w:i/>
          <w:u w:val="single"/>
        </w:rPr>
      </w:pPr>
      <w:r w:rsidRPr="00D234D0">
        <w:rPr>
          <w:b/>
          <w:i/>
          <w:u w:val="single"/>
        </w:rPr>
        <w:t>Postupujte podle instrukcí v textu</w:t>
      </w:r>
    </w:p>
    <w:p w14:paraId="7B4DB3FE" w14:textId="77777777" w:rsidR="004A7709" w:rsidRPr="004A7709" w:rsidRDefault="004A7709" w:rsidP="004A7709">
      <w:pPr>
        <w:spacing w:before="120" w:line="240" w:lineRule="auto"/>
        <w:jc w:val="both"/>
        <w:rPr>
          <w:u w:val="single"/>
        </w:rPr>
      </w:pPr>
    </w:p>
    <w:p w14:paraId="5824E9F8" w14:textId="6596AC6C" w:rsidR="004A7709" w:rsidRDefault="002F39B3" w:rsidP="004738E0">
      <w:pPr>
        <w:pStyle w:val="Nadpis1"/>
        <w:numPr>
          <w:ilvl w:val="0"/>
          <w:numId w:val="14"/>
        </w:numPr>
      </w:pPr>
      <w:bookmarkStart w:id="0" w:name="_Toc124516525"/>
      <w:bookmarkStart w:id="1" w:name="_Toc124517408"/>
      <w:r w:rsidRPr="002F39B3">
        <w:t>Základní kritéria k posouzení zásady „významně nepoškozovat“</w:t>
      </w:r>
      <w:bookmarkEnd w:id="0"/>
      <w:bookmarkEnd w:id="1"/>
    </w:p>
    <w:p w14:paraId="60619BC6" w14:textId="61CA83ED" w:rsidR="004A7709" w:rsidRPr="00356841" w:rsidRDefault="004A7709" w:rsidP="004A7709">
      <w:pPr>
        <w:rPr>
          <w:i/>
        </w:rPr>
      </w:pPr>
      <w:r w:rsidRPr="00356841">
        <w:rPr>
          <w:i/>
        </w:rPr>
        <w:t xml:space="preserve">Pokud projekt splňuje kritéria </w:t>
      </w:r>
      <w:r w:rsidR="00356841" w:rsidRPr="00356841">
        <w:rPr>
          <w:i/>
        </w:rPr>
        <w:t>uvedená v tabulce, zaškrtněte ANO</w:t>
      </w:r>
    </w:p>
    <w:tbl>
      <w:tblPr>
        <w:tblStyle w:val="Mkatabulky"/>
        <w:tblW w:w="0" w:type="auto"/>
        <w:tblLook w:val="04A0" w:firstRow="1" w:lastRow="0" w:firstColumn="1" w:lastColumn="0" w:noHBand="0" w:noVBand="1"/>
      </w:tblPr>
      <w:tblGrid>
        <w:gridCol w:w="8665"/>
        <w:gridCol w:w="963"/>
      </w:tblGrid>
      <w:tr w:rsidR="004A7709" w14:paraId="4AD9324C" w14:textId="77777777" w:rsidTr="006E2F29">
        <w:tc>
          <w:tcPr>
            <w:tcW w:w="8665" w:type="dxa"/>
          </w:tcPr>
          <w:p w14:paraId="1B30B7EC" w14:textId="77777777" w:rsidR="004A7709" w:rsidRDefault="004A7709" w:rsidP="006E2F29">
            <w:pPr>
              <w:spacing w:before="120" w:line="240" w:lineRule="auto"/>
              <w:jc w:val="both"/>
            </w:pPr>
            <w:r w:rsidRPr="00026C36">
              <w:t>Projekt</w:t>
            </w:r>
            <w:r>
              <w:t xml:space="preserve"> </w:t>
            </w:r>
            <w:r w:rsidRPr="004A7709">
              <w:rPr>
                <w:b/>
                <w:u w:val="single"/>
              </w:rPr>
              <w:t>není zaměřen</w:t>
            </w:r>
            <w:r w:rsidRPr="00026C36">
              <w:t xml:space="preserve"> na činnosti </w:t>
            </w:r>
          </w:p>
          <w:p w14:paraId="370C90A2"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související s výrobou, zpracováním, přepravou, distribucí, skladováním nebo spalováním fosilních paliv kromě:</w:t>
            </w:r>
          </w:p>
          <w:p w14:paraId="78155DA8" w14:textId="77777777" w:rsidR="004A7709" w:rsidRPr="009B4AE3" w:rsidRDefault="004A7709" w:rsidP="004738E0">
            <w:pPr>
              <w:pStyle w:val="Odstavecseseznamem"/>
              <w:numPr>
                <w:ilvl w:val="1"/>
                <w:numId w:val="9"/>
              </w:numPr>
              <w:spacing w:after="0" w:line="276" w:lineRule="auto"/>
              <w:ind w:hanging="357"/>
              <w:contextualSpacing w:val="0"/>
              <w:jc w:val="both"/>
            </w:pPr>
            <w:r w:rsidRPr="009B4AE3">
              <w:t>výjimek dle čl. 7(1)(h) nařízení o EFRR a FS</w:t>
            </w:r>
          </w:p>
          <w:p w14:paraId="66B6E8D2"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 s výjimkou případů dle čl. 8 nařízení o FST</w:t>
            </w:r>
          </w:p>
          <w:p w14:paraId="120EA49F" w14:textId="77777777" w:rsidR="004A7709" w:rsidRPr="009B4AE3" w:rsidRDefault="004A7709" w:rsidP="004738E0">
            <w:pPr>
              <w:pStyle w:val="Odstavecseseznamem"/>
              <w:numPr>
                <w:ilvl w:val="0"/>
                <w:numId w:val="9"/>
              </w:numPr>
              <w:spacing w:after="0" w:line="276" w:lineRule="auto"/>
              <w:ind w:hanging="357"/>
              <w:contextualSpacing w:val="0"/>
              <w:jc w:val="both"/>
            </w:pPr>
            <w:r w:rsidRPr="009B4AE3">
              <w:t xml:space="preserve">a aktiva související s fosilními palivy, včetně následného využívání </w:t>
            </w:r>
          </w:p>
          <w:p w14:paraId="56CE238E" w14:textId="77777777" w:rsidR="004A7709" w:rsidRDefault="004A7709" w:rsidP="004738E0">
            <w:pPr>
              <w:pStyle w:val="Odstavecseseznamem"/>
              <w:numPr>
                <w:ilvl w:val="0"/>
                <w:numId w:val="9"/>
              </w:numPr>
              <w:spacing w:after="0" w:line="276" w:lineRule="auto"/>
              <w:ind w:hanging="357"/>
              <w:contextualSpacing w:val="0"/>
              <w:jc w:val="both"/>
            </w:pPr>
            <w:r w:rsidRPr="009B4AE3">
              <w:t>a aktiva v rámci systému EU pro obchodování s emisemi (ETS) dosahujících předpokládaných emisí skleníkových plynů, které nejsou nižší než příslušné referenční hodnoty</w:t>
            </w:r>
          </w:p>
          <w:p w14:paraId="3D36D67A" w14:textId="77777777" w:rsidR="004A7709" w:rsidRDefault="004A7709" w:rsidP="004738E0">
            <w:pPr>
              <w:pStyle w:val="Odstavecseseznamem"/>
              <w:numPr>
                <w:ilvl w:val="0"/>
                <w:numId w:val="9"/>
              </w:numPr>
              <w:spacing w:after="0" w:line="276" w:lineRule="auto"/>
              <w:ind w:hanging="357"/>
              <w:contextualSpacing w:val="0"/>
              <w:jc w:val="both"/>
            </w:pPr>
            <w:r w:rsidRPr="009B4AE3">
              <w:t>a aktiva související se skládkami odpadů, spalovnami a zařízeními na mechanicko-biologickou úpravu</w:t>
            </w:r>
          </w:p>
        </w:tc>
        <w:tc>
          <w:tcPr>
            <w:tcW w:w="963" w:type="dxa"/>
            <w:vAlign w:val="center"/>
          </w:tcPr>
          <w:p w14:paraId="7BCEE2A1" w14:textId="77777777" w:rsidR="004A7709" w:rsidRDefault="004A7709" w:rsidP="006E2F29">
            <w:pPr>
              <w:spacing w:before="120" w:line="240" w:lineRule="auto"/>
              <w:jc w:val="both"/>
            </w:pPr>
            <w:r>
              <w:t>ANO</w:t>
            </w:r>
          </w:p>
        </w:tc>
      </w:tr>
    </w:tbl>
    <w:p w14:paraId="0F94BD0A" w14:textId="77777777" w:rsidR="004A7709" w:rsidRPr="004A7709" w:rsidRDefault="004A7709" w:rsidP="004A7709">
      <w:bookmarkStart w:id="2" w:name="_GoBack"/>
      <w:bookmarkEnd w:id="2"/>
    </w:p>
    <w:p w14:paraId="7FF3753C" w14:textId="07115964" w:rsidR="008F18BA" w:rsidRDefault="008F18BA" w:rsidP="004738E0">
      <w:pPr>
        <w:pStyle w:val="Nadpis1"/>
        <w:numPr>
          <w:ilvl w:val="0"/>
          <w:numId w:val="14"/>
        </w:numPr>
      </w:pPr>
      <w:bookmarkStart w:id="3" w:name="_Toc124516526"/>
      <w:bookmarkStart w:id="4" w:name="_Toc124517409"/>
      <w:r>
        <w:t>Kritéria k zásadě významně nepoškozovat – kritéria DNSH pro výstavbu či rekonstrukci (i částečnou) budov</w:t>
      </w:r>
      <w:bookmarkEnd w:id="3"/>
      <w:bookmarkEnd w:id="4"/>
    </w:p>
    <w:p w14:paraId="500CE117" w14:textId="35505E6F"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67438C0F" w14:textId="07AF17E5" w:rsidR="00356841" w:rsidRPr="00356841" w:rsidRDefault="00356841" w:rsidP="00356841">
      <w:pPr>
        <w:jc w:val="both"/>
        <w:rPr>
          <w:i/>
        </w:rPr>
      </w:pPr>
      <w:r w:rsidRPr="00356841">
        <w:rPr>
          <w:i/>
        </w:rPr>
        <w:t>Pokud projekt splňuje kritéria uvedená v tabulce, zaškrtněte ANO</w:t>
      </w:r>
      <w:r>
        <w:rPr>
          <w:i/>
        </w:rPr>
        <w:t xml:space="preserve">, případně NERELEVANTNÍ (tam, kde je tato možnost uvedena. Nesplňuje-li daný projekt níže uvedená kritéria, </w:t>
      </w:r>
      <w:r w:rsidR="003A41BA">
        <w:rPr>
          <w:i/>
        </w:rPr>
        <w:t xml:space="preserve">odpovíte-li na stanovená kritéria během hodnocení NE, </w:t>
      </w:r>
      <w:r>
        <w:rPr>
          <w:i/>
        </w:rPr>
        <w:t>je toto důvodem pro jeho vyřazení z dalšího hodnocení</w:t>
      </w:r>
    </w:p>
    <w:p w14:paraId="1923FEC8"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14F206D1"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23FC3055"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155"/>
        <w:gridCol w:w="1473"/>
      </w:tblGrid>
      <w:tr w:rsidR="004A7709" w14:paraId="3CEEDC4D" w14:textId="77777777" w:rsidTr="006E2F29">
        <w:tc>
          <w:tcPr>
            <w:tcW w:w="8665" w:type="dxa"/>
          </w:tcPr>
          <w:p w14:paraId="1CD6ED65" w14:textId="77777777" w:rsidR="004A7709" w:rsidRDefault="004A7709" w:rsidP="006E2F29">
            <w:pPr>
              <w:autoSpaceDE w:val="0"/>
              <w:autoSpaceDN w:val="0"/>
              <w:adjustRightInd w:val="0"/>
              <w:spacing w:after="0" w:line="240" w:lineRule="auto"/>
              <w:jc w:val="both"/>
              <w:rPr>
                <w:rFonts w:ascii="Calibri" w:hAnsi="Calibri" w:cs="Calibri"/>
                <w:b/>
                <w:color w:val="000000"/>
              </w:rPr>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 (Oznámení Komise 2021/C 58/01</w:t>
            </w:r>
          </w:p>
        </w:tc>
        <w:tc>
          <w:tcPr>
            <w:tcW w:w="963" w:type="dxa"/>
            <w:vAlign w:val="center"/>
          </w:tcPr>
          <w:p w14:paraId="7C5DFE3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19AE60DD" w14:textId="77777777" w:rsidTr="006E2F29">
        <w:tc>
          <w:tcPr>
            <w:tcW w:w="8665" w:type="dxa"/>
          </w:tcPr>
          <w:p w14:paraId="328638BC" w14:textId="77777777" w:rsidR="004A7709" w:rsidRPr="00273F36" w:rsidRDefault="004A7709" w:rsidP="006E2F29">
            <w:pPr>
              <w:autoSpaceDE w:val="0"/>
              <w:autoSpaceDN w:val="0"/>
              <w:adjustRightInd w:val="0"/>
              <w:spacing w:after="0" w:line="240" w:lineRule="auto"/>
              <w:jc w:val="both"/>
              <w:rPr>
                <w:rFonts w:ascii="Calibri" w:hAnsi="Calibri" w:cs="Calibri"/>
                <w:color w:val="000000"/>
              </w:rPr>
            </w:pPr>
            <w:r w:rsidRPr="00273F36">
              <w:rPr>
                <w:rFonts w:cstheme="minorHAnsi"/>
                <w:bCs/>
              </w:rPr>
              <w:t>Budova není určena k těžbě, skladování, přepravě nebo výrobě fosilních paliv.</w:t>
            </w:r>
          </w:p>
        </w:tc>
        <w:tc>
          <w:tcPr>
            <w:tcW w:w="963" w:type="dxa"/>
            <w:vAlign w:val="center"/>
          </w:tcPr>
          <w:p w14:paraId="623B5811"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5DE2A3FC" w14:textId="77777777" w:rsidTr="006E2F29">
        <w:tc>
          <w:tcPr>
            <w:tcW w:w="8665" w:type="dxa"/>
          </w:tcPr>
          <w:p w14:paraId="51C6CC36" w14:textId="77777777" w:rsidR="004A7709" w:rsidRPr="00F73CAC" w:rsidRDefault="004A7709" w:rsidP="006E2F29">
            <w:pPr>
              <w:autoSpaceDE w:val="0"/>
              <w:autoSpaceDN w:val="0"/>
              <w:adjustRightInd w:val="0"/>
              <w:spacing w:after="0" w:line="240" w:lineRule="auto"/>
              <w:jc w:val="both"/>
              <w:rPr>
                <w:rFonts w:ascii="Calibri" w:hAnsi="Calibri" w:cs="Calibri"/>
                <w:color w:val="000000"/>
              </w:rPr>
            </w:pPr>
            <w:r>
              <w:rPr>
                <w:rFonts w:cstheme="minorHAnsi"/>
              </w:rPr>
              <w:t>Nově postavená budova splňuje vnitrostátní legislativní požadavky pro výstavbu nových budov</w:t>
            </w:r>
            <w:r w:rsidRPr="00F73CAC">
              <w:rPr>
                <w:rFonts w:cstheme="minorHAnsi"/>
              </w:rPr>
              <w:t xml:space="preserve"> </w:t>
            </w:r>
          </w:p>
        </w:tc>
        <w:tc>
          <w:tcPr>
            <w:tcW w:w="963" w:type="dxa"/>
            <w:vAlign w:val="center"/>
          </w:tcPr>
          <w:p w14:paraId="529509DC"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AA81962"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0E94CAD1" w14:textId="77777777" w:rsidTr="006E2F29">
        <w:tc>
          <w:tcPr>
            <w:tcW w:w="8665" w:type="dxa"/>
          </w:tcPr>
          <w:p w14:paraId="5AB9DD27" w14:textId="77777777" w:rsidR="004A7709" w:rsidRPr="00F73CAC" w:rsidRDefault="004A7709" w:rsidP="006E2F29">
            <w:pPr>
              <w:autoSpaceDE w:val="0"/>
              <w:autoSpaceDN w:val="0"/>
              <w:adjustRightInd w:val="0"/>
              <w:spacing w:after="0" w:line="240" w:lineRule="auto"/>
              <w:jc w:val="both"/>
              <w:rPr>
                <w:rFonts w:cstheme="minorHAnsi"/>
              </w:rPr>
            </w:pPr>
            <w:r w:rsidRPr="00F73CAC">
              <w:rPr>
                <w:rFonts w:cstheme="minorHAnsi"/>
                <w:bCs/>
              </w:rPr>
              <w:t xml:space="preserve">Zdroj energie bude splňovat požadavky na </w:t>
            </w:r>
            <w:proofErr w:type="spellStart"/>
            <w:r w:rsidRPr="00F73CAC">
              <w:rPr>
                <w:rFonts w:cstheme="minorHAnsi"/>
                <w:bCs/>
              </w:rPr>
              <w:t>ekodesign</w:t>
            </w:r>
            <w:proofErr w:type="spellEnd"/>
            <w:r w:rsidRPr="00F73CAC">
              <w:rPr>
                <w:rFonts w:cstheme="minorHAnsi"/>
                <w:bCs/>
              </w:rPr>
              <w:t xml:space="preserve"> (tj. požadavky směrnice Evropského parlamentu a Rady 2009/125/ES) a budou zařazeny do jedné ze dvou nejvyšších významně zastoupených tříd energetické účinnosti ve smyslu čl. 7 odst. 2 nařízení Evropského parlamentu a Rady (EU) 2017/1369</w:t>
            </w:r>
          </w:p>
        </w:tc>
        <w:tc>
          <w:tcPr>
            <w:tcW w:w="963" w:type="dxa"/>
            <w:vAlign w:val="center"/>
          </w:tcPr>
          <w:p w14:paraId="2765FC82"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6864DCB5" w14:textId="77777777" w:rsidTr="006E2F29">
        <w:tc>
          <w:tcPr>
            <w:tcW w:w="8665" w:type="dxa"/>
          </w:tcPr>
          <w:p w14:paraId="7D356141" w14:textId="77777777" w:rsidR="004A7709" w:rsidRPr="005227B1" w:rsidRDefault="004A7709" w:rsidP="006E2F29">
            <w:pPr>
              <w:spacing w:after="0" w:line="240" w:lineRule="auto"/>
              <w:jc w:val="both"/>
              <w:rPr>
                <w:rFonts w:cstheme="minorHAnsi"/>
                <w:bCs/>
              </w:rPr>
            </w:pPr>
            <w:r w:rsidRPr="005227B1">
              <w:rPr>
                <w:rFonts w:cstheme="minorHAnsi"/>
                <w:bCs/>
              </w:rPr>
              <w:t>V případě instalace zdrojů tepla budou podporovány pouze obnovitelné zdroje tepelné energie.</w:t>
            </w:r>
          </w:p>
        </w:tc>
        <w:tc>
          <w:tcPr>
            <w:tcW w:w="963" w:type="dxa"/>
            <w:vAlign w:val="center"/>
          </w:tcPr>
          <w:p w14:paraId="03E0F6B3" w14:textId="77777777" w:rsidR="004A7709" w:rsidRPr="00273F36"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r w:rsidR="004A7709" w14:paraId="436FBA3F" w14:textId="77777777" w:rsidTr="006E2F29">
        <w:tc>
          <w:tcPr>
            <w:tcW w:w="8665" w:type="dxa"/>
          </w:tcPr>
          <w:p w14:paraId="007407FD" w14:textId="77777777" w:rsidR="004A7709" w:rsidRPr="005227B1" w:rsidRDefault="004A7709" w:rsidP="006E2F29">
            <w:pPr>
              <w:spacing w:after="0" w:line="240" w:lineRule="auto"/>
              <w:jc w:val="both"/>
              <w:rPr>
                <w:rFonts w:cstheme="minorHAnsi"/>
                <w:bCs/>
              </w:rPr>
            </w:pPr>
            <w:r w:rsidRPr="005227B1">
              <w:rPr>
                <w:rFonts w:cstheme="minorHAnsi"/>
                <w:bCs/>
              </w:rPr>
              <w:t>V případě využití biomasy musí být ušetřeno nejméně 80 % emisí skleníkových plynů z využívání biomasy ve vztahu k metodice úspor skleníkových plynů a srovnávacímu systému fosilních paliv stanovenému v příloze VI směrnice 2018/2001 (RED II).</w:t>
            </w:r>
          </w:p>
        </w:tc>
        <w:tc>
          <w:tcPr>
            <w:tcW w:w="963" w:type="dxa"/>
            <w:vAlign w:val="center"/>
          </w:tcPr>
          <w:p w14:paraId="7E632E87"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DFCE50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p w14:paraId="29EB502E" w14:textId="77777777" w:rsidR="004A7709" w:rsidRDefault="004A7709" w:rsidP="006E2F29">
            <w:pPr>
              <w:autoSpaceDE w:val="0"/>
              <w:autoSpaceDN w:val="0"/>
              <w:adjustRightInd w:val="0"/>
              <w:spacing w:after="0" w:line="240" w:lineRule="auto"/>
              <w:rPr>
                <w:rFonts w:ascii="Calibri" w:hAnsi="Calibri" w:cs="Calibri"/>
                <w:b/>
                <w:color w:val="000000"/>
              </w:rPr>
            </w:pPr>
          </w:p>
        </w:tc>
      </w:tr>
    </w:tbl>
    <w:p w14:paraId="3048CBF1" w14:textId="77777777" w:rsidR="004A7709" w:rsidRDefault="004A7709" w:rsidP="004A7709">
      <w:pPr>
        <w:autoSpaceDE w:val="0"/>
        <w:autoSpaceDN w:val="0"/>
        <w:adjustRightInd w:val="0"/>
        <w:spacing w:after="0" w:line="240" w:lineRule="auto"/>
        <w:rPr>
          <w:rFonts w:ascii="Calibri" w:hAnsi="Calibri" w:cs="Calibri"/>
          <w:color w:val="000000"/>
        </w:rPr>
      </w:pPr>
    </w:p>
    <w:p w14:paraId="73C4BA35"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b) Přizpůsobování se změně klimatu</w:t>
      </w:r>
    </w:p>
    <w:p w14:paraId="5D288567"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7692ADE3"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0B7D83D1" w14:textId="77777777" w:rsidTr="006E2F29">
        <w:tc>
          <w:tcPr>
            <w:tcW w:w="8665" w:type="dxa"/>
          </w:tcPr>
          <w:p w14:paraId="7425C5C3" w14:textId="56DB31D2" w:rsidR="004A7709" w:rsidRPr="00AD24D6" w:rsidRDefault="004A7709" w:rsidP="006E2F29">
            <w:pPr>
              <w:spacing w:after="0" w:line="240" w:lineRule="auto"/>
              <w:jc w:val="both"/>
              <w:rPr>
                <w:rFonts w:cstheme="minorHAnsi"/>
                <w:bCs/>
              </w:rPr>
            </w:pPr>
            <w:r w:rsidRPr="00AD24D6">
              <w:rPr>
                <w:rFonts w:cstheme="minorHAnsi"/>
                <w:bCs/>
              </w:rPr>
              <w:t xml:space="preserve">Byla provedena identifikace a popis řešení fyzických klimatických rizik – podrobnější popis – viz část </w:t>
            </w:r>
            <w:r w:rsidR="00356841">
              <w:rPr>
                <w:rFonts w:cstheme="minorHAnsi"/>
                <w:bCs/>
              </w:rPr>
              <w:t>3.</w:t>
            </w:r>
            <w:r w:rsidRPr="00AD24D6">
              <w:rPr>
                <w:rFonts w:cstheme="minorHAnsi"/>
                <w:bCs/>
              </w:rPr>
              <w:t xml:space="preserve"> tohoto formuláře</w:t>
            </w:r>
          </w:p>
          <w:p w14:paraId="6820C40C" w14:textId="77777777" w:rsidR="004A7709" w:rsidRPr="00AD24D6" w:rsidRDefault="004A7709" w:rsidP="006E2F29">
            <w:pPr>
              <w:spacing w:after="0" w:line="240" w:lineRule="auto"/>
              <w:jc w:val="both"/>
              <w:rPr>
                <w:rFonts w:cstheme="minorHAnsi"/>
                <w:bCs/>
              </w:rPr>
            </w:pPr>
            <w:r w:rsidRPr="00AD24D6">
              <w:rPr>
                <w:rFonts w:cstheme="minorHAnsi"/>
                <w:bCs/>
              </w:rPr>
              <w:t xml:space="preserve">- Dlouhodobé sucho </w:t>
            </w:r>
          </w:p>
          <w:p w14:paraId="4C0DE417" w14:textId="77777777" w:rsidR="004A7709" w:rsidRPr="00AD24D6" w:rsidRDefault="004A7709" w:rsidP="006E2F29">
            <w:pPr>
              <w:spacing w:after="0" w:line="240" w:lineRule="auto"/>
              <w:jc w:val="both"/>
              <w:rPr>
                <w:rFonts w:cstheme="minorHAnsi"/>
                <w:bCs/>
              </w:rPr>
            </w:pPr>
            <w:r w:rsidRPr="00AD24D6">
              <w:rPr>
                <w:rFonts w:cstheme="minorHAnsi"/>
                <w:bCs/>
              </w:rPr>
              <w:t xml:space="preserve">- Povodně a přívalové povodně </w:t>
            </w:r>
          </w:p>
          <w:p w14:paraId="4BF41721" w14:textId="77777777" w:rsidR="004A7709" w:rsidRPr="00AD24D6" w:rsidRDefault="004A7709" w:rsidP="006E2F29">
            <w:pPr>
              <w:spacing w:after="0" w:line="240" w:lineRule="auto"/>
              <w:jc w:val="both"/>
              <w:rPr>
                <w:rFonts w:cstheme="minorHAnsi"/>
                <w:bCs/>
              </w:rPr>
            </w:pPr>
            <w:r w:rsidRPr="00AD24D6">
              <w:rPr>
                <w:rFonts w:cstheme="minorHAnsi"/>
                <w:bCs/>
              </w:rPr>
              <w:t xml:space="preserve">- Vydatné srážky </w:t>
            </w:r>
          </w:p>
          <w:p w14:paraId="6E281F7B" w14:textId="77777777" w:rsidR="004A7709" w:rsidRPr="00AD24D6" w:rsidRDefault="004A7709" w:rsidP="006E2F29">
            <w:pPr>
              <w:spacing w:after="0" w:line="240" w:lineRule="auto"/>
              <w:jc w:val="both"/>
              <w:rPr>
                <w:rFonts w:cstheme="minorHAnsi"/>
                <w:bCs/>
              </w:rPr>
            </w:pPr>
            <w:r w:rsidRPr="00AD24D6">
              <w:rPr>
                <w:rFonts w:cstheme="minorHAnsi"/>
                <w:bCs/>
              </w:rPr>
              <w:t xml:space="preserve">- Zvyšování teplot </w:t>
            </w:r>
          </w:p>
          <w:p w14:paraId="144CB15D" w14:textId="77777777" w:rsidR="004A7709" w:rsidRPr="009B4AE3" w:rsidRDefault="004A7709" w:rsidP="006E2F29">
            <w:pPr>
              <w:spacing w:after="0" w:line="240" w:lineRule="auto"/>
              <w:rPr>
                <w:rFonts w:cstheme="minorHAnsi"/>
                <w:bCs/>
                <w:sz w:val="20"/>
                <w:szCs w:val="20"/>
              </w:rPr>
            </w:pPr>
            <w:r w:rsidRPr="00AD24D6">
              <w:rPr>
                <w:rFonts w:cstheme="minorHAnsi"/>
                <w:bCs/>
              </w:rPr>
              <w:t>- Extrémně vysoké teploty</w:t>
            </w:r>
            <w:r w:rsidRPr="009B4AE3">
              <w:rPr>
                <w:rFonts w:cstheme="minorHAnsi"/>
                <w:bCs/>
                <w:sz w:val="20"/>
                <w:szCs w:val="20"/>
              </w:rPr>
              <w:t xml:space="preserve"> </w:t>
            </w:r>
          </w:p>
          <w:p w14:paraId="5D3D040A" w14:textId="77777777" w:rsidR="004A7709" w:rsidRPr="00AD24D6" w:rsidRDefault="004A7709" w:rsidP="006E2F29">
            <w:pPr>
              <w:spacing w:after="0" w:line="240" w:lineRule="auto"/>
              <w:rPr>
                <w:rFonts w:cstheme="minorHAnsi"/>
                <w:bCs/>
              </w:rPr>
            </w:pPr>
            <w:r w:rsidRPr="00AD24D6">
              <w:rPr>
                <w:rFonts w:cstheme="minorHAnsi"/>
                <w:bCs/>
              </w:rPr>
              <w:t xml:space="preserve">- Extrémní vítr </w:t>
            </w:r>
          </w:p>
          <w:p w14:paraId="08D0E9E0" w14:textId="77777777" w:rsidR="004A7709" w:rsidRPr="00AD24D6" w:rsidRDefault="004A7709" w:rsidP="006E2F29">
            <w:pPr>
              <w:spacing w:after="0" w:line="240" w:lineRule="auto"/>
              <w:rPr>
                <w:rFonts w:cstheme="minorHAnsi"/>
                <w:bCs/>
              </w:rPr>
            </w:pPr>
            <w:r w:rsidRPr="00AD24D6">
              <w:rPr>
                <w:rFonts w:cstheme="minorHAnsi"/>
                <w:bCs/>
              </w:rPr>
              <w:t xml:space="preserve">- Požáry vegetace </w:t>
            </w:r>
          </w:p>
          <w:p w14:paraId="51A8DB9D" w14:textId="77777777" w:rsidR="004A7709" w:rsidRDefault="004A7709" w:rsidP="006E2F29">
            <w:pPr>
              <w:autoSpaceDE w:val="0"/>
              <w:autoSpaceDN w:val="0"/>
              <w:adjustRightInd w:val="0"/>
              <w:spacing w:after="0" w:line="240" w:lineRule="auto"/>
              <w:jc w:val="both"/>
              <w:rPr>
                <w:rFonts w:ascii="Calibri" w:hAnsi="Calibri" w:cs="Calibri"/>
                <w:b/>
                <w:color w:val="000000"/>
              </w:rPr>
            </w:pPr>
            <w:r w:rsidRPr="00AD24D6">
              <w:rPr>
                <w:rFonts w:cstheme="minorHAnsi"/>
                <w:bCs/>
              </w:rPr>
              <w:t>- Místně specifické dopady</w:t>
            </w:r>
          </w:p>
        </w:tc>
        <w:tc>
          <w:tcPr>
            <w:tcW w:w="963" w:type="dxa"/>
            <w:vAlign w:val="center"/>
          </w:tcPr>
          <w:p w14:paraId="55FDFA70"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69369655" w14:textId="77777777" w:rsidR="004A7709" w:rsidRDefault="004A7709" w:rsidP="004A7709">
      <w:pPr>
        <w:autoSpaceDE w:val="0"/>
        <w:autoSpaceDN w:val="0"/>
        <w:adjustRightInd w:val="0"/>
        <w:spacing w:after="0" w:line="240" w:lineRule="auto"/>
        <w:rPr>
          <w:rFonts w:ascii="Calibri" w:hAnsi="Calibri" w:cs="Calibri"/>
          <w:color w:val="000000"/>
          <w:sz w:val="24"/>
          <w:szCs w:val="24"/>
        </w:rPr>
      </w:pPr>
    </w:p>
    <w:p w14:paraId="6E321790"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12BEE39B" w14:textId="77777777" w:rsidR="004A7709" w:rsidRPr="000B4E18" w:rsidRDefault="004A7709" w:rsidP="004A7709">
      <w:pPr>
        <w:autoSpaceDE w:val="0"/>
        <w:autoSpaceDN w:val="0"/>
        <w:adjustRightInd w:val="0"/>
        <w:spacing w:after="0" w:line="240" w:lineRule="auto"/>
        <w:jc w:val="both"/>
        <w:rPr>
          <w:rFonts w:ascii="Calibri" w:hAnsi="Calibri" w:cs="Calibri"/>
          <w:b/>
          <w:strike/>
          <w:color w:val="000000"/>
        </w:rPr>
      </w:pPr>
      <w:r w:rsidRPr="000B4E18">
        <w:rPr>
          <w:rFonts w:ascii="Calibri" w:hAnsi="Calibri" w:cs="Calibri"/>
          <w:b/>
          <w:color w:val="000000"/>
        </w:rPr>
        <w:lastRenderedPageBreak/>
        <w:t>Aktivita významně nepoškozuje udržitelné využívání a ochranu vodních zdrojů, pokud nepoškozuje dobrý stav nebo dobrý ekologický potenciál vodních útvarů, včetně povrchových a podzemních vod.</w:t>
      </w:r>
    </w:p>
    <w:p w14:paraId="402E6130"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7B37B3D4" w14:textId="77777777" w:rsidTr="006E2F29">
        <w:tc>
          <w:tcPr>
            <w:tcW w:w="8665" w:type="dxa"/>
          </w:tcPr>
          <w:p w14:paraId="4E534AE6" w14:textId="77777777" w:rsidR="004A7709" w:rsidRPr="00B20C14" w:rsidRDefault="004A7709" w:rsidP="006E2F29">
            <w:pPr>
              <w:spacing w:after="0" w:line="240" w:lineRule="auto"/>
              <w:jc w:val="both"/>
              <w:rPr>
                <w:rFonts w:cstheme="minorHAnsi"/>
                <w:bCs/>
              </w:rPr>
            </w:pPr>
            <w:r w:rsidRPr="00B20C14">
              <w:rPr>
                <w:rFonts w:cstheme="minorHAnsi"/>
                <w:bCs/>
              </w:rPr>
              <w:t>Jsou-li instalována zařízení k využívání vody, kromě instalace v bytových jednotkách, je pro ně uvedená spotřeba vody doložena technickými listy výrobku, stavební certifikací nebo stávajícím štítkem výrobku v Unii v souladu s technickými specifikacemi níže:</w:t>
            </w:r>
          </w:p>
          <w:p w14:paraId="6C6D38F0" w14:textId="77777777" w:rsidR="004A7709" w:rsidRPr="00B20C14" w:rsidRDefault="004A7709" w:rsidP="006E2F29">
            <w:pPr>
              <w:spacing w:after="0" w:line="240" w:lineRule="auto"/>
              <w:jc w:val="both"/>
              <w:rPr>
                <w:rFonts w:cstheme="minorHAnsi"/>
                <w:bCs/>
              </w:rPr>
            </w:pPr>
            <w:r w:rsidRPr="00B20C14">
              <w:rPr>
                <w:rFonts w:cstheme="minorHAnsi"/>
                <w:bCs/>
              </w:rPr>
              <w:t>- umyvadlové baterie a kuchyňské baterie mají maximální průtok vody 6 litrů/min;</w:t>
            </w:r>
          </w:p>
          <w:p w14:paraId="352E31CB" w14:textId="77777777" w:rsidR="004A7709" w:rsidRPr="00B20C14" w:rsidRDefault="004A7709" w:rsidP="006E2F29">
            <w:pPr>
              <w:spacing w:after="0" w:line="240" w:lineRule="auto"/>
              <w:jc w:val="both"/>
              <w:rPr>
                <w:rFonts w:cstheme="minorHAnsi"/>
                <w:bCs/>
              </w:rPr>
            </w:pPr>
            <w:r w:rsidRPr="00B20C14">
              <w:rPr>
                <w:rFonts w:cstheme="minorHAnsi"/>
                <w:bCs/>
              </w:rPr>
              <w:t>- sprchy mají maximální průtok vody 8 litrů/min;</w:t>
            </w:r>
          </w:p>
          <w:p w14:paraId="48391415" w14:textId="77777777" w:rsidR="004A7709" w:rsidRPr="00B20C14" w:rsidRDefault="004A7709" w:rsidP="006E2F29">
            <w:pPr>
              <w:spacing w:after="0" w:line="240"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50C45394" w14:textId="77777777" w:rsidR="004A7709" w:rsidRPr="00B20C14" w:rsidRDefault="004A7709" w:rsidP="006E2F29">
            <w:pPr>
              <w:spacing w:after="0" w:line="240"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16C72877" w14:textId="77777777" w:rsidR="004A7709" w:rsidRPr="00B20C14" w:rsidRDefault="004A7709" w:rsidP="006E2F29">
            <w:pPr>
              <w:spacing w:after="0" w:line="240" w:lineRule="auto"/>
              <w:jc w:val="both"/>
              <w:rPr>
                <w:rFonts w:cstheme="minorHAnsi"/>
                <w:bCs/>
              </w:rPr>
            </w:pPr>
          </w:p>
          <w:p w14:paraId="71680C95" w14:textId="77777777" w:rsidR="004A7709" w:rsidRPr="00B20C14" w:rsidRDefault="004A7709" w:rsidP="006E2F29">
            <w:pPr>
              <w:keepNext/>
              <w:spacing w:after="0" w:line="240"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1"/>
            </w:r>
            <w:r w:rsidRPr="00B20C14">
              <w:rPr>
                <w:rFonts w:cstheme="minorHAnsi"/>
                <w:b/>
                <w:bCs/>
              </w:rPr>
              <w:t xml:space="preserve"> pro zařízení k využívání vody </w:t>
            </w:r>
          </w:p>
          <w:p w14:paraId="3FB7A88A"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 xml:space="preserve">Průtok se zaznamenává při standardním referenčním tlaku </w:t>
            </w:r>
            <w:proofErr w:type="gramStart"/>
            <w:r w:rsidRPr="00B20C14">
              <w:rPr>
                <w:rFonts w:cstheme="minorHAnsi"/>
                <w:bCs/>
              </w:rPr>
              <w:t>3 –0</w:t>
            </w:r>
            <w:proofErr w:type="gramEnd"/>
            <w:r w:rsidRPr="00B20C14">
              <w:rPr>
                <w:rFonts w:cstheme="minorHAnsi"/>
                <w:bCs/>
              </w:rPr>
              <w:t>/+0,2 bar nebo 0,1 –0/+0,02 u výrobků omezených na nízký tlak.</w:t>
            </w:r>
          </w:p>
          <w:p w14:paraId="03C98C14"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Průtok při nižším tlaku 1,5 –0/+0,2 bar je ≥ 60 % maximálního dostupného průtoku.</w:t>
            </w:r>
          </w:p>
          <w:p w14:paraId="660F9BDA"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U směšovacích sprch je referenční teplota 38 ±1 °C.</w:t>
            </w:r>
          </w:p>
          <w:p w14:paraId="7FDAEA0F"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Pokud musí být průtok nižší než 6 l/min, je v souladu s pravidlem stanoveným v bodě 2.</w:t>
            </w:r>
          </w:p>
          <w:p w14:paraId="0C5248EC" w14:textId="77777777" w:rsidR="004A7709" w:rsidRPr="00B20C14" w:rsidRDefault="004A7709" w:rsidP="004738E0">
            <w:pPr>
              <w:pStyle w:val="Odstavecseseznamem"/>
              <w:numPr>
                <w:ilvl w:val="0"/>
                <w:numId w:val="11"/>
              </w:numPr>
              <w:spacing w:after="0" w:line="240" w:lineRule="auto"/>
              <w:jc w:val="both"/>
              <w:rPr>
                <w:rFonts w:cstheme="minorHAnsi"/>
                <w:bCs/>
              </w:rPr>
            </w:pPr>
            <w:r w:rsidRPr="00B20C14">
              <w:rPr>
                <w:rFonts w:cstheme="minorHAnsi"/>
                <w:bCs/>
              </w:rPr>
              <w:t xml:space="preserve">U výtokových ventilů se postupuje podle bodu 10.2.3 normy EN 200 s těmito výjimkami: </w:t>
            </w:r>
          </w:p>
          <w:p w14:paraId="4BC448CB" w14:textId="77777777" w:rsidR="004A7709" w:rsidRPr="00B20C14" w:rsidRDefault="004A7709" w:rsidP="004738E0">
            <w:pPr>
              <w:pStyle w:val="Odstavecseseznamem"/>
              <w:numPr>
                <w:ilvl w:val="1"/>
                <w:numId w:val="11"/>
              </w:numPr>
              <w:spacing w:after="0" w:line="240" w:lineRule="auto"/>
              <w:jc w:val="both"/>
              <w:rPr>
                <w:rFonts w:cstheme="minorHAnsi"/>
                <w:bCs/>
              </w:rPr>
            </w:pPr>
            <w:r w:rsidRPr="00B20C14">
              <w:rPr>
                <w:rFonts w:cstheme="minorHAnsi"/>
                <w:bCs/>
              </w:rPr>
              <w:t xml:space="preserve">u výtokových ventilů, které nejsou určeny pouze pro nízkotlaké použití: použijte tlak </w:t>
            </w:r>
            <w:proofErr w:type="gramStart"/>
            <w:r w:rsidRPr="00B20C14">
              <w:rPr>
                <w:rFonts w:cstheme="minorHAnsi"/>
                <w:bCs/>
              </w:rPr>
              <w:t>3 –0</w:t>
            </w:r>
            <w:proofErr w:type="gramEnd"/>
            <w:r w:rsidRPr="00B20C14">
              <w:rPr>
                <w:rFonts w:cstheme="minorHAnsi"/>
                <w:bCs/>
              </w:rPr>
              <w:t>/+0,2 bar střídavě do ventilu na teplou a studenou vodu;</w:t>
            </w:r>
          </w:p>
          <w:p w14:paraId="44298364" w14:textId="77777777" w:rsidR="004A7709" w:rsidRPr="00B20C14" w:rsidRDefault="004A7709" w:rsidP="004738E0">
            <w:pPr>
              <w:pStyle w:val="Odstavecseseznamem"/>
              <w:numPr>
                <w:ilvl w:val="0"/>
                <w:numId w:val="11"/>
              </w:numPr>
              <w:autoSpaceDE w:val="0"/>
              <w:autoSpaceDN w:val="0"/>
              <w:adjustRightInd w:val="0"/>
              <w:spacing w:after="0" w:line="240" w:lineRule="auto"/>
              <w:jc w:val="both"/>
              <w:rPr>
                <w:rFonts w:ascii="Calibri" w:hAnsi="Calibri" w:cs="Calibri"/>
                <w:b/>
                <w:color w:val="000000"/>
              </w:rPr>
            </w:pPr>
            <w:r w:rsidRPr="00B20C14">
              <w:rPr>
                <w:rFonts w:cstheme="minorHAnsi"/>
                <w:bCs/>
              </w:rPr>
              <w:t>b) u výtokových ventilů, které jsou určeny pouze pro nízkotlaké použití: použijte tlak 0,4 –0/+0,02 bar do ventilu na teplou i studenou vodu a zcela otevřete regulátor průtoku.</w:t>
            </w:r>
          </w:p>
        </w:tc>
        <w:tc>
          <w:tcPr>
            <w:tcW w:w="963" w:type="dxa"/>
            <w:vAlign w:val="center"/>
          </w:tcPr>
          <w:p w14:paraId="07A25F8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22FABA89" w14:textId="77777777" w:rsidR="004A7709" w:rsidRDefault="004A7709" w:rsidP="004A7709">
      <w:pPr>
        <w:autoSpaceDE w:val="0"/>
        <w:autoSpaceDN w:val="0"/>
        <w:adjustRightInd w:val="0"/>
        <w:spacing w:after="0" w:line="240" w:lineRule="auto"/>
        <w:rPr>
          <w:rFonts w:ascii="Calibri" w:hAnsi="Calibri" w:cs="Calibri"/>
          <w:color w:val="000000"/>
        </w:rPr>
      </w:pPr>
    </w:p>
    <w:p w14:paraId="07D2F09D" w14:textId="77777777" w:rsidR="004A7709" w:rsidRDefault="004A7709" w:rsidP="004A7709">
      <w:pPr>
        <w:autoSpaceDE w:val="0"/>
        <w:autoSpaceDN w:val="0"/>
        <w:adjustRightInd w:val="0"/>
        <w:spacing w:after="0" w:line="240"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42657E84"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4AB372BB"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26F84848" w14:textId="77777777" w:rsidTr="006E2F29">
        <w:tc>
          <w:tcPr>
            <w:tcW w:w="8665" w:type="dxa"/>
          </w:tcPr>
          <w:p w14:paraId="61455589" w14:textId="77777777" w:rsidR="004A7709" w:rsidRDefault="004A7709" w:rsidP="006E2F29">
            <w:pPr>
              <w:spacing w:after="0" w:line="240" w:lineRule="auto"/>
              <w:jc w:val="both"/>
              <w:rPr>
                <w:rFonts w:cstheme="minorHAnsi"/>
                <w:bCs/>
              </w:rPr>
            </w:pPr>
            <w:r w:rsidRPr="00CA1DFE">
              <w:rPr>
                <w:rFonts w:cstheme="minorHAnsi"/>
                <w:bCs/>
              </w:rPr>
              <w:t>Nejméně 70 % (hmotnostních) stavebních a demoličních materiálů a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w:t>
            </w:r>
          </w:p>
          <w:p w14:paraId="3BEF4E4C" w14:textId="77777777" w:rsidR="004A7709" w:rsidRDefault="004A7709" w:rsidP="006E2F29">
            <w:pPr>
              <w:spacing w:after="0" w:line="240" w:lineRule="auto"/>
              <w:jc w:val="both"/>
              <w:rPr>
                <w:rFonts w:cstheme="minorHAnsi"/>
                <w:bCs/>
              </w:rPr>
            </w:pPr>
          </w:p>
          <w:p w14:paraId="669B982B" w14:textId="77777777" w:rsidR="004A7709" w:rsidRPr="00CA1D4C" w:rsidRDefault="004A7709" w:rsidP="006E2F29">
            <w:pPr>
              <w:spacing w:after="0" w:line="240" w:lineRule="auto"/>
              <w:jc w:val="both"/>
              <w:rPr>
                <w:rFonts w:cstheme="minorHAnsi"/>
                <w:b/>
                <w:bCs/>
                <w:u w:val="single"/>
              </w:rPr>
            </w:pPr>
            <w:r w:rsidRPr="00DE469C">
              <w:rPr>
                <w:rFonts w:cstheme="minorHAnsi"/>
                <w:b/>
                <w:color w:val="FF0000"/>
                <w:sz w:val="20"/>
                <w:szCs w:val="20"/>
                <w:u w:val="single"/>
              </w:rPr>
              <w:lastRenderedPageBreak/>
              <w:t>Splnění bude doloženo formou Závěrečné zprávy odborného technického dozoru (formou čestného prohlášení)</w:t>
            </w:r>
            <w:r>
              <w:rPr>
                <w:rFonts w:cstheme="minorHAnsi"/>
                <w:b/>
                <w:color w:val="FF0000"/>
                <w:sz w:val="20"/>
                <w:szCs w:val="20"/>
                <w:u w:val="single"/>
              </w:rPr>
              <w:t xml:space="preserve"> současně s žádostí o závěrečnou platbu.</w:t>
            </w:r>
          </w:p>
        </w:tc>
        <w:tc>
          <w:tcPr>
            <w:tcW w:w="963" w:type="dxa"/>
            <w:vAlign w:val="center"/>
          </w:tcPr>
          <w:p w14:paraId="7A298C4C"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lastRenderedPageBreak/>
              <w:t>ANO</w:t>
            </w:r>
          </w:p>
        </w:tc>
      </w:tr>
    </w:tbl>
    <w:p w14:paraId="1DF9B19F" w14:textId="77777777" w:rsidR="004A7709" w:rsidRDefault="004A7709" w:rsidP="004A7709">
      <w:pPr>
        <w:autoSpaceDE w:val="0"/>
        <w:autoSpaceDN w:val="0"/>
        <w:adjustRightInd w:val="0"/>
        <w:spacing w:after="0" w:line="240" w:lineRule="auto"/>
        <w:rPr>
          <w:rFonts w:ascii="Calibri" w:hAnsi="Calibri" w:cs="Calibri"/>
          <w:color w:val="000000"/>
          <w:sz w:val="24"/>
          <w:szCs w:val="24"/>
        </w:rPr>
      </w:pPr>
    </w:p>
    <w:p w14:paraId="0F1FF4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21AC2836" w14:textId="77777777" w:rsidR="004A7709"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648F50FE"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665"/>
        <w:gridCol w:w="963"/>
      </w:tblGrid>
      <w:tr w:rsidR="004A7709" w14:paraId="0653D565" w14:textId="77777777" w:rsidTr="006E2F29">
        <w:tc>
          <w:tcPr>
            <w:tcW w:w="8665" w:type="dxa"/>
          </w:tcPr>
          <w:p w14:paraId="69231502" w14:textId="77777777" w:rsidR="004A7709" w:rsidRPr="00CA1DFE" w:rsidRDefault="004A7709" w:rsidP="006E2F29">
            <w:pPr>
              <w:spacing w:after="0" w:line="240" w:lineRule="auto"/>
              <w:rPr>
                <w:rFonts w:cstheme="minorHAnsi"/>
                <w:bCs/>
              </w:rPr>
            </w:pPr>
            <w:r w:rsidRPr="00CA1DFE">
              <w:rPr>
                <w:rFonts w:cstheme="minorHAnsi"/>
                <w:bCs/>
              </w:rPr>
              <w:t xml:space="preserve">Pokud se nová </w:t>
            </w:r>
            <w:r>
              <w:rPr>
                <w:rFonts w:cstheme="minorHAnsi"/>
                <w:bCs/>
              </w:rPr>
              <w:t xml:space="preserve">či rekonstruovaná </w:t>
            </w:r>
            <w:r w:rsidRPr="00CA1DFE">
              <w:rPr>
                <w:rFonts w:cstheme="minorHAnsi"/>
                <w:bCs/>
              </w:rPr>
              <w:t>budova nachází v kontaminované nebo potenciálně kontaminované lokalitě (</w:t>
            </w:r>
            <w:proofErr w:type="spellStart"/>
            <w:r w:rsidRPr="00CA1DFE">
              <w:rPr>
                <w:rFonts w:cstheme="minorHAnsi"/>
                <w:bCs/>
              </w:rPr>
              <w:t>brownfield</w:t>
            </w:r>
            <w:proofErr w:type="spellEnd"/>
            <w:r w:rsidRPr="00CA1DFE">
              <w:rPr>
                <w:rFonts w:cstheme="minorHAnsi"/>
                <w:bCs/>
              </w:rPr>
              <w:t xml:space="preserve">), </w:t>
            </w:r>
            <w:r w:rsidRPr="00CA1DFE">
              <w:rPr>
                <w:rFonts w:cstheme="minorHAnsi"/>
                <w:b/>
                <w:bCs/>
              </w:rPr>
              <w:t>bude lokalita nejprve prozkoumána analýzou rizik</w:t>
            </w:r>
            <w:r w:rsidRPr="00CA1DFE">
              <w:rPr>
                <w:rFonts w:cstheme="minorHAnsi"/>
                <w:bCs/>
              </w:rPr>
              <w:t xml:space="preserve"> dle příslušných metodických pokynů MŽP a další postup (stavební záměr) musí respektovat výsledky a doporučení analýzy rizik.</w:t>
            </w:r>
          </w:p>
        </w:tc>
        <w:tc>
          <w:tcPr>
            <w:tcW w:w="963" w:type="dxa"/>
            <w:vAlign w:val="center"/>
          </w:tcPr>
          <w:p w14:paraId="01E9EDC8"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tc>
      </w:tr>
    </w:tbl>
    <w:p w14:paraId="592E3EF6" w14:textId="77777777"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5E3247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49FABD8D" w14:textId="77777777" w:rsidR="004A7709" w:rsidRPr="00F51FDD"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 xml:space="preserve">významné míře </w:t>
      </w:r>
      <w:proofErr w:type="spellStart"/>
      <w:r w:rsidRPr="00F51FDD">
        <w:rPr>
          <w:rFonts w:ascii="Calibri" w:hAnsi="Calibri" w:cs="Calibri"/>
          <w:b/>
          <w:color w:val="000000"/>
        </w:rPr>
        <w:t>poško</w:t>
      </w:r>
      <w:r>
        <w:rPr>
          <w:rFonts w:ascii="Calibri" w:hAnsi="Calibri" w:cs="Calibri"/>
          <w:b/>
          <w:color w:val="000000"/>
        </w:rPr>
        <w:t>zdní</w:t>
      </w:r>
      <w:proofErr w:type="spellEnd"/>
      <w:r>
        <w:rPr>
          <w:rFonts w:ascii="Calibri" w:hAnsi="Calibri" w:cs="Calibri"/>
          <w:b/>
          <w:color w:val="000000"/>
        </w:rPr>
        <w:t xml:space="preserve">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334697C6" w14:textId="77777777" w:rsidR="004A7709" w:rsidRDefault="004A7709" w:rsidP="004A7709">
      <w:pPr>
        <w:autoSpaceDE w:val="0"/>
        <w:autoSpaceDN w:val="0"/>
        <w:adjustRightInd w:val="0"/>
        <w:spacing w:after="0" w:line="240" w:lineRule="auto"/>
        <w:jc w:val="both"/>
        <w:rPr>
          <w:rFonts w:ascii="Calibri" w:hAnsi="Calibri" w:cs="Calibri"/>
          <w:b/>
          <w:color w:val="000000"/>
        </w:rPr>
      </w:pPr>
    </w:p>
    <w:tbl>
      <w:tblPr>
        <w:tblStyle w:val="Mkatabulky"/>
        <w:tblW w:w="0" w:type="auto"/>
        <w:tblLook w:val="04A0" w:firstRow="1" w:lastRow="0" w:firstColumn="1" w:lastColumn="0" w:noHBand="0" w:noVBand="1"/>
      </w:tblPr>
      <w:tblGrid>
        <w:gridCol w:w="8155"/>
        <w:gridCol w:w="1473"/>
      </w:tblGrid>
      <w:tr w:rsidR="004A7709" w14:paraId="5D51CB54" w14:textId="77777777" w:rsidTr="006E2F29">
        <w:tc>
          <w:tcPr>
            <w:tcW w:w="8665" w:type="dxa"/>
          </w:tcPr>
          <w:p w14:paraId="363960B2" w14:textId="77777777" w:rsidR="004A7709" w:rsidRPr="00F51FDD" w:rsidRDefault="004A7709" w:rsidP="006E2F29">
            <w:pPr>
              <w:spacing w:after="0" w:line="240" w:lineRule="auto"/>
              <w:jc w:val="both"/>
              <w:rPr>
                <w:rFonts w:cstheme="minorHAnsi"/>
              </w:rPr>
            </w:pPr>
            <w:r w:rsidRPr="00F51FDD">
              <w:rPr>
                <w:rFonts w:cstheme="minorHAnsi"/>
              </w:rPr>
              <w:t>Nová budova není postavena na:</w:t>
            </w:r>
          </w:p>
          <w:p w14:paraId="523F575E" w14:textId="77777777" w:rsidR="004A7709" w:rsidRPr="00F51FDD" w:rsidRDefault="004A7709" w:rsidP="004738E0">
            <w:pPr>
              <w:pStyle w:val="Odstavecseseznamem"/>
              <w:numPr>
                <w:ilvl w:val="0"/>
                <w:numId w:val="12"/>
              </w:numPr>
              <w:spacing w:after="0" w:line="240" w:lineRule="auto"/>
              <w:jc w:val="both"/>
              <w:rPr>
                <w:rFonts w:cstheme="minorHAnsi"/>
              </w:rPr>
            </w:pPr>
            <w:r w:rsidRPr="00F51FDD">
              <w:rPr>
                <w:rFonts w:cstheme="minorHAnsi"/>
              </w:rPr>
              <w:t xml:space="preserve">orné půdě a zemědělské půdě </w:t>
            </w:r>
          </w:p>
          <w:p w14:paraId="63078EA8" w14:textId="77777777" w:rsidR="004A7709" w:rsidRPr="00F51FDD" w:rsidRDefault="004A7709" w:rsidP="004738E0">
            <w:pPr>
              <w:pStyle w:val="Odstavecseseznamem"/>
              <w:numPr>
                <w:ilvl w:val="0"/>
                <w:numId w:val="12"/>
              </w:numPr>
              <w:spacing w:after="0" w:line="240"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33F8B73F" w14:textId="77777777" w:rsidR="004A7709" w:rsidRPr="00F51FDD" w:rsidRDefault="004A7709" w:rsidP="004738E0">
            <w:pPr>
              <w:pStyle w:val="Odstavecseseznamem"/>
              <w:numPr>
                <w:ilvl w:val="0"/>
                <w:numId w:val="12"/>
              </w:numPr>
              <w:autoSpaceDE w:val="0"/>
              <w:autoSpaceDN w:val="0"/>
              <w:adjustRightInd w:val="0"/>
              <w:spacing w:after="0" w:line="240" w:lineRule="auto"/>
              <w:jc w:val="both"/>
              <w:rPr>
                <w:rFonts w:ascii="Calibri" w:hAnsi="Calibri" w:cs="Calibri"/>
                <w:b/>
                <w:color w:val="000000"/>
              </w:rPr>
            </w:pPr>
            <w:r w:rsidRPr="00F51FDD">
              <w:rPr>
                <w:rFonts w:cstheme="minorHAnsi"/>
              </w:rPr>
              <w:t>půdě, která odpovídá definici lesa stanovené ve vnitrostátních právních předpisech nebo používané v národní inventuře skleníkových plynů</w:t>
            </w:r>
          </w:p>
        </w:tc>
        <w:tc>
          <w:tcPr>
            <w:tcW w:w="963" w:type="dxa"/>
            <w:vAlign w:val="center"/>
          </w:tcPr>
          <w:p w14:paraId="679ABB2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360AF47A"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1E85B19E" w14:textId="77777777" w:rsidTr="006E2F29">
        <w:tc>
          <w:tcPr>
            <w:tcW w:w="8665" w:type="dxa"/>
          </w:tcPr>
          <w:p w14:paraId="25F23BA5" w14:textId="77777777" w:rsidR="004A7709" w:rsidRPr="00E23E23" w:rsidRDefault="004A7709" w:rsidP="006E2F29">
            <w:pPr>
              <w:spacing w:after="0" w:line="240" w:lineRule="auto"/>
              <w:rPr>
                <w:rFonts w:cstheme="minorHAnsi"/>
                <w:bCs/>
              </w:rPr>
            </w:pPr>
            <w:r w:rsidRPr="00E23E23">
              <w:rPr>
                <w:rFonts w:cstheme="minorHAnsi"/>
                <w:bCs/>
              </w:rPr>
              <w:t>Renovace budov nevede</w:t>
            </w:r>
          </w:p>
          <w:p w14:paraId="58E6F285" w14:textId="77777777" w:rsidR="004A7709" w:rsidRPr="00E23E23" w:rsidRDefault="004A7709" w:rsidP="004738E0">
            <w:pPr>
              <w:pStyle w:val="Odstavecseseznamem"/>
              <w:numPr>
                <w:ilvl w:val="0"/>
                <w:numId w:val="13"/>
              </w:numPr>
              <w:spacing w:after="0" w:line="240" w:lineRule="auto"/>
              <w:jc w:val="both"/>
              <w:rPr>
                <w:rFonts w:cstheme="minorHAnsi"/>
                <w:bCs/>
              </w:rPr>
            </w:pPr>
            <w:r w:rsidRPr="00E23E23">
              <w:rPr>
                <w:rFonts w:cstheme="minorHAnsi"/>
                <w:bCs/>
              </w:rPr>
              <w:t>ke zničení či zhoršování stavu vymezených přírodních stanovišť přílohy č. I směrnice o stanovištích;</w:t>
            </w:r>
          </w:p>
          <w:p w14:paraId="2EF2C065" w14:textId="77777777" w:rsidR="004A7709" w:rsidRPr="00E23E23" w:rsidRDefault="004A7709" w:rsidP="004738E0">
            <w:pPr>
              <w:pStyle w:val="Odstavecseseznamem"/>
              <w:numPr>
                <w:ilvl w:val="0"/>
                <w:numId w:val="13"/>
              </w:numPr>
              <w:spacing w:after="0" w:line="240" w:lineRule="auto"/>
              <w:jc w:val="both"/>
              <w:rPr>
                <w:rFonts w:cstheme="minorHAnsi"/>
                <w:bCs/>
              </w:rPr>
            </w:pPr>
            <w:r w:rsidRPr="00E23E23">
              <w:rPr>
                <w:rFonts w:cstheme="minorHAnsi"/>
                <w:bCs/>
              </w:rPr>
              <w:t>k šíření invazních druhů;</w:t>
            </w:r>
          </w:p>
          <w:p w14:paraId="31CBA1A2" w14:textId="77777777" w:rsidR="004A7709" w:rsidRPr="00E23E23" w:rsidRDefault="004A7709" w:rsidP="004738E0">
            <w:pPr>
              <w:pStyle w:val="Odstavecseseznamem"/>
              <w:numPr>
                <w:ilvl w:val="0"/>
                <w:numId w:val="13"/>
              </w:numPr>
              <w:spacing w:after="0" w:line="240" w:lineRule="auto"/>
              <w:jc w:val="both"/>
              <w:rPr>
                <w:rFonts w:cstheme="minorHAnsi"/>
              </w:rPr>
            </w:pPr>
            <w:r w:rsidRPr="00E23E23">
              <w:rPr>
                <w:rFonts w:cstheme="minorHAnsi"/>
                <w:bCs/>
              </w:rPr>
              <w:t>ke snížení biologické hodnoty (biodiverzity) území</w:t>
            </w:r>
          </w:p>
        </w:tc>
        <w:tc>
          <w:tcPr>
            <w:tcW w:w="963" w:type="dxa"/>
            <w:vAlign w:val="center"/>
          </w:tcPr>
          <w:p w14:paraId="6C048D81"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05B57CE9"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251ACBE8" w14:textId="77777777" w:rsidTr="006E2F29">
        <w:tc>
          <w:tcPr>
            <w:tcW w:w="8665" w:type="dxa"/>
          </w:tcPr>
          <w:p w14:paraId="09FBAC01" w14:textId="77777777" w:rsidR="004A7709" w:rsidRPr="009B4AE3" w:rsidRDefault="004A7709" w:rsidP="006E2F29">
            <w:pPr>
              <w:spacing w:after="0" w:line="240" w:lineRule="auto"/>
              <w:jc w:val="both"/>
              <w:rPr>
                <w:rFonts w:cstheme="minorHAnsi"/>
                <w:bCs/>
                <w:sz w:val="20"/>
                <w:szCs w:val="20"/>
              </w:rPr>
            </w:pPr>
            <w:r>
              <w:rPr>
                <w:rFonts w:cstheme="minorHAnsi"/>
                <w:bCs/>
              </w:rPr>
              <w:t>Při výstavbě budovy b</w:t>
            </w:r>
            <w:r w:rsidRPr="00F51FDD">
              <w:rPr>
                <w:rFonts w:cstheme="minorHAnsi"/>
                <w:bCs/>
              </w:rPr>
              <w:t>udou respektovány limity zákona č. 114/1992 Sb. o ochraně přírody a krajiny (včetně instalací venkovních OZE.</w:t>
            </w:r>
          </w:p>
        </w:tc>
        <w:tc>
          <w:tcPr>
            <w:tcW w:w="963" w:type="dxa"/>
            <w:vAlign w:val="center"/>
          </w:tcPr>
          <w:p w14:paraId="17025F48"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510E1A7B"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r w:rsidR="004A7709" w14:paraId="51B5ADB4" w14:textId="77777777" w:rsidTr="006E2F29">
        <w:tc>
          <w:tcPr>
            <w:tcW w:w="8665" w:type="dxa"/>
          </w:tcPr>
          <w:p w14:paraId="100D5A5A" w14:textId="77777777" w:rsidR="004A7709" w:rsidRPr="009B4AE3" w:rsidRDefault="004A7709" w:rsidP="006E2F29">
            <w:pPr>
              <w:spacing w:after="0" w:line="240" w:lineRule="auto"/>
              <w:jc w:val="both"/>
              <w:rPr>
                <w:rFonts w:cstheme="minorHAnsi"/>
                <w:bCs/>
                <w:sz w:val="20"/>
                <w:szCs w:val="20"/>
              </w:rPr>
            </w:pPr>
            <w:r>
              <w:rPr>
                <w:rFonts w:cstheme="minorHAnsi"/>
                <w:bCs/>
                <w:sz w:val="20"/>
                <w:szCs w:val="20"/>
              </w:rPr>
              <w:t>Při renovaci budovy b</w:t>
            </w:r>
            <w:r w:rsidRPr="009B4AE3">
              <w:rPr>
                <w:rFonts w:cstheme="minorHAnsi"/>
                <w:bCs/>
                <w:sz w:val="20"/>
                <w:szCs w:val="20"/>
              </w:rPr>
              <w:t>udou respektovány limity zákona č. 114/1992 Sb. releva</w:t>
            </w:r>
            <w:r>
              <w:rPr>
                <w:rFonts w:cstheme="minorHAnsi"/>
                <w:bCs/>
                <w:sz w:val="20"/>
                <w:szCs w:val="20"/>
              </w:rPr>
              <w:t>n</w:t>
            </w:r>
            <w:r w:rsidRPr="009B4AE3">
              <w:rPr>
                <w:rFonts w:cstheme="minorHAnsi"/>
                <w:bCs/>
                <w:sz w:val="20"/>
                <w:szCs w:val="20"/>
              </w:rPr>
              <w:t xml:space="preserve">tní jsou např. limity ve vztahu k druhové </w:t>
            </w:r>
            <w:proofErr w:type="gramStart"/>
            <w:r w:rsidRPr="009B4AE3">
              <w:rPr>
                <w:rFonts w:cstheme="minorHAnsi"/>
                <w:bCs/>
                <w:sz w:val="20"/>
                <w:szCs w:val="20"/>
              </w:rPr>
              <w:t>ochraně  -</w:t>
            </w:r>
            <w:proofErr w:type="gramEnd"/>
            <w:r w:rsidRPr="009B4AE3">
              <w:rPr>
                <w:rFonts w:cstheme="minorHAnsi"/>
                <w:bCs/>
                <w:sz w:val="20"/>
                <w:szCs w:val="20"/>
              </w:rPr>
              <w:t xml:space="preserve">  § 5 odst. 3, § 5a § 50.</w:t>
            </w:r>
          </w:p>
        </w:tc>
        <w:tc>
          <w:tcPr>
            <w:tcW w:w="963" w:type="dxa"/>
            <w:vAlign w:val="center"/>
          </w:tcPr>
          <w:p w14:paraId="6B4FE4B7"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ANO</w:t>
            </w:r>
          </w:p>
          <w:p w14:paraId="73063F42" w14:textId="77777777" w:rsidR="004A7709" w:rsidRDefault="004A7709" w:rsidP="006E2F29">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/nerelevantní</w:t>
            </w:r>
          </w:p>
        </w:tc>
      </w:tr>
    </w:tbl>
    <w:p w14:paraId="220BE33F" w14:textId="77777777" w:rsidR="004A7709" w:rsidRDefault="004A7709" w:rsidP="004A7709">
      <w:pPr>
        <w:pStyle w:val="Nadpis1"/>
      </w:pPr>
      <w:bookmarkStart w:id="5" w:name="_Toc124516527"/>
    </w:p>
    <w:p w14:paraId="7B7CDFE4" w14:textId="3A03EAF8" w:rsidR="008F18BA" w:rsidRPr="008F18BA" w:rsidRDefault="008F18BA" w:rsidP="004738E0">
      <w:pPr>
        <w:pStyle w:val="Nadpis1"/>
        <w:numPr>
          <w:ilvl w:val="0"/>
          <w:numId w:val="14"/>
        </w:numPr>
      </w:pPr>
      <w:bookmarkStart w:id="6" w:name="_Toc124517410"/>
      <w:r>
        <w:t>Posouzení infrastruktury z hlediska klimatického dopadu</w:t>
      </w:r>
      <w:bookmarkEnd w:id="5"/>
      <w:bookmarkEnd w:id="6"/>
      <w:r>
        <w:t xml:space="preserve"> </w:t>
      </w:r>
    </w:p>
    <w:p w14:paraId="7D902B02" w14:textId="77777777" w:rsidR="00FF21C9" w:rsidRDefault="00FF21C9" w:rsidP="00FF21C9">
      <w:pPr>
        <w:spacing w:after="0" w:line="264" w:lineRule="auto"/>
        <w:jc w:val="both"/>
      </w:pPr>
    </w:p>
    <w:p w14:paraId="2739C7DF" w14:textId="39585B08" w:rsidR="00FF21C9" w:rsidRDefault="00FF21C9" w:rsidP="004738E0">
      <w:pPr>
        <w:pStyle w:val="slovanseznam2"/>
        <w:numPr>
          <w:ilvl w:val="1"/>
          <w:numId w:val="14"/>
        </w:numPr>
        <w:rPr>
          <w:b/>
          <w:sz w:val="24"/>
          <w:szCs w:val="24"/>
        </w:rPr>
      </w:pPr>
      <w:r>
        <w:t xml:space="preserve"> </w:t>
      </w: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77777777" w:rsidR="00FF21C9" w:rsidRDefault="00FF21C9" w:rsidP="00FF21C9">
      <w:pPr>
        <w:pStyle w:val="slovanseznam2"/>
        <w:numPr>
          <w:ilvl w:val="0"/>
          <w:numId w:val="0"/>
        </w:numPr>
        <w:spacing w:before="120"/>
        <w:ind w:left="850" w:hanging="493"/>
      </w:pPr>
    </w:p>
    <w:p w14:paraId="0DA917DA" w14:textId="38043B26" w:rsidR="00FF21C9" w:rsidRPr="00FF21C9" w:rsidRDefault="00FF21C9" w:rsidP="00FF21C9">
      <w:pPr>
        <w:pStyle w:val="slovanseznam2"/>
        <w:numPr>
          <w:ilvl w:val="0"/>
          <w:numId w:val="0"/>
        </w:numPr>
        <w:spacing w:before="120"/>
        <w:ind w:left="850" w:hanging="493"/>
      </w:pPr>
      <w:r w:rsidRPr="00FF21C9">
        <w:t>Pro danou výzvu nerelevantní</w:t>
      </w:r>
    </w:p>
    <w:p w14:paraId="714AD686" w14:textId="77777777" w:rsidR="00FF21C9" w:rsidRDefault="00FF21C9" w:rsidP="00FF21C9">
      <w:pPr>
        <w:pStyle w:val="slovanseznam2"/>
        <w:numPr>
          <w:ilvl w:val="0"/>
          <w:numId w:val="0"/>
        </w:numPr>
        <w:ind w:left="851" w:hanging="494"/>
        <w:rPr>
          <w:b/>
          <w:sz w:val="24"/>
          <w:szCs w:val="24"/>
        </w:rPr>
      </w:pPr>
    </w:p>
    <w:p w14:paraId="35BBB764" w14:textId="24AD113B" w:rsidR="00FF21C9" w:rsidRPr="00FF21C9" w:rsidRDefault="00FF21C9" w:rsidP="004738E0">
      <w:pPr>
        <w:pStyle w:val="slovanseznam2"/>
        <w:numPr>
          <w:ilvl w:val="1"/>
          <w:numId w:val="14"/>
        </w:numPr>
        <w:rPr>
          <w:b/>
          <w:sz w:val="24"/>
          <w:szCs w:val="24"/>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7D773B23" w14:textId="77777777" w:rsidR="00FF21C9" w:rsidRPr="00CA1CFA" w:rsidRDefault="00FF21C9" w:rsidP="00FF21C9">
      <w:pPr>
        <w:pStyle w:val="Odstavecseseznamem"/>
        <w:spacing w:line="264" w:lineRule="auto"/>
        <w:jc w:val="both"/>
        <w:rPr>
          <w:sz w:val="24"/>
          <w:szCs w:val="24"/>
        </w:rPr>
      </w:pPr>
    </w:p>
    <w:p w14:paraId="62249650" w14:textId="57B64E6F" w:rsidR="00FF21C9" w:rsidRPr="00DB4EC4" w:rsidRDefault="00FF21C9" w:rsidP="004738E0">
      <w:pPr>
        <w:pStyle w:val="Odstavecseseznamem"/>
        <w:numPr>
          <w:ilvl w:val="2"/>
          <w:numId w:val="14"/>
        </w:numPr>
        <w:spacing w:line="264" w:lineRule="auto"/>
        <w:jc w:val="both"/>
      </w:pPr>
      <w:r w:rsidRPr="00FF21C9">
        <w:rPr>
          <w:b/>
        </w:rPr>
        <w:t>Fáze 1 – Prověřování z hlediska adaptace</w:t>
      </w:r>
    </w:p>
    <w:p w14:paraId="7C65CF71" w14:textId="29C67B54" w:rsidR="00DA15E8" w:rsidRDefault="00DA15E8" w:rsidP="00DA15E8">
      <w:pPr>
        <w:spacing w:after="0" w:line="264" w:lineRule="auto"/>
        <w:jc w:val="both"/>
      </w:pPr>
      <w:r>
        <w:t>Nejprve posouzení:</w:t>
      </w:r>
    </w:p>
    <w:p w14:paraId="68D429E5" w14:textId="77777777" w:rsidR="00DA15E8" w:rsidRDefault="00DA15E8" w:rsidP="004738E0">
      <w:pPr>
        <w:pStyle w:val="Odstavecseseznamem"/>
        <w:numPr>
          <w:ilvl w:val="0"/>
          <w:numId w:val="18"/>
        </w:numPr>
        <w:spacing w:after="120" w:line="264" w:lineRule="auto"/>
        <w:jc w:val="both"/>
      </w:pPr>
      <w:r>
        <w:lastRenderedPageBreak/>
        <w:t>náchylnosti infrastruktury na projevy změny klimatu, např. ovlivnění vstupů (energie, voda, suroviny) ve vztahu k hlavním projevům změny klimatu (uvedeny níže)</w:t>
      </w:r>
    </w:p>
    <w:p w14:paraId="2E581C2C" w14:textId="77777777" w:rsidR="00DA15E8" w:rsidRDefault="00DA15E8" w:rsidP="004738E0">
      <w:pPr>
        <w:pStyle w:val="Odstavecseseznamem"/>
        <w:numPr>
          <w:ilvl w:val="0"/>
          <w:numId w:val="17"/>
        </w:numPr>
        <w:spacing w:after="120" w:line="264" w:lineRule="auto"/>
        <w:jc w:val="both"/>
      </w:pPr>
      <w:r>
        <w:t>vlivu na infrastrukturu s ohledem na umístění (polohu) infrastruktury</w:t>
      </w:r>
    </w:p>
    <w:p w14:paraId="053D7FA2" w14:textId="257F7607" w:rsidR="00DA15E8" w:rsidRDefault="00DA15E8" w:rsidP="004738E0">
      <w:pPr>
        <w:pStyle w:val="Odstavecseseznamem"/>
        <w:numPr>
          <w:ilvl w:val="0"/>
          <w:numId w:val="17"/>
        </w:numPr>
        <w:spacing w:after="120" w:line="264" w:lineRule="auto"/>
        <w:jc w:val="both"/>
      </w:pPr>
      <w:r>
        <w:t xml:space="preserve">identifikaci nejvýznamnějšího rizikového projevu změny klimatu, který infrastrukturu ovlivňuje </w:t>
      </w:r>
    </w:p>
    <w:p w14:paraId="25DFBDB7" w14:textId="43824A83" w:rsidR="00DA15E8" w:rsidRDefault="00DA15E8" w:rsidP="00DA15E8">
      <w:pPr>
        <w:spacing w:after="120" w:line="264" w:lineRule="auto"/>
        <w:jc w:val="both"/>
      </w:pPr>
      <w:r>
        <w:t>Poté návrh a realizace vhodných adaptačních opatření u infrastruktury podpořené (i dílčím způsobem) v rámci projektu.</w:t>
      </w:r>
    </w:p>
    <w:p w14:paraId="0020AF5B" w14:textId="77777777" w:rsidR="00DA15E8" w:rsidRDefault="00DA15E8" w:rsidP="00DA15E8">
      <w:pPr>
        <w:spacing w:after="0" w:line="264" w:lineRule="auto"/>
        <w:jc w:val="both"/>
      </w:pPr>
    </w:p>
    <w:p w14:paraId="23560D72" w14:textId="04A9C614" w:rsidR="00DA15E8" w:rsidRDefault="00DA15E8" w:rsidP="00DA15E8">
      <w:pPr>
        <w:spacing w:after="0" w:line="264" w:lineRule="auto"/>
        <w:jc w:val="both"/>
      </w:pPr>
      <w:r>
        <w:t>Pro území ČR byly identifikovány následující hlavní projevy změny klimatu:</w:t>
      </w:r>
    </w:p>
    <w:p w14:paraId="374E8C9B" w14:textId="77777777" w:rsidR="00DA15E8" w:rsidRDefault="00DA15E8" w:rsidP="004738E0">
      <w:pPr>
        <w:pStyle w:val="Odstavecseseznamem"/>
        <w:numPr>
          <w:ilvl w:val="0"/>
          <w:numId w:val="16"/>
        </w:numPr>
        <w:spacing w:after="120" w:line="264" w:lineRule="auto"/>
        <w:jc w:val="both"/>
      </w:pPr>
      <w:r>
        <w:t>dlouhodobé sucho</w:t>
      </w:r>
    </w:p>
    <w:p w14:paraId="5B74E701" w14:textId="77777777" w:rsidR="00DA15E8" w:rsidRDefault="00DA15E8" w:rsidP="004738E0">
      <w:pPr>
        <w:pStyle w:val="Odstavecseseznamem"/>
        <w:numPr>
          <w:ilvl w:val="0"/>
          <w:numId w:val="16"/>
        </w:numPr>
        <w:spacing w:after="120" w:line="264" w:lineRule="auto"/>
        <w:jc w:val="both"/>
      </w:pPr>
      <w:r>
        <w:t>povodně</w:t>
      </w:r>
    </w:p>
    <w:p w14:paraId="2ECF0341" w14:textId="77777777" w:rsidR="00DA15E8" w:rsidRDefault="00DA15E8" w:rsidP="004738E0">
      <w:pPr>
        <w:pStyle w:val="Odstavecseseznamem"/>
        <w:numPr>
          <w:ilvl w:val="0"/>
          <w:numId w:val="16"/>
        </w:numPr>
        <w:spacing w:after="120" w:line="264" w:lineRule="auto"/>
        <w:jc w:val="both"/>
      </w:pPr>
      <w:r>
        <w:t>vydatné srážky</w:t>
      </w:r>
    </w:p>
    <w:p w14:paraId="56BCB20C" w14:textId="77777777" w:rsidR="00DA15E8" w:rsidRDefault="00DA15E8" w:rsidP="004738E0">
      <w:pPr>
        <w:pStyle w:val="Odstavecseseznamem"/>
        <w:numPr>
          <w:ilvl w:val="0"/>
          <w:numId w:val="16"/>
        </w:numPr>
        <w:spacing w:after="120" w:line="264" w:lineRule="auto"/>
        <w:jc w:val="both"/>
      </w:pPr>
      <w:r>
        <w:t>zvyšování teplot</w:t>
      </w:r>
    </w:p>
    <w:p w14:paraId="2007639B" w14:textId="77777777" w:rsidR="00DA15E8" w:rsidRDefault="00DA15E8" w:rsidP="004738E0">
      <w:pPr>
        <w:pStyle w:val="Odstavecseseznamem"/>
        <w:numPr>
          <w:ilvl w:val="0"/>
          <w:numId w:val="16"/>
        </w:numPr>
        <w:spacing w:after="120" w:line="264" w:lineRule="auto"/>
        <w:jc w:val="both"/>
      </w:pPr>
      <w:r>
        <w:t>extrémně vysoké teploty</w:t>
      </w:r>
    </w:p>
    <w:p w14:paraId="568504B4" w14:textId="77777777" w:rsidR="00DA15E8" w:rsidRDefault="00DA15E8" w:rsidP="004738E0">
      <w:pPr>
        <w:pStyle w:val="Odstavecseseznamem"/>
        <w:numPr>
          <w:ilvl w:val="0"/>
          <w:numId w:val="16"/>
        </w:numPr>
        <w:spacing w:after="120" w:line="264" w:lineRule="auto"/>
        <w:jc w:val="both"/>
      </w:pPr>
      <w:r>
        <w:t>extrémní vítr</w:t>
      </w:r>
    </w:p>
    <w:p w14:paraId="48124D99" w14:textId="77777777" w:rsidR="00DA15E8" w:rsidRDefault="00DA15E8" w:rsidP="004738E0">
      <w:pPr>
        <w:pStyle w:val="Odstavecseseznamem"/>
        <w:numPr>
          <w:ilvl w:val="0"/>
          <w:numId w:val="16"/>
        </w:numPr>
        <w:spacing w:after="120" w:line="264" w:lineRule="auto"/>
        <w:ind w:left="714" w:hanging="357"/>
        <w:jc w:val="both"/>
      </w:pPr>
      <w:r>
        <w:t>požáry vegetace</w:t>
      </w:r>
    </w:p>
    <w:p w14:paraId="0137C91E" w14:textId="37E6F6F1" w:rsidR="00DA15E8" w:rsidRDefault="00DA15E8" w:rsidP="00DA15E8">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DA15E8" w14:paraId="737E6F78" w14:textId="77777777" w:rsidTr="006E2F29">
        <w:tc>
          <w:tcPr>
            <w:tcW w:w="3134" w:type="dxa"/>
          </w:tcPr>
          <w:p w14:paraId="542B31E7" w14:textId="77777777" w:rsidR="00DA15E8" w:rsidRDefault="00DA15E8" w:rsidP="006E2F29">
            <w:pPr>
              <w:spacing w:after="0" w:line="264" w:lineRule="auto"/>
              <w:jc w:val="both"/>
            </w:pPr>
            <w:r>
              <w:t>Dlouhodobé sucho</w:t>
            </w:r>
          </w:p>
        </w:tc>
        <w:tc>
          <w:tcPr>
            <w:tcW w:w="6268" w:type="dxa"/>
          </w:tcPr>
          <w:p w14:paraId="182658FE" w14:textId="77777777" w:rsidR="00DA15E8" w:rsidRDefault="00DA15E8" w:rsidP="004738E0">
            <w:pPr>
              <w:pStyle w:val="Odstavecseseznamem"/>
              <w:numPr>
                <w:ilvl w:val="0"/>
                <w:numId w:val="21"/>
              </w:numPr>
              <w:spacing w:after="0" w:line="264" w:lineRule="auto"/>
              <w:jc w:val="both"/>
            </w:pPr>
            <w:r>
              <w:t>střechy pokryté vegetací</w:t>
            </w:r>
          </w:p>
          <w:p w14:paraId="1230C0B3" w14:textId="77777777" w:rsidR="00DA15E8" w:rsidRDefault="00DA15E8" w:rsidP="004738E0">
            <w:pPr>
              <w:pStyle w:val="Odstavecseseznamem"/>
              <w:numPr>
                <w:ilvl w:val="0"/>
                <w:numId w:val="21"/>
              </w:numPr>
              <w:spacing w:after="0" w:line="264" w:lineRule="auto"/>
              <w:jc w:val="both"/>
            </w:pPr>
            <w:r>
              <w:t>zateplení obálky budovy</w:t>
            </w:r>
          </w:p>
          <w:p w14:paraId="735D3DE2" w14:textId="77777777" w:rsidR="00DA15E8" w:rsidRDefault="00DA15E8" w:rsidP="004738E0">
            <w:pPr>
              <w:pStyle w:val="Odstavecseseznamem"/>
              <w:numPr>
                <w:ilvl w:val="0"/>
                <w:numId w:val="21"/>
              </w:numPr>
              <w:spacing w:after="0" w:line="264" w:lineRule="auto"/>
              <w:jc w:val="both"/>
            </w:pPr>
            <w:r>
              <w:t>výsadba stromů</w:t>
            </w:r>
          </w:p>
          <w:p w14:paraId="5B1C0368" w14:textId="77777777" w:rsidR="00DA15E8" w:rsidRDefault="00DA15E8" w:rsidP="004738E0">
            <w:pPr>
              <w:pStyle w:val="Odstavecseseznamem"/>
              <w:numPr>
                <w:ilvl w:val="0"/>
                <w:numId w:val="21"/>
              </w:numPr>
              <w:spacing w:after="0" w:line="264" w:lineRule="auto"/>
              <w:jc w:val="both"/>
            </w:pPr>
            <w:r>
              <w:t>akumulace dešťové vody</w:t>
            </w:r>
          </w:p>
          <w:p w14:paraId="5CBB93CE" w14:textId="77777777" w:rsidR="00DA15E8" w:rsidRDefault="00DA15E8" w:rsidP="004738E0">
            <w:pPr>
              <w:pStyle w:val="Odstavecseseznamem"/>
              <w:numPr>
                <w:ilvl w:val="0"/>
                <w:numId w:val="21"/>
              </w:numPr>
              <w:spacing w:after="0" w:line="264" w:lineRule="auto"/>
              <w:jc w:val="both"/>
            </w:pPr>
            <w:r>
              <w:t>rozvody užitkové vody z akumulované dešťové vody, uzavřené cykly využití užitkové vody</w:t>
            </w:r>
          </w:p>
          <w:p w14:paraId="23223CAD" w14:textId="77777777" w:rsidR="00DA15E8" w:rsidRDefault="00DA15E8" w:rsidP="004738E0">
            <w:pPr>
              <w:pStyle w:val="Odstavecseseznamem"/>
              <w:numPr>
                <w:ilvl w:val="0"/>
                <w:numId w:val="21"/>
              </w:numPr>
              <w:spacing w:after="0" w:line="264" w:lineRule="auto"/>
              <w:jc w:val="both"/>
            </w:pPr>
            <w:r>
              <w:t xml:space="preserve">uzavřené cykly   </w:t>
            </w:r>
          </w:p>
        </w:tc>
      </w:tr>
      <w:tr w:rsidR="00DA15E8" w14:paraId="5A6378F5" w14:textId="77777777" w:rsidTr="006E2F29">
        <w:tc>
          <w:tcPr>
            <w:tcW w:w="3134" w:type="dxa"/>
          </w:tcPr>
          <w:p w14:paraId="54873864" w14:textId="77777777" w:rsidR="00DA15E8" w:rsidRDefault="00DA15E8" w:rsidP="006E2F29">
            <w:pPr>
              <w:spacing w:after="0" w:line="264" w:lineRule="auto"/>
              <w:jc w:val="both"/>
            </w:pPr>
            <w:r>
              <w:t xml:space="preserve">Povodně </w:t>
            </w:r>
          </w:p>
        </w:tc>
        <w:tc>
          <w:tcPr>
            <w:tcW w:w="6268" w:type="dxa"/>
          </w:tcPr>
          <w:p w14:paraId="628B4073" w14:textId="77777777" w:rsidR="00DA15E8" w:rsidRDefault="00DA15E8" w:rsidP="004738E0">
            <w:pPr>
              <w:pStyle w:val="Odstavecseseznamem"/>
              <w:numPr>
                <w:ilvl w:val="0"/>
                <w:numId w:val="22"/>
              </w:numPr>
              <w:spacing w:after="0" w:line="264" w:lineRule="auto"/>
              <w:jc w:val="both"/>
            </w:pPr>
            <w:r>
              <w:t xml:space="preserve">výstavba mimo záplavové území </w:t>
            </w:r>
          </w:p>
          <w:p w14:paraId="133459BE" w14:textId="77777777" w:rsidR="00DA15E8" w:rsidRDefault="00DA15E8" w:rsidP="004738E0">
            <w:pPr>
              <w:pStyle w:val="Odstavecseseznamem"/>
              <w:numPr>
                <w:ilvl w:val="0"/>
                <w:numId w:val="22"/>
              </w:numPr>
              <w:spacing w:after="0" w:line="264" w:lineRule="auto"/>
              <w:jc w:val="both"/>
            </w:pPr>
            <w:r>
              <w:t>napojení na výstražný meteorologický systém</w:t>
            </w:r>
          </w:p>
        </w:tc>
      </w:tr>
      <w:tr w:rsidR="00DA15E8" w14:paraId="710BA021" w14:textId="77777777" w:rsidTr="006E2F29">
        <w:tc>
          <w:tcPr>
            <w:tcW w:w="3134" w:type="dxa"/>
          </w:tcPr>
          <w:p w14:paraId="35242BEA" w14:textId="77777777" w:rsidR="00DA15E8" w:rsidRDefault="00DA15E8" w:rsidP="006E2F29">
            <w:pPr>
              <w:spacing w:after="0" w:line="264" w:lineRule="auto"/>
              <w:jc w:val="both"/>
            </w:pPr>
            <w:r>
              <w:t>Vydatné srážky</w:t>
            </w:r>
          </w:p>
        </w:tc>
        <w:tc>
          <w:tcPr>
            <w:tcW w:w="6268" w:type="dxa"/>
          </w:tcPr>
          <w:p w14:paraId="47B592D7" w14:textId="77777777" w:rsidR="00DA15E8" w:rsidRDefault="00DA15E8" w:rsidP="004738E0">
            <w:pPr>
              <w:pStyle w:val="Odstavecseseznamem"/>
              <w:numPr>
                <w:ilvl w:val="0"/>
                <w:numId w:val="23"/>
              </w:numPr>
              <w:spacing w:after="0" w:line="264" w:lineRule="auto"/>
              <w:jc w:val="both"/>
            </w:pPr>
            <w:r>
              <w:t>napojení na výstražný meteorologický systém</w:t>
            </w:r>
          </w:p>
          <w:p w14:paraId="1BCF0BFD" w14:textId="77777777" w:rsidR="00DA15E8" w:rsidRDefault="00DA15E8" w:rsidP="004738E0">
            <w:pPr>
              <w:pStyle w:val="Odstavecseseznamem"/>
              <w:numPr>
                <w:ilvl w:val="0"/>
                <w:numId w:val="23"/>
              </w:numPr>
              <w:spacing w:after="0" w:line="264" w:lineRule="auto"/>
              <w:jc w:val="both"/>
            </w:pPr>
            <w:r>
              <w:t>vhodné stavební úpravy</w:t>
            </w:r>
          </w:p>
        </w:tc>
      </w:tr>
      <w:tr w:rsidR="00DA15E8" w14:paraId="1E3781FB" w14:textId="77777777" w:rsidTr="006E2F29">
        <w:tc>
          <w:tcPr>
            <w:tcW w:w="3134" w:type="dxa"/>
          </w:tcPr>
          <w:p w14:paraId="660B0D2B" w14:textId="77777777" w:rsidR="00DA15E8" w:rsidRDefault="00DA15E8" w:rsidP="006E2F29">
            <w:pPr>
              <w:spacing w:after="0" w:line="264" w:lineRule="auto"/>
              <w:jc w:val="both"/>
            </w:pPr>
            <w:r>
              <w:t>Zvyšování teplot</w:t>
            </w:r>
          </w:p>
        </w:tc>
        <w:tc>
          <w:tcPr>
            <w:tcW w:w="6268" w:type="dxa"/>
          </w:tcPr>
          <w:p w14:paraId="51051C23" w14:textId="77777777" w:rsidR="00DA15E8" w:rsidRDefault="00DA15E8" w:rsidP="004738E0">
            <w:pPr>
              <w:pStyle w:val="Odstavecseseznamem"/>
              <w:numPr>
                <w:ilvl w:val="0"/>
                <w:numId w:val="21"/>
              </w:numPr>
              <w:spacing w:after="0" w:line="264" w:lineRule="auto"/>
              <w:jc w:val="both"/>
            </w:pPr>
            <w:r>
              <w:t>střechy pokryté vegetací</w:t>
            </w:r>
          </w:p>
          <w:p w14:paraId="4C154BAC" w14:textId="77777777" w:rsidR="00DA15E8" w:rsidRDefault="00DA15E8" w:rsidP="004738E0">
            <w:pPr>
              <w:pStyle w:val="Odstavecseseznamem"/>
              <w:numPr>
                <w:ilvl w:val="0"/>
                <w:numId w:val="21"/>
              </w:numPr>
              <w:spacing w:after="0" w:line="264" w:lineRule="auto"/>
              <w:jc w:val="both"/>
            </w:pPr>
            <w:r>
              <w:t>technologie chlazení budovy, v kombinaci s </w:t>
            </w:r>
            <w:proofErr w:type="spellStart"/>
            <w:r>
              <w:t>fotovoltaikou</w:t>
            </w:r>
            <w:proofErr w:type="spellEnd"/>
            <w:r>
              <w:t xml:space="preserve"> (energetické náklady)</w:t>
            </w:r>
          </w:p>
          <w:p w14:paraId="6804E0F8" w14:textId="77777777" w:rsidR="00DA15E8" w:rsidRDefault="00DA15E8" w:rsidP="004738E0">
            <w:pPr>
              <w:pStyle w:val="Odstavecseseznamem"/>
              <w:numPr>
                <w:ilvl w:val="0"/>
                <w:numId w:val="21"/>
              </w:numPr>
              <w:spacing w:after="0" w:line="264" w:lineRule="auto"/>
              <w:jc w:val="both"/>
            </w:pPr>
            <w:r>
              <w:t>instalace stínící techniky</w:t>
            </w:r>
          </w:p>
        </w:tc>
      </w:tr>
      <w:tr w:rsidR="00DA15E8" w14:paraId="4B19F886" w14:textId="77777777" w:rsidTr="006E2F29">
        <w:tc>
          <w:tcPr>
            <w:tcW w:w="3134" w:type="dxa"/>
          </w:tcPr>
          <w:p w14:paraId="528245A3" w14:textId="77777777" w:rsidR="00DA15E8" w:rsidRDefault="00DA15E8" w:rsidP="006E2F29">
            <w:pPr>
              <w:spacing w:after="0" w:line="264" w:lineRule="auto"/>
              <w:jc w:val="both"/>
            </w:pPr>
            <w:r>
              <w:t>Extrémně vysoké teploty</w:t>
            </w:r>
          </w:p>
        </w:tc>
        <w:tc>
          <w:tcPr>
            <w:tcW w:w="6268" w:type="dxa"/>
          </w:tcPr>
          <w:p w14:paraId="6AB654AE" w14:textId="77777777" w:rsidR="00DA15E8" w:rsidRDefault="00DA15E8" w:rsidP="004738E0">
            <w:pPr>
              <w:pStyle w:val="Odstavecseseznamem"/>
              <w:numPr>
                <w:ilvl w:val="0"/>
                <w:numId w:val="21"/>
              </w:numPr>
              <w:spacing w:after="0" w:line="264" w:lineRule="auto"/>
              <w:jc w:val="both"/>
            </w:pPr>
            <w:r>
              <w:t>střechy pokryté vegetací</w:t>
            </w:r>
          </w:p>
          <w:p w14:paraId="6FDB8893" w14:textId="77777777" w:rsidR="00DA15E8" w:rsidRDefault="00DA15E8" w:rsidP="004738E0">
            <w:pPr>
              <w:pStyle w:val="Odstavecseseznamem"/>
              <w:numPr>
                <w:ilvl w:val="0"/>
                <w:numId w:val="21"/>
              </w:numPr>
              <w:spacing w:after="0" w:line="264" w:lineRule="auto"/>
              <w:jc w:val="both"/>
            </w:pPr>
            <w:r>
              <w:t>systémy řízeného větrání</w:t>
            </w:r>
          </w:p>
          <w:p w14:paraId="541368C9" w14:textId="77777777" w:rsidR="00DA15E8" w:rsidRDefault="00DA15E8" w:rsidP="004738E0">
            <w:pPr>
              <w:pStyle w:val="Odstavecseseznamem"/>
              <w:numPr>
                <w:ilvl w:val="0"/>
                <w:numId w:val="21"/>
              </w:numPr>
              <w:spacing w:after="0" w:line="264" w:lineRule="auto"/>
              <w:jc w:val="both"/>
            </w:pPr>
            <w:r>
              <w:t>technologie chlazení budovy v kombinaci s </w:t>
            </w:r>
            <w:proofErr w:type="spellStart"/>
            <w:r>
              <w:t>fotovoltaikou</w:t>
            </w:r>
            <w:proofErr w:type="spellEnd"/>
            <w:r>
              <w:t xml:space="preserve"> (energetické náklady)</w:t>
            </w:r>
          </w:p>
          <w:p w14:paraId="07A7CAC1" w14:textId="77777777" w:rsidR="00DA15E8" w:rsidRDefault="00DA15E8" w:rsidP="004738E0">
            <w:pPr>
              <w:pStyle w:val="Odstavecseseznamem"/>
              <w:numPr>
                <w:ilvl w:val="0"/>
                <w:numId w:val="21"/>
              </w:numPr>
              <w:spacing w:after="0" w:line="264" w:lineRule="auto"/>
              <w:jc w:val="both"/>
            </w:pPr>
            <w:r>
              <w:t>instalace stínící techniky</w:t>
            </w:r>
          </w:p>
        </w:tc>
      </w:tr>
      <w:tr w:rsidR="00DA15E8" w14:paraId="73505303" w14:textId="77777777" w:rsidTr="006E2F29">
        <w:tc>
          <w:tcPr>
            <w:tcW w:w="3134" w:type="dxa"/>
          </w:tcPr>
          <w:p w14:paraId="3E5FFF2D" w14:textId="77777777" w:rsidR="00DA15E8" w:rsidRDefault="00DA15E8" w:rsidP="006E2F29">
            <w:pPr>
              <w:spacing w:after="0" w:line="264" w:lineRule="auto"/>
              <w:jc w:val="both"/>
            </w:pPr>
            <w:r>
              <w:t>Extrémní vítr</w:t>
            </w:r>
          </w:p>
        </w:tc>
        <w:tc>
          <w:tcPr>
            <w:tcW w:w="6268" w:type="dxa"/>
          </w:tcPr>
          <w:p w14:paraId="03CD3AAB" w14:textId="77777777" w:rsidR="00DA15E8" w:rsidRDefault="00DA15E8" w:rsidP="004738E0">
            <w:pPr>
              <w:pStyle w:val="Odstavecseseznamem"/>
              <w:numPr>
                <w:ilvl w:val="0"/>
                <w:numId w:val="24"/>
              </w:numPr>
              <w:spacing w:after="0" w:line="264" w:lineRule="auto"/>
              <w:jc w:val="both"/>
            </w:pPr>
            <w:r>
              <w:t xml:space="preserve">napojení na výstražný meteorologický systém, elektronické propojení s vhodnými technologiemi </w:t>
            </w:r>
            <w:proofErr w:type="gramStart"/>
            <w:r>
              <w:t>-  např.</w:t>
            </w:r>
            <w:proofErr w:type="gramEnd"/>
            <w:r>
              <w:t xml:space="preserve"> automatické uzavření otvorových výplní</w:t>
            </w:r>
          </w:p>
        </w:tc>
      </w:tr>
      <w:tr w:rsidR="00DA15E8" w14:paraId="62329925" w14:textId="77777777" w:rsidTr="006E2F29">
        <w:tc>
          <w:tcPr>
            <w:tcW w:w="3134" w:type="dxa"/>
          </w:tcPr>
          <w:p w14:paraId="6B8D9053" w14:textId="77777777" w:rsidR="00DA15E8" w:rsidRDefault="00DA15E8" w:rsidP="006E2F29">
            <w:pPr>
              <w:spacing w:after="0" w:line="264" w:lineRule="auto"/>
              <w:jc w:val="both"/>
            </w:pPr>
            <w:r>
              <w:t>Požáry vegetace</w:t>
            </w:r>
          </w:p>
        </w:tc>
        <w:tc>
          <w:tcPr>
            <w:tcW w:w="6268" w:type="dxa"/>
          </w:tcPr>
          <w:p w14:paraId="30E6B245" w14:textId="77777777" w:rsidR="00DA15E8" w:rsidRDefault="00DA15E8" w:rsidP="004738E0">
            <w:pPr>
              <w:pStyle w:val="Odstavecseseznamem"/>
              <w:numPr>
                <w:ilvl w:val="0"/>
                <w:numId w:val="24"/>
              </w:numPr>
              <w:spacing w:after="0" w:line="264" w:lineRule="auto"/>
              <w:jc w:val="both"/>
            </w:pPr>
            <w:r>
              <w:t>instalace signalizace</w:t>
            </w:r>
          </w:p>
          <w:p w14:paraId="1D51CD1F" w14:textId="77777777" w:rsidR="00DA15E8" w:rsidRDefault="00DA15E8" w:rsidP="004738E0">
            <w:pPr>
              <w:pStyle w:val="Odstavecseseznamem"/>
              <w:numPr>
                <w:ilvl w:val="0"/>
                <w:numId w:val="24"/>
              </w:numPr>
              <w:spacing w:after="0" w:line="264" w:lineRule="auto"/>
              <w:jc w:val="both"/>
            </w:pPr>
            <w:r>
              <w:t>vhodné umístění hasicích prvků</w:t>
            </w:r>
          </w:p>
          <w:p w14:paraId="6636DFBF" w14:textId="77777777" w:rsidR="00DA15E8" w:rsidRDefault="00DA15E8" w:rsidP="004738E0">
            <w:pPr>
              <w:pStyle w:val="Odstavecseseznamem"/>
              <w:numPr>
                <w:ilvl w:val="0"/>
                <w:numId w:val="24"/>
              </w:numPr>
              <w:spacing w:after="0" w:line="264" w:lineRule="auto"/>
              <w:jc w:val="both"/>
            </w:pPr>
            <w:r>
              <w:lastRenderedPageBreak/>
              <w:t>instalace vhodných prvků zadržování vody – např. jímání dešťové vody v areálu firmy</w:t>
            </w:r>
          </w:p>
        </w:tc>
      </w:tr>
    </w:tbl>
    <w:p w14:paraId="4A2A1CD2" w14:textId="77777777" w:rsidR="00DA15E8" w:rsidRDefault="00DA15E8" w:rsidP="00DA15E8">
      <w:pPr>
        <w:spacing w:after="120" w:line="264" w:lineRule="auto"/>
        <w:jc w:val="both"/>
      </w:pPr>
    </w:p>
    <w:p w14:paraId="4CA09235" w14:textId="77777777" w:rsidR="00DA15E8" w:rsidRDefault="00DA15E8" w:rsidP="004738E0">
      <w:pPr>
        <w:pStyle w:val="Odstavecseseznamem"/>
        <w:numPr>
          <w:ilvl w:val="0"/>
          <w:numId w:val="19"/>
        </w:numPr>
        <w:spacing w:after="120" w:line="264" w:lineRule="auto"/>
        <w:jc w:val="both"/>
      </w:pPr>
      <w:r w:rsidRPr="005A07AC">
        <w:rPr>
          <w:b/>
        </w:rPr>
        <w:t xml:space="preserve">Pro projekty </w:t>
      </w:r>
      <w:r>
        <w:t xml:space="preserve">proveďte </w:t>
      </w:r>
      <w:r w:rsidRPr="002608EC">
        <w:rPr>
          <w:b/>
        </w:rPr>
        <w:t>podrobnou analýzu citlivosti, expozice a zranitelnosti</w:t>
      </w:r>
    </w:p>
    <w:p w14:paraId="4715E700" w14:textId="77777777" w:rsidR="00DA15E8" w:rsidRPr="000D6270" w:rsidRDefault="00DA15E8" w:rsidP="00DA15E8">
      <w:pPr>
        <w:spacing w:before="240"/>
        <w:rPr>
          <w:rFonts w:cs="Segoe UI"/>
          <w:b/>
          <w:bCs/>
        </w:rPr>
      </w:pPr>
      <w:r w:rsidRPr="000D6270">
        <w:rPr>
          <w:rFonts w:cs="Segoe UI"/>
          <w:b/>
          <w:bCs/>
        </w:rPr>
        <w:t>Analýza citlivosti</w:t>
      </w:r>
    </w:p>
    <w:p w14:paraId="2E4BCC7C" w14:textId="77777777" w:rsidR="00DA15E8" w:rsidRPr="000D6270" w:rsidRDefault="00DA15E8" w:rsidP="00DA15E8">
      <w:pPr>
        <w:spacing w:after="120" w:line="264" w:lineRule="auto"/>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w:t>
      </w:r>
      <w:proofErr w:type="spellStart"/>
      <w:r>
        <w:rPr>
          <w:rFonts w:cs="Segoe UI"/>
        </w:rPr>
        <w:t>citilivosti</w:t>
      </w:r>
      <w:proofErr w:type="spellEnd"/>
      <w:r>
        <w:rPr>
          <w:rFonts w:cs="Segoe UI"/>
        </w:rPr>
        <w:t xml:space="preserve"> se vztahuje na </w:t>
      </w:r>
      <w:r w:rsidRPr="00931597">
        <w:rPr>
          <w:rFonts w:cs="Segoe UI"/>
        </w:rPr>
        <w:t>aktiva a procesy na místě, vstupy – voda, energie, výstupy – výrobky, služby, přístup a dopravní spoje</w:t>
      </w:r>
      <w:r>
        <w:rPr>
          <w:rFonts w:cs="Segoe UI"/>
        </w:rPr>
        <w:t>.</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DA15E8" w:rsidRPr="000D6270" w14:paraId="1F1C0588" w14:textId="77777777" w:rsidTr="006E2F29">
        <w:trPr>
          <w:trHeight w:val="613"/>
        </w:trPr>
        <w:tc>
          <w:tcPr>
            <w:tcW w:w="9356" w:type="dxa"/>
            <w:gridSpan w:val="9"/>
            <w:shd w:val="clear" w:color="auto" w:fill="B5DCFF" w:themeFill="text2" w:themeFillTint="33"/>
            <w:vAlign w:val="center"/>
          </w:tcPr>
          <w:p w14:paraId="2CF07096" w14:textId="77777777" w:rsidR="00DA15E8" w:rsidRPr="000D6270" w:rsidRDefault="00DA15E8" w:rsidP="006E2F29">
            <w:pPr>
              <w:spacing w:line="264" w:lineRule="auto"/>
              <w:jc w:val="center"/>
              <w:rPr>
                <w:rFonts w:cs="Segoe UI"/>
                <w:b/>
                <w:bCs/>
                <w:sz w:val="20"/>
                <w:szCs w:val="20"/>
              </w:rPr>
            </w:pPr>
            <w:r w:rsidRPr="000D6270">
              <w:rPr>
                <w:rFonts w:cs="Segoe UI"/>
                <w:b/>
                <w:bCs/>
                <w:sz w:val="20"/>
                <w:szCs w:val="20"/>
              </w:rPr>
              <w:t>Analýza citlivosti</w:t>
            </w:r>
          </w:p>
        </w:tc>
      </w:tr>
      <w:tr w:rsidR="00DA15E8" w:rsidRPr="000D6270" w14:paraId="17EFBC82" w14:textId="77777777" w:rsidTr="006E2F29">
        <w:trPr>
          <w:trHeight w:val="613"/>
        </w:trPr>
        <w:tc>
          <w:tcPr>
            <w:tcW w:w="1985" w:type="dxa"/>
            <w:gridSpan w:val="2"/>
            <w:vMerge w:val="restart"/>
            <w:shd w:val="clear" w:color="auto" w:fill="B5DCFF" w:themeFill="text2" w:themeFillTint="33"/>
            <w:vAlign w:val="center"/>
          </w:tcPr>
          <w:p w14:paraId="110D007C"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3AD852DD"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Klimatická nebezpečí</w:t>
            </w:r>
          </w:p>
        </w:tc>
      </w:tr>
      <w:tr w:rsidR="00DA15E8" w:rsidRPr="000D6270" w14:paraId="23FB0A94" w14:textId="77777777" w:rsidTr="006E2F29">
        <w:trPr>
          <w:trHeight w:val="885"/>
        </w:trPr>
        <w:tc>
          <w:tcPr>
            <w:tcW w:w="1985" w:type="dxa"/>
            <w:gridSpan w:val="2"/>
            <w:vMerge/>
            <w:tcBorders>
              <w:bottom w:val="single" w:sz="4" w:space="0" w:color="auto"/>
            </w:tcBorders>
            <w:shd w:val="clear" w:color="auto" w:fill="B5DCFF" w:themeFill="text2" w:themeFillTint="33"/>
            <w:vAlign w:val="center"/>
          </w:tcPr>
          <w:p w14:paraId="631F80FF" w14:textId="77777777" w:rsidR="00DA15E8" w:rsidRPr="000D6270" w:rsidRDefault="00DA15E8" w:rsidP="006E2F29">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AA4923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2689870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050D9227"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74AC92A5" w14:textId="77777777" w:rsidR="00DA15E8" w:rsidRPr="000D6270" w:rsidRDefault="00DA15E8" w:rsidP="006E2F29">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1B82B1CA"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FEB50F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018D477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Požáry vegetace</w:t>
            </w:r>
          </w:p>
        </w:tc>
      </w:tr>
      <w:tr w:rsidR="00DA15E8" w:rsidRPr="000D6270" w14:paraId="24CBC6A8" w14:textId="77777777" w:rsidTr="006E2F29">
        <w:trPr>
          <w:trHeight w:val="474"/>
        </w:trPr>
        <w:tc>
          <w:tcPr>
            <w:tcW w:w="426" w:type="dxa"/>
            <w:vMerge w:val="restart"/>
            <w:shd w:val="clear" w:color="auto" w:fill="B5DCFF" w:themeFill="text2" w:themeFillTint="33"/>
            <w:textDirection w:val="btLr"/>
            <w:vAlign w:val="center"/>
          </w:tcPr>
          <w:p w14:paraId="70D196A5"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338D3D34"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4C71BC7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2592E5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25400D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BB1499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B6202A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A0C626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8273FE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1082A375" w14:textId="77777777" w:rsidTr="006E2F29">
        <w:trPr>
          <w:trHeight w:val="474"/>
        </w:trPr>
        <w:tc>
          <w:tcPr>
            <w:tcW w:w="426" w:type="dxa"/>
            <w:vMerge/>
            <w:shd w:val="clear" w:color="auto" w:fill="B5DCFF" w:themeFill="text2" w:themeFillTint="33"/>
            <w:vAlign w:val="center"/>
          </w:tcPr>
          <w:p w14:paraId="3890DBEC"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2851ABC0"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6036B55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DD8E87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559CBE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0EF639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ACD2EA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C84052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C76BE3"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0B25C6DE" w14:textId="77777777" w:rsidTr="006E2F29">
        <w:trPr>
          <w:trHeight w:val="474"/>
        </w:trPr>
        <w:tc>
          <w:tcPr>
            <w:tcW w:w="426" w:type="dxa"/>
            <w:vMerge/>
            <w:shd w:val="clear" w:color="auto" w:fill="B5DCFF" w:themeFill="text2" w:themeFillTint="33"/>
            <w:vAlign w:val="center"/>
          </w:tcPr>
          <w:p w14:paraId="7EC5779F"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88B10D6"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0A11C82C"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6738FF26"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10A1335E"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133C5978"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D410C8A"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38AC99A"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4E64C6A7" w14:textId="77777777" w:rsidR="00DA15E8" w:rsidRPr="000D6270" w:rsidRDefault="00DA15E8" w:rsidP="006E2F29">
            <w:pPr>
              <w:spacing w:after="0" w:line="264" w:lineRule="auto"/>
              <w:jc w:val="center"/>
              <w:rPr>
                <w:rFonts w:cs="Segoe UI"/>
                <w:sz w:val="20"/>
                <w:szCs w:val="20"/>
              </w:rPr>
            </w:pPr>
            <w:r w:rsidRPr="000D6270">
              <w:rPr>
                <w:rFonts w:cs="Segoe UI"/>
                <w:i/>
                <w:iCs/>
                <w:sz w:val="20"/>
                <w:szCs w:val="20"/>
              </w:rPr>
              <w:t>N/S/V</w:t>
            </w:r>
          </w:p>
        </w:tc>
      </w:tr>
      <w:tr w:rsidR="00DA15E8" w:rsidRPr="000D6270" w14:paraId="42313DBC" w14:textId="77777777" w:rsidTr="006E2F29">
        <w:trPr>
          <w:trHeight w:val="474"/>
        </w:trPr>
        <w:tc>
          <w:tcPr>
            <w:tcW w:w="426" w:type="dxa"/>
            <w:vMerge/>
            <w:shd w:val="clear" w:color="auto" w:fill="B5DCFF" w:themeFill="text2" w:themeFillTint="33"/>
            <w:vAlign w:val="center"/>
          </w:tcPr>
          <w:p w14:paraId="434AF017" w14:textId="77777777" w:rsidR="00DA15E8" w:rsidRPr="000D6270" w:rsidRDefault="00DA15E8" w:rsidP="006E2F29">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2CE97A19" w14:textId="77777777" w:rsidR="00DA15E8" w:rsidRPr="00931597" w:rsidRDefault="00DA15E8" w:rsidP="006E2F29">
            <w:pPr>
              <w:tabs>
                <w:tab w:val="left" w:pos="0"/>
              </w:tabs>
              <w:spacing w:after="0" w:line="264" w:lineRule="auto"/>
              <w:jc w:val="center"/>
              <w:rPr>
                <w:rFonts w:cs="Segoe UI"/>
                <w:sz w:val="20"/>
                <w:szCs w:val="20"/>
              </w:rPr>
            </w:pPr>
            <w:r w:rsidRPr="00931597">
              <w:rPr>
                <w:rFonts w:cs="Segoe UI"/>
                <w:sz w:val="20"/>
                <w:szCs w:val="20"/>
              </w:rPr>
              <w:t>Přístup a dopravní spoje, a to i v případě, že jsou mimo přímou kontrolu projektu</w:t>
            </w:r>
          </w:p>
        </w:tc>
        <w:tc>
          <w:tcPr>
            <w:tcW w:w="992" w:type="dxa"/>
            <w:vAlign w:val="center"/>
          </w:tcPr>
          <w:p w14:paraId="13FDDF7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D72653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8A0F2E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193432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198555F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B40A4A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9FA4B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288CD23E" w14:textId="77777777" w:rsidTr="006E2F29">
        <w:trPr>
          <w:trHeight w:val="474"/>
        </w:trPr>
        <w:tc>
          <w:tcPr>
            <w:tcW w:w="1985" w:type="dxa"/>
            <w:gridSpan w:val="2"/>
            <w:shd w:val="clear" w:color="auto" w:fill="B5DCFF" w:themeFill="text2" w:themeFillTint="33"/>
            <w:vAlign w:val="center"/>
          </w:tcPr>
          <w:p w14:paraId="761A2325"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63C3381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34B37F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07B01E9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0A921805"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1B01BC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26A8A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2224A64"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bl>
    <w:p w14:paraId="3D6A6E5D" w14:textId="77777777" w:rsidR="00DA15E8" w:rsidRPr="000D6270" w:rsidRDefault="00DA15E8" w:rsidP="00DA15E8">
      <w:pPr>
        <w:spacing w:after="120" w:line="264" w:lineRule="auto"/>
        <w:rPr>
          <w:rFonts w:cs="Segoe UI"/>
        </w:rPr>
      </w:pPr>
    </w:p>
    <w:p w14:paraId="3718B775" w14:textId="77777777" w:rsidR="00DA15E8" w:rsidRPr="000D6270" w:rsidRDefault="00DA15E8" w:rsidP="00DA15E8">
      <w:pPr>
        <w:spacing w:after="120" w:line="264" w:lineRule="auto"/>
        <w:rPr>
          <w:rFonts w:cs="Segoe UI"/>
        </w:rPr>
      </w:pPr>
      <w:r w:rsidRPr="000D6270">
        <w:rPr>
          <w:rFonts w:cs="Segoe UI"/>
        </w:rPr>
        <w:t xml:space="preserve">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w:t>
      </w:r>
      <w:proofErr w:type="gramStart"/>
      <w:r w:rsidRPr="000D6270">
        <w:rPr>
          <w:rFonts w:cs="Segoe UI"/>
        </w:rPr>
        <w:t>2021 – 2030</w:t>
      </w:r>
      <w:proofErr w:type="gramEnd"/>
      <w:r w:rsidRPr="000D6270">
        <w:rPr>
          <w:rFonts w:cs="Segoe UI"/>
        </w:rPr>
        <w:t>.</w:t>
      </w:r>
    </w:p>
    <w:p w14:paraId="4A42DCE5" w14:textId="77777777" w:rsidR="00DA15E8" w:rsidRPr="000D6270" w:rsidRDefault="00DA15E8" w:rsidP="00DA15E8">
      <w:pPr>
        <w:spacing w:before="240" w:line="264" w:lineRule="auto"/>
        <w:rPr>
          <w:rFonts w:cs="Segoe UI"/>
          <w:b/>
          <w:bCs/>
        </w:rPr>
      </w:pPr>
      <w:r w:rsidRPr="000D6270">
        <w:rPr>
          <w:rFonts w:cs="Segoe UI"/>
          <w:b/>
          <w:bCs/>
        </w:rPr>
        <w:t>Analýza expozice</w:t>
      </w:r>
    </w:p>
    <w:p w14:paraId="02210B6C" w14:textId="77777777" w:rsidR="00DA15E8" w:rsidRPr="000D6270" w:rsidRDefault="00DA15E8" w:rsidP="00DA15E8">
      <w:pPr>
        <w:spacing w:line="264" w:lineRule="auto"/>
        <w:rPr>
          <w:rFonts w:cs="Segoe UI"/>
        </w:rPr>
      </w:pPr>
      <w:r>
        <w:rPr>
          <w:rFonts w:cs="Segoe UI"/>
        </w:rPr>
        <w:t xml:space="preserve">Zpracovatel </w:t>
      </w:r>
      <w:r w:rsidRPr="000D6270">
        <w:rPr>
          <w:rFonts w:cs="Segoe UI"/>
        </w:rPr>
        <w:t>vypracuje analýzu expozice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DA15E8" w:rsidRPr="000D6270" w14:paraId="02266D1C" w14:textId="77777777" w:rsidTr="006E2F29">
        <w:trPr>
          <w:trHeight w:val="613"/>
        </w:trPr>
        <w:tc>
          <w:tcPr>
            <w:tcW w:w="9356" w:type="dxa"/>
            <w:gridSpan w:val="9"/>
            <w:shd w:val="clear" w:color="auto" w:fill="B5DCFF" w:themeFill="text2" w:themeFillTint="33"/>
            <w:vAlign w:val="center"/>
          </w:tcPr>
          <w:p w14:paraId="48BFD3A0"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Analýza expozice</w:t>
            </w:r>
          </w:p>
        </w:tc>
      </w:tr>
      <w:tr w:rsidR="00DA15E8" w:rsidRPr="000D6270" w14:paraId="3ADEB85A" w14:textId="77777777" w:rsidTr="006E2F29">
        <w:trPr>
          <w:trHeight w:val="613"/>
        </w:trPr>
        <w:tc>
          <w:tcPr>
            <w:tcW w:w="1985" w:type="dxa"/>
            <w:gridSpan w:val="2"/>
            <w:vMerge w:val="restart"/>
            <w:shd w:val="clear" w:color="auto" w:fill="B5DCFF" w:themeFill="text2" w:themeFillTint="33"/>
            <w:vAlign w:val="center"/>
          </w:tcPr>
          <w:p w14:paraId="17347655"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lastRenderedPageBreak/>
              <w:t>Skóre expozice (Nízké / Střední / Vysoké)</w:t>
            </w:r>
          </w:p>
        </w:tc>
        <w:tc>
          <w:tcPr>
            <w:tcW w:w="7371" w:type="dxa"/>
            <w:gridSpan w:val="7"/>
            <w:shd w:val="clear" w:color="auto" w:fill="B5DCFF" w:themeFill="text2" w:themeFillTint="33"/>
            <w:vAlign w:val="center"/>
          </w:tcPr>
          <w:p w14:paraId="52AC6655"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Klimatická nebezpečí</w:t>
            </w:r>
          </w:p>
        </w:tc>
      </w:tr>
      <w:tr w:rsidR="00DA15E8" w:rsidRPr="000D6270" w14:paraId="678306D1" w14:textId="77777777" w:rsidTr="006E2F29">
        <w:trPr>
          <w:trHeight w:val="885"/>
        </w:trPr>
        <w:tc>
          <w:tcPr>
            <w:tcW w:w="1985" w:type="dxa"/>
            <w:gridSpan w:val="2"/>
            <w:vMerge/>
            <w:tcBorders>
              <w:bottom w:val="single" w:sz="4" w:space="0" w:color="auto"/>
            </w:tcBorders>
            <w:shd w:val="clear" w:color="auto" w:fill="B5DCFF" w:themeFill="text2" w:themeFillTint="33"/>
            <w:vAlign w:val="center"/>
          </w:tcPr>
          <w:p w14:paraId="0D5316A3" w14:textId="77777777" w:rsidR="00DA15E8" w:rsidRPr="000D6270" w:rsidRDefault="00DA15E8" w:rsidP="006E2F29">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79818B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30F8485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3FFB3B9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242A0CD6" w14:textId="77777777" w:rsidR="00DA15E8" w:rsidRPr="000D6270" w:rsidRDefault="00DA15E8" w:rsidP="006E2F29">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7C3B46A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0913725B"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A16CB5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Požáry vegetace</w:t>
            </w:r>
          </w:p>
        </w:tc>
      </w:tr>
      <w:tr w:rsidR="00DA15E8" w:rsidRPr="000D6270" w14:paraId="2AEFBF95" w14:textId="77777777" w:rsidTr="006E2F29">
        <w:trPr>
          <w:trHeight w:val="1045"/>
        </w:trPr>
        <w:tc>
          <w:tcPr>
            <w:tcW w:w="709" w:type="dxa"/>
            <w:vMerge w:val="restart"/>
            <w:shd w:val="clear" w:color="auto" w:fill="B5DCFF" w:themeFill="text2" w:themeFillTint="33"/>
            <w:textDirection w:val="btLr"/>
            <w:vAlign w:val="center"/>
          </w:tcPr>
          <w:p w14:paraId="28A96DB3"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06E2237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2C77C2AF"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974725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53543BD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189849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3AFB57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6D1B40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5F45F10"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3BAD6515" w14:textId="77777777" w:rsidTr="006E2F29">
        <w:trPr>
          <w:trHeight w:val="474"/>
        </w:trPr>
        <w:tc>
          <w:tcPr>
            <w:tcW w:w="709" w:type="dxa"/>
            <w:vMerge/>
            <w:shd w:val="clear" w:color="auto" w:fill="B5DCFF" w:themeFill="text2" w:themeFillTint="33"/>
            <w:vAlign w:val="center"/>
          </w:tcPr>
          <w:p w14:paraId="4A9577A4" w14:textId="77777777" w:rsidR="00DA15E8" w:rsidRPr="000D6270" w:rsidRDefault="00DA15E8" w:rsidP="006E2F29">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631BB77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395AA8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600EBE8"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C67167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9D4F439"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9A9FC4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93F49BE"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BFCC8BA"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r w:rsidR="00DA15E8" w:rsidRPr="000D6270" w14:paraId="3FF2603E" w14:textId="77777777" w:rsidTr="006E2F29">
        <w:trPr>
          <w:trHeight w:val="474"/>
        </w:trPr>
        <w:tc>
          <w:tcPr>
            <w:tcW w:w="1985" w:type="dxa"/>
            <w:gridSpan w:val="2"/>
            <w:shd w:val="clear" w:color="auto" w:fill="B5DCFF" w:themeFill="text2" w:themeFillTint="33"/>
            <w:vAlign w:val="center"/>
          </w:tcPr>
          <w:p w14:paraId="060BA47C" w14:textId="77777777" w:rsidR="00DA15E8" w:rsidRPr="000D6270" w:rsidRDefault="00DA15E8" w:rsidP="006E2F29">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07B1D1F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BD08496"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97B4D8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A590DA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356CA312"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3B8AB41"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E8E9B8D" w14:textId="77777777" w:rsidR="00DA15E8" w:rsidRPr="000D6270" w:rsidRDefault="00DA15E8" w:rsidP="006E2F29">
            <w:pPr>
              <w:spacing w:after="0" w:line="264" w:lineRule="auto"/>
              <w:jc w:val="center"/>
              <w:rPr>
                <w:rFonts w:cs="Segoe UI"/>
                <w:i/>
                <w:iCs/>
                <w:sz w:val="20"/>
                <w:szCs w:val="20"/>
              </w:rPr>
            </w:pPr>
            <w:r w:rsidRPr="000D6270">
              <w:rPr>
                <w:rFonts w:cs="Segoe UI"/>
                <w:i/>
                <w:iCs/>
                <w:sz w:val="20"/>
                <w:szCs w:val="20"/>
              </w:rPr>
              <w:t>N/S/V</w:t>
            </w:r>
          </w:p>
        </w:tc>
      </w:tr>
    </w:tbl>
    <w:p w14:paraId="5062F347" w14:textId="77777777" w:rsidR="00DA15E8" w:rsidRPr="000D6270" w:rsidRDefault="00DA15E8" w:rsidP="00DA15E8">
      <w:pPr>
        <w:spacing w:after="0" w:line="264" w:lineRule="auto"/>
        <w:rPr>
          <w:rFonts w:cs="Segoe UI"/>
        </w:rPr>
      </w:pPr>
    </w:p>
    <w:p w14:paraId="7F1BD2F1" w14:textId="77777777" w:rsidR="00DA15E8" w:rsidRPr="000D6270" w:rsidRDefault="00DA15E8" w:rsidP="00DA15E8">
      <w:pPr>
        <w:spacing w:after="120" w:line="264" w:lineRule="auto"/>
        <w:jc w:val="both"/>
        <w:rPr>
          <w:rFonts w:cs="Segoe UI"/>
        </w:rPr>
      </w:pP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9" w:history="1">
        <w:r w:rsidRPr="000D6270">
          <w:rPr>
            <w:rStyle w:val="Hypertextovodkaz"/>
            <w:rFonts w:cs="Segoe UI"/>
          </w:rPr>
          <w:t>https://www.klimatickazmena.cz/cs/</w:t>
        </w:r>
      </w:hyperlink>
      <w:r w:rsidRPr="000D6270">
        <w:rPr>
          <w:rFonts w:cs="Segoe UI"/>
        </w:rPr>
        <w:t xml:space="preserve">) či výsledky projektu </w:t>
      </w:r>
      <w:proofErr w:type="spellStart"/>
      <w:r w:rsidRPr="000D6270">
        <w:rPr>
          <w:rFonts w:cs="Segoe UI"/>
        </w:rPr>
        <w:t>SustES</w:t>
      </w:r>
      <w:proofErr w:type="spellEnd"/>
      <w:r w:rsidRPr="000D6270">
        <w:rPr>
          <w:rFonts w:cs="Segoe UI"/>
        </w:rPr>
        <w:t xml:space="preserve"> (ŠTĚPÁNEK, Petr, et al. Očekávané klimatické podmínky v České republice část I. Změna základních parametrů. Brno: Ústav výzkumu globální změny Akademie věd České republiky, 2019. ISBN. 978-8-87902-28-8).</w:t>
      </w:r>
    </w:p>
    <w:p w14:paraId="697853D2" w14:textId="77777777" w:rsidR="00DA15E8" w:rsidRPr="000D6270" w:rsidRDefault="00DA15E8" w:rsidP="00DA15E8">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0D6270">
        <w:rPr>
          <w:rFonts w:cs="Segoe UI"/>
          <w:iCs/>
        </w:rPr>
        <w:t>vátých</w:t>
      </w:r>
      <w:proofErr w:type="spellEnd"/>
      <w:r w:rsidRPr="000D6270">
        <w:rPr>
          <w:rFonts w:cs="Segoe UI"/>
          <w:iCs/>
        </w:rPr>
        <w:t xml:space="preserve"> písků na </w:t>
      </w:r>
      <w:proofErr w:type="spellStart"/>
      <w:r w:rsidRPr="000D6270">
        <w:rPr>
          <w:rFonts w:cs="Segoe UI"/>
          <w:iCs/>
        </w:rPr>
        <w:t>Bzenecku</w:t>
      </w:r>
      <w:proofErr w:type="spellEnd"/>
      <w:r w:rsidRPr="000D6270">
        <w:rPr>
          <w:rFonts w:cs="Segoe UI"/>
          <w:iCs/>
        </w:rPr>
        <w:t>, urbanizovaných údolích velkých řek a v horských oblastech je skóre expozice hodnoceno jako střední.</w:t>
      </w:r>
    </w:p>
    <w:p w14:paraId="3E2C3251"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w:t>
      </w:r>
      <w:proofErr w:type="spellStart"/>
      <w:r w:rsidRPr="000D6270">
        <w:rPr>
          <w:rFonts w:cs="Segoe UI"/>
          <w:iCs/>
        </w:rPr>
        <w:t>intravilánech</w:t>
      </w:r>
      <w:proofErr w:type="spellEnd"/>
      <w:r w:rsidRPr="000D6270">
        <w:rPr>
          <w:rFonts w:cs="Segoe UI"/>
          <w:iCs/>
        </w:rPr>
        <w:t xml:space="preserve"> velkých </w:t>
      </w:r>
      <w:r w:rsidRPr="000D6270">
        <w:rPr>
          <w:rFonts w:cs="Segoe UI"/>
          <w:iCs/>
        </w:rPr>
        <w:lastRenderedPageBreak/>
        <w:t>měst skóre expozice hodnoceno jako střední. V podmínkách budoucího klimatu se očekává rozšíření oblastí exponovaných extrémně vysokým teplotám.</w:t>
      </w:r>
    </w:p>
    <w:p w14:paraId="409310F0"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64FD93EA" w14:textId="77777777" w:rsidR="00DA15E8" w:rsidRDefault="00DA15E8" w:rsidP="004738E0">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DA15E8">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DA15E8">
      <w:pPr>
        <w:spacing w:line="264" w:lineRule="auto"/>
        <w:rPr>
          <w:rFonts w:cs="Segoe UI"/>
          <w:b/>
          <w:bCs/>
        </w:rPr>
      </w:pPr>
      <w:r w:rsidRPr="00C53A35">
        <w:rPr>
          <w:rFonts w:cs="Segoe UI"/>
          <w:b/>
          <w:bCs/>
        </w:rPr>
        <w:t>Analýza zranitelnosti</w:t>
      </w:r>
    </w:p>
    <w:p w14:paraId="40890567" w14:textId="77777777" w:rsidR="00DA15E8" w:rsidRPr="000D6270" w:rsidRDefault="00DA15E8" w:rsidP="00DA15E8">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A15E8" w:rsidRPr="000D6270" w14:paraId="36D243A4" w14:textId="77777777" w:rsidTr="006E2F29">
        <w:trPr>
          <w:trHeight w:val="613"/>
        </w:trPr>
        <w:tc>
          <w:tcPr>
            <w:tcW w:w="8934" w:type="dxa"/>
            <w:gridSpan w:val="8"/>
            <w:shd w:val="clear" w:color="auto" w:fill="B5DCFF" w:themeFill="text2" w:themeFillTint="33"/>
            <w:vAlign w:val="center"/>
          </w:tcPr>
          <w:p w14:paraId="63A11C94"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Analýza zranitelnosti</w:t>
            </w:r>
          </w:p>
        </w:tc>
      </w:tr>
      <w:tr w:rsidR="00DA15E8" w:rsidRPr="000D6270" w14:paraId="0727A371" w14:textId="77777777" w:rsidTr="006E2F29">
        <w:trPr>
          <w:trHeight w:val="613"/>
        </w:trPr>
        <w:tc>
          <w:tcPr>
            <w:tcW w:w="1983" w:type="dxa"/>
            <w:gridSpan w:val="2"/>
            <w:vMerge w:val="restart"/>
            <w:shd w:val="clear" w:color="auto" w:fill="B5DCFF" w:themeFill="text2" w:themeFillTint="33"/>
            <w:vAlign w:val="center"/>
          </w:tcPr>
          <w:p w14:paraId="3B79B74E"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Dlouhodobé sucho</w:t>
            </w:r>
          </w:p>
        </w:tc>
        <w:tc>
          <w:tcPr>
            <w:tcW w:w="4113" w:type="dxa"/>
            <w:gridSpan w:val="3"/>
            <w:shd w:val="clear" w:color="auto" w:fill="B5DCFF" w:themeFill="text2" w:themeFillTint="33"/>
            <w:vAlign w:val="center"/>
          </w:tcPr>
          <w:p w14:paraId="477A052D"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256105"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807D635"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FB17D7A" w14:textId="77777777" w:rsidR="00DA15E8" w:rsidRPr="000D6270" w:rsidRDefault="00DA15E8" w:rsidP="006E2F29">
            <w:pPr>
              <w:spacing w:after="0" w:line="264" w:lineRule="auto"/>
              <w:jc w:val="center"/>
              <w:rPr>
                <w:rFonts w:cs="Segoe UI"/>
                <w:b/>
                <w:bCs/>
                <w:sz w:val="20"/>
                <w:szCs w:val="20"/>
              </w:rPr>
            </w:pPr>
          </w:p>
        </w:tc>
      </w:tr>
      <w:tr w:rsidR="00DA15E8" w:rsidRPr="000D6270" w14:paraId="448BDA02"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16B5CBBE"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755F98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851E6F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174DEE"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2E156B05"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6B76434"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3695511" w14:textId="77777777" w:rsidTr="006E2F29">
        <w:trPr>
          <w:trHeight w:val="987"/>
        </w:trPr>
        <w:tc>
          <w:tcPr>
            <w:tcW w:w="708" w:type="dxa"/>
            <w:vMerge w:val="restart"/>
            <w:shd w:val="clear" w:color="auto" w:fill="B5DCFF" w:themeFill="text2" w:themeFillTint="33"/>
            <w:textDirection w:val="btLr"/>
            <w:vAlign w:val="center"/>
          </w:tcPr>
          <w:p w14:paraId="443764A1"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C1C4F87"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523BC1F"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6F4AF14"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3ED667C"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581832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925746"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D2AF0EC" w14:textId="77777777" w:rsidR="00DA15E8" w:rsidRPr="000D6270" w:rsidRDefault="00DA15E8" w:rsidP="006E2F29">
            <w:pPr>
              <w:spacing w:after="0" w:line="264" w:lineRule="auto"/>
              <w:jc w:val="center"/>
              <w:rPr>
                <w:rFonts w:cs="Segoe UI"/>
                <w:sz w:val="20"/>
                <w:szCs w:val="20"/>
              </w:rPr>
            </w:pPr>
          </w:p>
        </w:tc>
      </w:tr>
      <w:tr w:rsidR="00DA15E8" w:rsidRPr="000D6270" w14:paraId="17BD6657" w14:textId="77777777" w:rsidTr="006E2F29">
        <w:trPr>
          <w:trHeight w:val="987"/>
        </w:trPr>
        <w:tc>
          <w:tcPr>
            <w:tcW w:w="708" w:type="dxa"/>
            <w:vMerge/>
            <w:shd w:val="clear" w:color="auto" w:fill="B5DCFF" w:themeFill="text2" w:themeFillTint="33"/>
            <w:textDirection w:val="btLr"/>
            <w:vAlign w:val="center"/>
          </w:tcPr>
          <w:p w14:paraId="6AF14404"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4CB3B4C"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3AEB78A"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20C3F65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8CD11FD"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E37CFDC"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E2DE03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0FEBDA0" w14:textId="77777777" w:rsidR="00DA15E8" w:rsidRPr="000D6270" w:rsidRDefault="00DA15E8" w:rsidP="006E2F29">
            <w:pPr>
              <w:spacing w:after="0" w:line="264" w:lineRule="auto"/>
              <w:jc w:val="center"/>
              <w:rPr>
                <w:rFonts w:cs="Segoe UI"/>
                <w:sz w:val="20"/>
                <w:szCs w:val="20"/>
              </w:rPr>
            </w:pPr>
          </w:p>
        </w:tc>
      </w:tr>
      <w:tr w:rsidR="00DA15E8" w:rsidRPr="000D6270" w14:paraId="1168D52D" w14:textId="77777777" w:rsidTr="006E2F29">
        <w:trPr>
          <w:trHeight w:val="987"/>
        </w:trPr>
        <w:tc>
          <w:tcPr>
            <w:tcW w:w="708" w:type="dxa"/>
            <w:vMerge/>
            <w:shd w:val="clear" w:color="auto" w:fill="B5DCFF" w:themeFill="text2" w:themeFillTint="33"/>
            <w:vAlign w:val="center"/>
          </w:tcPr>
          <w:p w14:paraId="580BC875"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7161AD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100731"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FF0A3EA"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DCD1BE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0B53DB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40DA7E4"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AEEACD2" w14:textId="77777777" w:rsidR="00DA15E8" w:rsidRPr="000D6270" w:rsidRDefault="00DA15E8" w:rsidP="006E2F29">
            <w:pPr>
              <w:spacing w:after="0" w:line="264" w:lineRule="auto"/>
              <w:jc w:val="center"/>
              <w:rPr>
                <w:rFonts w:cs="Segoe UI"/>
                <w:sz w:val="20"/>
                <w:szCs w:val="20"/>
              </w:rPr>
            </w:pPr>
          </w:p>
        </w:tc>
      </w:tr>
      <w:tr w:rsidR="00DA15E8" w:rsidRPr="000D6270" w14:paraId="1E99D831" w14:textId="77777777" w:rsidTr="006E2F29">
        <w:trPr>
          <w:trHeight w:val="613"/>
        </w:trPr>
        <w:tc>
          <w:tcPr>
            <w:tcW w:w="1983" w:type="dxa"/>
            <w:gridSpan w:val="2"/>
            <w:vMerge w:val="restart"/>
            <w:shd w:val="clear" w:color="auto" w:fill="B5DCFF" w:themeFill="text2" w:themeFillTint="33"/>
            <w:vAlign w:val="center"/>
          </w:tcPr>
          <w:p w14:paraId="7DC6CD80"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Povodně a přívalové povodně</w:t>
            </w:r>
          </w:p>
        </w:tc>
        <w:tc>
          <w:tcPr>
            <w:tcW w:w="4113" w:type="dxa"/>
            <w:gridSpan w:val="3"/>
            <w:shd w:val="clear" w:color="auto" w:fill="B5DCFF" w:themeFill="text2" w:themeFillTint="33"/>
            <w:vAlign w:val="center"/>
          </w:tcPr>
          <w:p w14:paraId="4EC6A381"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357B7D61"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D85D33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720400A6" w14:textId="77777777" w:rsidR="00DA15E8" w:rsidRPr="000D6270" w:rsidRDefault="00DA15E8" w:rsidP="006E2F29">
            <w:pPr>
              <w:spacing w:after="0" w:line="264" w:lineRule="auto"/>
              <w:jc w:val="center"/>
              <w:rPr>
                <w:rFonts w:cs="Segoe UI"/>
                <w:b/>
                <w:bCs/>
                <w:sz w:val="20"/>
                <w:szCs w:val="20"/>
              </w:rPr>
            </w:pPr>
          </w:p>
        </w:tc>
      </w:tr>
      <w:tr w:rsidR="00DA15E8" w:rsidRPr="000D6270" w14:paraId="600BBB9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0F079B42"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1DBE31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BA367A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26CB84E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68B542BD"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CCE43CD"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072986BE" w14:textId="77777777" w:rsidTr="006E2F29">
        <w:trPr>
          <w:trHeight w:val="987"/>
        </w:trPr>
        <w:tc>
          <w:tcPr>
            <w:tcW w:w="708" w:type="dxa"/>
            <w:vMerge w:val="restart"/>
            <w:shd w:val="clear" w:color="auto" w:fill="B5DCFF" w:themeFill="text2" w:themeFillTint="33"/>
            <w:textDirection w:val="btLr"/>
            <w:vAlign w:val="center"/>
          </w:tcPr>
          <w:p w14:paraId="3D2902A0"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9567B6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35C82E7A"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5BABC9EC"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86E4723"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9ABF2D6"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48FF5E1"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1D86F10" w14:textId="77777777" w:rsidR="00DA15E8" w:rsidRPr="000D6270" w:rsidRDefault="00DA15E8" w:rsidP="006E2F29">
            <w:pPr>
              <w:spacing w:after="0" w:line="264" w:lineRule="auto"/>
              <w:jc w:val="center"/>
              <w:rPr>
                <w:rFonts w:cs="Segoe UI"/>
                <w:sz w:val="20"/>
                <w:szCs w:val="20"/>
              </w:rPr>
            </w:pPr>
          </w:p>
        </w:tc>
      </w:tr>
      <w:tr w:rsidR="00DA15E8" w:rsidRPr="000D6270" w14:paraId="1069F881" w14:textId="77777777" w:rsidTr="006E2F29">
        <w:trPr>
          <w:trHeight w:val="987"/>
        </w:trPr>
        <w:tc>
          <w:tcPr>
            <w:tcW w:w="708" w:type="dxa"/>
            <w:vMerge/>
            <w:shd w:val="clear" w:color="auto" w:fill="B5DCFF" w:themeFill="text2" w:themeFillTint="33"/>
            <w:textDirection w:val="btLr"/>
            <w:vAlign w:val="center"/>
          </w:tcPr>
          <w:p w14:paraId="5F22D6E7"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569B386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BCEC0A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5C0765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389CF7D"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8E9B1F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85E5755"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6492DAD" w14:textId="77777777" w:rsidR="00DA15E8" w:rsidRPr="000D6270" w:rsidRDefault="00DA15E8" w:rsidP="006E2F29">
            <w:pPr>
              <w:spacing w:after="0" w:line="264" w:lineRule="auto"/>
              <w:jc w:val="center"/>
              <w:rPr>
                <w:rFonts w:cs="Segoe UI"/>
                <w:sz w:val="20"/>
                <w:szCs w:val="20"/>
              </w:rPr>
            </w:pPr>
          </w:p>
        </w:tc>
      </w:tr>
      <w:tr w:rsidR="00DA15E8" w:rsidRPr="000D6270" w14:paraId="4691E12D" w14:textId="77777777" w:rsidTr="006E2F29">
        <w:trPr>
          <w:trHeight w:val="987"/>
        </w:trPr>
        <w:tc>
          <w:tcPr>
            <w:tcW w:w="708" w:type="dxa"/>
            <w:vMerge/>
            <w:shd w:val="clear" w:color="auto" w:fill="B5DCFF" w:themeFill="text2" w:themeFillTint="33"/>
            <w:vAlign w:val="center"/>
          </w:tcPr>
          <w:p w14:paraId="4C6F183F"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D02093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2297FF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D1FFF66"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F95DADF"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2FA8FB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168AFEF"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83223BD" w14:textId="77777777" w:rsidR="00DA15E8" w:rsidRPr="000D6270" w:rsidRDefault="00DA15E8" w:rsidP="006E2F29">
            <w:pPr>
              <w:spacing w:after="0" w:line="264" w:lineRule="auto"/>
              <w:jc w:val="center"/>
              <w:rPr>
                <w:rFonts w:cs="Segoe UI"/>
                <w:sz w:val="20"/>
                <w:szCs w:val="20"/>
              </w:rPr>
            </w:pPr>
          </w:p>
        </w:tc>
      </w:tr>
      <w:tr w:rsidR="00DA15E8" w:rsidRPr="000D6270" w14:paraId="62E6FAF5" w14:textId="77777777" w:rsidTr="006E2F29">
        <w:trPr>
          <w:trHeight w:val="613"/>
        </w:trPr>
        <w:tc>
          <w:tcPr>
            <w:tcW w:w="1983" w:type="dxa"/>
            <w:gridSpan w:val="2"/>
            <w:vMerge w:val="restart"/>
            <w:shd w:val="clear" w:color="auto" w:fill="B5DCFF" w:themeFill="text2" w:themeFillTint="33"/>
            <w:vAlign w:val="center"/>
          </w:tcPr>
          <w:p w14:paraId="65785B2E"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Vydatné srážky</w:t>
            </w:r>
          </w:p>
        </w:tc>
        <w:tc>
          <w:tcPr>
            <w:tcW w:w="4113" w:type="dxa"/>
            <w:gridSpan w:val="3"/>
            <w:shd w:val="clear" w:color="auto" w:fill="B5DCFF" w:themeFill="text2" w:themeFillTint="33"/>
            <w:vAlign w:val="center"/>
          </w:tcPr>
          <w:p w14:paraId="554ED9C3"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D04F6D0"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27D75C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321B7868" w14:textId="77777777" w:rsidR="00DA15E8" w:rsidRPr="000D6270" w:rsidRDefault="00DA15E8" w:rsidP="006E2F29">
            <w:pPr>
              <w:spacing w:after="0" w:line="264" w:lineRule="auto"/>
              <w:jc w:val="center"/>
              <w:rPr>
                <w:rFonts w:cs="Segoe UI"/>
                <w:b/>
                <w:bCs/>
                <w:sz w:val="20"/>
                <w:szCs w:val="20"/>
              </w:rPr>
            </w:pPr>
          </w:p>
        </w:tc>
      </w:tr>
      <w:tr w:rsidR="00DA15E8" w:rsidRPr="000D6270" w14:paraId="7B64B671"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5236664A"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BFF043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150A77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E345326"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8669C04"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737C1CAB"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5C9D1649" w14:textId="77777777" w:rsidTr="006E2F29">
        <w:trPr>
          <w:trHeight w:val="987"/>
        </w:trPr>
        <w:tc>
          <w:tcPr>
            <w:tcW w:w="708" w:type="dxa"/>
            <w:vMerge w:val="restart"/>
            <w:shd w:val="clear" w:color="auto" w:fill="B5DCFF" w:themeFill="text2" w:themeFillTint="33"/>
            <w:textDirection w:val="btLr"/>
            <w:vAlign w:val="center"/>
          </w:tcPr>
          <w:p w14:paraId="61B803A9"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B7158E9"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66CDFC6"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9D195F5"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872A88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1B90D2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33B5D07"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76C9BAD" w14:textId="77777777" w:rsidR="00DA15E8" w:rsidRPr="000D6270" w:rsidRDefault="00DA15E8" w:rsidP="006E2F29">
            <w:pPr>
              <w:spacing w:after="0" w:line="264" w:lineRule="auto"/>
              <w:jc w:val="center"/>
              <w:rPr>
                <w:rFonts w:cs="Segoe UI"/>
                <w:sz w:val="20"/>
                <w:szCs w:val="20"/>
              </w:rPr>
            </w:pPr>
          </w:p>
        </w:tc>
      </w:tr>
      <w:tr w:rsidR="00DA15E8" w:rsidRPr="000D6270" w14:paraId="2D20CF6B" w14:textId="77777777" w:rsidTr="006E2F29">
        <w:trPr>
          <w:trHeight w:val="987"/>
        </w:trPr>
        <w:tc>
          <w:tcPr>
            <w:tcW w:w="708" w:type="dxa"/>
            <w:vMerge/>
            <w:shd w:val="clear" w:color="auto" w:fill="B5DCFF" w:themeFill="text2" w:themeFillTint="33"/>
            <w:textDirection w:val="btLr"/>
            <w:vAlign w:val="center"/>
          </w:tcPr>
          <w:p w14:paraId="116CD194"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6B0D33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8A2A9AA"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3538E57"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7886032"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5DF27AB"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D01AC3A"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439167E" w14:textId="77777777" w:rsidR="00DA15E8" w:rsidRPr="000D6270" w:rsidRDefault="00DA15E8" w:rsidP="006E2F29">
            <w:pPr>
              <w:spacing w:after="0" w:line="264" w:lineRule="auto"/>
              <w:jc w:val="center"/>
              <w:rPr>
                <w:rFonts w:cs="Segoe UI"/>
                <w:sz w:val="20"/>
                <w:szCs w:val="20"/>
              </w:rPr>
            </w:pPr>
          </w:p>
        </w:tc>
      </w:tr>
      <w:tr w:rsidR="00DA15E8" w:rsidRPr="000D6270" w14:paraId="0CA69CD5" w14:textId="77777777" w:rsidTr="006E2F29">
        <w:trPr>
          <w:trHeight w:val="987"/>
        </w:trPr>
        <w:tc>
          <w:tcPr>
            <w:tcW w:w="708" w:type="dxa"/>
            <w:vMerge/>
            <w:shd w:val="clear" w:color="auto" w:fill="B5DCFF" w:themeFill="text2" w:themeFillTint="33"/>
            <w:vAlign w:val="center"/>
          </w:tcPr>
          <w:p w14:paraId="5EC20812"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4BC905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0F9AEAB"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5AED34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EEB251F"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1DFC2587"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D386AE8"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86A2F55" w14:textId="77777777" w:rsidR="00DA15E8" w:rsidRPr="000D6270" w:rsidRDefault="00DA15E8" w:rsidP="006E2F29">
            <w:pPr>
              <w:spacing w:after="0" w:line="264" w:lineRule="auto"/>
              <w:jc w:val="center"/>
              <w:rPr>
                <w:rFonts w:cs="Segoe UI"/>
                <w:sz w:val="20"/>
                <w:szCs w:val="20"/>
              </w:rPr>
            </w:pPr>
          </w:p>
        </w:tc>
      </w:tr>
      <w:tr w:rsidR="00DA15E8" w:rsidRPr="000D6270" w14:paraId="5E38BABD" w14:textId="77777777" w:rsidTr="006E2F29">
        <w:trPr>
          <w:trHeight w:val="613"/>
        </w:trPr>
        <w:tc>
          <w:tcPr>
            <w:tcW w:w="1983" w:type="dxa"/>
            <w:gridSpan w:val="2"/>
            <w:vMerge w:val="restart"/>
            <w:shd w:val="clear" w:color="auto" w:fill="B5DCFF" w:themeFill="text2" w:themeFillTint="33"/>
            <w:vAlign w:val="center"/>
          </w:tcPr>
          <w:p w14:paraId="6EDB5FC2"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Zvyšování teplot</w:t>
            </w:r>
          </w:p>
        </w:tc>
        <w:tc>
          <w:tcPr>
            <w:tcW w:w="4113" w:type="dxa"/>
            <w:gridSpan w:val="3"/>
            <w:shd w:val="clear" w:color="auto" w:fill="B5DCFF" w:themeFill="text2" w:themeFillTint="33"/>
            <w:vAlign w:val="center"/>
          </w:tcPr>
          <w:p w14:paraId="70F58125"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5686965"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1A01265"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54EE8A33" w14:textId="77777777" w:rsidR="00DA15E8" w:rsidRPr="000D6270" w:rsidRDefault="00DA15E8" w:rsidP="006E2F29">
            <w:pPr>
              <w:spacing w:after="0" w:line="264" w:lineRule="auto"/>
              <w:jc w:val="center"/>
              <w:rPr>
                <w:rFonts w:cs="Segoe UI"/>
                <w:b/>
                <w:bCs/>
                <w:sz w:val="20"/>
                <w:szCs w:val="20"/>
              </w:rPr>
            </w:pPr>
          </w:p>
        </w:tc>
      </w:tr>
      <w:tr w:rsidR="00DA15E8" w:rsidRPr="000D6270" w14:paraId="00A5DBC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4160DA4C"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BA3763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08FA14D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CFD2F53"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180D7319"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570547F1"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1CED1857" w14:textId="77777777" w:rsidTr="006E2F29">
        <w:trPr>
          <w:trHeight w:val="987"/>
        </w:trPr>
        <w:tc>
          <w:tcPr>
            <w:tcW w:w="708" w:type="dxa"/>
            <w:vMerge w:val="restart"/>
            <w:shd w:val="clear" w:color="auto" w:fill="B5DCFF" w:themeFill="text2" w:themeFillTint="33"/>
            <w:textDirection w:val="btLr"/>
            <w:vAlign w:val="center"/>
          </w:tcPr>
          <w:p w14:paraId="75EDBC28"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3C583A5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FC267D5"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0161C84"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B50A807"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104AF79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7099528"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5ABDA93" w14:textId="77777777" w:rsidR="00DA15E8" w:rsidRPr="000D6270" w:rsidRDefault="00DA15E8" w:rsidP="006E2F29">
            <w:pPr>
              <w:spacing w:after="0" w:line="264" w:lineRule="auto"/>
              <w:jc w:val="center"/>
              <w:rPr>
                <w:rFonts w:cs="Segoe UI"/>
                <w:sz w:val="20"/>
                <w:szCs w:val="20"/>
              </w:rPr>
            </w:pPr>
          </w:p>
        </w:tc>
      </w:tr>
      <w:tr w:rsidR="00DA15E8" w:rsidRPr="000D6270" w14:paraId="27D9DA47" w14:textId="77777777" w:rsidTr="006E2F29">
        <w:trPr>
          <w:trHeight w:val="987"/>
        </w:trPr>
        <w:tc>
          <w:tcPr>
            <w:tcW w:w="708" w:type="dxa"/>
            <w:vMerge/>
            <w:shd w:val="clear" w:color="auto" w:fill="B5DCFF" w:themeFill="text2" w:themeFillTint="33"/>
            <w:textDirection w:val="btLr"/>
            <w:vAlign w:val="center"/>
          </w:tcPr>
          <w:p w14:paraId="4ECB7A67"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F238F1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2365999"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A182B68"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C46130A"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75553C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F7CD24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29B38AB" w14:textId="77777777" w:rsidR="00DA15E8" w:rsidRPr="000D6270" w:rsidRDefault="00DA15E8" w:rsidP="006E2F29">
            <w:pPr>
              <w:spacing w:after="0" w:line="264" w:lineRule="auto"/>
              <w:jc w:val="center"/>
              <w:rPr>
                <w:rFonts w:cs="Segoe UI"/>
                <w:sz w:val="20"/>
                <w:szCs w:val="20"/>
              </w:rPr>
            </w:pPr>
          </w:p>
        </w:tc>
      </w:tr>
      <w:tr w:rsidR="00DA15E8" w:rsidRPr="000D6270" w14:paraId="4BCFE2C4" w14:textId="77777777" w:rsidTr="006E2F29">
        <w:trPr>
          <w:trHeight w:val="987"/>
        </w:trPr>
        <w:tc>
          <w:tcPr>
            <w:tcW w:w="708" w:type="dxa"/>
            <w:vMerge/>
            <w:shd w:val="clear" w:color="auto" w:fill="B5DCFF" w:themeFill="text2" w:themeFillTint="33"/>
            <w:vAlign w:val="center"/>
          </w:tcPr>
          <w:p w14:paraId="6B97ADAE"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4EEEEE3"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4D4F4BE9"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620147D"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7BF005D"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57DBA7E"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3682AEC"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0E436D97" w14:textId="77777777" w:rsidR="00DA15E8" w:rsidRPr="000D6270" w:rsidRDefault="00DA15E8" w:rsidP="006E2F29">
            <w:pPr>
              <w:spacing w:after="0" w:line="264" w:lineRule="auto"/>
              <w:jc w:val="center"/>
              <w:rPr>
                <w:rFonts w:cs="Segoe UI"/>
                <w:sz w:val="20"/>
                <w:szCs w:val="20"/>
              </w:rPr>
            </w:pPr>
          </w:p>
        </w:tc>
      </w:tr>
      <w:tr w:rsidR="00DA15E8" w:rsidRPr="000D6270" w14:paraId="2AC6B90A" w14:textId="77777777" w:rsidTr="006E2F29">
        <w:trPr>
          <w:trHeight w:val="613"/>
        </w:trPr>
        <w:tc>
          <w:tcPr>
            <w:tcW w:w="1983" w:type="dxa"/>
            <w:gridSpan w:val="2"/>
            <w:vMerge w:val="restart"/>
            <w:shd w:val="clear" w:color="auto" w:fill="B5DCFF" w:themeFill="text2" w:themeFillTint="33"/>
            <w:vAlign w:val="center"/>
          </w:tcPr>
          <w:p w14:paraId="013B59CA"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Extrémně vysoké teploty</w:t>
            </w:r>
          </w:p>
        </w:tc>
        <w:tc>
          <w:tcPr>
            <w:tcW w:w="4113" w:type="dxa"/>
            <w:gridSpan w:val="3"/>
            <w:shd w:val="clear" w:color="auto" w:fill="B5DCFF" w:themeFill="text2" w:themeFillTint="33"/>
            <w:vAlign w:val="center"/>
          </w:tcPr>
          <w:p w14:paraId="5CF05307"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0AAE19AD"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541BB087"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5500B1A" w14:textId="77777777" w:rsidR="00DA15E8" w:rsidRPr="000D6270" w:rsidRDefault="00DA15E8" w:rsidP="006E2F29">
            <w:pPr>
              <w:spacing w:after="0" w:line="264" w:lineRule="auto"/>
              <w:jc w:val="center"/>
              <w:rPr>
                <w:rFonts w:cs="Segoe UI"/>
                <w:b/>
                <w:bCs/>
                <w:sz w:val="20"/>
                <w:szCs w:val="20"/>
              </w:rPr>
            </w:pPr>
          </w:p>
        </w:tc>
      </w:tr>
      <w:tr w:rsidR="00DA15E8" w:rsidRPr="000D6270" w14:paraId="002D07DB"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24B5913F"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6491E4D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C050CD5"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8CA2376"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DBF6F22"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417629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67006379" w14:textId="77777777" w:rsidTr="006E2F29">
        <w:trPr>
          <w:trHeight w:val="987"/>
        </w:trPr>
        <w:tc>
          <w:tcPr>
            <w:tcW w:w="708" w:type="dxa"/>
            <w:vMerge w:val="restart"/>
            <w:shd w:val="clear" w:color="auto" w:fill="B5DCFF" w:themeFill="text2" w:themeFillTint="33"/>
            <w:textDirection w:val="btLr"/>
            <w:vAlign w:val="center"/>
          </w:tcPr>
          <w:p w14:paraId="5A93125B"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lastRenderedPageBreak/>
              <w:t>Citlivost (nejvyšší skóre)</w:t>
            </w:r>
          </w:p>
        </w:tc>
        <w:tc>
          <w:tcPr>
            <w:tcW w:w="1275" w:type="dxa"/>
            <w:shd w:val="clear" w:color="auto" w:fill="B5DCFF" w:themeFill="text2" w:themeFillTint="33"/>
            <w:vAlign w:val="center"/>
          </w:tcPr>
          <w:p w14:paraId="573416EF"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460A9F1"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B64313C"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DC1847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2404AA5F"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208B4C2"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30B63CD" w14:textId="77777777" w:rsidR="00DA15E8" w:rsidRPr="000D6270" w:rsidRDefault="00DA15E8" w:rsidP="006E2F29">
            <w:pPr>
              <w:spacing w:after="0" w:line="264" w:lineRule="auto"/>
              <w:jc w:val="center"/>
              <w:rPr>
                <w:rFonts w:cs="Segoe UI"/>
                <w:sz w:val="20"/>
                <w:szCs w:val="20"/>
              </w:rPr>
            </w:pPr>
          </w:p>
        </w:tc>
      </w:tr>
      <w:tr w:rsidR="00DA15E8" w:rsidRPr="000D6270" w14:paraId="448EE40C" w14:textId="77777777" w:rsidTr="006E2F29">
        <w:trPr>
          <w:trHeight w:val="987"/>
        </w:trPr>
        <w:tc>
          <w:tcPr>
            <w:tcW w:w="708" w:type="dxa"/>
            <w:vMerge/>
            <w:shd w:val="clear" w:color="auto" w:fill="B5DCFF" w:themeFill="text2" w:themeFillTint="33"/>
            <w:textDirection w:val="btLr"/>
            <w:vAlign w:val="center"/>
          </w:tcPr>
          <w:p w14:paraId="14F4F50D"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469A0E8"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334EAC1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C2BBC19"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4DC069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7F4A956"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0113F14"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20ADBF41" w14:textId="77777777" w:rsidR="00DA15E8" w:rsidRPr="000D6270" w:rsidRDefault="00DA15E8" w:rsidP="006E2F29">
            <w:pPr>
              <w:spacing w:after="0" w:line="264" w:lineRule="auto"/>
              <w:jc w:val="center"/>
              <w:rPr>
                <w:rFonts w:cs="Segoe UI"/>
                <w:sz w:val="20"/>
                <w:szCs w:val="20"/>
              </w:rPr>
            </w:pPr>
          </w:p>
        </w:tc>
      </w:tr>
      <w:tr w:rsidR="00DA15E8" w:rsidRPr="000D6270" w14:paraId="757480F2" w14:textId="77777777" w:rsidTr="006E2F29">
        <w:trPr>
          <w:trHeight w:val="987"/>
        </w:trPr>
        <w:tc>
          <w:tcPr>
            <w:tcW w:w="708" w:type="dxa"/>
            <w:vMerge/>
            <w:shd w:val="clear" w:color="auto" w:fill="B5DCFF" w:themeFill="text2" w:themeFillTint="33"/>
            <w:vAlign w:val="center"/>
          </w:tcPr>
          <w:p w14:paraId="38CF8C7B"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D4D28A6"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41D133D"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A77E812"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50EDD5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564F4F64"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3BA58D10"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9218191" w14:textId="77777777" w:rsidR="00DA15E8" w:rsidRPr="000D6270" w:rsidRDefault="00DA15E8" w:rsidP="006E2F29">
            <w:pPr>
              <w:spacing w:after="0" w:line="264" w:lineRule="auto"/>
              <w:jc w:val="center"/>
              <w:rPr>
                <w:rFonts w:cs="Segoe UI"/>
                <w:sz w:val="20"/>
                <w:szCs w:val="20"/>
              </w:rPr>
            </w:pPr>
          </w:p>
        </w:tc>
      </w:tr>
      <w:tr w:rsidR="00DA15E8" w:rsidRPr="000D6270" w14:paraId="74B40973" w14:textId="77777777" w:rsidTr="006E2F29">
        <w:trPr>
          <w:trHeight w:val="613"/>
        </w:trPr>
        <w:tc>
          <w:tcPr>
            <w:tcW w:w="1983" w:type="dxa"/>
            <w:gridSpan w:val="2"/>
            <w:vMerge w:val="restart"/>
            <w:shd w:val="clear" w:color="auto" w:fill="B5DCFF" w:themeFill="text2" w:themeFillTint="33"/>
            <w:vAlign w:val="center"/>
          </w:tcPr>
          <w:p w14:paraId="1183CBFD"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Extrémní vítr</w:t>
            </w:r>
          </w:p>
        </w:tc>
        <w:tc>
          <w:tcPr>
            <w:tcW w:w="4113" w:type="dxa"/>
            <w:gridSpan w:val="3"/>
            <w:shd w:val="clear" w:color="auto" w:fill="B5DCFF" w:themeFill="text2" w:themeFillTint="33"/>
            <w:vAlign w:val="center"/>
          </w:tcPr>
          <w:p w14:paraId="083556FF"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01571CF4"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5FE657B"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0B87D2F0" w14:textId="77777777" w:rsidR="00DA15E8" w:rsidRPr="000D6270" w:rsidRDefault="00DA15E8" w:rsidP="006E2F29">
            <w:pPr>
              <w:spacing w:after="0" w:line="264" w:lineRule="auto"/>
              <w:jc w:val="center"/>
              <w:rPr>
                <w:rFonts w:cs="Segoe UI"/>
                <w:b/>
                <w:bCs/>
                <w:sz w:val="20"/>
                <w:szCs w:val="20"/>
              </w:rPr>
            </w:pPr>
          </w:p>
        </w:tc>
      </w:tr>
      <w:tr w:rsidR="00DA15E8" w:rsidRPr="000D6270" w14:paraId="2731CC5A"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39DB6D8E"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206B87A"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6DFFCA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EBA44D"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00AE276"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C9E7D18"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8949B38" w14:textId="77777777" w:rsidTr="006E2F29">
        <w:trPr>
          <w:trHeight w:val="987"/>
        </w:trPr>
        <w:tc>
          <w:tcPr>
            <w:tcW w:w="708" w:type="dxa"/>
            <w:vMerge w:val="restart"/>
            <w:shd w:val="clear" w:color="auto" w:fill="B5DCFF" w:themeFill="text2" w:themeFillTint="33"/>
            <w:textDirection w:val="btLr"/>
            <w:vAlign w:val="center"/>
          </w:tcPr>
          <w:p w14:paraId="3C795683"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5F8B3D0"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116EC56"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775547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B354B8B"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69FE64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F529A1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EED81AD" w14:textId="77777777" w:rsidR="00DA15E8" w:rsidRPr="000D6270" w:rsidRDefault="00DA15E8" w:rsidP="006E2F29">
            <w:pPr>
              <w:spacing w:after="0" w:line="264" w:lineRule="auto"/>
              <w:jc w:val="center"/>
              <w:rPr>
                <w:rFonts w:cs="Segoe UI"/>
                <w:sz w:val="20"/>
                <w:szCs w:val="20"/>
              </w:rPr>
            </w:pPr>
          </w:p>
        </w:tc>
      </w:tr>
      <w:tr w:rsidR="00DA15E8" w:rsidRPr="000D6270" w14:paraId="2082C92A" w14:textId="77777777" w:rsidTr="006E2F29">
        <w:trPr>
          <w:trHeight w:val="987"/>
        </w:trPr>
        <w:tc>
          <w:tcPr>
            <w:tcW w:w="708" w:type="dxa"/>
            <w:vMerge/>
            <w:shd w:val="clear" w:color="auto" w:fill="B5DCFF" w:themeFill="text2" w:themeFillTint="33"/>
            <w:textDirection w:val="btLr"/>
            <w:vAlign w:val="center"/>
          </w:tcPr>
          <w:p w14:paraId="38139739"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29D446A"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656872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08AB0B1"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3A93683"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D9D32F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2B9A1FF"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688932B" w14:textId="77777777" w:rsidR="00DA15E8" w:rsidRPr="000D6270" w:rsidRDefault="00DA15E8" w:rsidP="006E2F29">
            <w:pPr>
              <w:spacing w:after="0" w:line="264" w:lineRule="auto"/>
              <w:jc w:val="center"/>
              <w:rPr>
                <w:rFonts w:cs="Segoe UI"/>
                <w:sz w:val="20"/>
                <w:szCs w:val="20"/>
              </w:rPr>
            </w:pPr>
          </w:p>
        </w:tc>
      </w:tr>
      <w:tr w:rsidR="00DA15E8" w:rsidRPr="000D6270" w14:paraId="62A16C36" w14:textId="77777777" w:rsidTr="006E2F29">
        <w:trPr>
          <w:trHeight w:val="987"/>
        </w:trPr>
        <w:tc>
          <w:tcPr>
            <w:tcW w:w="708" w:type="dxa"/>
            <w:vMerge/>
            <w:shd w:val="clear" w:color="auto" w:fill="B5DCFF" w:themeFill="text2" w:themeFillTint="33"/>
            <w:vAlign w:val="center"/>
          </w:tcPr>
          <w:p w14:paraId="546C235A"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3951E64"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ABBD558"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2F463D7"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4A704E5"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7673C491"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5248E6C9"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1CA8D74" w14:textId="77777777" w:rsidR="00DA15E8" w:rsidRPr="000D6270" w:rsidRDefault="00DA15E8" w:rsidP="006E2F29">
            <w:pPr>
              <w:spacing w:after="0" w:line="264" w:lineRule="auto"/>
              <w:jc w:val="center"/>
              <w:rPr>
                <w:rFonts w:cs="Segoe UI"/>
                <w:sz w:val="20"/>
                <w:szCs w:val="20"/>
              </w:rPr>
            </w:pPr>
          </w:p>
        </w:tc>
      </w:tr>
      <w:tr w:rsidR="00DA15E8" w:rsidRPr="000D6270" w14:paraId="068E92B1" w14:textId="77777777" w:rsidTr="006E2F29">
        <w:trPr>
          <w:trHeight w:val="613"/>
        </w:trPr>
        <w:tc>
          <w:tcPr>
            <w:tcW w:w="1983" w:type="dxa"/>
            <w:gridSpan w:val="2"/>
            <w:vMerge w:val="restart"/>
            <w:shd w:val="clear" w:color="auto" w:fill="B5DCFF" w:themeFill="text2" w:themeFillTint="33"/>
            <w:vAlign w:val="center"/>
          </w:tcPr>
          <w:p w14:paraId="65C141FC" w14:textId="77777777" w:rsidR="00DA15E8" w:rsidRPr="000D6270" w:rsidRDefault="00DA15E8" w:rsidP="006E2F29">
            <w:pPr>
              <w:tabs>
                <w:tab w:val="left" w:pos="0"/>
              </w:tabs>
              <w:spacing w:after="0" w:line="264" w:lineRule="auto"/>
              <w:jc w:val="center"/>
              <w:rPr>
                <w:rFonts w:cs="Segoe UI"/>
                <w:b/>
                <w:bCs/>
                <w:sz w:val="20"/>
                <w:szCs w:val="20"/>
              </w:rPr>
            </w:pPr>
            <w:r w:rsidRPr="00F24031">
              <w:rPr>
                <w:rFonts w:cs="Segoe UI"/>
                <w:b/>
                <w:bCs/>
                <w:sz w:val="20"/>
                <w:szCs w:val="20"/>
              </w:rPr>
              <w:t>Požáry vegetace</w:t>
            </w:r>
          </w:p>
        </w:tc>
        <w:tc>
          <w:tcPr>
            <w:tcW w:w="4113" w:type="dxa"/>
            <w:gridSpan w:val="3"/>
            <w:shd w:val="clear" w:color="auto" w:fill="B5DCFF" w:themeFill="text2" w:themeFillTint="33"/>
            <w:vAlign w:val="center"/>
          </w:tcPr>
          <w:p w14:paraId="420D4FBE" w14:textId="77777777" w:rsidR="00DA15E8" w:rsidRPr="000D6270" w:rsidRDefault="00DA15E8" w:rsidP="006E2F29">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3B8F4C8" w14:textId="77777777" w:rsidR="00DA15E8" w:rsidRPr="000D6270" w:rsidRDefault="00DA15E8" w:rsidP="006E2F29">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9935E72" w14:textId="77777777" w:rsidR="00DA15E8" w:rsidRPr="000D6270" w:rsidRDefault="00DA15E8" w:rsidP="006E2F29">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59B0152" w14:textId="77777777" w:rsidR="00DA15E8" w:rsidRPr="000D6270" w:rsidRDefault="00DA15E8" w:rsidP="006E2F29">
            <w:pPr>
              <w:spacing w:after="0" w:line="264" w:lineRule="auto"/>
              <w:jc w:val="center"/>
              <w:rPr>
                <w:rFonts w:cs="Segoe UI"/>
                <w:b/>
                <w:bCs/>
                <w:sz w:val="20"/>
                <w:szCs w:val="20"/>
              </w:rPr>
            </w:pPr>
          </w:p>
        </w:tc>
      </w:tr>
      <w:tr w:rsidR="00DA15E8" w:rsidRPr="000D6270" w14:paraId="20943415" w14:textId="77777777" w:rsidTr="006E2F29">
        <w:trPr>
          <w:trHeight w:val="885"/>
        </w:trPr>
        <w:tc>
          <w:tcPr>
            <w:tcW w:w="1983" w:type="dxa"/>
            <w:gridSpan w:val="2"/>
            <w:vMerge/>
            <w:tcBorders>
              <w:bottom w:val="single" w:sz="4" w:space="0" w:color="auto"/>
            </w:tcBorders>
            <w:shd w:val="clear" w:color="auto" w:fill="B5DCFF" w:themeFill="text2" w:themeFillTint="33"/>
            <w:vAlign w:val="center"/>
          </w:tcPr>
          <w:p w14:paraId="269E32FF" w14:textId="77777777" w:rsidR="00DA15E8" w:rsidRPr="000D6270" w:rsidRDefault="00DA15E8" w:rsidP="006E2F29">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E1717F0"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6FE079C"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A76D91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C724283" w14:textId="77777777" w:rsidR="00DA15E8" w:rsidRPr="000D6270" w:rsidRDefault="00DA15E8" w:rsidP="006E2F29">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66E4D32" w14:textId="77777777" w:rsidR="00DA15E8" w:rsidRPr="000D6270" w:rsidRDefault="00DA15E8" w:rsidP="006E2F29">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0517EAD0" w14:textId="77777777" w:rsidTr="006E2F29">
        <w:trPr>
          <w:trHeight w:val="987"/>
        </w:trPr>
        <w:tc>
          <w:tcPr>
            <w:tcW w:w="708" w:type="dxa"/>
            <w:vMerge w:val="restart"/>
            <w:shd w:val="clear" w:color="auto" w:fill="B5DCFF" w:themeFill="text2" w:themeFillTint="33"/>
            <w:textDirection w:val="btLr"/>
            <w:vAlign w:val="center"/>
          </w:tcPr>
          <w:p w14:paraId="709ED6F4" w14:textId="77777777" w:rsidR="00DA15E8" w:rsidRPr="000D6270" w:rsidRDefault="00DA15E8" w:rsidP="006E2F29">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8A939DE"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F1DAA6E"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201FFAF4"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5EB36F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2BA755ED"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D983C8A"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45752FF" w14:textId="77777777" w:rsidR="00DA15E8" w:rsidRPr="000D6270" w:rsidRDefault="00DA15E8" w:rsidP="006E2F29">
            <w:pPr>
              <w:spacing w:after="0" w:line="264" w:lineRule="auto"/>
              <w:jc w:val="center"/>
              <w:rPr>
                <w:rFonts w:cs="Segoe UI"/>
                <w:sz w:val="20"/>
                <w:szCs w:val="20"/>
              </w:rPr>
            </w:pPr>
          </w:p>
        </w:tc>
      </w:tr>
      <w:tr w:rsidR="00DA15E8" w:rsidRPr="000D6270" w14:paraId="49FB4ABF" w14:textId="77777777" w:rsidTr="006E2F29">
        <w:trPr>
          <w:trHeight w:val="987"/>
        </w:trPr>
        <w:tc>
          <w:tcPr>
            <w:tcW w:w="708" w:type="dxa"/>
            <w:vMerge/>
            <w:shd w:val="clear" w:color="auto" w:fill="B5DCFF" w:themeFill="text2" w:themeFillTint="33"/>
            <w:textDirection w:val="btLr"/>
            <w:vAlign w:val="center"/>
          </w:tcPr>
          <w:p w14:paraId="0197EFCE" w14:textId="77777777" w:rsidR="00DA15E8" w:rsidRPr="000D6270"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3CD754D4"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2BDE1C30"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2EC3435"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A9B95C5"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DCD691A"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C4606AD"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357AFAFB" w14:textId="77777777" w:rsidR="00DA15E8" w:rsidRPr="000D6270" w:rsidRDefault="00DA15E8" w:rsidP="006E2F29">
            <w:pPr>
              <w:spacing w:after="0" w:line="264" w:lineRule="auto"/>
              <w:jc w:val="center"/>
              <w:rPr>
                <w:rFonts w:cs="Segoe UI"/>
                <w:sz w:val="20"/>
                <w:szCs w:val="20"/>
              </w:rPr>
            </w:pPr>
          </w:p>
        </w:tc>
      </w:tr>
      <w:tr w:rsidR="00DA15E8" w:rsidRPr="000D6270" w14:paraId="46ACCEDA" w14:textId="77777777" w:rsidTr="006E2F29">
        <w:trPr>
          <w:trHeight w:val="987"/>
        </w:trPr>
        <w:tc>
          <w:tcPr>
            <w:tcW w:w="708" w:type="dxa"/>
            <w:vMerge/>
            <w:shd w:val="clear" w:color="auto" w:fill="B5DCFF" w:themeFill="text2" w:themeFillTint="33"/>
            <w:vAlign w:val="center"/>
          </w:tcPr>
          <w:p w14:paraId="486F59E0" w14:textId="77777777" w:rsidR="00DA15E8" w:rsidRPr="000D6270"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2D7D411" w14:textId="77777777" w:rsidR="00DA15E8" w:rsidRPr="000D6270" w:rsidRDefault="00DA15E8" w:rsidP="006E2F29">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5CEF8D61"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D0FB028"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DE5DA48" w14:textId="77777777" w:rsidR="00DA15E8" w:rsidRPr="000D6270" w:rsidRDefault="00DA15E8" w:rsidP="006E2F29">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5F3B76D" w14:textId="77777777" w:rsidR="00DA15E8" w:rsidRPr="000D6270" w:rsidRDefault="00DA15E8" w:rsidP="006E2F29">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31D09E13" w14:textId="77777777" w:rsidR="00DA15E8" w:rsidRPr="000D6270" w:rsidRDefault="00DA15E8" w:rsidP="006E2F29">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B4D11B3" w14:textId="77777777" w:rsidR="00DA15E8" w:rsidRPr="000D6270" w:rsidRDefault="00DA15E8" w:rsidP="006E2F29">
            <w:pPr>
              <w:spacing w:after="0" w:line="264" w:lineRule="auto"/>
              <w:jc w:val="center"/>
              <w:rPr>
                <w:rFonts w:cs="Segoe UI"/>
                <w:sz w:val="20"/>
                <w:szCs w:val="20"/>
              </w:rPr>
            </w:pPr>
          </w:p>
        </w:tc>
      </w:tr>
    </w:tbl>
    <w:p w14:paraId="6E885E54" w14:textId="77777777" w:rsidR="00DA15E8" w:rsidRPr="000D6270" w:rsidRDefault="00DA15E8" w:rsidP="00DA15E8">
      <w:pPr>
        <w:spacing w:line="264" w:lineRule="auto"/>
        <w:rPr>
          <w:rFonts w:cs="Segoe UI"/>
        </w:rPr>
      </w:pPr>
    </w:p>
    <w:p w14:paraId="0097B441" w14:textId="77777777" w:rsidR="00DA15E8" w:rsidRDefault="00DA15E8" w:rsidP="00DA15E8">
      <w:pPr>
        <w:spacing w:before="120" w:line="264" w:lineRule="auto"/>
        <w:rPr>
          <w:rFonts w:cs="Segoe UI"/>
        </w:rPr>
      </w:pPr>
      <w:r w:rsidRPr="000D6270">
        <w:rPr>
          <w:rFonts w:cs="Segoe UI"/>
        </w:rPr>
        <w:t xml:space="preserve">Výsledkem prověření (fáze 1) je </w:t>
      </w:r>
      <w:r>
        <w:rPr>
          <w:rFonts w:cs="Segoe UI"/>
        </w:rPr>
        <w:t xml:space="preserve">určení, zda je nutné provést </w:t>
      </w:r>
      <w:r w:rsidRPr="000D6270">
        <w:rPr>
          <w:rFonts w:cs="Segoe UI"/>
        </w:rPr>
        <w:t>podrobnou analýzu významných potenciálních klimatických rizik (fáze 2)</w:t>
      </w:r>
      <w:r>
        <w:rPr>
          <w:rFonts w:cs="Segoe UI"/>
        </w:rPr>
        <w:t>:</w:t>
      </w:r>
      <w:r w:rsidRPr="000D6270">
        <w:rPr>
          <w:rFonts w:cs="Segoe UI"/>
        </w:rPr>
        <w:t xml:space="preserve"> </w:t>
      </w:r>
    </w:p>
    <w:p w14:paraId="56EADF47" w14:textId="77777777" w:rsidR="00DA15E8" w:rsidRPr="00A367B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lastRenderedPageBreak/>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44A3CD9" w14:textId="77777777" w:rsidR="00DA15E8" w:rsidRDefault="00DA15E8" w:rsidP="00DA15E8">
      <w:pPr>
        <w:pStyle w:val="Odstavecseseznamem"/>
        <w:jc w:val="both"/>
        <w:rPr>
          <w:b/>
        </w:rPr>
      </w:pPr>
      <w:r w:rsidRPr="00530F11">
        <w:rPr>
          <w:b/>
        </w:rPr>
        <w:t>Výsledky tohoto posouzení a popis opatření ke zmírnění vlivu těchto projevů na realizovanou infrastrukturu žadatel uvede v části „Text doplní žadatel“ na konci oddílu tabulky „Přizpůsobení se změně klimatu“</w:t>
      </w:r>
    </w:p>
    <w:p w14:paraId="7084CFFD" w14:textId="50868933" w:rsidR="00FF21C9" w:rsidRDefault="00DA15E8" w:rsidP="00DA15E8">
      <w:pPr>
        <w:pStyle w:val="Odstavecseseznamem"/>
        <w:jc w:val="both"/>
      </w:pPr>
      <w:r>
        <w:t xml:space="preserve"> </w:t>
      </w:r>
    </w:p>
    <w:p w14:paraId="322C2116" w14:textId="0A37528A" w:rsidR="00FF21C9" w:rsidRPr="00DB4EC4" w:rsidRDefault="00653AE5" w:rsidP="00653AE5">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FF21C9">
      <w:pPr>
        <w:pStyle w:val="Odstavecseseznamem"/>
        <w:autoSpaceDE w:val="0"/>
        <w:autoSpaceDN w:val="0"/>
        <w:adjustRightInd w:val="0"/>
        <w:spacing w:after="0" w:line="240" w:lineRule="auto"/>
        <w:jc w:val="both"/>
        <w:rPr>
          <w:i/>
        </w:rPr>
      </w:pPr>
    </w:p>
    <w:p w14:paraId="17C42721" w14:textId="77777777" w:rsidR="00DA15E8" w:rsidRPr="00530F11" w:rsidRDefault="00DA15E8" w:rsidP="00DA15E8">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DA15E8">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DA15E8">
      <w:pPr>
        <w:keepNext/>
        <w:spacing w:after="120" w:line="264" w:lineRule="auto"/>
        <w:jc w:val="both"/>
        <w:rPr>
          <w:rFonts w:cs="Segoe UI"/>
          <w:b/>
          <w:kern w:val="22"/>
        </w:rPr>
      </w:pPr>
      <w:r w:rsidRPr="00C53A35">
        <w:rPr>
          <w:rFonts w:cs="Segoe UI"/>
          <w:b/>
          <w:kern w:val="22"/>
        </w:rPr>
        <w:t>Analýza pravděpodobnosti</w:t>
      </w:r>
    </w:p>
    <w:p w14:paraId="214EB264" w14:textId="77777777" w:rsidR="00DA15E8" w:rsidRPr="00C53A35" w:rsidRDefault="00DA15E8" w:rsidP="00DA15E8">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DA15E8">
      <w:pPr>
        <w:spacing w:after="120" w:line="264" w:lineRule="auto"/>
        <w:jc w:val="both"/>
        <w:rPr>
          <w:rFonts w:cs="Segoe UI"/>
          <w:b/>
          <w:kern w:val="22"/>
        </w:rPr>
      </w:pPr>
      <w:r w:rsidRPr="00C53A35">
        <w:rPr>
          <w:rFonts w:cs="Segoe UI"/>
          <w:b/>
          <w:kern w:val="22"/>
        </w:rPr>
        <w:t>Analýza dopadu</w:t>
      </w:r>
    </w:p>
    <w:p w14:paraId="1F313C75" w14:textId="77777777" w:rsidR="00DA15E8" w:rsidRPr="00C53A35" w:rsidRDefault="00DA15E8" w:rsidP="00DA15E8">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DA15E8">
      <w:pPr>
        <w:spacing w:after="120" w:line="264" w:lineRule="auto"/>
        <w:jc w:val="both"/>
        <w:rPr>
          <w:rFonts w:cs="Segoe UI"/>
          <w:b/>
          <w:kern w:val="22"/>
        </w:rPr>
      </w:pPr>
      <w:r w:rsidRPr="00C53A35">
        <w:rPr>
          <w:rFonts w:cs="Segoe UI"/>
          <w:b/>
          <w:kern w:val="22"/>
        </w:rPr>
        <w:t>Analýza rizik</w:t>
      </w:r>
    </w:p>
    <w:p w14:paraId="0F95DAD2" w14:textId="77777777" w:rsidR="00DA15E8" w:rsidRDefault="00DA15E8" w:rsidP="00DA15E8">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77777777" w:rsidR="00DA15E8" w:rsidRPr="00C53A35" w:rsidRDefault="00DA15E8" w:rsidP="00DA15E8">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6E2F29">
        <w:trPr>
          <w:trHeight w:val="613"/>
        </w:trPr>
        <w:tc>
          <w:tcPr>
            <w:tcW w:w="9072" w:type="dxa"/>
            <w:gridSpan w:val="10"/>
            <w:shd w:val="clear" w:color="auto" w:fill="B5DCFF" w:themeFill="text2" w:themeFillTint="33"/>
            <w:vAlign w:val="center"/>
          </w:tcPr>
          <w:p w14:paraId="0E62AC2B" w14:textId="77777777" w:rsidR="00DA15E8" w:rsidRPr="00C53A35" w:rsidRDefault="00DA15E8" w:rsidP="006E2F29">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6E2F29">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6E2F29">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proofErr w:type="spellStart"/>
            <w:r w:rsidRPr="00C53A35">
              <w:rPr>
                <w:rFonts w:cs="Segoe UI"/>
                <w:b/>
                <w:bCs/>
                <w:i/>
                <w:iCs/>
                <w:sz w:val="20"/>
                <w:szCs w:val="20"/>
              </w:rPr>
              <w:t>xxx</w:t>
            </w:r>
            <w:proofErr w:type="spellEnd"/>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6E2F29">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6E2F29">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6E2F29">
            <w:pPr>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6E2F29">
            <w:pPr>
              <w:jc w:val="center"/>
              <w:rPr>
                <w:rFonts w:cs="Segoe UI"/>
                <w:b/>
                <w:bCs/>
                <w:sz w:val="20"/>
                <w:szCs w:val="20"/>
              </w:rPr>
            </w:pPr>
          </w:p>
        </w:tc>
      </w:tr>
      <w:tr w:rsidR="00DA15E8" w:rsidRPr="00C53A35" w14:paraId="0CDB9330" w14:textId="77777777" w:rsidTr="006E2F29">
        <w:trPr>
          <w:trHeight w:val="885"/>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6E2F29">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6E2F29">
            <w:pPr>
              <w:spacing w:after="0" w:line="264" w:lineRule="auto"/>
              <w:jc w:val="center"/>
              <w:rPr>
                <w:rFonts w:cs="Segoe UI"/>
                <w:sz w:val="20"/>
                <w:szCs w:val="20"/>
              </w:rPr>
            </w:pPr>
            <w:proofErr w:type="spellStart"/>
            <w:r w:rsidRPr="00C53A35">
              <w:rPr>
                <w:rFonts w:cs="Segoe UI"/>
                <w:sz w:val="20"/>
                <w:szCs w:val="20"/>
              </w:rPr>
              <w:t>Nevýz-namný</w:t>
            </w:r>
            <w:proofErr w:type="spellEnd"/>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6E2F29">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6E2F29">
            <w:pPr>
              <w:spacing w:after="0" w:line="264" w:lineRule="auto"/>
              <w:jc w:val="center"/>
              <w:rPr>
                <w:rFonts w:cs="Segoe UI"/>
                <w:sz w:val="20"/>
                <w:szCs w:val="20"/>
              </w:rPr>
            </w:pPr>
            <w:proofErr w:type="spellStart"/>
            <w:r w:rsidRPr="00C53A35">
              <w:rPr>
                <w:rFonts w:cs="Segoe UI"/>
                <w:sz w:val="20"/>
                <w:szCs w:val="20"/>
              </w:rPr>
              <w:t>Katastro-fický</w:t>
            </w:r>
            <w:proofErr w:type="spellEnd"/>
          </w:p>
        </w:tc>
        <w:tc>
          <w:tcPr>
            <w:tcW w:w="283" w:type="dxa"/>
            <w:tcBorders>
              <w:top w:val="nil"/>
              <w:bottom w:val="nil"/>
              <w:right w:val="nil"/>
            </w:tcBorders>
            <w:shd w:val="clear" w:color="auto" w:fill="auto"/>
            <w:vAlign w:val="center"/>
          </w:tcPr>
          <w:p w14:paraId="52FDE285" w14:textId="77777777" w:rsidR="00DA15E8" w:rsidRPr="00C53A35" w:rsidRDefault="00DA15E8" w:rsidP="006E2F29">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6E2F29">
            <w:pPr>
              <w:jc w:val="center"/>
              <w:rPr>
                <w:rFonts w:cs="Segoe UI"/>
                <w:sz w:val="20"/>
                <w:szCs w:val="20"/>
              </w:rPr>
            </w:pPr>
            <w:r w:rsidRPr="00C53A35">
              <w:rPr>
                <w:rFonts w:cs="Segoe UI"/>
                <w:sz w:val="20"/>
                <w:szCs w:val="20"/>
              </w:rPr>
              <w:t>Úroveň rizika:</w:t>
            </w:r>
          </w:p>
        </w:tc>
      </w:tr>
      <w:tr w:rsidR="00DA15E8" w:rsidRPr="00C53A35" w14:paraId="4A84059B" w14:textId="77777777" w:rsidTr="006E2F29">
        <w:trPr>
          <w:trHeight w:val="649"/>
        </w:trPr>
        <w:tc>
          <w:tcPr>
            <w:tcW w:w="426" w:type="dxa"/>
            <w:vMerge w:val="restart"/>
            <w:shd w:val="clear" w:color="auto" w:fill="B5DCFF" w:themeFill="text2" w:themeFillTint="33"/>
            <w:textDirection w:val="btLr"/>
            <w:vAlign w:val="center"/>
          </w:tcPr>
          <w:p w14:paraId="5EAA46D1" w14:textId="77777777" w:rsidR="00DA15E8" w:rsidRPr="00C53A35" w:rsidRDefault="00DA15E8" w:rsidP="006E2F29">
            <w:pPr>
              <w:tabs>
                <w:tab w:val="left" w:pos="0"/>
              </w:tabs>
              <w:spacing w:after="0" w:line="264" w:lineRule="auto"/>
              <w:ind w:left="113" w:right="113"/>
              <w:jc w:val="center"/>
              <w:rPr>
                <w:rFonts w:cs="Segoe UI"/>
                <w:b/>
                <w:bCs/>
                <w:sz w:val="20"/>
                <w:szCs w:val="20"/>
              </w:rPr>
            </w:pPr>
            <w:r w:rsidRPr="00C53A35">
              <w:rPr>
                <w:rFonts w:cs="Segoe UI"/>
                <w:b/>
                <w:bCs/>
                <w:sz w:val="20"/>
                <w:szCs w:val="20"/>
              </w:rPr>
              <w:lastRenderedPageBreak/>
              <w:t>Pravděpodobnost (výskytu)</w:t>
            </w:r>
          </w:p>
        </w:tc>
        <w:tc>
          <w:tcPr>
            <w:tcW w:w="1275" w:type="dxa"/>
            <w:shd w:val="clear" w:color="auto" w:fill="B5DCFF" w:themeFill="text2" w:themeFillTint="33"/>
            <w:vAlign w:val="center"/>
          </w:tcPr>
          <w:p w14:paraId="456BAA79"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4683961"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0D6E39A6"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58A64F00"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7F318797"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6E2F29">
            <w:pPr>
              <w:jc w:val="center"/>
              <w:rPr>
                <w:rFonts w:cs="Segoe UI"/>
                <w:sz w:val="20"/>
                <w:szCs w:val="20"/>
              </w:rPr>
            </w:pPr>
          </w:p>
        </w:tc>
      </w:tr>
      <w:tr w:rsidR="00DA15E8" w:rsidRPr="00C53A35" w14:paraId="45C22862" w14:textId="77777777" w:rsidTr="006E2F29">
        <w:trPr>
          <w:trHeight w:val="649"/>
        </w:trPr>
        <w:tc>
          <w:tcPr>
            <w:tcW w:w="426" w:type="dxa"/>
            <w:vMerge/>
            <w:shd w:val="clear" w:color="auto" w:fill="B5DCFF" w:themeFill="text2" w:themeFillTint="33"/>
            <w:textDirection w:val="btLr"/>
            <w:vAlign w:val="center"/>
          </w:tcPr>
          <w:p w14:paraId="45D7E765" w14:textId="77777777" w:rsidR="00DA15E8" w:rsidRPr="00C53A35" w:rsidRDefault="00DA15E8" w:rsidP="006E2F29">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7ADCB6C"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161E9CB"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7452D860"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943CD98"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6E2F29">
            <w:pPr>
              <w:jc w:val="center"/>
              <w:rPr>
                <w:rFonts w:cs="Segoe UI"/>
                <w:sz w:val="20"/>
                <w:szCs w:val="20"/>
              </w:rPr>
            </w:pPr>
          </w:p>
        </w:tc>
      </w:tr>
      <w:tr w:rsidR="00DA15E8" w:rsidRPr="00C53A35" w14:paraId="470E034C" w14:textId="77777777" w:rsidTr="006E2F29">
        <w:trPr>
          <w:trHeight w:val="649"/>
        </w:trPr>
        <w:tc>
          <w:tcPr>
            <w:tcW w:w="426" w:type="dxa"/>
            <w:vMerge/>
            <w:shd w:val="clear" w:color="auto" w:fill="B5DCFF" w:themeFill="text2" w:themeFillTint="33"/>
            <w:vAlign w:val="center"/>
          </w:tcPr>
          <w:p w14:paraId="449417CF"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F2B7C0C"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24293B3"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F2934D6"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5ADCC46A"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6E2F29">
            <w:pPr>
              <w:jc w:val="center"/>
              <w:rPr>
                <w:rFonts w:cs="Segoe UI"/>
                <w:sz w:val="20"/>
                <w:szCs w:val="20"/>
              </w:rPr>
            </w:pPr>
          </w:p>
        </w:tc>
      </w:tr>
      <w:tr w:rsidR="00DA15E8" w:rsidRPr="00C53A35" w14:paraId="6B54BDCA" w14:textId="77777777" w:rsidTr="006E2F29">
        <w:trPr>
          <w:trHeight w:val="649"/>
        </w:trPr>
        <w:tc>
          <w:tcPr>
            <w:tcW w:w="426" w:type="dxa"/>
            <w:vMerge/>
            <w:shd w:val="clear" w:color="auto" w:fill="B5DCFF" w:themeFill="text2" w:themeFillTint="33"/>
            <w:vAlign w:val="center"/>
          </w:tcPr>
          <w:p w14:paraId="7FA1605C"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97F6A08"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58139304"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01FBDFB1"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6C1379B"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6E2F29">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6E2F29">
            <w:pPr>
              <w:jc w:val="center"/>
              <w:rPr>
                <w:rFonts w:cs="Segoe UI"/>
                <w:sz w:val="20"/>
                <w:szCs w:val="20"/>
              </w:rPr>
            </w:pPr>
          </w:p>
        </w:tc>
      </w:tr>
      <w:tr w:rsidR="00DA15E8" w:rsidRPr="00C53A35" w14:paraId="004B5AB5" w14:textId="77777777" w:rsidTr="006E2F29">
        <w:trPr>
          <w:trHeight w:val="649"/>
        </w:trPr>
        <w:tc>
          <w:tcPr>
            <w:tcW w:w="426" w:type="dxa"/>
            <w:vMerge/>
            <w:shd w:val="clear" w:color="auto" w:fill="B5DCFF" w:themeFill="text2" w:themeFillTint="33"/>
            <w:vAlign w:val="center"/>
          </w:tcPr>
          <w:p w14:paraId="2D01EE49" w14:textId="77777777" w:rsidR="00DA15E8" w:rsidRPr="00C53A35" w:rsidRDefault="00DA15E8" w:rsidP="006E2F29">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6E2F29">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48533D9C"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C6F63E3"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1857C99E"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7ADE772E" w14:textId="77777777" w:rsidR="00DA15E8" w:rsidRPr="00C53A35" w:rsidRDefault="00DA15E8" w:rsidP="006E2F29">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283" w:type="dxa"/>
            <w:tcBorders>
              <w:top w:val="nil"/>
              <w:right w:val="nil"/>
            </w:tcBorders>
            <w:shd w:val="clear" w:color="auto" w:fill="auto"/>
            <w:vAlign w:val="center"/>
          </w:tcPr>
          <w:p w14:paraId="438F162C" w14:textId="77777777" w:rsidR="00DA15E8" w:rsidRPr="00C53A35" w:rsidRDefault="00DA15E8" w:rsidP="006E2F29">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6E2F29">
            <w:pPr>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6E2F29">
            <w:pPr>
              <w:jc w:val="center"/>
              <w:rPr>
                <w:rFonts w:cs="Segoe UI"/>
                <w:sz w:val="20"/>
                <w:szCs w:val="20"/>
              </w:rPr>
            </w:pPr>
          </w:p>
        </w:tc>
      </w:tr>
    </w:tbl>
    <w:p w14:paraId="65E3750B" w14:textId="77777777" w:rsidR="00DA15E8" w:rsidRPr="00C53A35" w:rsidRDefault="00DA15E8" w:rsidP="00DA15E8">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DA15E8">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77777777" w:rsidR="00DA15E8" w:rsidRPr="00C53A35" w:rsidRDefault="00DA15E8" w:rsidP="00DA15E8">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p>
    <w:p w14:paraId="611A291F" w14:textId="77777777" w:rsidR="00DA15E8" w:rsidRPr="00C53A35" w:rsidRDefault="00DA15E8" w:rsidP="00DA15E8">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DA15E8">
      <w:pPr>
        <w:keepNext/>
        <w:spacing w:before="120" w:after="120" w:line="264" w:lineRule="auto"/>
        <w:jc w:val="both"/>
        <w:rPr>
          <w:rFonts w:cs="Segoe UI"/>
          <w:b/>
          <w:bCs/>
        </w:rPr>
      </w:pPr>
      <w:r>
        <w:rPr>
          <w:rFonts w:cs="Segoe UI"/>
          <w:b/>
          <w:bCs/>
        </w:rPr>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DA15E8">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DA15E8">
      <w:pPr>
        <w:spacing w:before="240" w:after="120" w:line="264" w:lineRule="auto"/>
        <w:jc w:val="both"/>
        <w:rPr>
          <w:rFonts w:cs="Segoe UI"/>
          <w:b/>
          <w:bCs/>
        </w:rPr>
      </w:pPr>
      <w:r w:rsidRPr="00561E43">
        <w:rPr>
          <w:rFonts w:cs="Segoe UI"/>
          <w:b/>
          <w:bCs/>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67265412" w14:textId="75F4988A" w:rsidR="002D2397" w:rsidRDefault="00DA15E8" w:rsidP="002D2397">
      <w:pPr>
        <w:autoSpaceDE w:val="0"/>
        <w:autoSpaceDN w:val="0"/>
        <w:adjustRightInd w:val="0"/>
        <w:spacing w:after="0" w:line="240" w:lineRule="auto"/>
        <w:jc w:val="both"/>
        <w:rPr>
          <w:i/>
        </w:rPr>
      </w:pPr>
      <w:r w:rsidRPr="00653AE5">
        <w:rPr>
          <w:b/>
        </w:rPr>
        <w:t xml:space="preserve">Výsledky tohoto posouzení a </w:t>
      </w:r>
      <w:r w:rsidRPr="002D2397">
        <w:rPr>
          <w:b/>
          <w:u w:val="single"/>
        </w:rPr>
        <w:t>popis opatření ke zmírnění vlivu těchto projevů</w:t>
      </w:r>
      <w:r w:rsidRPr="00653AE5">
        <w:rPr>
          <w:b/>
        </w:rPr>
        <w:t xml:space="preserve"> na realizovanou infrastrukturu </w:t>
      </w:r>
      <w:r w:rsidRPr="002D2397">
        <w:rPr>
          <w:b/>
          <w:u w:val="single"/>
        </w:rPr>
        <w:t>žadatel uvede v</w:t>
      </w:r>
      <w:r w:rsidR="002D2397" w:rsidRPr="002D2397">
        <w:rPr>
          <w:b/>
          <w:u w:val="single"/>
        </w:rPr>
        <w:t> dokumentaci pro posouzení infrastruktury z hlediska klimatického dopadu</w:t>
      </w:r>
      <w:r w:rsidR="002D2397">
        <w:rPr>
          <w:b/>
          <w:u w:val="single"/>
        </w:rPr>
        <w:t xml:space="preserve">, </w:t>
      </w:r>
    </w:p>
    <w:p w14:paraId="458EA0D2" w14:textId="77777777" w:rsidR="00FF21C9" w:rsidRDefault="00FF21C9" w:rsidP="00FF21C9">
      <w:pPr>
        <w:jc w:val="both"/>
      </w:pPr>
    </w:p>
    <w:p w14:paraId="46B5A3BA" w14:textId="4039B1FA" w:rsidR="002F39B3" w:rsidRDefault="002D2397" w:rsidP="002D2397">
      <w:pPr>
        <w:pStyle w:val="Nadpis1"/>
      </w:pPr>
      <w:r>
        <w:t xml:space="preserve">Čestné prohlášení </w:t>
      </w:r>
    </w:p>
    <w:p w14:paraId="72B97CCD" w14:textId="4DA9BF6A" w:rsidR="00E23E23" w:rsidRDefault="00E23E23" w:rsidP="002E4CA8">
      <w:pPr>
        <w:autoSpaceDE w:val="0"/>
        <w:autoSpaceDN w:val="0"/>
        <w:adjustRightInd w:val="0"/>
        <w:spacing w:after="0" w:line="240" w:lineRule="auto"/>
        <w:rPr>
          <w:rFonts w:cstheme="minorHAnsi"/>
        </w:rPr>
      </w:pPr>
    </w:p>
    <w:p w14:paraId="5038703F" w14:textId="173B710B" w:rsidR="00252FE1" w:rsidRDefault="00A616A9" w:rsidP="00DB4EFF">
      <w:pPr>
        <w:spacing w:line="240" w:lineRule="auto"/>
        <w:jc w:val="both"/>
        <w:rPr>
          <w:rFonts w:cstheme="minorHAnsi"/>
          <w:b/>
        </w:rPr>
      </w:pPr>
      <w:r w:rsidRPr="00832986">
        <w:rPr>
          <w:rFonts w:cstheme="minorHAnsi"/>
        </w:rPr>
        <w:t xml:space="preserve">Čestně prohlašuji, že </w:t>
      </w:r>
      <w:r>
        <w:rPr>
          <w:rFonts w:cstheme="minorHAnsi"/>
        </w:rPr>
        <w:t xml:space="preserve">proti předkladateli projektu </w:t>
      </w:r>
      <w:r w:rsidRPr="00A051F6">
        <w:rPr>
          <w:rFonts w:cstheme="minorHAnsi"/>
          <w:b/>
        </w:rPr>
        <w:t>není vedeno řízení pro porušení legislativy v oblasti životního prostředí,</w:t>
      </w:r>
      <w:r>
        <w:rPr>
          <w:rFonts w:cstheme="minorHAnsi"/>
        </w:rPr>
        <w:t xml:space="preserve"> realizace projektu bude realizována </w:t>
      </w:r>
      <w:r w:rsidRPr="00A051F6">
        <w:rPr>
          <w:rFonts w:cstheme="minorHAnsi"/>
          <w:b/>
        </w:rPr>
        <w:t xml:space="preserve">v souladu s legislativou v oblasti ochrany životního prostředí. </w:t>
      </w:r>
    </w:p>
    <w:p w14:paraId="5E6C7C6D" w14:textId="2FCECE51" w:rsidR="002D2397" w:rsidRPr="002D2397" w:rsidRDefault="002D2397" w:rsidP="00DB4EFF">
      <w:pPr>
        <w:spacing w:line="240" w:lineRule="auto"/>
        <w:jc w:val="both"/>
        <w:rPr>
          <w:rFonts w:cstheme="minorHAnsi"/>
        </w:rPr>
      </w:pPr>
      <w:r w:rsidRPr="002D2397">
        <w:rPr>
          <w:rFonts w:cstheme="minorHAnsi"/>
        </w:rPr>
        <w:t xml:space="preserve">Čestně prohlašuji, že </w:t>
      </w:r>
      <w:r>
        <w:rPr>
          <w:rFonts w:cstheme="minorHAnsi"/>
        </w:rPr>
        <w:t xml:space="preserve">pro všechny </w:t>
      </w:r>
      <w:r w:rsidRPr="002D2397">
        <w:rPr>
          <w:rFonts w:cstheme="minorHAnsi"/>
        </w:rPr>
        <w:t xml:space="preserve">údaje uvedené v tomto formuláři </w:t>
      </w:r>
      <w:r>
        <w:rPr>
          <w:rFonts w:cstheme="minorHAnsi"/>
        </w:rPr>
        <w:t>byly využity ověřitelné a důvěryhodné zdroje, žadatel je schopen na základě žádosti řídicího orgánu údaje doložit.</w:t>
      </w:r>
    </w:p>
    <w:p w14:paraId="35CD1215" w14:textId="77777777" w:rsidR="002D2397" w:rsidRPr="00DB4EFF" w:rsidRDefault="002D2397" w:rsidP="00DB4EFF">
      <w:pPr>
        <w:spacing w:line="240" w:lineRule="auto"/>
        <w:jc w:val="both"/>
        <w:rPr>
          <w:rFonts w:cstheme="minorHAnsi"/>
          <w:b/>
        </w:rPr>
      </w:pPr>
    </w:p>
    <w:tbl>
      <w:tblPr>
        <w:tblStyle w:val="Mkatabulky"/>
        <w:tblW w:w="0" w:type="auto"/>
        <w:tblLook w:val="04A0" w:firstRow="1" w:lastRow="0" w:firstColumn="1" w:lastColumn="0" w:noHBand="0" w:noVBand="1"/>
      </w:tblPr>
      <w:tblGrid>
        <w:gridCol w:w="3256"/>
        <w:gridCol w:w="6095"/>
      </w:tblGrid>
      <w:tr w:rsidR="00252FE1" w14:paraId="19BD3F84" w14:textId="77777777" w:rsidTr="00252FE1">
        <w:trPr>
          <w:trHeight w:val="417"/>
        </w:trPr>
        <w:tc>
          <w:tcPr>
            <w:tcW w:w="3256" w:type="dxa"/>
          </w:tcPr>
          <w:p w14:paraId="20370AC3"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Žadatel – jméno statutárního zástupce nebo osoby pověřené plnou mocí</w:t>
            </w:r>
          </w:p>
        </w:tc>
        <w:tc>
          <w:tcPr>
            <w:tcW w:w="6095" w:type="dxa"/>
          </w:tcPr>
          <w:p w14:paraId="7AA4A790" w14:textId="77777777" w:rsidR="00252FE1" w:rsidRDefault="00252FE1" w:rsidP="00252FE1">
            <w:pPr>
              <w:autoSpaceDE w:val="0"/>
              <w:autoSpaceDN w:val="0"/>
              <w:adjustRightInd w:val="0"/>
              <w:spacing w:after="0" w:line="240" w:lineRule="auto"/>
              <w:rPr>
                <w:rFonts w:ascii="Calibri-Bold" w:hAnsi="Calibri-Bold" w:cs="Calibri-Bold"/>
                <w:b/>
                <w:bCs/>
                <w:color w:val="000000"/>
              </w:rPr>
            </w:pPr>
          </w:p>
        </w:tc>
      </w:tr>
      <w:tr w:rsidR="00252FE1" w14:paraId="628D8993" w14:textId="77777777" w:rsidTr="00252FE1">
        <w:tc>
          <w:tcPr>
            <w:tcW w:w="3256" w:type="dxa"/>
          </w:tcPr>
          <w:p w14:paraId="0C3A7CB4"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Podpis statutárního zástupce</w:t>
            </w:r>
          </w:p>
          <w:p w14:paraId="3ACEBF63"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žadatele nebo osoby pověřené</w:t>
            </w:r>
          </w:p>
          <w:p w14:paraId="28910312" w14:textId="77777777" w:rsidR="00252FE1" w:rsidRDefault="00252FE1" w:rsidP="00252FE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plnou mocí</w:t>
            </w:r>
          </w:p>
        </w:tc>
        <w:tc>
          <w:tcPr>
            <w:tcW w:w="6095" w:type="dxa"/>
          </w:tcPr>
          <w:p w14:paraId="5E2F95AA" w14:textId="77777777" w:rsidR="00252FE1" w:rsidRDefault="00252FE1" w:rsidP="00252FE1">
            <w:pPr>
              <w:autoSpaceDE w:val="0"/>
              <w:autoSpaceDN w:val="0"/>
              <w:adjustRightInd w:val="0"/>
              <w:spacing w:after="0" w:line="240" w:lineRule="auto"/>
              <w:rPr>
                <w:rFonts w:ascii="Calibri-Bold" w:hAnsi="Calibri-Bold" w:cs="Calibri-Bold"/>
                <w:b/>
                <w:bCs/>
                <w:color w:val="000000"/>
              </w:rPr>
            </w:pPr>
          </w:p>
        </w:tc>
      </w:tr>
    </w:tbl>
    <w:p w14:paraId="6AE3BF0A" w14:textId="77777777" w:rsidR="00252FE1" w:rsidRDefault="00252FE1" w:rsidP="00252FE1">
      <w:pPr>
        <w:rPr>
          <w:rFonts w:cstheme="minorHAnsi"/>
        </w:rPr>
      </w:pPr>
    </w:p>
    <w:p w14:paraId="3E24DF64" w14:textId="77777777" w:rsidR="00252FE1" w:rsidRDefault="00252FE1" w:rsidP="00252FE1">
      <w:pPr>
        <w:rPr>
          <w:rFonts w:cstheme="minorHAnsi"/>
          <w:highlight w:val="green"/>
        </w:rPr>
      </w:pPr>
      <w:r w:rsidRPr="00832986">
        <w:rPr>
          <w:rFonts w:cstheme="minorHAnsi"/>
        </w:rPr>
        <w:t>Datum:</w:t>
      </w:r>
    </w:p>
    <w:sectPr w:rsidR="00252FE1" w:rsidSect="00F3716D">
      <w:headerReference w:type="default"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1F45" w14:textId="77777777" w:rsidR="004738E0" w:rsidRDefault="004738E0" w:rsidP="00677FE0">
      <w:pPr>
        <w:spacing w:after="0" w:line="240" w:lineRule="auto"/>
      </w:pPr>
      <w:r>
        <w:separator/>
      </w:r>
    </w:p>
  </w:endnote>
  <w:endnote w:type="continuationSeparator" w:id="0">
    <w:p w14:paraId="3AC7BE35" w14:textId="77777777" w:rsidR="004738E0" w:rsidRDefault="004738E0"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50074"/>
      <w:docPartObj>
        <w:docPartGallery w:val="Page Numbers (Bottom of Page)"/>
        <w:docPartUnique/>
      </w:docPartObj>
    </w:sdtPr>
    <w:sdtEndPr/>
    <w:sdtContent>
      <w:p w14:paraId="079224D8" w14:textId="5F11F372" w:rsidR="00356841" w:rsidRDefault="00356841">
        <w:pPr>
          <w:pStyle w:val="Zpat"/>
          <w:jc w:val="right"/>
        </w:pPr>
        <w:r>
          <w:fldChar w:fldCharType="begin"/>
        </w:r>
        <w:r>
          <w:instrText>PAGE   \* MERGEFORMAT</w:instrText>
        </w:r>
        <w:r>
          <w:fldChar w:fldCharType="separate"/>
        </w:r>
        <w:r>
          <w:t>2</w:t>
        </w:r>
        <w:r>
          <w:fldChar w:fldCharType="end"/>
        </w:r>
      </w:p>
    </w:sdtContent>
  </w:sdt>
  <w:p w14:paraId="09ABC187" w14:textId="071A4C03" w:rsidR="00356841" w:rsidRDefault="00152E1F">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6398" w14:textId="03569C75" w:rsidR="00152E1F" w:rsidRDefault="00152E1F"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6412" w14:textId="77777777" w:rsidR="004738E0" w:rsidRDefault="004738E0" w:rsidP="00677FE0">
      <w:pPr>
        <w:spacing w:after="0" w:line="240" w:lineRule="auto"/>
      </w:pPr>
      <w:r>
        <w:separator/>
      </w:r>
    </w:p>
  </w:footnote>
  <w:footnote w:type="continuationSeparator" w:id="0">
    <w:p w14:paraId="4C886902" w14:textId="77777777" w:rsidR="004738E0" w:rsidRDefault="004738E0" w:rsidP="00677FE0">
      <w:pPr>
        <w:spacing w:after="0" w:line="240" w:lineRule="auto"/>
      </w:pPr>
      <w:r>
        <w:continuationSeparator/>
      </w:r>
    </w:p>
  </w:footnote>
  <w:footnote w:id="1">
    <w:p w14:paraId="3D6B2309" w14:textId="77777777" w:rsidR="004A7709" w:rsidRDefault="004A7709" w:rsidP="004A7709">
      <w:pPr>
        <w:pStyle w:val="Textpoznpodarou"/>
        <w:jc w:val="both"/>
      </w:pPr>
      <w:r w:rsidRPr="0046624D">
        <w:rPr>
          <w:rStyle w:val="Znakapoznpodarou"/>
          <w:sz w:val="18"/>
        </w:rPr>
        <w:footnoteRef/>
      </w:r>
      <w:r w:rsidRPr="0046624D">
        <w:rPr>
          <w:sz w:val="18"/>
        </w:rPr>
        <w:tab/>
        <w:t>K posouzení technických specifikací výrobků je na úrovni EU k dispozici odkaz na normy EU: EN 200 „</w:t>
      </w:r>
      <w:proofErr w:type="spellStart"/>
      <w:r w:rsidRPr="0046624D">
        <w:rPr>
          <w:sz w:val="18"/>
        </w:rPr>
        <w:t>Zdravotnětechnické</w:t>
      </w:r>
      <w:proofErr w:type="spellEnd"/>
      <w:r w:rsidRPr="0046624D">
        <w:rPr>
          <w:sz w:val="18"/>
        </w:rPr>
        <w:t xml:space="preserve"> armatury – Výtokové ventily a ventilové směšovací baterie pro vnitřní vodovody typu 1 a 2 – Všeobecná technická specifikace“; EN 816 „</w:t>
      </w:r>
      <w:proofErr w:type="spellStart"/>
      <w:r w:rsidRPr="0046624D">
        <w:rPr>
          <w:sz w:val="18"/>
        </w:rPr>
        <w:t>Zdravotnětechnické</w:t>
      </w:r>
      <w:proofErr w:type="spellEnd"/>
      <w:r w:rsidRPr="0046624D">
        <w:rPr>
          <w:sz w:val="18"/>
        </w:rPr>
        <w:t xml:space="preserve"> armatury – Samočinné uzavírací armatury PN 10“;·EN 817 „Mechanické směšovací baterie (PN 10) – Všeobecné technické požadavky“;·EN 1111 „</w:t>
      </w:r>
      <w:proofErr w:type="spellStart"/>
      <w:r w:rsidRPr="0046624D">
        <w:rPr>
          <w:sz w:val="18"/>
        </w:rPr>
        <w:t>Zdravotnětechnické</w:t>
      </w:r>
      <w:proofErr w:type="spellEnd"/>
      <w:r w:rsidRPr="0046624D">
        <w:rPr>
          <w:sz w:val="18"/>
        </w:rPr>
        <w:t xml:space="preserve"> armatury – Termostatické směšovací baterie (PN10) – Všeobecné technické podmínky“; EN 1112 „</w:t>
      </w:r>
      <w:proofErr w:type="spellStart"/>
      <w:r w:rsidRPr="0046624D">
        <w:rPr>
          <w:sz w:val="18"/>
        </w:rPr>
        <w:t>Zdravotnětechnické</w:t>
      </w:r>
      <w:proofErr w:type="spellEnd"/>
      <w:r w:rsidRPr="0046624D">
        <w:rPr>
          <w:sz w:val="18"/>
        </w:rPr>
        <w:t xml:space="preserve"> armatury – Sprchy pro </w:t>
      </w:r>
      <w:proofErr w:type="spellStart"/>
      <w:r w:rsidRPr="0046624D">
        <w:rPr>
          <w:sz w:val="18"/>
        </w:rPr>
        <w:t>zdravotnětechnické</w:t>
      </w:r>
      <w:proofErr w:type="spellEnd"/>
      <w:r w:rsidRPr="0046624D">
        <w:rPr>
          <w:sz w:val="18"/>
        </w:rPr>
        <w:t xml:space="preserve"> armatury pro vnitřní vodovody typu 1 a typu 2 – Všeobecné technické požadavky“; EN 1113 pro „</w:t>
      </w:r>
      <w:proofErr w:type="spellStart"/>
      <w:r w:rsidRPr="0046624D">
        <w:rPr>
          <w:sz w:val="18"/>
        </w:rPr>
        <w:t>Zdravotnětechnické</w:t>
      </w:r>
      <w:proofErr w:type="spellEnd"/>
      <w:r w:rsidRPr="0046624D">
        <w:rPr>
          <w:sz w:val="18"/>
        </w:rPr>
        <w:t xml:space="preserve"> armatury – Sprchové hadice pro </w:t>
      </w:r>
      <w:proofErr w:type="spellStart"/>
      <w:r w:rsidRPr="0046624D">
        <w:rPr>
          <w:sz w:val="18"/>
        </w:rPr>
        <w:t>zdravotnětechnické</w:t>
      </w:r>
      <w:proofErr w:type="spellEnd"/>
      <w:r w:rsidRPr="0046624D">
        <w:rPr>
          <w:sz w:val="18"/>
        </w:rPr>
        <w:t xml:space="preserve"> armatury pro vnitřní vodovody typu 1 a typu 2 – Všeobecné technické požadavky“ včetně metody pro testování odolnosti hadice proti ohybu;·EN 1287 pro „</w:t>
      </w:r>
      <w:proofErr w:type="spellStart"/>
      <w:r w:rsidRPr="0046624D">
        <w:rPr>
          <w:sz w:val="18"/>
        </w:rPr>
        <w:t>Zdravotnětechnické</w:t>
      </w:r>
      <w:proofErr w:type="spellEnd"/>
      <w:r w:rsidRPr="0046624D">
        <w:rPr>
          <w:sz w:val="18"/>
        </w:rPr>
        <w:t xml:space="preserve"> armatury – Nízkotlaké termostatické směšovače – Všeobecné technické požadavky“; EN 15091 „</w:t>
      </w:r>
      <w:proofErr w:type="spellStart"/>
      <w:r w:rsidRPr="0046624D">
        <w:rPr>
          <w:sz w:val="18"/>
        </w:rPr>
        <w:t>Zdravotnětechnické</w:t>
      </w:r>
      <w:proofErr w:type="spellEnd"/>
      <w:r w:rsidRPr="0046624D">
        <w:rPr>
          <w:sz w:val="18"/>
        </w:rPr>
        <w:t xml:space="preserve"> armatury – Elektronicky otevírané a uzavírané </w:t>
      </w:r>
      <w:proofErr w:type="spellStart"/>
      <w:r w:rsidRPr="0046624D">
        <w:rPr>
          <w:sz w:val="18"/>
        </w:rPr>
        <w:t>zdravotnětechnické</w:t>
      </w:r>
      <w:proofErr w:type="spellEnd"/>
      <w:r w:rsidRPr="0046624D">
        <w:rPr>
          <w:sz w:val="18"/>
        </w:rPr>
        <w:t xml:space="preserve"> armatury“.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BA1" w14:textId="294591EB" w:rsidR="00356841" w:rsidRDefault="004D3837"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356841" w:rsidRDefault="003568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ED3" w14:textId="4C6DC501" w:rsidR="004D3837" w:rsidRDefault="004D3837">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16F8"/>
    <w:multiLevelType w:val="multilevel"/>
    <w:tmpl w:val="3320A8B2"/>
    <w:numStyleLink w:val="VariantaB-odrky"/>
  </w:abstractNum>
  <w:abstractNum w:abstractNumId="4"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1872DA"/>
    <w:multiLevelType w:val="multilevel"/>
    <w:tmpl w:val="E8A48D7C"/>
    <w:numStyleLink w:val="VariantaA-sla"/>
  </w:abstractNum>
  <w:abstractNum w:abstractNumId="9"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9A5EA2"/>
    <w:multiLevelType w:val="multilevel"/>
    <w:tmpl w:val="E8BAE50A"/>
    <w:numStyleLink w:val="VariantaA-odrky"/>
  </w:abstractNum>
  <w:abstractNum w:abstractNumId="11"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9" w15:restartNumberingAfterBreak="0">
    <w:nsid w:val="5AF35F43"/>
    <w:multiLevelType w:val="multilevel"/>
    <w:tmpl w:val="0D8ABE32"/>
    <w:numStyleLink w:val="VariantaB-sla"/>
  </w:abstractNum>
  <w:abstractNum w:abstractNumId="20"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8"/>
  </w:num>
  <w:num w:numId="3">
    <w:abstractNumId w:val="16"/>
  </w:num>
  <w:num w:numId="4">
    <w:abstractNumId w:val="1"/>
  </w:num>
  <w:num w:numId="5">
    <w:abstractNumId w:val="19"/>
  </w:num>
  <w:num w:numId="6">
    <w:abstractNumId w:val="10"/>
  </w:num>
  <w:num w:numId="7">
    <w:abstractNumId w:val="8"/>
  </w:num>
  <w:num w:numId="8">
    <w:abstractNumId w:val="3"/>
  </w:num>
  <w:num w:numId="9">
    <w:abstractNumId w:val="17"/>
  </w:num>
  <w:num w:numId="10">
    <w:abstractNumId w:val="12"/>
  </w:num>
  <w:num w:numId="11">
    <w:abstractNumId w:val="2"/>
  </w:num>
  <w:num w:numId="12">
    <w:abstractNumId w:val="20"/>
  </w:num>
  <w:num w:numId="13">
    <w:abstractNumId w:val="4"/>
  </w:num>
  <w:num w:numId="14">
    <w:abstractNumId w:val="23"/>
  </w:num>
  <w:num w:numId="15">
    <w:abstractNumId w:val="5"/>
  </w:num>
  <w:num w:numId="16">
    <w:abstractNumId w:val="15"/>
  </w:num>
  <w:num w:numId="17">
    <w:abstractNumId w:val="13"/>
  </w:num>
  <w:num w:numId="18">
    <w:abstractNumId w:val="22"/>
  </w:num>
  <w:num w:numId="19">
    <w:abstractNumId w:val="21"/>
  </w:num>
  <w:num w:numId="20">
    <w:abstractNumId w:val="14"/>
  </w:num>
  <w:num w:numId="21">
    <w:abstractNumId w:val="7"/>
  </w:num>
  <w:num w:numId="22">
    <w:abstractNumId w:val="11"/>
  </w:num>
  <w:num w:numId="23">
    <w:abstractNumId w:val="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1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1B3A"/>
    <w:rsid w:val="00021D3D"/>
    <w:rsid w:val="00023DA9"/>
    <w:rsid w:val="00023F34"/>
    <w:rsid w:val="000257AF"/>
    <w:rsid w:val="0002674B"/>
    <w:rsid w:val="00026872"/>
    <w:rsid w:val="00026C36"/>
    <w:rsid w:val="0004162E"/>
    <w:rsid w:val="0004786B"/>
    <w:rsid w:val="00063405"/>
    <w:rsid w:val="000704BC"/>
    <w:rsid w:val="0007323A"/>
    <w:rsid w:val="000809B9"/>
    <w:rsid w:val="000836C3"/>
    <w:rsid w:val="0008457B"/>
    <w:rsid w:val="00090B40"/>
    <w:rsid w:val="00095A0A"/>
    <w:rsid w:val="00096598"/>
    <w:rsid w:val="000B1B3D"/>
    <w:rsid w:val="000B4E18"/>
    <w:rsid w:val="000B7C2C"/>
    <w:rsid w:val="000C3C1D"/>
    <w:rsid w:val="000C4CAF"/>
    <w:rsid w:val="000C7E11"/>
    <w:rsid w:val="000D1470"/>
    <w:rsid w:val="000D377E"/>
    <w:rsid w:val="000E7599"/>
    <w:rsid w:val="000F01B0"/>
    <w:rsid w:val="000F769F"/>
    <w:rsid w:val="000F7BE2"/>
    <w:rsid w:val="00107AC5"/>
    <w:rsid w:val="00110E36"/>
    <w:rsid w:val="00121485"/>
    <w:rsid w:val="001220CD"/>
    <w:rsid w:val="001268B0"/>
    <w:rsid w:val="00126D51"/>
    <w:rsid w:val="0013039E"/>
    <w:rsid w:val="00137885"/>
    <w:rsid w:val="00152E1F"/>
    <w:rsid w:val="00172D2A"/>
    <w:rsid w:val="00175E71"/>
    <w:rsid w:val="0018051B"/>
    <w:rsid w:val="00190386"/>
    <w:rsid w:val="001978B1"/>
    <w:rsid w:val="001B1E4A"/>
    <w:rsid w:val="001B7BB4"/>
    <w:rsid w:val="001C0534"/>
    <w:rsid w:val="001C33EF"/>
    <w:rsid w:val="001C5A6F"/>
    <w:rsid w:val="001C70EC"/>
    <w:rsid w:val="001D18C6"/>
    <w:rsid w:val="001D27C0"/>
    <w:rsid w:val="001D305D"/>
    <w:rsid w:val="001E0D6F"/>
    <w:rsid w:val="001E1D26"/>
    <w:rsid w:val="001E74C3"/>
    <w:rsid w:val="001F6937"/>
    <w:rsid w:val="00204479"/>
    <w:rsid w:val="002057C8"/>
    <w:rsid w:val="0021742A"/>
    <w:rsid w:val="002208D4"/>
    <w:rsid w:val="00220DE3"/>
    <w:rsid w:val="002224DF"/>
    <w:rsid w:val="002342B9"/>
    <w:rsid w:val="00235B35"/>
    <w:rsid w:val="0025270A"/>
    <w:rsid w:val="0025290D"/>
    <w:rsid w:val="00252FE1"/>
    <w:rsid w:val="00260372"/>
    <w:rsid w:val="00262DAF"/>
    <w:rsid w:val="00264B84"/>
    <w:rsid w:val="00273F36"/>
    <w:rsid w:val="0027553F"/>
    <w:rsid w:val="00285AED"/>
    <w:rsid w:val="00286774"/>
    <w:rsid w:val="002A07E4"/>
    <w:rsid w:val="002A2D00"/>
    <w:rsid w:val="002C125B"/>
    <w:rsid w:val="002C1C0F"/>
    <w:rsid w:val="002C352A"/>
    <w:rsid w:val="002D2397"/>
    <w:rsid w:val="002D5B37"/>
    <w:rsid w:val="002E04DE"/>
    <w:rsid w:val="002E2442"/>
    <w:rsid w:val="002E4CA8"/>
    <w:rsid w:val="002F0E8C"/>
    <w:rsid w:val="002F2247"/>
    <w:rsid w:val="002F39B3"/>
    <w:rsid w:val="002F3D01"/>
    <w:rsid w:val="002F713D"/>
    <w:rsid w:val="0030602A"/>
    <w:rsid w:val="00310FA0"/>
    <w:rsid w:val="0031400C"/>
    <w:rsid w:val="00320481"/>
    <w:rsid w:val="0032499E"/>
    <w:rsid w:val="003250CB"/>
    <w:rsid w:val="0032757D"/>
    <w:rsid w:val="00335FDE"/>
    <w:rsid w:val="00337D1A"/>
    <w:rsid w:val="00344B10"/>
    <w:rsid w:val="00347049"/>
    <w:rsid w:val="00354B15"/>
    <w:rsid w:val="00356841"/>
    <w:rsid w:val="00360779"/>
    <w:rsid w:val="00363201"/>
    <w:rsid w:val="003653FD"/>
    <w:rsid w:val="00371F94"/>
    <w:rsid w:val="0039063C"/>
    <w:rsid w:val="003A1860"/>
    <w:rsid w:val="003A324C"/>
    <w:rsid w:val="003A41BA"/>
    <w:rsid w:val="003A46A8"/>
    <w:rsid w:val="003A51AA"/>
    <w:rsid w:val="003B565A"/>
    <w:rsid w:val="003C01C1"/>
    <w:rsid w:val="003D00A1"/>
    <w:rsid w:val="003D4DC9"/>
    <w:rsid w:val="003D6C5B"/>
    <w:rsid w:val="003D7C48"/>
    <w:rsid w:val="003E5A9F"/>
    <w:rsid w:val="003E5C09"/>
    <w:rsid w:val="003E67BD"/>
    <w:rsid w:val="003F0327"/>
    <w:rsid w:val="003F4089"/>
    <w:rsid w:val="003F50C3"/>
    <w:rsid w:val="004012F7"/>
    <w:rsid w:val="004069E0"/>
    <w:rsid w:val="0041427F"/>
    <w:rsid w:val="00416F82"/>
    <w:rsid w:val="0042415E"/>
    <w:rsid w:val="004254E9"/>
    <w:rsid w:val="0043512A"/>
    <w:rsid w:val="00435929"/>
    <w:rsid w:val="004509E5"/>
    <w:rsid w:val="00451910"/>
    <w:rsid w:val="00451956"/>
    <w:rsid w:val="004521BB"/>
    <w:rsid w:val="00455E73"/>
    <w:rsid w:val="004738E0"/>
    <w:rsid w:val="00486FB9"/>
    <w:rsid w:val="00495261"/>
    <w:rsid w:val="00497D63"/>
    <w:rsid w:val="004A75DE"/>
    <w:rsid w:val="004A7709"/>
    <w:rsid w:val="004A7C44"/>
    <w:rsid w:val="004B0CFA"/>
    <w:rsid w:val="004C1B03"/>
    <w:rsid w:val="004C1D8F"/>
    <w:rsid w:val="004C212A"/>
    <w:rsid w:val="004C2D13"/>
    <w:rsid w:val="004D1788"/>
    <w:rsid w:val="004D3837"/>
    <w:rsid w:val="004D4CFD"/>
    <w:rsid w:val="004F68C8"/>
    <w:rsid w:val="00500232"/>
    <w:rsid w:val="00504668"/>
    <w:rsid w:val="005046C0"/>
    <w:rsid w:val="00505B0F"/>
    <w:rsid w:val="005064DD"/>
    <w:rsid w:val="0051309A"/>
    <w:rsid w:val="0051315A"/>
    <w:rsid w:val="00521F1D"/>
    <w:rsid w:val="005227B1"/>
    <w:rsid w:val="00530FEB"/>
    <w:rsid w:val="005346E9"/>
    <w:rsid w:val="00545420"/>
    <w:rsid w:val="005455E1"/>
    <w:rsid w:val="005502BD"/>
    <w:rsid w:val="005507D4"/>
    <w:rsid w:val="0055113D"/>
    <w:rsid w:val="00556787"/>
    <w:rsid w:val="00565726"/>
    <w:rsid w:val="00565917"/>
    <w:rsid w:val="0057447D"/>
    <w:rsid w:val="00582276"/>
    <w:rsid w:val="00583CE9"/>
    <w:rsid w:val="00586CA7"/>
    <w:rsid w:val="00587E9B"/>
    <w:rsid w:val="005A4925"/>
    <w:rsid w:val="005A547C"/>
    <w:rsid w:val="005B08AA"/>
    <w:rsid w:val="005B2684"/>
    <w:rsid w:val="005B2FE8"/>
    <w:rsid w:val="005B30C5"/>
    <w:rsid w:val="005B3417"/>
    <w:rsid w:val="005B4A76"/>
    <w:rsid w:val="005B62DD"/>
    <w:rsid w:val="005B6DF7"/>
    <w:rsid w:val="005C2560"/>
    <w:rsid w:val="005D37EF"/>
    <w:rsid w:val="005F16F5"/>
    <w:rsid w:val="005F1DA2"/>
    <w:rsid w:val="005F7585"/>
    <w:rsid w:val="00605759"/>
    <w:rsid w:val="006147BD"/>
    <w:rsid w:val="00617615"/>
    <w:rsid w:val="00631DB5"/>
    <w:rsid w:val="006415A9"/>
    <w:rsid w:val="006503BB"/>
    <w:rsid w:val="00650C6C"/>
    <w:rsid w:val="00652FE6"/>
    <w:rsid w:val="00653AE5"/>
    <w:rsid w:val="00654196"/>
    <w:rsid w:val="006655EE"/>
    <w:rsid w:val="00667898"/>
    <w:rsid w:val="00677FE0"/>
    <w:rsid w:val="00683792"/>
    <w:rsid w:val="00694514"/>
    <w:rsid w:val="00695282"/>
    <w:rsid w:val="00695309"/>
    <w:rsid w:val="006C0412"/>
    <w:rsid w:val="006D04EF"/>
    <w:rsid w:val="006D0908"/>
    <w:rsid w:val="006D54F4"/>
    <w:rsid w:val="006E2FB0"/>
    <w:rsid w:val="006E5CDE"/>
    <w:rsid w:val="006E7BC1"/>
    <w:rsid w:val="006F4143"/>
    <w:rsid w:val="006F7410"/>
    <w:rsid w:val="00703782"/>
    <w:rsid w:val="0070490E"/>
    <w:rsid w:val="007100D2"/>
    <w:rsid w:val="007102D2"/>
    <w:rsid w:val="00711C8B"/>
    <w:rsid w:val="00713948"/>
    <w:rsid w:val="00720C20"/>
    <w:rsid w:val="0072338F"/>
    <w:rsid w:val="0072760A"/>
    <w:rsid w:val="0073002B"/>
    <w:rsid w:val="00732F98"/>
    <w:rsid w:val="0074393A"/>
    <w:rsid w:val="00745F32"/>
    <w:rsid w:val="0075184E"/>
    <w:rsid w:val="00752F44"/>
    <w:rsid w:val="00753A27"/>
    <w:rsid w:val="00754918"/>
    <w:rsid w:val="00757718"/>
    <w:rsid w:val="007613AB"/>
    <w:rsid w:val="00765554"/>
    <w:rsid w:val="007670E9"/>
    <w:rsid w:val="00776837"/>
    <w:rsid w:val="00777013"/>
    <w:rsid w:val="00783604"/>
    <w:rsid w:val="00784A43"/>
    <w:rsid w:val="0079342A"/>
    <w:rsid w:val="007B0DDE"/>
    <w:rsid w:val="007B4949"/>
    <w:rsid w:val="007B6109"/>
    <w:rsid w:val="007C2BEA"/>
    <w:rsid w:val="007C526B"/>
    <w:rsid w:val="007D6897"/>
    <w:rsid w:val="007E52F6"/>
    <w:rsid w:val="007F0BC6"/>
    <w:rsid w:val="00806CEF"/>
    <w:rsid w:val="0081253D"/>
    <w:rsid w:val="00820054"/>
    <w:rsid w:val="00827B87"/>
    <w:rsid w:val="00831374"/>
    <w:rsid w:val="008441C4"/>
    <w:rsid w:val="00857580"/>
    <w:rsid w:val="0086504A"/>
    <w:rsid w:val="00865238"/>
    <w:rsid w:val="008667BF"/>
    <w:rsid w:val="0087035B"/>
    <w:rsid w:val="00874E92"/>
    <w:rsid w:val="00887CAE"/>
    <w:rsid w:val="008944FD"/>
    <w:rsid w:val="00895645"/>
    <w:rsid w:val="008A0184"/>
    <w:rsid w:val="008A310D"/>
    <w:rsid w:val="008A7851"/>
    <w:rsid w:val="008B24F6"/>
    <w:rsid w:val="008C07DA"/>
    <w:rsid w:val="008C3782"/>
    <w:rsid w:val="008D4582"/>
    <w:rsid w:val="008D4A32"/>
    <w:rsid w:val="008D593A"/>
    <w:rsid w:val="008E4027"/>
    <w:rsid w:val="008E7760"/>
    <w:rsid w:val="008F18BA"/>
    <w:rsid w:val="008F272E"/>
    <w:rsid w:val="00906798"/>
    <w:rsid w:val="00911E15"/>
    <w:rsid w:val="00922001"/>
    <w:rsid w:val="00922C17"/>
    <w:rsid w:val="0092508B"/>
    <w:rsid w:val="00926032"/>
    <w:rsid w:val="0093153C"/>
    <w:rsid w:val="0094268A"/>
    <w:rsid w:val="00942DDD"/>
    <w:rsid w:val="00947138"/>
    <w:rsid w:val="009516A8"/>
    <w:rsid w:val="00966088"/>
    <w:rsid w:val="00967F5B"/>
    <w:rsid w:val="0097151B"/>
    <w:rsid w:val="0097705C"/>
    <w:rsid w:val="009770F2"/>
    <w:rsid w:val="00985322"/>
    <w:rsid w:val="0099688C"/>
    <w:rsid w:val="009A0122"/>
    <w:rsid w:val="009B217C"/>
    <w:rsid w:val="009B4F92"/>
    <w:rsid w:val="009B59C6"/>
    <w:rsid w:val="009C10B3"/>
    <w:rsid w:val="009C11B0"/>
    <w:rsid w:val="009C434C"/>
    <w:rsid w:val="009D217D"/>
    <w:rsid w:val="009F393D"/>
    <w:rsid w:val="009F47EF"/>
    <w:rsid w:val="009F7C95"/>
    <w:rsid w:val="009F7F46"/>
    <w:rsid w:val="00A000BF"/>
    <w:rsid w:val="00A00641"/>
    <w:rsid w:val="00A051F6"/>
    <w:rsid w:val="00A0587E"/>
    <w:rsid w:val="00A145A6"/>
    <w:rsid w:val="00A16153"/>
    <w:rsid w:val="00A250C8"/>
    <w:rsid w:val="00A275BC"/>
    <w:rsid w:val="00A34025"/>
    <w:rsid w:val="00A464B4"/>
    <w:rsid w:val="00A616A9"/>
    <w:rsid w:val="00A61840"/>
    <w:rsid w:val="00A63D6B"/>
    <w:rsid w:val="00A71835"/>
    <w:rsid w:val="00A81773"/>
    <w:rsid w:val="00A84B52"/>
    <w:rsid w:val="00A8660F"/>
    <w:rsid w:val="00A91322"/>
    <w:rsid w:val="00A95C48"/>
    <w:rsid w:val="00AA2092"/>
    <w:rsid w:val="00AA589A"/>
    <w:rsid w:val="00AA7056"/>
    <w:rsid w:val="00AB31C6"/>
    <w:rsid w:val="00AB523B"/>
    <w:rsid w:val="00AD24D6"/>
    <w:rsid w:val="00AD4665"/>
    <w:rsid w:val="00AD7E40"/>
    <w:rsid w:val="00AE015B"/>
    <w:rsid w:val="00AF22C2"/>
    <w:rsid w:val="00AF274C"/>
    <w:rsid w:val="00AF749B"/>
    <w:rsid w:val="00AF7F96"/>
    <w:rsid w:val="00B07324"/>
    <w:rsid w:val="00B125AC"/>
    <w:rsid w:val="00B1477A"/>
    <w:rsid w:val="00B176D2"/>
    <w:rsid w:val="00B20993"/>
    <w:rsid w:val="00B20C14"/>
    <w:rsid w:val="00B42E96"/>
    <w:rsid w:val="00B4484F"/>
    <w:rsid w:val="00B50EE6"/>
    <w:rsid w:val="00B52185"/>
    <w:rsid w:val="00B5347B"/>
    <w:rsid w:val="00B548F1"/>
    <w:rsid w:val="00B55E43"/>
    <w:rsid w:val="00B56F6C"/>
    <w:rsid w:val="00B63A0B"/>
    <w:rsid w:val="00B67EE9"/>
    <w:rsid w:val="00B70168"/>
    <w:rsid w:val="00B72B24"/>
    <w:rsid w:val="00B939ED"/>
    <w:rsid w:val="00B9753A"/>
    <w:rsid w:val="00BA7ABA"/>
    <w:rsid w:val="00BB479C"/>
    <w:rsid w:val="00BB63DF"/>
    <w:rsid w:val="00BB6EC3"/>
    <w:rsid w:val="00BC4474"/>
    <w:rsid w:val="00BC4720"/>
    <w:rsid w:val="00BD2889"/>
    <w:rsid w:val="00BD3D01"/>
    <w:rsid w:val="00BD75A2"/>
    <w:rsid w:val="00BD777C"/>
    <w:rsid w:val="00BE5D87"/>
    <w:rsid w:val="00BE7540"/>
    <w:rsid w:val="00BE756B"/>
    <w:rsid w:val="00C05651"/>
    <w:rsid w:val="00C11D7C"/>
    <w:rsid w:val="00C1295C"/>
    <w:rsid w:val="00C16C01"/>
    <w:rsid w:val="00C2017A"/>
    <w:rsid w:val="00C2026B"/>
    <w:rsid w:val="00C20470"/>
    <w:rsid w:val="00C20AD4"/>
    <w:rsid w:val="00C2371B"/>
    <w:rsid w:val="00C34B2F"/>
    <w:rsid w:val="00C4088F"/>
    <w:rsid w:val="00C4641B"/>
    <w:rsid w:val="00C50C85"/>
    <w:rsid w:val="00C6690E"/>
    <w:rsid w:val="00C703C5"/>
    <w:rsid w:val="00C72AC0"/>
    <w:rsid w:val="00C804B0"/>
    <w:rsid w:val="00C805F2"/>
    <w:rsid w:val="00C81ABD"/>
    <w:rsid w:val="00C85AD4"/>
    <w:rsid w:val="00C931C7"/>
    <w:rsid w:val="00C96EFE"/>
    <w:rsid w:val="00CA1D4C"/>
    <w:rsid w:val="00CA1DFE"/>
    <w:rsid w:val="00CB66A1"/>
    <w:rsid w:val="00CB6FC3"/>
    <w:rsid w:val="00CC5E03"/>
    <w:rsid w:val="00CC5E40"/>
    <w:rsid w:val="00CD00CD"/>
    <w:rsid w:val="00CE005F"/>
    <w:rsid w:val="00CE0119"/>
    <w:rsid w:val="00CF250C"/>
    <w:rsid w:val="00CF6591"/>
    <w:rsid w:val="00D0379E"/>
    <w:rsid w:val="00D04154"/>
    <w:rsid w:val="00D05C4A"/>
    <w:rsid w:val="00D111AA"/>
    <w:rsid w:val="00D14723"/>
    <w:rsid w:val="00D1569F"/>
    <w:rsid w:val="00D15E01"/>
    <w:rsid w:val="00D20540"/>
    <w:rsid w:val="00D20B1E"/>
    <w:rsid w:val="00D22462"/>
    <w:rsid w:val="00D230AC"/>
    <w:rsid w:val="00D234D0"/>
    <w:rsid w:val="00D32489"/>
    <w:rsid w:val="00D3349E"/>
    <w:rsid w:val="00D340EA"/>
    <w:rsid w:val="00D42D01"/>
    <w:rsid w:val="00D44C88"/>
    <w:rsid w:val="00D73CB8"/>
    <w:rsid w:val="00D81DC4"/>
    <w:rsid w:val="00DA15E8"/>
    <w:rsid w:val="00DA4376"/>
    <w:rsid w:val="00DA7591"/>
    <w:rsid w:val="00DB414B"/>
    <w:rsid w:val="00DB4EFF"/>
    <w:rsid w:val="00DC56BA"/>
    <w:rsid w:val="00DE22D9"/>
    <w:rsid w:val="00DE469C"/>
    <w:rsid w:val="00E23E23"/>
    <w:rsid w:val="00E2642F"/>
    <w:rsid w:val="00E27FA4"/>
    <w:rsid w:val="00E30745"/>
    <w:rsid w:val="00E32798"/>
    <w:rsid w:val="00E33CC8"/>
    <w:rsid w:val="00E356C4"/>
    <w:rsid w:val="00E44A93"/>
    <w:rsid w:val="00E46AB0"/>
    <w:rsid w:val="00E51C91"/>
    <w:rsid w:val="00E56D59"/>
    <w:rsid w:val="00E618D6"/>
    <w:rsid w:val="00E667C1"/>
    <w:rsid w:val="00EA46F2"/>
    <w:rsid w:val="00EB13A6"/>
    <w:rsid w:val="00EB153C"/>
    <w:rsid w:val="00EB31EC"/>
    <w:rsid w:val="00EB5C23"/>
    <w:rsid w:val="00EB7524"/>
    <w:rsid w:val="00EB7A26"/>
    <w:rsid w:val="00EC3F88"/>
    <w:rsid w:val="00EC60F6"/>
    <w:rsid w:val="00ED2EC7"/>
    <w:rsid w:val="00ED305D"/>
    <w:rsid w:val="00ED36D8"/>
    <w:rsid w:val="00ED5CFB"/>
    <w:rsid w:val="00EE03B5"/>
    <w:rsid w:val="00EE34B3"/>
    <w:rsid w:val="00EE6BD7"/>
    <w:rsid w:val="00F0689D"/>
    <w:rsid w:val="00F10A58"/>
    <w:rsid w:val="00F121E7"/>
    <w:rsid w:val="00F20D83"/>
    <w:rsid w:val="00F3716D"/>
    <w:rsid w:val="00F4365D"/>
    <w:rsid w:val="00F46719"/>
    <w:rsid w:val="00F47CF7"/>
    <w:rsid w:val="00F51FDD"/>
    <w:rsid w:val="00F5436F"/>
    <w:rsid w:val="00F57B7C"/>
    <w:rsid w:val="00F72114"/>
    <w:rsid w:val="00F73CAC"/>
    <w:rsid w:val="00F73CD2"/>
    <w:rsid w:val="00F87206"/>
    <w:rsid w:val="00F904E3"/>
    <w:rsid w:val="00F97B38"/>
    <w:rsid w:val="00FA13D2"/>
    <w:rsid w:val="00FA5E46"/>
    <w:rsid w:val="00FB01B5"/>
    <w:rsid w:val="00FC21F3"/>
    <w:rsid w:val="00FC26BB"/>
    <w:rsid w:val="00FD0C16"/>
    <w:rsid w:val="00FD171E"/>
    <w:rsid w:val="00FD6155"/>
    <w:rsid w:val="00FE62A0"/>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3F45BBA"/>
  <w15:chartTrackingRefBased/>
  <w15:docId w15:val="{3D5DA64A-2F47-4EE2-BD95-BDA18CFF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5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tickazmena.cz/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75FF-1D5D-493C-A446-9A597569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8F000D.dotm</Template>
  <TotalTime>2</TotalTime>
  <Pages>14</Pages>
  <Words>3416</Words>
  <Characters>20160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Schreil Zdeněk</cp:lastModifiedBy>
  <cp:revision>5</cp:revision>
  <cp:lastPrinted>2022-05-31T12:37:00Z</cp:lastPrinted>
  <dcterms:created xsi:type="dcterms:W3CDTF">2023-01-16T07:58:00Z</dcterms:created>
  <dcterms:modified xsi:type="dcterms:W3CDTF">2023-01-16T08:00:00Z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